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1827-2022, promovido por Bleachont,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2022 por la procuradora de los tribunales doña Mercedes Albi Murcia, en nombre y representación de Bleachont, S.L., y bajo la dirección del letrado don Antonio Lon García, interpuso demanda de amparo contra la providencia de fecha 2 de febrero de 2022, dictada por el Tribunal Supremo, Sala de lo Contencioso-Administrativo, Sección Primera, en el recurso de casación núm. 2796-2021.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1827-2022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