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18 de abril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825-2022, interpuesto por más de cincuenta diputados del grupo parlamentario Vox del Congreso de los Diputados contra el 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 Han comparecido el Congreso de los Diputados y el Senado. Ha formulado alegaciones el Gobierno de la Nación.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el día 8 de febrero de 2022, don Antonio Ortega Fuentes, procurador de los tribunales, actuando en nombre y representación de cincuenta y dos diputados del Grupo Parlamentario Vox del Congreso de los Diputados, interpuso recurso de inconstitucionalidad contra el real decreto-ley citado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único motivo del recurso es la falta de presupuesto habilitante del art. 86.1 de la Constitución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justifica su aprobación por el Gobierno en la necesidad de “dar respuesta” o “cumplimiento” y de “atender” al “mandato” del Tribunal Constitucional derivado de las SSTC 59/2017, de 11 de mayo; 126/2019, de 31 de octubre, y 182/2021, de 26 de octubre, para “llevar a cabo las modificaciones o adaptaciones pertinentes en el régimen legal del impuesto como consecuencia de la última de las sentencias referidas, así como integrar la doctrina contenida en las otras dos sentencias, al objeto de dar unidad a la normativa del impuesto y cumplir con el principio de capacidad económica” (apartado I). Añade que como consecuencia del fallo de esta última STC 182/2021, “a los ayuntamientos les resulta imposible liquidar, comprobar, recaudar y revisar este impuesto local, que desde esa fecha deja de ser exigible”, lo que supone un perjuicio a principio de suficiencia financiera de las entidades locales reconocido en el artículo 142 de la Constitución, un riesgo para el principio de estabilidad presupuestaria recogido en el artículo 135 de la Constitución, y puede provocar además distorsiones inminentes en el mercado inmobiliario. La necesidad de evitar estos efectos justifica la aprobación del real decreto-ley (apartado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argumentan que la doctrina del Tribunal Constitucional limita el dictado de decretos leyes a situaciones y razones “difíciles de prever” (STC 110/2021, FJ 4, aludiendo a otras anteriores), y que la situación que el real decreto-ley recurrido trata de remediar no lo es, sino que se originó “hace un lustro” con la STC 59/2017 “absolutamente ignorada por el legislador”. Los pronunciamientos del Tribunal Constitucional han sido “nítidos” desde la STC 59/2017. La STC 126/2019 ya recordó el compromiso aún pendiente de dar cumplimiento a esa sentencia inicial. Y la STC 182/2021 efectuó “una vez más un llamamiento apremiante al legislador para que adapte la correspondiente legislación”. La “ineptitud”, “dejadez”, “ineficacia” o “negligencia” del legislador para afrontar esta situación no puede paliarse mediante la actuación del ejecutivo, con quiebra del principio de separación de poderes e invasión de la potestad legislativa que pertenece a las Cortes. De aceptarse la tesis del preámbulo, al legislador le bastaría con “demorar” las reformas pendientes para “crear artificiosamente una supuesta situación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retraso demuestra el “absoluto menosprecio” a los derechos de los contribuyentes y al principio de seguridad jurídica, y que el Gobierno “solo actúa movido por tratar de evitar, durante los meses de tramitación del procedimiento legislativo de urgencia, un posible perjuicio económico […] para las arcas municipales”. Las razones aducidas (aumento del déficit público y posibles distorsiones del mercado inmobiliario) son “fórmulas rituales de marcada abstracción” que la doctrina constitucional ha rechazado (cita la STC 136/2015,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continuación “a mayor abundamiento” una amplia transcripción de la STC 182/2021 para demostrar la “vinculación que existe” entre ella y las SSTC 59/2017 y 126/2019.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termina su recurso con una referencia al debate parlamentario de convalidación del decreto-ley, extractando intervenciones de la ministra de Hacienda y Función Pública (sobre la merma de ingresos de los ayuntamientos) y de diputados de la oposición (sobre el retraso del Gobierno en su reacción a las sentencias constitucionales citadas) que acreditan que el Gobierno ha ofrecido una “justificación formal” del decreto-ley aprobado con “grave lesión” del derecho de las minorías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que el Gobierno “ha desbordado ‘los límites de lo manifiestamente razonable’, realizando un ‘uso abusivo o arbitrario’ del decreto-ley (STC 139/2016,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febrero de 2022, el Pleno del Tribunal acordó admitir a trámite el recurso de inconstitucionalidad interpuesto y dar traslado de las actuaciones, conforme establece el art. 34 de la Ley Orgánica del Tribunal Constitucional, al Congreso de los Diputados, al Senado y al Gobierno al objeto de que en el plazo de quince días pudieran personarse en el proceso y formular las alegaciones que estimaran pertinentes,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acuerdo de sus respectivas mesas, el Congreso de los Diputados y el Senado acordaron personarse en el procedimiento y ofrecer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31 de marzo de 2022, el abogado del Estado, en representación del Gobierno de la Nación, formuló sus alegaciones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razonamiento refiriéndose a la doctrina constitucional sobre concurrencia y control del presupuesto habilitante de la extraordinaria y urgente necesidad para aprobar un decreto-ley, con especial atención a los pronunciamientos que de forma específica abordan la cuestión en el ámbito de la adopción de medidas de naturaleza tributaria (STC 137/2011, de 14 de septiembre, FJ 6,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realiza un análisis de la justificación de la reforma aprobada por el Real Decreto-ley 26/2021, de 8 de noviembre, desde la perspectiva constitucional, tomando como punto de partida los argumentos recogidos en el preámbulo. Sostiene que la razón definitiva o determinante de haberse llevado a cabo la modificación normativa efectuada a través del real decreto-ley es el contenido de la STC 182/2021, pero no, o no tanto, el de los anteriores pronunciamientos del tribunal en la materia (SSTC 59/2017 y 126/2021). La STC 182/2021 hizo precisa una acción normativa inmediata porque, a diferencia de las otras dos sentencias, declaró la nulidad de los artículos del texto refundido de la Ley reguladora de las haciendas locales (TRLHL) que establecían la fórmula de cálculo del impuesto sobre el incremento del valor de los terrenos de naturaleza urbana (en adelante, IIVTNU), lo que en la práctica dejó a las entidades locales sin la posibilidad de recaudar uno de sus principales ingresos tributarios. Generó un vacío normativo al que había que dar respuesta inmediata, toda vez que imposibilitaba la liquidación del impuesto hasta la fecha en que el legislador estatal llevase a cabo las modificaciones pertinentes en el IIVTNU.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son objeciones inadecuadas las que apuntan a una supuesta desidia del Gobierno desde el año 2017, porque la justificación de la estricta necesidad de aprobar una norma de urgencia surge solamente a partir de la STC 182/2021, con el objetivo de permitir o habilitar de nuevo la posibilidad de llevar a cabo la recaudación de un tributo crucial desde la perspectiva de la estabilidad financiera de las haciendas locales. Reprochar al Gobierno no haber llevado a cabo o acometido una nueva regulación del IIVTNU desde el año 2017, más allá de su acierto, supone en sí un reproche de política legislativa o de mala praxis gubernamental, pero no es un argumento que en sí mismo ponga en tela de juicio la concurrencia ahora del presupuesto habilitante de la extraordinaria y urgente necesidad, que surge solo a partir de la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vacío legal ocasionado por la sentencia podía provocar, asimismo, distorsiones inminentes en el mercado inmobiliario, al suponer un incentivo para acelerar de forma urgente operaciones inmobiliarias con la única finalidad de aprovechar la coyuntura de “no tributación” antes de que fuera aprobada la nueva normativa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argumentación, en este punto, afirmando que la extraordinaria y urgente necesidad de aprobar el Real Decreto-ley 26/2021 se inscribe en el “juicio político o de oportunidad” que corresponde al Gobierno en cuanto órgano de dirección política del Estado (SSTC 142/2014, de 11 de septiembre, FJ 3, y 61/2018, de 7 de junio, FFJJ 4 y 7) y esta decisión, sin duda, supone una “ordenación de prioridades políticas” de actuación (STC 14/2020, de 28 de enero, FJ 4). En ningún caso, el cuestionado Real Decreto-ley 26/2021 constituye un supuesto de uso abusivo o arbitrario de este instrumento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18 de abril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quedado detallado en los antecedentes, cincuenta y dos diputados del Grupo Parlamentario Vox del Congreso de los Diputados recurren el 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no concurre la situación de “extraordinaria y urgente necesidad” que habilita constitucionalmente al Gobierno para dictar decretos-leyes, conforme al artículo 86.1 CE. Argumentan, en particular, que las razones ofrecidas por el Gobierno en este caso, que son básicamente (i) “dar respuesta al mandato” derivado de la STC 182/2021, que declaró inconstitucionales y nulos los artículos 107.1, segundo párrafo, 107.2 a) y 107.4 TRLHL, que ahora reciben nueva redacción, (ii) posibilitar así el “inmediato restablecimiento de la exigibilidad del impuesto” y (iii) evitar al mismo tiempo “distorsiones inminentes en el mercado inmobiliario”, no se compadecen con la doctrina de este tribunal que limita los decretos-leyes a situaciones “difíciles de prever” (STC 110/2021, de 13 de mayo, FJ 4, entre otras) ya que desde las SSTC 59/2017, de 11 de mayo, y 126/2019, de 31 de octubre, el Tribunal venía advirtiendo al legislador de la defectuosa configuración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representación del Gobierno de la Nación, se opone a esta apreciación, con los argumentos que han quedado resumidos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resuelta por la STC 17/2023, de 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17/2023, de 9 de marzo, ha desestimado un motivo idéntico planteado en el recurso de inconstitucionalidad núm. 735-2022, interpuesto por otro grupo de diputados contra el mismo Real Decreto-ley 26/2021.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sentencia, tras recordar nuestra doctrina sobre el “control externo” de la apreciación efectuada por el Gobierno, titular de la potestad constitucional de dictar decretos-leyes [fundamento jurídico 2 A)], y de exponer las razones ofrecidas por el ejecutivo en este caso, que no es necesario reproducir [fundamento jurídico 2 B), subapartados a), b) y c)], concluimos que el Gobierno no había desbordado los márgenes de apreciación que el artículo 86.1 de la Constitución le confiere, en los siguientes términos [fundamento jurídico 2 B), subapartados d) y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lo expuesto se colige que, en el preámbulo y en la memoria del real decreto-ley impugnado, así como en su presentación en el trámite parlamentario de convalidación, el Gobierno ha ofrecido, de forma explícita y razonada, una justificación para la adopción de las medidas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se puede concretar en los siguientes términos. La citada STC 182/2021 ha declarado nulos e inconstitucionales los arts. 107.1, segundo párrafo, 107.2 a) y 107.4 TRLHL, afectando por ello a los recursos financieros de los entes locales debido a la pérdida recaudatoria derivada de la imposibilidad de exigir el IIVTNU; afectación que incide en la suficiencia financiera local, el incremento del déficit público y la estabilidad presupuestaria, y causa, a su vez, distorsiones en el mercado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 Atendiendo al contenido del fallo de las SSTC 59/2017, 126/2019 y 182/2021, se puede apreciar que la única que produjo un vacío legislativo capaz de impedir la exigencia del IIVTNU fue la última de ellas. De hecho, el impuesto se ha seguido exigiendo por los entes locales, no sin cierta conflictividad, en todas aquellas situaciones que no se vieron afectadas por la declaración de inconstitucionalidad contenida en las ya citadas SSTC 59/2017 y 126/2019,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26/2021 señala, ya en su propio título, que se dicta con la finalidad de “adaptar el texto refundido de la Ley reguladora de haciendas locales aprobado por el Real Decreto Legislativo 2/2004, de 5 de marzo, a la reciente jurisprudencia del Tribunal Constitucional respecto del impuesto sobre el incremento de valor de los terrenos de naturaleza urbana”. Su preámbulo afirma que “tiene por objeto dar respuesta al mandato del Alto Tribunal de llevar a cabo las modificaciones o adaptaciones pertinentes en el régimen legal del impuesto como consecuencia de la última de las sentencias referidas”, es decir, la STC 182/2021. Ello sin perjuicio de que también se haya procedido a “integrar la doctrina contenida en las otras dos sentencias, al objeto de dar unidad a la normativa del impuesto y cumplir con el principio de capacidad económica” algo que no resulta reprochable.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puede compartir la afirmación de la parte recurrente referida a que, desde que se conoció la doctrina de la STC 126/2019, el Gobierno estaba ya en condiciones de iniciar el procedimiento legislativo para modificar la regulación declarada inconstitucional después en la STC 182/2021. Si bien los tres pronunciamientos abordan la compatibilidad de la regulación del IIVTNU con diferentes vertientes del principio de capacidad contributiva y, en ocasiones, también en conexión con el principio de no confiscatoriedad, hemos de subrayar que ni la STC 126/2019, ni su predecesora la STC 59/2017, examinaron el método objetivo obligatorio de estimación de la base imponible, que fue lo declarado inconstitucional en la STC 182/2021 y el principal objeto de regulación por el Real Decreto-ley 26/2021.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podemos concluir que, desde el plano del control externo que compete a este tribunal, una vez descrita de forma suficiente la situación de extraordinaria y urgente necesidad, como aquí hemos apreciado, resulta jurídicamente admisible la acción normativa inmediata, evitando con ello la demora que hubiera supuesto recurrir a la tramitación legislativa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consiguiente, en aplicación de la doctrina expuesta, desestimar el recurso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