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los recursos de amparo números 4728 y 4730-2021, promovidos por don Salvador Reina Calderón y don Daniel Castells Batlló, en relación con los autos dictados por la Sección Séptima de la Audiencia Provincial de Barcelona de 20 de abril y 20 de mayo de 2021, por los que se deniega la sustitución de la pena de un año y seis meses de pris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sendos escritos registrados en este tribunal el 9 de julio de 2021, don Salvador Reina Calderón y don Daniel Castells Batlló, representados por el procurador de los tribunales don Miguel Montero Reiter y bajo la dirección respectivamente de las letradas doña María Amparo Bataller Pardo y doña Laura Bardají Salinas, se interpusieron dos recursos de amparo contra los autos dictados por la Sección Séptima de la Audiencia Provincial de Barcelona de 20 de abril y 20 de mayo de 2021. La presentación de dichos escritos dio lugar a los recursos de amparo núm. 4728-2021 y 4730-2021, cuyo conocimiento correspondió a la Sección Terc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que los referidos recursos de amparo quedaron conclusos para sentencia, por diligencia de ordenación de 6 de marzo de 2023 se concedió audiencia al Ministerio Fiscal y a las partes por plazo común de diez días por si procediera su acumulación, de conformidad con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From Inversiones Energéticas, S.L., de don Salvador Reina Calderón y el Ministerio Fiscal, manifestaron su conformidad a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83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los autos dictados por la Sección Séptima de la Audiencia Provincial de Barcelona de 20 de abril y 20 de mayo de 2021, procedentes del procedimiento de ejecución penal 59-2020 por los que se denegó la sustitución de la ejecución de la pena de un año y seis meses de prisión impuesta a los recurrentes por un año de trabajos en beneficio de la comunidad y un año de multa. Además, los recursos de amparo se encuentran en la misma fase procesal tras su admisión a trámite, y las quejas, relativas a la vulneración de derecho fundamental a la tutela judicial efectiva (art. 24.1 CE) en relación con los derechos a la libertad (art. 17.1 CE), el principio de legalidad penal e irretroactividad de las normas penales (arts. 25.1 y 9.3 CE), son comunes en sus fundamentos, tanto en los aspectos fácticos como en los jurídicos, al plantearse en términos idén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4728-2021 y 4730-2021,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4730-2021, al recurso de amparo registrado con el número 4728-2021.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