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10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1060-2020, promovido por doña Denize Lanes da Silva contra la resolución de 16 de abril de 2018 de la Delegación del Gobierno en Madrid, dictada en el expediente núm. 2800201800006300; y contra las resoluciones judiciales siguientes: sentencia núm. 401/2019, de 29 de noviembre, del Juzgado de lo Contencioso-Administrativo núm. 31 de Madrid, dictada en el procedimiento abreviado núm. 316-2018; sentencia núm. 381/2019, de 17 de mayo, de la Sección Décima de la Sala de lo Contencioso-Administrativo del Tribunal Superior de Justicia de Madrid, dictada en el recurso de apelación núm. 154-2019; providencias de 17 de octubre de 2019 y de 13 de enero de 2020 de la Sección Primera de la Sala de lo Contencioso-Administrativo del Tribunal Supremo, dictadas en el recurso de casación núm. 4327-2019. Ha sido parte la Abogacía del Estado.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electrónico de este tribunal el 20 de febrero de 2020 doña Denize Lanes da Silva, representada por la procuradora de los tribunales doña María Claudia Munteanu y asistida por el abogado don César Manuel Pinto Cañón,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19 de enero de 2018, la Brigada Provincial de Extranjería y Fronteras de Madrid incoó el expediente núm. 2972-2018, relativo al procedimiento sancionador de carácter preferente contra la recurrente, tras comprobar que no disponía de documento alguno que acreditara su situación de estancia o residencia legal en España. El expediente gubernativo, que siguió con el núm. 2800201800006300, finalizó con la resolución de 16 de abril de 2018 de la Delegación del Gobierno en Madrid, que decretó la expulsión de doña Denize Lanes da Silva “del territorio nacional, con la consiguiente prohibición de entrada en España por un período de tres años, a contar desde la fecha en que se lleve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expulsión establecía como base fáctica de la sanción que no constaba que doña Denize Lanes da Silva “haya solicitado y se halle pendiente de resolver ninguna solicitud de autorización de residencia o trabajo, no acreditándose por otra parte que tenga un especial arraigo familiar o social en nuestro país” y, como fundamento de Derecho, la comisión de una infracción grave prevista en el art. 53.1 a) de la Ley Orgánica 4/2000, de 11 de enero, sobre derechos y libertades de los extranjeros en España y su integración social (LOEx), consistente en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interpuso recurso contencioso-administrativo contra la anterior resolución, mediante demanda de procedimiento abreviado presentada el 7 de julio de 2018 en los juzgados de lo contencioso-administrativo de Madrid. Se alegó que la expulsión resultaba improcedente por distintas causas: (i) Razones humanitarias, dado que doña Denize Lanes da Silva se encontraba en España por motivos médicos de forma temporal. (ii) Subsidiariamente, se afirmaba que imponer la sanción de expulsión del art. 57.1 LOEx, por mera estancia irregular, en lugar de la multa de 501 hasta 10 000 € del art. 55.1 b) LOEx, resultaba contraria a los principios de legalidad y proporcionalidad de las sanciones (arts. 25.1 CE y 49 y 52 de la Carta de los derechos fundamentales de la Unión Europea: CDFUE); se oponía a la jurisprudencia de la Sala Tercera del Tribunal Supremo que optaba por la multa cuando no concurría ninguna circunstancia negativa, como era el caso; y además partía de una interpretación errónea del alcance de la STJUE de 23 de abril de 2015, asunto C-38/14, Subdelegación del Gobierno en Gipuzkoa-Extranjería c. Samir Zaizoune, sentencia que establecía que la normativa de España que, “en caso de situación irregular de nacionales de terceros países en el territorio de dicho Estado, impone, dependiendo de las circunstancias, o bien una sanción de multa, o bien la expulsión, siendo ambas medidas excluyentes entre sí”, resultaba contraria a la Directiva 2008/115/CE del Parlamento Europeo y del Consejo, de 16 de diciembre de 2008, relativa a normas y procedimientos comunes en los Estados miembros para el retorno de los nacionales de terceros países en situación irregular (conocida también como la “Directiva de retorno”). La interpretación resultaba errónea porque otorgaba un efecto directo inverso a la directiva, cuando su efecto directo solo opera frente a los Estados y no al revés: los Estados no pueden aplicar la directiva directamente en perjuicio de los particulares. Entretanto no se produjese la expulsión de la sanción de multa del ordenamiento jurídico español procedía seguir aplicando la multa y no la expulsión con prohibición de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terminaba con la solicitud al juzgado de que anulase la sanción de expulsión o, subsidiariamente, que impusiera una multa mínima de 501 €. Y también, si lo consideraba necesario y con anterioridad a dictar sentencia, que plantease la siguiente cuestión prejudicial al Tribunal de Justicia de la Unión Europea: “A la luz del principio de legalidad de las penas que proclama el artículo 49 de la Carta Europea de Derechos en virtud del cual no podrá imponerse una pena más grave que la aplicable en el momento en que la infracción haya sido cometida, y en tanto que el legislador español no ha derogado el artículo 55, apartado 1, letra b), de la Ley Orgánica de extranjería, que establece que la sanción aplicable en caso de infracción grave es una multa de 501 hasta 10 000 € y el apartado 3 del mismo artículo y el apartado 1 del artículo 57 de la misma Ley Orgánica de extranjería y que en su apartado 3 dispone que en ningún caso podrán imponerse conjuntamente las sanciones de expulsión y multa; ¿deberá continuar aplicándose en los casos concretos esta normativa nacional controvertida en el litigio principal y la jurisprudencia que la interpreta, que permite sancionar la situación irregular de un extranjero exclusivamente con una sanción económica que, además, resulta incompatible con la sanción de expulsión hasta que no la modifique el legislador español sacando del ordenamiento jurídico español la sanción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turnada al Juzgado de lo Contencioso-Administrativo núm. 31 de Madrid que, tras seguir los trámites del procedimiento abreviado núm. 316-2018, dictó la sentencia 401/2019, de 29 de noviembre, que rechazó plantear la cuestión prejudicial debido a que consideraba que existía “abundante jurisprudencia en nuestro Derecho nacional en cuanto a la normativa de aplicación” (FJ 2) y desestimó el recurso contencioso-administrativo. Según el juzgado, por un lado, la sanción de expulsión resultaba proporcionada y conforme a la doctrina de la STJUE de 23 de abril de 2015; y, por otro lado, no se alegaba ni se acreditaba el arraigo y tampoco los perjuicios de muy difícil reparación que se causarían.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interpuso recurso de apelación contra la sentencia en el que denunció la vulneración del derecho a la tutela judicial efectiva (art. 24.1 CE), como consecuencia de la interpretación errónea efectuada, tanto por el órgano judicial como por la Sala de lo Contencioso-Administrativo del Tribunal Supremo, de la citada STJUE de 23 de abril de 2015, dado que tal interpretación conllevaba reconocer a una directiva que no se había traspuesto adecuadamente por el Estado destinatario la capacidad de crear obligaciones directas en perjuicio de los particulares en contra del Derecho de la Unión Europea. Se reiteró que con la expulsión y prohibición de entrada por tres años se vulneraban los principios de legalidad y proporcionalidad de las sanciones (arts. 25.1 CE, 49 y 52 CDFUE). Se propuso de nuevo el planteamiento de cuestión prejudicial y se terminó solicitando de la sala la anulación de la sanción de expulsión y de la sentencia de instancia o, subsidiariamente, la imposición de una multa de 501 €.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apelación fue desestimado por la sentencia núm. 381/2019, de 17 de mayo, de la Sección Décima de la Sala de lo Contencioso-Administrativo del Tribunal Superior de Justicia de Madrid. La sala declaró que la Directiva 2008/115/CE fue traspuesta por la Ley Orgánica 2/2009, de 11 de diciembre, de reforma de la Ley Orgánica 4/2000, de 11 de enero, sobre derechos y libertades de los extranjeros en España y su integración social; y que, a raíz de la STJUE de 23 de abril de 2015 y de la sentencia de la Sala Tercera del Tribunal Supremo de 12 de junio de 2018, dictada en el recurso de casación núm. 2958-2017, si bien era cierto que la normativa nacional seguía contemplando la posibilidad de sancionar con multa la estancia irregular de extranjeros en nuestro país, “dicha previsión ha quedado desplazada por su contradicción con la normativa comunitaria y ha devenido, por ende, inaplicable”. Restaba, por tanto, según la sala, valorar si concurría alguno de los criterios apreciados por el Tribunal de justicia de la Unión Europea al interpretar el art. 5 de la Directiva de retorno que permitiera excluir la procedencia de la expulsión, esto es, el interés superior del menor, la vida familiar o el estado de salud del interesado. Y en tal sentido, se argumentaba, nada se había acreditado ni aducido, más allá del hecho de que la recurrente se hallara inscrita en el padrón municipal de Madrid, con su hermana, durante el tiempo necesario para el tratamiento de su enfermedad corneal que motivó su viaje y estancia en España. De ahí que la sanción de expulsión con prohibición de entrada que puso fin al procedimiento preferente de expulsión no resultase desproporcionada, procedimiento que, por otro lado, no contempla la concesión de un plazo de cumplimiento voluntario para que el interesado abandone el territorio nacional (FFJJ 4 y 5). Finalmente, la sala hizo suyos los argumentos de la sentencia de instancia para rechazar el planteamiento de la cuestión prejudicial (FJ 6) y desestimó el recurso con imposición de las costas al apelante, con el límite de 300 € por todos los conceptos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recurrente presentó escrito de preparación de recurso de casación contra la sentencia desestimatoria de su recurso de apelación, en el que se reiteraba la denuncia de la vulneración del derecho a la legalidad sancionadora (art. 25.1 CE), del art. 49 CDFUE, por no haber aplicado la sanción de multa, y de la doctrina del Tribunal de Justicia de la Unión Europea que prohíbe que los poderes públicos se amparen en una norma de una directiva traspuesta incorrectamente en perjuicio de los particulares, como sucedía en el caso examinado. Se solicitó expresamente que por la Sala Tercera del Tribunal Supremo se planteara la siguiente cuestión prejudicial al Tribunal de Justicia de la Unión Europea: “De acuerdo con la sentencia de 5 de abril de 1979, asunto C-148/78, Tullio Ratti; sentencia de 11 de junio de 1987, asunto C-14/86, Pretore di Salò; y sentencia de 8 de octubre de 1987, asunto C-80/19, Kolpinghuis Nijmegen BV de este Tribunal de Justicia de la Unión Europa y a la luz del principio de legalidad de las penas que proclama el artículo 49 de la Carta Europea de Derechos en virtud del cual no podrá imponerse una pena más grave que la aplicable en el momento en que la infracción haya sido cometida, y en tanto que el legislador español no derogue el artículo 55, apartado 1, letra b), de la Ley Orgánica de extranjería, que establece que la sanción aplicable en caso de infracción grave es una multa de 501 hasta 10 000 euros y el apartado 3 del mismo artículo y el apartado 1 del artículo 57 de la misma Ley Orgánica de extranjería y que en su apartado 3 dispone que en ningún caso podrán imponerse conjuntamente las sanciones de expulsión y multa; ¿deberá continuar aplicándose, [como en el caso de enjuiciamiento], esta normativa nacional controvertida en el litigio principal y la jurisprudencia que la interpretaba, que permite sancionar la situación irregular de un extranjero exclusivamente con una sanción económica que, además, resulta incompatible con la sanción de expulsión [cuando en su conducta solo concurre la circunstancia de permanencia irregular]? ¿La respuesta dada en la sentencia del TJUE de 23 de abril de 2015 al órgano judicial es directamente aplicable frente a los ciudadanos de terceros Estados que se encuentran irregularmente en España o es preciso la modificación de la ley nacional a fin de que se adapte correctamente a la Directiva 2008/115/CE del Parlamento Europeo y del Consejo de 16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12 de junio de 2019 de la Sección Décima de la Sala de lo Contencioso-Administrativo del Tribunal Superior de Justicia de Madrid se tuvo por preparado el recurso de casación y se emplazó a las partes para comparecer dentro del plazo de treinta días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Primera de la Sala de lo Contencioso-Administrativo del Tribunal Supremo, mediante providencia de 17 de octubre de 2019, inadmitió el recurso de casación núm. 4327-2019. La sala consideraba que las infracciones imputadas a la sentencia recurrida no eran relevantes del fallo, puesto que el tribunal de apelación había analizado la concurrencia de las circunstancias positivas previstas en la Directiva 2008/115/CE que excepcionaban la decisión de retorno, había aplicado el principio de primacía del Derecho de la Unión Europea y la doctrina de la STJUE de 23 de abril de 2015, y el recurso carecía de interés casacional para la formación de la jurisprudencia al haber sido ya dictadas distintas sentencias sobre la cuestión controvertida y en sentido desfavorable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recurrente formuló incidente de nulidad de actuaciones contra la providencia de inadmisión en el que se solicitó que se declarase su nulidad y que se admitiese el recurso de casación interpuesto. Se alegó que la providencia omitió pronunciarse sobre la necesidad de plantear la cuestión prejudicial y que con ella se vulneró el derecho a un proceso público con todas las garantías (art. 24.2 CE), porque, de conformidad con la STC 37/2019, de 26 de marzo, resultaba exigible plantear la cuestión prejudicial propuesta al no concurrir los requisitos necesarios para apreciar la existencia de un acto aclarado respecto del problema interpretativo suscitado. Por otro lado, afirmaba que la cuestión tenía interés casacional objetivo para la formación de la jurisprudencia, y con mayor motivo desde el momento en que en el “Diario Oficial de la Unión Europea” de 28 de octubre de 2019, se había publicado la petición de decisión prejudicial presentada por la Sección Segunda de la Sala de lo Contencioso-Administrativo del Tribunal Superior de Justicia de Castilla-La Mancha de 25 de julio de 2019 (C-568/19), que guardaba gran similitud con la propuesta en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Sección Primera de la Sala de lo Contencioso-Administrativo del Tribunal Supremo, mediante providencia de 13 de enero de 2019, inadmitió a trámite el incidente de nulidad de actuaciones. Según la sala, la obligatoriedad de plantear esta cuestión prejudicial no está prevista en el trámite de admisión del recurso de casación y ningún tribunal de justicia viene obligado a ello por el hecho de que una parte lo solicite si considera que no se dan los requisitos. Tampoco se incurría en incongruencia omisiva, dado que la providencia se había ajustado a las exigencias del art. 90.4 de la Ley reguladora de la jurisdicción contencioso-administrativa (LJCA), y se fundamentaba en una causa legalmente prevista. Se reiteraron los motivos por los que se había inadmitido el recurso de casación, y se añadió que la recurrente hacía una interpretación sesgada de la Directiva de Retorno sobre la que ya se había resuelto una cuestión prejudicial en la STJUE de 23 de abril de 2015, que dio lugar a las sentencias de la sala citadas en la providencia de inadmisión y, en consecuencia, a la pérdida de interés casacional de la cuestión planteada. Finalmente, la sala consideró el planteamiento de la cuestión prejudicial por el Tribunal Superior de Justicia de Castilla-La Mancha como un hecho nuevo posterior a la providencia cuya nulidad se instaba, lo que determinaba asimismo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a la recurrente se le ha vulnerado, tanto por la administración como por los órganos judiciales, el derecho fundamental a la legalidad sancionadora (art. 25.1 CE). La recurrente no cuestiona su estancia irregular en España, pero dado que no concurre en ella ninguna circunstancia agravante o elemento negativo, la sanción correspondiente a esta infracción grave [art. 53.1 a) LOEx] es la de multa de 501 hasta 10 000 € [art. 55.1 b) LOEx], y no la de expulsión con prohibición de entrada durante tres años (art. 57.1 LOEx). La administración y los órganos judiciales interpretaron erróneamente el principio de primacía del Derecho de la Unión y la STJUE de 23 de abril de 2015, que declaró la contradicción entre el art. 6 de la Directiva 2008/115/CE, que obliga a la expulsión en caso de estancia irregular en un Estado miembro, y la normativa española, que establece sanciones de multa y expulsión siendo ambas incompatibles entre sí. Porque aplicaron directamente la directiva en perjuicio de la recurrente, sin reparar en que la normativa española contenida en la Ley Orgánica 4/2000 resultaba más beneficiosa y no había sido modificada. Se efectuó una interpretación que produce un “efecto directo vertical inverso”, prohibido por la jurisprudencia del Tribunal de Justicia de la Unión Europea que determina que las directivas no pueden ser invocadas por los Estados frente a los particulares cuando estas no han sido traspuestas o lo han sido de modo incorrecto. Se desplazó así la normativa española más beneficiosa que resultaba aplicable y se vulneró el derecho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recurrente considera que la Sección Primera de la Sala de lo Contencioso-Administrativo del Tribunal Supremo vulneró su derecho a un proceso público con todas las garantías (art. 24.2 CE), cuando inadmitió su recurso de casación y el incidente de nulidad de actuaciones. A su juicio, de acuerdo con la STC 37/2019, de 26 de marzo, y el art. 267 del Tratado de funcionamiento de la Unión Europea, resultaba exigible que la sala hubiera planteado dicha cuestión al haberse dejado de aplicar una norma interna sin que existiera un “acto aclarado” sobre si procedía continuar aplicando la norma interna por ser más beneficiosa al ciudadano extranjero en situación irregular hasta que la legislación nacional se acomodase a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solicita que se declare que se han vulnerado sus derechos fundamentales a la legalidad sancionadora y a un proceso con todas las garantías, que se la restablezca en ellos y, a tal fin, que se anulen las distintas resoluciones impugnadas. Subsidiariamente, solicita retrotraer las actuaciones al momento anterior a que la Sección Primera de la Sala de lo Contencioso-Administrativo del Tribunal Supremo dictara la providencia de 17 de octubre de 2019 para que dicte una nueva resolución respetuosa con los derechos fundamentales vulnerados. Por otrosí de la demanda, la recurrente solicita la suspensión cautelar del decreto de expulsión confirmado por los distintos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presentación de la demanda, la recurrente presentó escrito el 9 de octubre de 2020 para aportar copia de la STJUE de 8 de octubre de 2020 (C-568/19), que resuelve la mencionada cuestión prejudicial planteada por la Sección Segunda de la Sala de lo Contencioso-Administrativo del Tribunal Superior de Justicia de Castilla-La Mancha, y completar así las alegaciones de la demanda de amparo sobre la concurrencia de su especial trascendencia constitucional, debido a que las vulneraciones de los derechos fundamentales alegados trae causa de una errónea y reiterada interpretación por parte de los órganos judiciales nacionales de los principios de efecto útil y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25 de enero de 2021,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FJ 2 b)]; acordó dirigirse a los distintos órganos judiciales para que remitiesen certificación o copia adverada de las actuaciones y al Juzgado de lo Contencioso-Administrativo núm. 31 de Madrid, para que además emplazase a quienes hubieran sido parte en el procedimiento, excepto a la recurrente en amparo, con el fin de que pudiesen comparecer en el recurso en el plazo de diez días; y decidió formar pieza separada de suspensión de la ejecución del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enero de 2021, dictada en la pieza separada de suspensión, la Sección Tercera de este tribunal concedió un plazo común de tres días a la recurrente y al Ministerio Fiscal para que alegasen lo que estimasen pertinente sobre la suspensión solicitada. La parte recurrente y el Ministerio Fiscal mediante sendos escritos presentados, respectivamente, el 19 de febrero y el 2 de marzo de 2021, interesaron la suspensión del acto impugnado. La Sala Segunda del Tribunal Constitucional, mediante ATC 40/2021, de 19 de abril, acordó la suspensión de la resolución administrativa que ordena la expulsión de la recurrente, dado que su materialización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tampoco cabe apreciar que dicha suspensión pueda originar una perturbación grave de los intereses generales ni de los derechos fundamentales o libertades públicas de un tercero”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se personó en el procedimiento mediante escrito presentado el 25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días 1 y 2 de marzo de 2021 tuvieron entrada en el registro de este tribunal las actuaciones remitidas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secretario de justicia de la Sección Tercera de la Sala Segunda del tribunal, por diligencia de ordenación de 28 de abril de 2021, tuvo por personada y parte a la Abogacía del Estado, y, conforme a lo dispuesto en el art. 52.1 LOTC, acordó dar vista de las actuaciones al Ministerio Fiscal y a las partes personadas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mediante escrito de 18 de mayo de 2021, se remitió a lo ya expuesto en su demanda y en su escrito posterior de 9 de octubre de 2020, y puso de manifiesto que la Sección Quinta de la Sala de lo Contencioso-Administrativo del Tribunal Supremo había dictado la sentencia núm. 366/2021, de 17 de marzo, lo que, a su juicio, respaldaba los argumentos de la demanda de amparo, “dado que expresamente establece que, de acuerdo con la norma interna, interpretada de acuerdo con la directiva, solo procede la sanción de expulsión cuando a la mera estancia irregular se añade alguna circunstancia agravante, circunstancia que no concurre en este caso. Por tanto, la decisión de expulsión adoptada frente a la recurrente por la administración y confirmada por el juzgado y tribunales cuando solo ha quedado acreditada su estancia irregular carece de cobertura jurídica y, por consiguiente, ha supuesto una vulneración del derecho a la legalidad sancionadora, artículo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Abogacía del Estado presentó escrito, el 1 de junio de 2021, en el que solicitó que se desestimase la demanda de amparo. Por una parte, considera que la Sala Tercera del Tribunal Supremo no vulneró el derecho a un proceso con todas las garantías por preterición del sistema de fuentes establecido, dado que no resultaba necesario plantear la cuestión prejudicial propuesta al estar ante una situación de “acto aclarado” por la STJUE de 23 de octubre de 2015, y también de un “caso claro”, debido a la entrada en vigor de la Ley Orgánica 2/2009, de 11 de diciembre. La parte de la ley interna que, tras su trasposición, resulta contraria a la normativa europea debe entenderse desplazada por esta, tal y como entendieron las distintas resoluciones judiciales. Por otra parte, ni el decreto de expulsión ni las distintas resoluciones judiciales vulneraron el derecho a la legalidad sancionadora por desproporción de la sanción impuesta, puesto que la recurrente no acreditó ninguna de las circunstancias previstas en la Directiva de retorno para no aplicar o suspender la única sanción posible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escrito el 1 de febrero de 2022 en el que solicitó la estimación parcial del recurso. Con respecto a la primera de las quejas alegadas, considera que las resoluciones impugnadas vulneraron el derecho fundamental a la legalidad sancionadora (art. 25.1 CE) y que debe declararse su nulidad. A su juicio, el decreto de expulsión no expresa el fundamento legal para imponer la sanción de expulsión (art. 57.1 LOEx), en lugar de imponer la sanción principal y básica de multa del art. 55.1 b) LOEx, y no puede considerarse que su justificación se halle implícita en la falta de arraigo de la recurrente, como se entendió por el Juzgado de lo Contencioso-Administrativo núm. 31 de Madrid. La ausencia de arraigo “no es un elemento negativo que permita apreciar la infracción de estancia irregular como muy cualificada y proporcionada la sanción de expulsión en vez de multa”. En su escrito plasma la doctrina de las SSTJUE de 23 de abril de 2015 y de 8 de octubre de 2020, y concluye que el decreto de expulsión y las sentencias que lo confirmaron infringieron la garantía material del principio de legalidad sancionadora, contraviniendo además la doctrina del Tribunal de Justicia de la Unión Europea que establece la interdicción del principio de efecto directo vertical en contra de los particulares que se ven favorecidos por la norma nacional no traspuesta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sostiene que el recurso debe desestimarse con relación a la vulneración del derecho a un proceso con todas las garantías que la recurrente atribuye a las providencias de inadmisión de su recurso de casación y del incidente de nulidad de actuaciones. Según la fiscal, las mencionadas resoluciones, aunque pusieron fin al proceso judicial, no decidieron sobre el fondo de la cuestión planteada en el recurso de casación, sino que lo inadmitieron porque consideraron, primero, que no concurrían sus presupuestos al apreciar que las infracciones legales denunciadas no habían sido relevantes para el fallo [art. 90.4 c) LJCA] y, segundo, que no concurría interés casacional objetivo por existir ya jurisprudencia que resolvía desfavorablemente la cuestión planteada [art. 90.4 d) LJCA]. Con el dictado de tales providencias, la Sala de lo Contencioso-Administrativo del Tribunal Supremo no dejó inaplicada la norma nacional por considerarla contraria al derecho europeo sin plantear cuestión prejudicial interpretativa, sino que se limitó a verificar los requisitos de admisión del recurso; por tanto, no infringió el derecho a un proceso con todas las garantías, ni la normativa ni la jurisprudencia nacional y comunitaria sobre la obligación de plantear cuestión prejudicial [arts. 24.2 CE y 267 b) del Tratado de funcionamiento de la Unión Europea, STC 37/2019, de 26 de marzo, y STJUE de 6 de octubre de 1982, asunto Cilfit, C-283/81]. La demandante solo alega en su recurso de amparo que las citadas providencias vulneraron su derecho a un proceso con todas las garantías, pero no que con ellas le hubiese sido vulnerado su derecho a la tutela judicial efectiva sin indefensión, en la vertiente del derecho al recurso del art. 24.1 CE, por lo que no procedía pronunciarse sobre ninguna otra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7 de marzo de 2023, el magistrado don César Tolosa Tribiño presentó escrito, conforme al art. 217 de la Ley Orgánica del Poder Judicial, en el que pone en conocimiento del Pleno de este tribunal, por conducto de su presidente, su decisión de comunicar su abstención del conocimiento del recurso de amparo núm. 1060-2020.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del Pleno de 21 de marzo de 2023 se acordó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auto 139/2023, de 21 de marzo, el Pleno estimó justificada la abstención formulada por el magistrado don Cesar Tolosa Tribiño en el recurso de amparo 1060-2020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acuerdo de 21 de marzo de 2023 del presidente de este tribunal, se designó como nuevo ponente al magistrado don Enrique Arnaldo Alcubilla, en sustitución del magistrado don Cesar Tolosa Tribiño, a quien correspondía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9 de mayo de 2023,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tiene por objeto determinar si la resolución de 16 de abril de 2018 de la Delegación del Gobierno en Madrid, que decretó la expulsión de la recurrente del territorio nacional con prohibición de entrada en España por un período de tres años, y las resoluciones judiciales impugnadas: sentencia núm. 401/2019, de 29 de noviembre, del Juzgado de lo Contencioso-Administrativo núm. 31 de Madrid, que desestimó el recurso contencioso-administrativo interpuesto contra dicho decreto; sentencia núm. 381/2019, de 17 de mayo, de la Sección Décima de la Sala de lo Contencioso-Administrativo del Tribunal Superior de Justicia de Madrid, que desestimó el recurso de apelación; y providencias de 17 de octubre de 2019 y de 13 de enero de 2020 de la Sección Primera de la Sala de lo Contencioso-Administrativo del Tribunal Supremo, de inadmisión del recurso de casación y del incidente de nulidad de actuaciones, han vulnerado el derecho fundamental de la demandante a la legalidad sancionadora (art. 25.1 CE); y si las dos providencias mencionadas han vulnerado el derecho a un proceso con todas las garantías (arts.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considera vulnerado su derecho a la legalidad sancionadora y el principio de proporcionalidad con fundamento en que se acordó su expulsión del territorio nacional por el hecho de encontrarse ilegalmente en España, cuando la sanción procedente en tal caso debió ser la de multa, al no concurrir ninguna circunstancia negativa. La sanción de expulsión prevista en la Directiva 2008/115/CE no puede aplicarse directamente cuando la ley nacional contempla un régimen más beneficioso para el ciudadano. El efecto vertical de las directivas solo opera frente a los Estados que deben trasponerlas y no para establecer obligaciones o consecuencias perjudiciales para los ciudadanos si no han sido traspuestas, o lo han sido de modo incorrecto, como es el caso, en que el régimen español prevé sanciones de multa y expulsión, incompatibles entre sí, para los supuestos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recurrente sostiene que la decisión de la Sección Primera de la Sala de lo Contencioso-Administrativo del Tribunal Supremo de no plantear, como última instancia, la cuestión prejudicial propuesta, vulnera su derecho a un proceso con todas las garantías. La interpretación de la sala conllevaba dejar de aplicar una norma interna y no existía un “acto aclarado” sobre la procedencia de continuar aplicando la norma interna por ser más beneficiosa al ciudadano extranjero en situación irregular mientras la legislación nacional no se acomodase a la citada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 Estado se opone a la estimación del recurso de amparo. Estima que no se vulnera el derecho a la legalidad sancionadora, dado que la recurrente se encontraba en situación irregular en España y no acreditó arraigo alguno; y tampoco se vulnera el derecho a un proceso con todas las garantías no planteando la cuestión prejudicial, puesto que la Directiva de retorno se halla traspuesta y es de aplicación la doctrina del “acto aclarado” por la STJUE de 23 de abril de 2015 y del “caso claro”, de modo que la parte de la ley interna que, tras la trasposición, resulta contraria a la normativa europea, debe entenderse desplazada por esta, tal y como entendieron las distintas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parcial del recurso porque considera que el decreto de expulsión y las resoluciones judiciales que lo confirmaron vulneran el derecho a la legalidad sancionadora, al haberse impuesto una sanción de expulsión del territorio nacional por estancia irregular sin apreciar ninguna otra circunstancia agravante o negativa. No considera que exista vulneración del derecho a un proceso con todas las garantías que pueda atribuirse a las providencias de inadmisión del recurso de casación y del incidente de nulidad de actuaciones que decidieron no plantear la cuestión prejudicial que la recurrente proponía, puesto que tales resoluciones no resolvieron sobre el fondo del recurso de casación, ni dejaron de aplicar la norma nacional por considerarla contraria al derecho europeo sin plantear dicha cuestión, sino que se limitaron a verificar los requisitos de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naturaleza mixta del recurso de amparo interpuesto determina que se examine, en primer término, la queja relativa a la vulneración del derecho fundamental a la legalidad sancionadora que se atribuye al decreto de expulsión y a las distintas resoluciones judiciales que lo confirmaron. Su eventual estimación facilita una solución más temprana del recurso y haría innecesario el examen de la queja relativa a la vulneración del derecho a un proceso con todas las garantías (SSTC 140/2009, de 15 de junio, FJ 1, y 131/2016, de 18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no ha sido cuestionada. No obstante, conforme a la STEDH de 20 de enero de 2015, asunto Arribas Antón c. España, § 46, exigencias de certeza y buena administración de justicia obligan a explicitar los criterios empleados por este tribunal (STC 96/2015, de 25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admitida porque el recurso puede dar ocasión al Tribunal para aclarar o cambiar su doctrina, como consecuencia de un cambio de doctrina de los órganos de garantía encargados de la interpretación de los tratados y acuerdos internacionales a los que se refiere el art. 10.2 CE [STC 155/2009, FJ 2 b)], que se concretaba, en este caso, en comprobar la incidencia en nuestra jurisprudencia de la STJUE de 23 de abril de 2015, que declaró incompatible el régimen sancionador previsto en la Ley Orgánica 4/2000, de 11 de enero, sobre derechos y libertades de los extranjeros en España y su integración social, para los supuestos de estancia irregular de extranjeros en nuestro país, con la Directiva 2008/115/CE, del Parlamento Europeo y del Consejo, de 16 de diciembre de 2008, relativa a normas y procedimientos comunes en los Estados miembros para el retorno de los nacionales de terceros países en situación irregular (conocida como la “Directiva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durante la tramitación del presente recurso de amparo, el Tribunal de Justicia de la Unión Europea, como se verá, ha pronunciado dos sentencias que han aclarado la compatibilidad del régimen sancionador previsto en la Ley Orgánica sobre derechos y libertades de los extranjeros en España con la citada directiva en los casos de estancia irregular, lo que supone la plena aplicación de nuestra doctrina en materia de extranjería en función del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Compatibilidad del régimen sancionador de la estancia irregular en España de nacionales de terceros países con la Directiva 2008/115/CE: interpretación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régimen sancionador vigente para los supuestos de estancia irregular en España de nacionales de terceros países, que no ha variado y que también resulta aplicable al caso, obedece a la regulación efectuada por la Ley Orgánica 2/2009, de 11 de diciembre, de reforma de la Ley Orgánica 4/2000, de 11 de enero, sobre derechos y libertades de los extranjeros en España y su integración social, mediante la que se traspuso, como se indica en su preámbulo [apdo. II g)], entre otras, la Directiva 2008/115/CE, de 16 de diciembre de 2008, del Parlamento Europeo y el Consejo, relativa a las normas y procedimientos en los Estados miembros para el retorno de los nacionales de terceros países en situación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citada regulación, la estancia irregular de extranjeros en territorio español resulta constitutiva de una infracción grave [art. 53.1 a) LOEx], sancionada, como regla general, con multa de 501 hasta 10 000 € [art. 55.1 b) LOEx]. La graduación de las sanciones se efectuará por el órgano competente para su imposición “con criterios de proporcionalidad, valorando el grado de culpabilidad y, en su caso, el daño producido o el riesgo derivado de la infracción y su trascendencia” (art. 55.3 LOEx). “Para la determinación de la cuantía de la sanción se tendrá especialmente en cuenta la capacidad económica del infractor” (art. 55.4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 acuerdo con lo dispuesto en el art. 57.1 LOEx, las situaciones de estancia irregular, en lugar de con multa, pueden sancionarse con la expulsión del territorio español, siempre que se respete el principio de proporcionalidad, previa tramitación del correspondiente expediente administrativo y mediante resolución motivada que valore los hechos que configuran la infracción. “En ningún caso podrán imponerse conjuntamente las sanciones de expulsión y multa” (art. 57.3 LOEx). Esta referencia al principio de proporcionalidad se interpreta por la jurisprudencia en el sentido de que solo cabe la expulsión si existen “circunstancias agravantes” en los nacionales de terceros países en situación de estancia irregular, tal y como se comprobará seguidamente al analizar la evolución de la jurisprudencia nacional y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normativa europea, según el preámbulo de la Directiva 2008/115/CE, pretende "fijar normas claras, transparentes y justas para establecer una política efectiva de retorno como un elemento necesario de una política migratoria bien gestionada” (considerando 4). Para ello, establece “un conjunto horizontal de normas aplicable a todos los nacionales de terceros países que no cumplen o que han dejado de cumplir las condiciones de entrada, estancia o residencia en un Estado miembro” (considerando 5). Y entiende procedente que “los Estados miembros se aseguren de que la finalización de la situación irregular de nacionales de terceros países se lleve a cabo mediante un procedimiento justo y transparente. De conformidad con los principios generales del Derecho comunitario, las decisiones que se tomen en el marco de la presente directiva deben adoptarse de manera individualizada y fundándose en criterios objetivos, lo que implica que se deben tener en cuenta otros factores además del mero hecho de la situación irregular” (considerando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como regla general, el art. 6.1 de la directiva dispone que los “Estados miembros dictarán una decisión de retorno contra cualquier nacional de un tercer país que se encuentre en situación irregular en su territorio, sin perjuicio de las excepciones contempladas en los apartados 2 a 5”; excepciones, no aplicables al caso examinado,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debe tenerse en cuenta que el art. 4.2 y 3 de la Directiva establece que la “presente directiva se entenderá sin perjuicio de cualquier disposición del acervo comunitario en el ámbito de la inmigración y del asilo que pueda ser más favorable para el nacional de un tercer país”, y que la “presente directiva se entenderá sin perjuicio del derecho de los Estados miembros a adoptar o mantener disposiciones que sean más favorables para las personas a quienes se aplica, a condición de que tales disposiciones sean compatibles con la presente directiva”. Finalmente, según su art. 5, al “aplicar la presente directiva, los Estados miembros tendrán debidamente en cuenta: a) el interés superior del niño, b) la vida familiar, c) el estado de salud del nacional de un tercer país de que se trate, y respetarán el principio de no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un primer momento, el Tribunal de Justicia de la Unión Europea, a la vista de las distintas consecuencias jurídicas previstas en la normativa española y en la Directiva europea para los supuestos de estancia irregular de nacionales de terceros países, declaró su incompatibilidad en la STJUE de 23 de abril de 2015, asunto Subdelegación del Gobierno en Guipúzcoa c. Samir Zaizoune, C-38/14, cuya parte dispositiva establece que: “La Directiva 2008/115/CE del Parlamento Europeo y del Consejo, de 16 de diciembre de 2008, relativa a normas y procedimientos comunes en los Estados miembros para el retorno de los nacionales de terceros países en situación irregular, en particular sus artículos 6, apartado 1, y 8, apartado 1, en relación con su artículo 4, apartados 2 y 3,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de lo Contencioso-Administrativo del Tribunal Supremo, en su sentencia núm. 980/2018, de 12 de junio, que abordó por primera vez, tras la STJUE de 23 de abril de 2015, la interpretación que debía efectuarse en la aplicación de la normativa española a los supuestos de estancia irregular, sostuvo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ha venido denunciando en todas las instancias que esa interpretación no es la que se deriva de la sentencia del Tribunal de Justicia. La Directiva de retorno no tiene un efecto directo que permita dejar inaplicada la normativa española —que es más favorable— en perjuicio del particular. Según la recurrente, optar por esa interpretación, aparte de vulnerar la legalidad sancionadora y el principio de proporcionalidad de las sanciones, supone ir en contra de la jurisprudencia del Tribunal de Justicia de la Unión Europea que prohíbe el “efecto directo vertical inverso” de las directivas no traspuestas (o erróneamente traspuestas) en perjuicio de los ciudadanos. El devenir del proceso judicial le permitió incluso advertir que la Sección Segunda de la Sala de lo Contencioso-Administrativo del Tribunal Superior de Justicia de Castilla-La Mancha había planteado una cuestión prejudicial que guardaba gran similitud con la que ella proponía en su escrito de preparación del recurso de casación y en la que se rechazaba, en definitiva, esa interpretación perjudicial para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Durante la tramitación del presente recurso de amparo, la recurrente puso de manifiesto en un escrito para completar su demanda que la citada cuestión prejudicial del Tribunal Superior de Justicia de Castilla-La Mancha, fue resuelta en la STJUE de 8 de octubre de 2020, asunto MO c. Subdelegación del Gobierno en Toledo, C-568/19). Según el fallo de esta sentencia: “La Directiva 2008/115/CE del Parlamento Europeo y del Consejo, de 16 de diciembre de 2008, relativa a normas y procedimientos comunes en los Estados miembros para el retorno de los nacionales de terceros países en situación irregular,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consecuencia del nuevo pronunciamiento del Tribunal de Justicia, la Sección Quinta de la Sala de lo Contencioso-Administrativo del Tribunal Supremo, en su sentencia núm. 366/2021, de 17 de marzo, ha establecido los criterios siguientes: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debe mencionarse que durante la tramitación del presente recurso de amparo, el Tribunal de Justicia de la Unión Europea ha dictado la sentencia de 3 de marzo de 2022 asunto UN c. Subdelegación del Gobierno en Pontevedra, C-409/20, que, en respuesta a la cuestión prejudicial que le planteó el Juzgado de lo Contencioso-Administrativo núm. 1 de Pontevedra, resuelve en su parte dispositiva que: “La Directiva 2008/115/CE del Parlamento Europeo y del Consejo, de 16 de diciembre de 2008, relativa a normas y procedimientos comunes en los Estados miembros para el retorno de los nacionales de terceros países en situación irregular, en particular sus artículos 6, apartado 1, y 8, apartado 1, leídos en relación con los artículos 6, apartado 4, y 7, apartados 1 y 2, de la misma,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Quinta de la Sala de lo Contencioso-Administrativo del Tribunal Supremo, en su sentencia núm. 1047/2022 de 20 de julio, partiendo de los apartados 37 y 38 de esta última sentencia del Tribunal de Justicia, dedicados a definir el alcance su respuesta y en los que se afirma que no le corresponde “verificar o cuestionar la exactitud de la interpretación del Derecho nacional por el órgano jurisdiccional nacional, ya que tal interpretación es competencia exclusiva de este último”, ha fijado —siguiendo la línea iniciada en la STS 337/2022, de 16 de marzo— como criterios interpretativos del art. 57.1 en relación con los arts. 53.1 a) y 55.1 b) LOEx, los expuestos en la citada STS 366/2021, de 17 de marzo. La sala de casación concluye, en síntesis, que “la mera estancia irregular, sin la concurrencia de otros factores, no puede justificar una decisión de retorno. Será la motivación y el examen de las circunstancias que concurran en cada caso el que podrá justificar, conforme al principio de proporcionalidad, dicha decisión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la propia Sala de lo Contencioso-Administrativo del Tribunal Supremo indica, “esos efectos estaban presentes en los pronunciamientos de este Tribunal Supremo cuando interpretó el mencionado precepto antes de la aprobación de la Directiva. En dicha jurisprudencia se partía del hecho que la mera estancia irregular, sin la concurrencia de circunstancias que agravaran dicha conducta, no podía servir para justificar la expulsión, criterio que se declaró de una forma inconcusa en los pronunciamientos de este Tribunal Supremo (por todas, sentencia de 28 de noviembre de 2008) que es precisamente la conclusión a que llega la reiterada jurisprudencia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y examen de la vulneración del derecho fundamental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denuncia que le ha sido vulnerado su derecho a la legalidad sancionadora (art. 25.1 CE), al haberle sido impuesta una sanción de expulsión del territorio español con prohibición de entrada durante tres años por el mero hecho de encontrarse en nuestro país en situación irregular. Según la recurrente, el motivo por el que se le impuso dicha sanción en lugar de la multa que era la que resultaba procedente se debió a una aplicación defectuosa del régimen sancionador en materia de extranjería derivada de una interpretación errónea de la eficacia de la Directiva de retorno y la jurisprudencia que la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 sobre el derecho a la legalidad sancionadora en su vertiente de garantía material frente a los órganos sancionadores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legalidad sancionadora se reconoce en el art. 25.1 CE, en cuya virtud “nadie puede ser condenado o sancionado por acciones y omisiones que en el momento de producirse no constituyan delito, falta o infracción administrativa, según la legislación vigente en aquel momento”. Este precepto, como afirma la doctrina constitucional desde la STC 42/1987, de 7 de abril, FJ 2, incorpora la regla nullum crimen, nulla poena sine lege, la extiende al ordenamiento administrativo sancionador y comprende una doble garantía material, de alcance absoluto, y formal, de carácter relativo y expresiva de la necesidad de reserva de ley en la tipificación de ilícitos y sanciones administrativas, sin perjuicio del “carácter, en cierto modo insuprimible, de la potestad reglamentaria en ciertas materias” (STC 133/1999, de 15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garantía material despliega su eficacia tanto en el plano o ámbito normativo como en el aplicativo. En el plano normativo, la STC 146/2015, de 25 de junio, FJ 2, recuerda que “comporta el mandato de taxatividad o de certeza que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La garantía de certeza opera así, en primer término, en el momento de elaboración de la norma y tiene al órgano encargado de su producción como destinatario principal. En este plano o ámbito normativo, la vulneración del mandato de taxatividad se verifica por el Tribunal Constitucional atendiendo a la accesibilidad y previsibilidad del alcance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esta garantía de certeza despliega asimismo su eficacia en el momento de aplicación de la norma por parte de los órganos sancionadores. En este plano o ámbito aplicativo, que es donde la recurrente radica su queja, la vulneración se verifica por este tribunal determinando “si la aplicación de la norma sancionadora ha sido irrazonable, bien porque […] se haya desbordado el límite del sentido literal posible del precepto, bien porque, con ocasión del juicio de subsunción, no se hayan respetado los criterios metodológicos comúnmente reconocidos o los parámetros axiológicos que derivan de nuestro ordenamiento constitucional” [STC 219/2016, de 19 de diciembre, FJ 7; con extenso resumen de doctrina, y STC 42/2022, de 21 de marzo, FJ 3 A), que se remite a la STC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Examen de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vulneración denunciada debe partir del hecho de que no ha sido objeto de controversia el presupuesto que sirve de base para la sanción administrativa impuesta: la estancia irregular de doña Denize Lanes da Silva, respecto de la que no constaba, según la resolución que ordena su expulsión del territorio nacional, que “haya solicitado y se halle pendiente de resolver ninguna solicitud de autorización de residencia o trabajo, no acreditándose por otra parte que tenga un especial arraigo familiar o social en nuestro país”. La resolución que acuerda la expulsión no alude en su motivación a ninguna circunstancia agravante o negativa que pudiera concurrir en la recurrente; las resoluciones judiciales tampoco reflejaron ningún elemento negativo y confirmaron la resolución de expulsión basándose en la ausencia de arraigo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vulneración invocada conduce a otorgar el amparo solicitado por la demandante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Denize Lanes da Silva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resolución de 16 de abril de 2018 de la Delegación del Gobierno en Madrid, dictada en el expediente núm. 2800201800006300; y de las resoluciones judiciales siguientes: sentencia núm. 401/2019, de 29 de noviembre, del Juzgado de lo Contencioso-Administrativo núm. 31 de Madrid, dictada en el procedimiento abreviado núm. 316-2018; sentencia núm. 381/2019, de 17 de mayo, de la Sección Décima de la Sala de lo Contencioso-Administrativo del Tribunal Superior de Justicia de Madrid, dictada en el recurso de apelación núm. 154-2019; y providencias de 17 de octubre de 2019 y de 13 de enero de 2020 de la Sección Primera de la Sala de lo Contencioso-Administrativo del Tribunal Supremo, dictadas en el recurso de casación núm. 4327-2019.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