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2361-2023, promovido por don Jesús María Rodríguez Román en relación con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10 de abril de 2023, la representación procesal de don Jesús María Rodríguez Román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(hechos relatados en los folios 31 a 96 de la sentencia de instancia), la operativa imputada consiste en haber participado en la fase prelegislativa (bien sea en la fase de elaboración del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de los proyectos de ley, anteproyectos de ley y las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fue condenado por haber participado en los hechos anteriores, en su calidad de viceconsejero de Innovación desde el 19 de marzo de 2005 al 1 de abril de 2010, asumiendo la vicepresidencia del Instituto de Fomento de Andalucía-Agencia de Innovación y Desarrollo de Andalucía tras la adscripción de dicho instituto a la Consejería de Innovación en el año 2004 y en años anteriores, en su calidad de viceconsejero de Justicia y Administración Pública, como autor de un delito de prevaricación en concurso medial con un delito de malversación agravada. La Audiencia Provincial de Sevilla le impuso la pena de prisión de seis años y dos días, con inhabilitación especial para el derecho de sufragio pasivo por tiempo de la condena, así como la pena de inhabilitación absoluta por tiempo de quince años y dos días, con privación definitiva de todos los honores, empleos y cargos públicos, aunque sean electivos, e incapacidad para obtener estos o cualesquiera otros honores.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como motivos de amparo, las siguientes vulneraciones de derechos fundamentales: (i) vulneración del derecho a la tutela judicial efectiva [arts. 24.1 CE y 6.1 del Convenio europeo de derechos humanos (CEDH)], a un proceso público con todas las garantías incluyendo la presunción de inocencia y vulneración del principio de legalidad penal (arts. 25 y 7 CEDH), en cuanto la condena por el delito de malversación carece de prueba de cargo suficiente sobre el elemento subjetivo (dolo eventual) y se funda en indicios que no son unívocos, ni concluyentes, así como en una inferencia demasiada abierta e indeterminada, cuya argumentación no puede considerarse lógica ni coherente, carente de sustrato probatorio y que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 (ii) del derecho a la tutela judicial efectiva en su vertiente a la intangibilidad de las resoluciones judiciales, debido a que, a pesar de que Audiencia Provincial de Sevilla excluyó las ayudas individuales del objeto de enjuiciamiento, el Tribunal Supremo, incurriendo en una reformatio in peius prohibida por la Constitución, las considera el soporte del delito de malversación; (iii) del derecho a la legalidad penal (art. 25.1 CE), porque órganos judiciales han llevado a cabo una interpretación extensiva y analógica in malam partem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in malam partem del elemento típico “resolución en asunto administrativo” del art. 404 CP, al considerar como “resolución en asunto administrativo” los acuerdos adoptados por el Consejo de Gobierno de la Junta de Andalucía, relativos a determinadas modificaciones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considera en la demanda que el recurso goza del requisito de la especial trascendencia constitucional debido 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Se trata de un asunto que trasciende del caso concreto porque plantea una cuestión jurídica de relevante y general repercusión social y económica [STC 155/2009, de 25 de junio, FJ 2 g)]. Tal cualidad se desprende de la propia sentencia dictada por el Tribunal Supremo en la que se afirma el carácter singular y extraordinario del caso que se juzga, dando lugar incluso a una anticipación del fallo dada “la relevancia pública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Plantea un problema o afecta a una faceta de un derecho fundamental sobre el que no hay doctrina de este tribunal [STC 155/2009, FJ 2 a)], en particular “cuál es la relevancia penal que pudiera tener, desde la perspectiva de los tipos de prevaricación y malversación de caudales públicos, la presupuestación pública de una comunidad autónoma” y que está relacionada con los siguientes puntos: (a) la consideración de los anteproyectos y proyectos de presupuestos y modificaciones presupuestarias de una comunidad autónoma como resolución administrativa a efectos penales; (b) la posibilidad de que un proyecto de presupuestos de una comunidad autónoma “pueda ser conceptuado como susceptible de generar un engaño en el parlamento autonómico que, al aprobar dicho presupuesto, adquiera carta de naturaleza como ley”; (c) a la consideración de que una ley sancionada por un parlamento autonómico pueda ser ilegal debido a que no se adecúa a requerimientos reglamentarios previos a los que, supuestamente, estaba vinculado el anteproyecto de presupuestos. Subraya el recurrente que este último punto tiene una esencial urdimbre constitucional debido a que supone “una suerte de inversión del sistema de fuentes constitucionalmente establecido. De modo que un proyecto de ley que no se adecue a lo que un tribunal interprete como requerimientos de tipo reglamentario del más bajo rango (instrucciones de la intervención general de la Junta de Andalucía), al ser elevado a rango de ley, nace lastrado con una mácula de ilegalidad que permite afirmar la existencia de partidas presupuestarias ilegales en el seno de una ley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órgano judicial incurre en una negativa manifiesta a acatar la doctrina constitucional [STC 155/2009, FJ 2 f)] en materia de indicios como prueba bastante para la condena, singularmente respecto del elemento subjetivo del delito, verificada por un voto particular disidente de dos de los cinco componentes de la Sala del Tribunal Supremo que resolvió la casación interpuesta contra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interesa que se declare la vulneración de los derechos fundamentales aludidos y, en consecuencia, la nulidad de las resoluciones impugnadas. Asimismo, mediante otrosí digo, se interesa, al amparo de lo dispuesto en el art. 56.2 de la Ley Orgánica del Tribunal Constitucional (LOTC), la suspensión de la eficacia de las sentencias impugnadas hasta tanto recaiga una resolución definitiva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Mediante escrito presentado en el registro general del Tribunal Constitucional el 10 de abril de 2023 la representación procesal de don Jesús María Rodríguez Román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Formar pieza separada de suspensión y, en ella, conceder un plazo de tres días al Ministerio Fiscal y al solicitante de amparo para que efectúen alegaciones respecto a dicha petición.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