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12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don Ricardo Enríquez Sancho, doña María Luisa Balaguer Callejón, don Ramón Sáez Valcárcel, don Enrique Arnaldo Alcubilla, doña Concepción Espejel Jorquera, don César Tolosa Tribiño, don Juan Carlos Campo Moreno y doña Laura Díez Bueso, en el incidente de recusación del recurso de amparo núm. 4811-2023,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noviembre de 2023, el procurador de los tribunales don Guzmán de la Villa de la Serna, actuando en nombre y representación de don Antonio López Navidad, presentó en el registro general de este tribunal un escrito promoviendo un “incidente excepcional de nulidad de actuaciones” contra dos autos de fecha 24 de octubre de 2023 dictados por el Pleno de este tribunal con ocasión del incidente de recusación promovido en el recurso de amparo núm. 4811-2023, uno de ellos rechazando la revisión de la diligencia de ordenación de 5 de septiembre de 2023 por la que se designaba ponente para el incidente de recusación, y otro por el que se acordaba la inadmisión a trámite del referido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anulatoria se promueve por el recurrente de amparo en el recurso núm. 4811-2023 y promotor del incidente de recusación por los siguientes motivos: (i) en relación con el auto que rechazaba la revisión de la diligencia de ordenación, por la vulneración del derecho a la tutela judicial efectiva, ya que la designación de ponente sería contraria al art. 217 de la Ley Orgánica del Poder Judicial (LOPJ); (ii) en relación con el auto de inadmisión del incidente de recusación, por vulneración del derecho a un tribunal con todas las garantías e imparcial (art. 24.2 CE) ya que se considera que dicha resolución es nula pues “[n]o se requiere esfuerzo intelectual alguno para evidenciar la concurrencia de los tres criterios de corrupción de las cuatro resoluciones colegiadas”.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ATC 263/2023, de 23 de mayo,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también señala el citado ATC 263/2023, “[e]stas consideraciones se han visto reforzadas tras la reforma del art. 241.1 de la Ley Orgánica del Poder Judicial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de lege data este cauce impugnatorio no tiene acomodo frente a resoluciones de fondo emanadas de un tribunal configurado como supremo intérprete de la Constitución y órgano jurisdiccional superior en materia de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nulidad de actuaciones promovido ha de ser, por ello, inadmitido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petición de nulidad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