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7490-2021, promovido por don Yi Liu, representado por el procurador de los tribunales don Roberto Primitivo Granizo Palomeque, asistido del letrado don Carlos Aguirre de Cárcer Moreno, contra el auto núm. 426/2021, de 15 de julio, de la Sección Cuarta de la Sala de lo Penal de la Audiencia Nacional y contra el auto núm. 68/2021, de 15 de octubre, del Pleno de la Sala de lo Penal de la Audiencia Nacional.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noviembre de 2021, la representación procesal de don Yi Liu interpuso recurso de amparo contra el auto núm. 426/2021, de 15 de julio, de la Sección Cuarta de la Sala de lo Penal de la Audiencia Nacional, dictado en el rollo de sala 8-2021, dimanante del procedimiento de extradición pasiva núm. 8-2021 del Juzgado Central de Instrucción núm. 6, y contra el auto núm. 68/2021, de 15 de octubre, del Pleno de la Sala de lo Penal de la Audiencia Nacional, dictado en el recurso de súplica núm. 69-2021,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octubre de 2019 el buró de Seguridad Pública del distrito de Shinan dictó orden de arresto internacional contra el recurrente en amparo, decisión que fue aprobada por la Fiscalía Popular del distrito de Shinan el 30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autoridades chinas, el reclamado habría obtenido fondos de personas particulares ofreciendo elevadas remuneraciones en forma de intereses; sin que haya procedido a la devolución de gran parte de la cantidad invertida por aquellas personas. En la solicitud de extradición se incorpora una lista de 110 víctimas (folios 28 y siguientes, indicando la cantidad perdida por cada una), donde consta que invirtieron de forma efectiva un total de 40 178 089 yuanes, y no han recuperado 25 521 160 yuanes. Los hechos tuvieron lugar desde marzo de 2015 hasta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maniobra engañosa consistió en actuar “a través de la celebración de reunión de promoción de productos; distribución de folletos; presentaciones de conocidos; boca a boca, etc.”; actuando el recurrente bajo el respaldo de la Compañía Qingdao Zhonghui Shengshi, con el cebo de un alto retorno de inversión y tasa de interés mensual del l por 100 al 5 por 100; así como la devolución del capital y los intereses dentro de cierto período en moneda. Después del pago de la inversión, el inversor podía optar entre retirar las colecciones físicas (sellos, caligrafía y pinturas y otras obras de arte) o bien obtener ingresos con una tasa de interés mensual entre el 1 por 100 y el 5 por 100 (contrato de custodia encomendada). La mayoría de los inversores no retiraron los objetos físicos de las colecciones, apropiándose el reclamado aquí recurrente de dichos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denuncias, la filial del buró de Seguridad Pública del distrito de Shinan envió personal a la oficina de la Compañía Qingdao Zhonghui Shengshi para la investigación, encontró que el edificio estaba vacío y no se pudo poner en contacto con el personal principal de la compañía (folio 4 de la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Popular del distrito de Shinan autorizó la detención del recurrente el 30 de septiembre de 2019, como obra en la solicitud de extradición. La Fiscalía sostiene que “el sospechoso está sujeto a delitos de absorción ilegal de depósitos del público, y cumple la condición de arresto establecida en el artículo 81 de la Ley de procedimiento penal de la República Popular China”, por lo que “aprobamos el arresto del sospechoso Liu Yi”.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Madrid el día 14 de febrero de 2021 y puesto a disposición del Juzgado Central de Instrucción núm. 6, que incoó el procedimiento de extradición pasiva núm. 8-2021 y acordó, por auto de 15 de febrero de 2021, tras celebrar comparecencia del art. 505 de la Ley de enjuiciamiento criminal,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marzo de 2021 se recibió por vía diplomática la nota verbal de la Embajada de la República Popular China núm. 69/21, de 23 de marzo, en la que se solicitaba del Ministerio de Justicia de España la extradición del ahora recurrente en amparo, cursada por el buró de investigación de delitos económicos del Ministerio de Seguridad Pública, para la investigación y el enjuiciamiento por delito de recaudación fraudulenta de fondos, lo que se acompañaba de la orden internacional de detención emitida por el fiscal, de un resumen de los hechos que reproducía los de la orden internacional de detención y de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27 de abril de 2021 acordó, de conformidad con el art. 9.3 de la Ley 4/1985, de 21 de marzo, de extradición pasiva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día 7 de mayo de 2021 en el Juzgado Central de Instrucción núm. 6, oponiéndose a su extradición y manifestando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Cuarta de la Sala de lo Penal de la Audiencia Nacional, esta inició el rollo de extradición núm. 8-2021 y dio vista de los mismos, en los términos del art. 13 LEP, al fiscal y a la defensa del reclamado, para que formularan alegaciones. El fiscal interesó que se accediera a la solicitud de extradición por los hechos recogidos en la petición de extradición. La defensa solicitó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vista del procedimiento de extradición se celebró el 14 de julio de 2021. En ella el fiscal reiteró su opinión en sentido favorable a la petición de extradición y la defensa se opuso alegando incumplimiento del principio de doble incriminación y la inexistencia de control judicial en la solicitud de extradición. Posteriormente la Sección Cuarta de la Sala de lo Penal de la Audiencia Nacional dictó el auto núm. 426/2021, de 15 de julio, por el que acordó acceder en fase jurisdiccional a la solicitud de extradición del actor por concurrir los requisitos exigidos en el Tratado de extradición entre el Reino de España y la República Popular China, hecho en Madrid el 14 de noviembre de 2005, y en la LEP, en particular los requisitos de doble incriminación y mínimo punitivo exigidos en el art. 2.1 a) del Tratado bilateral, porque los hechos por los que se solicitaba la extradición eran constitutivos de un delito de absorción de depósitos del público de forma ilegal, equivalente en nuestro ordenamiento penal al delito de estafa agravada previsto en los artículos 248, 249 y 250.2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el que alegó: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Incumplimiento del principio de doble incriminación, previsto en el art. 2.1 a) del Tratado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derecho a la tutela judicial efectiva (art. 24.1 CE), a un proceso con todas las garantías (art. 24.2 CE) en conexión con los derechos fundamentales a la libertad personal (art. 17 CE) y a la libertad de residencia y circulación (art. 19 CE) dado que la orden internacional de detención fue emitida por un fiscal sin que existiera un juicio de necesidad judicialmente homologado, y vulneración del principio de igualdad en la aplicación de la ley, porque en supuestos semejantes al actual se ha denegado la entrega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Pleno de la Sala de lo Penal de la Audiencia Nacional dictó el auto núm. 68/2021, de 15 de octubre,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ni la STC 147/2021, de 12 de julio. Afirma que el ATC 10/2019, de 14 de febrero, inadmitió una pretensión equivalente en una extradición solicitada por la República Popular China porque, siendo el marco jurídico que disciplina la solicitud de extradición el Tratado bilateral, no le es exigible que como autoridad emisora del instrumento se imponga la judicial, sino la “competente”, que en China es el buró de investigación de delitos económicos con la aprobación del arresto por parte de la Fiscalía Popular del distrito. Otra interpretación convertiría en papel mojado el Tratado y conduciría a la impunidad.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principio de doble incriminación, el Pleno considera que se dan, indiciariamente, todos los elementos del delito de estafa agravada: (i) engaño (ofrecer elevadas remuneraciones a quienes entregasen fondos); (ii) mediante maquinaciones fraudulentas (indicar que la empresa donde se depositaban los fondos se dedicaba a invertir en actividades que devolvían el capital y los intereses al cabo de cierto tiempo, lo que solo era cierto al principio, ocultando que carecía de la aprobación de las autoridades); (iii) de entidad suficiente (la inversión alcanzó la suma de 40 178 089 yuanes, 5 377 577 €); (iv) generador de error en otros (hubo 111 víctimas); (v) ánimo de lucro (faltan por devolver 25 521 160 yuanes); (vi) desplazamiento patrimonial (los ya indicados 40 178 089 yuanes); y (vii) perjuicio económico (por la ya señalada cifra no recuperada).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firmado por cuatro magistrados del Pleno, que consideran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(art. 24.1CE), y a un proceso con todas las garantías (art. 24.2 CE) en conexión con el derecho a la libertad (art. 17 CE) y la libertad de circulación y de residencia (art. 19 CE), porque la solicitud de extradición y la orden de arresto fueron emitidas por un órgano administrativo policial (el buró de investigación de delitos económicos del Ministerio de Seguridad Pública de la República Popular China), con la aprobación posterior del arresto por parte de la Fiscalía Popular del distrito de Shinan, sin control judicial alguno en la fijación de un juicio de necesidad y proporcionalidad respecto a las limitaciones de libertad personal y libertad de movimiento.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1 de diciembre de 2021,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 la Sala de lo Penal, Sección Cuarta, de la Audiencia Nacional para que, en plazo que no excediera de diez días, remitiera certificación o fotocopia adverada de las actuaciones correspondientes al rollo de extradición núm. 8-2021, dimanante del procedimiento de extradición pasiva núm. 8-2021 del Juzgado Central de Instrucción núm. 6,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apreció también en la providencia la urgencia excepcional a que se refiere el art. 56.6 LOTC, toda vez que la ejecución de las resoluciones impugnadas produciría un perjuicio de imposible o muy difícil reparación que haría perder su finalidad al recurso de amparo, lo que condujo a acordar la suspensión cautelar de la ejecución del auto de 15 de julio de 2021, por el que se autoriza la entrega del recurrente a las autoridades de la República Popular China para su enjuiciamiento en ese país por los hechos a que se refiere la solicitud de extradición, así como del auto de 15 de octubre de 2021, por el que se desestima el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de la Sala de lo Penal de la Audiencia Nacional, el 17 de diciembre de 2021 la Secretaría de Justicia de la Sala Primera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20 de enero de 2022 la representación procesal del actor formuló alegaciones en las que se ratificó íntegramente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20 de enero de 2022, el fiscal ante el Tribunal Constitucional presentó alegaciones en las que solicitó la estimación del recurso de amparo, que se declarase que las resoluciones judiciales impugnadas en el mismo vulneraron los derechos fundamentales del recurrente a la tutela judicial efectiva del art. 24.1 CE y a un proceso con todas las garantías del art. 24.2 CE, en conexión con sus derechos a la libertad personal del art. 17.1 CE y a la libertad de residencia y circulación (art. 19 CE) así como el derecho fundamental del recurrente a la legalidad penal (art. 25.1 CE). Subsidiariamente, solicitaba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antecedente, el fiscal encuadra la cuestión suscitada en el recurso de amparo en la falta de habilitación legal de la solicitud de extradición formulada por la República Popular China, en tanto se funda en una orden internacional de detención dictada por el buró de investigación de delitos económicos del Ministerio de Seguridad Pública con la aprobación del arresto por la Fiscalía Popular, sin que exista una resolución judicial que la corrobore, apartándose las resoluciones judiciales impugnadas de la doctrina establecida por el Tribunal Constitucional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 control judicial de la ponderación de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las condiciones en las que se expide la solicitud de extradición por el citado buró de investigación no reúnen las características establecidas por la doctrina constitucional citada, en cuanto que se trata de un órgano de carácter policial dependiente del poder ejecutivo que no cumple las condiciones de imparcialidad y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concluye aquí sus alegaciones, sino que con carácter subsidiario plantea la posibilidad de que el presente recurso de amparo sirva de oportunidad para que este tribunal aclare o cambie su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trataría de aclarar o matizar, en su caso, la doctrina constitucional sobre extensión de las garantías del procedimiento de extradición pasiva, en particular la garantía jurisdiccional o de tutela judicial efectiva en el procedimiento de extradición en el momento de su emisión, con aplicación de la doctrina del Tribunal de Justicia de la Unión Europea dictada a propósito de la orden europea de detención y entrega, lo que equipara los procesos de extradición, tanto si son de países de la Unión Europea como si provienen de países terceros, estableciendo un estándar de garantías más elevado para todos los supuestos de extradición, cualquiera que sea el convenio multilateral o bilateral suscrito entre España y terceros países reguladores de la extradición, perfilando la interpretación de la compatibilidad que se puede suscitar en la aplicación de los convenios suscritos con España y la aplicación del diferente estándar de garantías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Primera de este tribunal de 21 de enero de 2022 se hace constar que, habiéndose recibido los precedentes escritos de alegaciones del fiscal y del procurador don Roberto Granizo Palomeque,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mayo de 2023, la magistrada de la Sala Primera de este Tribunal Constitucional doña Concepción Espejel Jorquera presentó un escrito manifestando su voluntad de abstenerse del conocimiento del presente recurso de amparo, así como de todas sus incidencias, al entender que sobre ella concurría la causa establecida en el art. 219.11 de la Ley Orgánica del Poder Judicial (haber resuelto el pleito o causa en anterior instancia), toda vez que formó parte de la Sala de lo Penal de la Audiencia Nacional que dictó el auto 68/2021, de 15 de octubre, impugnado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ATC 320/2023, de 19 de junio, la Sala Primera de este tribunal acordó estimar justificada la abstención formulada por la magistrada “y apartarla definitivamente del conocimiento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4 de abril de 2024, se señaló para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426/2021, de 15 de julio, dictado por la Sección Cuarta de la Sala de lo Penal de la Audiencia Nacional, que acordó haber lugar en fase judicial a la extradición del demandante a la República Popular China al objeto de ser enjuiciado por hechos constitutivos de delito de absorción de depósitos del público de forma ilegal, y del auto núm. 68/2021, de 15 de octubre,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denuncia que se han vulnerado sus derechos a la tutela judicial efectiva (art. 24.1 CE), a un proceso con todas las garantías (art. 24.2 CE) y a la libertad personal (art. 17.3 CE), porque tanto la solicitud de extradición como la orden de arresto fueron emitidas por un órgano administrativo policial (el buró de investigación de delitos económicos del Ministerio de Seguridad Pública de la República Popular China) con la aprobación posterior del arresto por parte de la Fiscalía Popular del distrito de Shinan, y carecieron del control judicial en origen exigido en las SSTC 147/2020 y 147/2021 para garantizar su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Constitucional apoya el motivo e interesa la nulidad de las resoluciones judiciales impugnadas, aunque de manera subsidiaria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del Tribunal Constitucional, por providencia de 1 de diciembre de 2021, admitió a trámite el presente recurso de amparo apreciando la concurrencia de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A raíz de las SSTC 147/2020 y 147/2021, ha habido una reiteración de asuntos de extradición pasiva, procedentes del mismo país y de otros, que inciden en la misma cuestión, la referida a las solicitudes de extradición remitidas por un fiscal sin refrendo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abordado en la reciente STC 17/2024, de 31 de enero, en la que se afirmó que también concurría la causa de especial trascendencia constitucional encuadrada en el supuesto de la letra b)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17/2024, de 31 de enero, se ha aclarado la doctrina sobre tutela judicial del derecho a la libertad en los procedimientos de extradición pasiva fijada en las SSTC 147/2020 y 147/2021 en el sentido de distinguir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y una garantía específica, consistente en que la solicitud venga refrendada por una autoridad judicial desde el mismo país de origen, fundada en el art. 7.1 a) LEP, que es de directa aplicación en caso de ausencia de convenio de extradición con el Estado reclamante (STC 147/2021, FJ 4), pero que puede verse modulada en función de lo previsto en el convenio de extradición vigente entre las partes, en tanto que fuente normativa de aplicación preferente en los términos del art. 1.1 LEP, de modo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vulneración referida a la falta de control judicial de la solicitud de extradición en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detenido en Madrid el día 14 de febrero de 2021 y puesto a disposición del Juzgado Central de Instrucción núm. 6, que incoó el procedimiento de extradición pasiva núm. 8-2021, en virtud de una orden internacional de detención de 10 de octubre de 2019 que dictó el buró de Seguridad Pública del distrito de Shinan, aprobada por la Fiscalía Popular del distrito de Shinan el 30 de septiembre de 2019, que le atribuían haber actuado, desde marzo de 2015 hasta agosto de 2019, como agente de venta de sellos, caligrafía, pinturas y otras obras de arte para inversionistas sin la aprobación de las autoridades competentes, ofreciendo falsamente la posibilidad de obtener altos rendimientos con dichas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por el Consejo de Ministros la continuación del procedimiento en vía judicial, y cumplimentados los trámites del procedimiento judicial, la Sección Cuarta de la Sala de lo Penal de la Audiencia Nacional dictó el auto núm. 426/2021, de 15 de julio, por el que autorizó la entrega del demandante, por considerar que concurrían los requisitos establecidos en el Tratado de extradición entre el Reino de España y la República Popular China, hecho en Madrid el 14 de noviembre de 2005, y los de la Ley 4/1985, de 21 de marzo, de extradición pasiva, en particular los requisitos de doble incriminación y mínimo punitivo exigidos en el art. 2.1 a) del Tratado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fue desestimado en el auto núm. 68/2021, de 15 de octubre, del Pleno de la Sala de lo Penal de la Audiencia Nacional. En el recurso de súplica el demandante hizo valer, entre otros motivos, la vulneración de los arts. 17 y 24 CE por basarse la solicitud en una orden de detención refrendada por el fiscal, no equiparable a una resolución ejecutoria de condena ni a una resolución jurisdiccional, por lo que afirmaba que dicha orden era insuficiente y carente de legitimidad constitucional con arreglo a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don Yi Liu, combate estas resoluciones judiciales con el argumento de que, careciendo la orden de arresto refrendada por la Fiscalía Popular del distrito de Shinan de control judicial en la República Popular China, las resoluciones judiciales impugnadas que autorizaron la extradición en estas condiciones incumplieron la doctrina sentada en las SSTC 147/2020 y 147/2021, que interpreta en el sentido de que la falta de refrendo judicial equivale a una falta de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hemos expuesto en el anterior fundamento jurídico de esta sentencia, el planteamiento impugnatorio del demandante no puede ser asumido, pues el art. 7.2 a) del Tratado de extradición entre el Reino de España y la República Popular China, de 14 de noviembre de 2005 (Instrumento de ratificación de 30 de junio de 2006, “Boletín Oficial del Estado” núm. 75, de 28 de marzo de 2007), no exige el dictado de una resolución judicial como punto de partida de la solicitud de entrega, por lo que la documentación remitida en apoyo de la solicitud de extradición no queda fuera de la cobertura legal conformada por las fuentes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información remitida por el Estado requirente es suficientemente expresiva de que la autoridad emisora, el buró de Seguridad Pública del distrito de Shinan con la aprobación de la Fiscalía Popular del distrito de Shinan, es la autoridad competente, lo que excluye la necesidad de su validación judicial. El mencionado artículo 7.2 a) del Tratado de extradición establece el requisito de que “la solicitud de extradición dirigida a la persecución penal de la persona reclamada deberá también ir acompañada de una copia de la orden de detención emitida por la autoridad competente de la Parte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documentación remitida por las autoridades chinas por vía diplomática, que incluye la orden internacional de detención y la solicitud de extradición expedida por el buró de Seguridad Pública del distrito de Shinan, con la aprobación de la Fiscalía Popular del distrito de Shinan, contiene una exposición circunstanciada tanto de los hechos imputados al demandante de amparo como de su calificación jurídica y de las diligencias de investigación practicadas bajo la dirección de la fiscalía china,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