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10 de mayo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las magistradas doña Concepción Espejel Jorquera y doña María Luisa Segoviano Astaburuaga en el recurso de amparo núm. 2196-2024 promovido por don Saúl Antonio Guil Pérez contra la sentencia 92/2023, de 14 de diciembre de 2023, dictada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2196-2024 se impugna la sentencia 92/2023, de 14 de diciembre, dictada por la Sala de lo Militar del Tribunal Supremo, frente a la sentencia pronunciada por el Tribunal Militar Territorial Segundo, de 29 de marzo (sumario núm. 23-03-2019), que condena al recurrente como autor responsable de dos delitos de abuso de autoridad del art. 48 del Código penal militar (CPM) sin las circunstancias eximentes o modificativas de la responsabilidad criminal a las penas de ocho meses de prisión y seis meses de prisión respectivamente. En concepto de responsabilidades civiles deberá abonar a don Francisco Jordi Páez la cantidad de 600 €; y como autor responsable de un delito contra la eficacia del servicio del artículo 77.1 CPM a la pena de dos años, ocho meses y veintiséis días de prisión con las accesorias legales de suspensión de empleo, suspensión de cargo público y derecho de sufragio pasivo durante el tiempo de la condena principal. En concepto de responsabilidad civil deberá indemnizar a los padres del soldado fallecido la cantidad total de 208 294,82 €.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8 de mayo de 2024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 dado que su cónyuge ha formado parte del órgano judicial que ha dictado la sentencia de casación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Primera del Tribunal Constitucional, la Sección, en virtud de lo previsto en el art. 219.15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2196-2024,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