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 de julio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y doña Laura Díez Bueso, en el incidente de recusación del recurso de amparo núm. 2930-2024, ha dictado, con ponencia de la magistrada doña Laura Díez Bueso,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24 de abril de 2024 en el registro general del Tribunal Constitucional, don Enric Xavier Morera i Catalá, senador del Grupo Parlamentario Izquierda Confederal, representado por la procuradora de los tribunales doña Nuria Juan Muñoz y bajo la asistencia del letrado don José Ramón Chirivella Vila, interpuso recurso de amparo, registrado con el núm. 2930-2024, contra el acuerdo de la mesa del Senado de 24 de enero de 2024 por el que se inadmitió, entre otras, la enmienda número uno presentada a la proposición de reforma del artículo 49 de la Constitución española, y contra el acuerdo de la mesa del Senado de 25 de enero de 2024 por el que se desestimó la solicitud de reconsideración promovida frente al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la enmienda número uno presentada por el senador demandante de amparo, proponía la adición de un nuevo párrafo en la disposición adicional segunda de la Constitución, con el siguiente tenor: “La competencia legislativa civil de las comunidades autónomas, asumida en sus propios estatutos conforme al artículo 149.1.8 de la Constitución, se extenderá a la recuperación y la actualización de su derecho privado histórico de acuerdo con los valores y los principios constitucionales”. Los acuerdos impugnados acordaron la inadmisión de la citada enmienda por no guardar relación directa con la materia regulada por el art. 49 CE, por lo que, según el criterio de la mesa del Senado excedía de modo manifiesto el objeto y la finalidad de la proposición, tratándose de una iniciativa de reforma constitucional distinta, que debería seguir el procedimiento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fue turnado, a efectos de adoptar la decisión correspondiente sobre su admisibilidad, a la Sala Primera, Sección Segunda, del Tribunal Constitucional, correspondiendo la ponencia al magistrado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la Secretaría de justicia de la Sección Segunda de 26 de abril de 2024, remitida en esa misma fecha y que se tiene por notificada el 29 de abril de 2024, se requirió al demandante, de conformidad con el art. 49.4 de la Ley Orgánica del Tribunal Constitucional (LOTC), para que aportara escrito de demanda ajustado a la extensión y forma establecidos en la regla cuarta del acuerdo del Pleno del Tribunal Constitucional de 15 de marzo de 2023 [“Boletín Oficial del Estado” (“BOE”) núm. 70, de 23 de marzo de 2023], por exceder la demanda presentada del máximo de caracteres permitidos.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3 de mayo de 2024, el recurrente en amparo atendió el requerimiento efectuado por diligencia de ordenación de 26 de abril de 2024, aportando el escrito de demanda ajustado a los requisitos de extensión y forma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10 de junio de 2024 tuvo entrada escrito del demandante de amparo por el que formulaba recusación del magistrado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se funda en las causas 13 (“haber ocupado cargo público, desempeñado empleo o ejercido profesión con ocasión de los cuales haya participado directa o indirectamente en el asunto objeto del pleito o causa o en otro relacionado con el mismo”) y 16 (“haber ocupado el juez o magistrado cargo público o administrativo con ocasión del cual haya podido tener conocimiento del objeto del litigio y formar criterio en detrimento de la debida imparcialidad”) del art. 219 de la Ley Orgánica 6/1985, de 1 de julio, del Poder Judicial (en adelante, LOPJ), en las que habría incurrido el magistrado señor Campo Moreno por haber desempeñado los cargos de secretario de Estado de Justicia (entre los años 2009 y 2011) y de ministro de Justicia (entre los años 2020 y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afirma no haber recibido notificación alguna en la que se determine la composición completa de la Sala ni de la Sección competente para conocer de su recurso de amparo, si bien reconoce que la identidad del magistrado ponente le fue notificada el 26 de abril de 2024. No obstante, defiende haber promovido la recusación tan pronto como ha tenido conocimiento de los hechos en los que se funda, lo que habría tenido lugar a raíz de una noticia publicada el 3 de junio de 2024 en el diario “Valencia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expone en el escrito de recusación, en su condición de secretario de Estado de Justicia, en el período comprendido entre los años 2009 y 2011, tenía bajo su dependencia orgánica a la Abogacía General del Estado-Dirección del Servicio Jurídico del Estado, razón por la cual habría tenido una participación directa o indirecta tanto en la interposición del recurso de inconstitucionalidad núm. 3859-2011, promovido por el presidente del Gobierno contra la Ley de les Corts Valencianes 5/2011, de 1 de abril, de relaciones familiares de los hijos e hijas cuyos progenitores no conviven (que resultó estimado por STC 192/2016, de 16 de noviembre), como en la decisión de no desistir del recurso de inconstitucionalidad núm. 9888-2007, interpuesto por el presidente del Gobierno contra la Ley de les Corts Valencianes 10/2007, de 20 de marzo, de régimen económico matrimonial valenciano (finalmente estimado por STC 82/2016, de 28 de abril), y ello a pesar del pacto político que se habría alcanzado al respecto. Igualmente, se afirma que, en su condición de secretario de Estado de Justicia, formaba parte de la Comisión General de Secretarios de Estado y de Subsecretarios, que conoce de los asuntos que se someten a la aprobación por parte del Consejo de 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decir del demandante de amparo, estos hechos determinan la participación del magistrado objeto de la recusación en otros pleitos relacionados con el objeto del presente recurso de amparo, que la parte promotora de este incidente identifica con la “capacidad legislativa civil valenciana”, incurriendo de esta manera en la causa de recusación prevista en el art. 219.13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 juicio del recurrente, en su condición de secretario de Estado de Justicia durante los años 2009 y 2011, y por razones sustancialmente coincidentes con las antes expuestas, el magistrado señor Campo Moreno “ha podido tener conocimiento del objeto del litigio” y “ha podido formar criterio” al respecto, por lo que incurriría en el motivo de recusación previsto en el art. 219.16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también se invoca la causa de recusación prevista en el art. 219.16 LOPJ, en relación con su etapa como ministro de Justicia (años 2020 y 2021), al ser titular del departamento al que correspondía la propuesta y ejecución de la política del Gobierno para el desarrollo del ordenamiento jurídico, en materia de derecho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se afirma en el escrito de recusación que, según una noticia de prensa publicada el 13 de octubre de 2020, el día anterior habría intervenido en una conferencia en la que al ser preguntado por la reivindicación de recuperar el Derecho civil valenciano, en relación con la propuesta de reforma constitucional planteada al Congreso de los Diputados por les Corts Valencianes, habría afirmado que “[n]adie duda de que es un tema importante y se tramitará, pero existe un importante refrendo constitucional sobre la competencia exclusiva del Estado. Creo que es el momento de hablar porque es un asunto que merece reflexión”.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el demandante de amparo apunta como “datos reveladores” que: (i) durante el período en que ostentó el cargo de ministro de Justicia, la propuesta de reforma constitucional planteada por les Corts Valencianes para la recuperación efectiva del Derecho civil valenciano apenas avanzó en su tramitación parlamentaria; (ii) sobre este extremo fue preguntado en la Comisión de Justicia del Senado el 21 de mayo de 2020; y (iii) según una noticia de prensa, se reunió en mayo de 2021 con el entonces alcalde de Valencia, quien le habría manifestado su interés “en la necesidad de recuperar el Derecho civil valenciano en todo su desarrollo”.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del secretario de justicia del Pleno de 13 de junio de 2024 se acordó formar pieza separada y designar ponente del incidente de recusación a la magistrada doña Laura Díez Bueso, a la que por turno correspondía.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núm. 2930-2024 se ha presentado escrito por el demandante de amparo, por el que se promueve la recusación del magistrado de este tribunal y ponente del asunto,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con mayor detalle en los antecedentes, en el incidente formulado se invocan como causas de recusación las previstas en los apartados decimotercero y decimosexto del art. 219 LOPJ, cuya concurrencia se fundaría en que el magistrado recusado, en su condición de secretario de Estado de Justicia (años 2009 a 2011) y de ministro de Justicia (años 2020 y 2021), habría participado directa o indirectamente en asuntos relacionados con el objeto del presente recurso de amparo y se habría formado un criterio sobre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Consideraciones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22 LOTC, los magistrados del Tribunal Constitucional ejercerán su función de acuerdo, entre otros principios, con el de imparcialidad, a cuyo aseguramiento obedecen precisamente las causas de recusación y abstención. No obstante, la Ley Orgánica del Tribunal Constitucional no establece por sí misma las causas de abstención y de recusación de los magistrados de este tribunal, sino que se remite a las que son aplicables a los jueces y magistrados de la jurisdicción ordinaria. En efecto, el art. 80 LOTC se remite, en materia de recusación y abstención, a falta de una regulación expresa, a la Ley Orgánica del Poder Judicial y a la Ley de enjuiciamiento civil. Así pues, las causas de abstención y de recusación de los magistrados del Tribunal Constitucional son, en la actualidad, las enumeradas en el art. 219 LOPJ, debiendo ajustarse su tramitación a las previsiones de los arts. 223 y ss. LOPJ, moduladas en atención a la específica naturaleza y composición de este tribunal (ATC 82/2022, de 11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reseñarse, además, que la recusación formulada contra alguno o algunos de los magistrados integrantes de este tribunal no conlleva, inexcusablemente, la necesidad de proceder a su completa tramitación y resolución, pudiendo producirse su rechazo inicial. Como afirmamos, entre otros, en el ATC 82/2022, FJ 2,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limine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 (ATC 383/2006, de 2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concurre una causa de inadmisión de la recusación, que afecta al momento de su planteamiento y a la que nos referiremos en el siguiente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Extemporaneidad de la recusación: inadmisión a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223.1 LOPJ, de aplicación supletoria en los procesos constitucionales conforme a la remisión efectuada por el art. 80 LOTC, establece: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recusación deberá proponerse tan pronto como se tenga conocimiento de la causa en que se funde, pues, en otro caso, no se admitirá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se inadmitirán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Cuando no se propongan en el plazo de diez días desde la notificación de la primera resolución por la que se conozca la identidad del juez o magistrado a recusar, si el conocimiento de la concurrencia de la causa de recusación fuese anterior a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se propusieren, pendiente ya un proceso, si la causa de recusación se conociese con anterioridad al momento procesal en que la recusación se proponga”.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esta exigencia de denuncia inmediata de las causas de recusación, la doctrina constitucional ha venido reiterando: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exigencia de una actitud proactiva de la parte que propone la recusación está íntimamente vinculada con la necesidad de evitar la posibilidad de utilizar el instrumento de la recusación como un mecanismo intimidatorio que sobrevuele la intervención de un magistrado en la tramitación de un procedimiento, a modo de condicionante de su actuación. Como recordamos en nuestro ATC 180/2013, de 17 de septiembre, FJ 2 f), la regla general plasmada en el primer párrafo del art. 223.1 LOPJ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doctrina de este tribunal sobre el derecho al juez imparcial reconocido en el art. 24.2 CE parte de la base de que la imparcialidad se presume (por todas, STC 91/2021, de 22 de abril, FJ 5.1.1, y la jurisprudencia del Tribunal Europeo de Derechos Humanos allí citada). Este principio se configura como una garantía para el juez o magistrado frente a recusaciones objetivamente infundadas, pero también para todas las partes implicadas en el proceso. Ninguno de los intervinientes debe verse sometido a una permanente incertidumbre en sus legítimas expectativas sobre la apariencia de imparcialidad de quien ha de resolver su causa. El derecho al juez imparcial debe hacerse valer a través del instrumento de la recusación, pero el resto de las partes debe tener la garantía de que cualquier duda sobre esa imparcialidad ha de ser despejada tan pronto como sea posible, precisamente en garantía de ese derecho, y no en función de una mera estrategia procesal de otra de las partes” [AATC 17/2022, de 25 de enero, FJ 3 b), y 72/2022, de 27 de abril,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Tratándose de un recurso de amparo en trámite de admisibilidad, el plazo de diez días a que se refiere el art. 223.1 LOPJ comienza a contarse desde el momento en que el recusante tuvo conocimiento efectivo de la composición de la sección que debe decidir sobre la admisión del recurso de amparo [ATC 31/2024, de 9 de abril,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sostenido en otras ocasiones, “[c]uando nos encontramos ante recursos de amparo en trámite de admisibilidad, como es el caso que ahora nos ocupa, siendo competente la sección para conocer de ese trámite (ex art. 50.1 LOTC), el momento determinante para el cómputo del plazo de recusación viene dado por la fecha en que se hace pública la composición de la sección siempre y cuando, con posterioridad a esa fecha, no se produzcan alteraciones en la atribución del conocimiento del asunto a otra sección por cualquiera de las causas previstas en la ley” [AATC 665/2023, de 12 de diciembre, FJ 2, y, en términos sustancialmente idénticos 31/2024,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ha quedado reflejado en los antecedentes, en el presente caso, por diligencia de ordenación de 26 de abril de 2024, que se tiene por notificada el 29 de abril de 2024, el demandante de amparo, a través de su representación procesal en estos autos, fue requerido para subsanar los defectos formales advertidos en la demanda inicialmente presentada. En dicha resolución se hizo constar no solo que el recurso había correspondido a la Sección Segunda de la Sala Primera del Tribunal Constitucional, sino también la identidad del magistrado ponente, contra el que se promueve el presente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explicamos detalladamente en el ATC 72/2022, FJ 2 B), la composición de las salas y secciones de este tribunal goza de publicidad a través de su publicación en el “Boletín Oficial del Estado”, a fin de asegurar su conocimiento por las partes, sus abogados y procuradores, los letrados defensores de las administraciones públicas y los órganos constitucionales que intervienen en los procesos constitucionales. En este sentido, una vez producida la última renovación del Tribunal Constitucional, por acuerdo de 17 de enero de 2023, del Pleno del Tribunal Constitucional (“BOE” núm. 16, de 19 de enero de 2023) se dispuso la composición de sus salas y secciones. En concreto, el art. 1.3 del referido acuerdo del Pleno establece que “[l]a Sección Segunda, de la Sala Primera, presidida por don Ricardo Enríquez Sancho, estará integrada por don Ricardo Enríquez Sancho y por don Juan Carlos Campo Moreno”. Por esta razón, no puede prosperar la alegación efectuada por el demandante de amparo de que nunca ha recibido notificación alguna en la cual se determine la composición de la sección competente para conocer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hasta aquí dicho se desprende que desde el 29 de abril de 2024 el recusante tuvo conocimiento tanto de la identidad del ponente recusado, como el propio recurrente reconoce en el escrito por el que formula la recusación, como de que el asunto había correspondido por turno a la Sección Segunda de la Sala Primera de este tribunal. De esta manera, el plazo de diez días, previsto en el art. 223.1 LOPJ, debe comenzar a contarse a partir de dicha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procede apreciar la extemporaneidad de la recusación del magistrado don Juan Carlos Campo Moreno, por cuanto el incidente ha sido planteado el 10 de junio de 2024, esto es, más de un mes después desde la notificación a la representación procesal del recurrente de la primera resolución de este tribunal en la que figuraba que el conocimiento del recurso de amparo había correspondido a la Sección Segunda del Tribunal y, en todo caso, una vez sobrepasado con creces el plazo de diez días legalmente establecido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frente a lo anterior no puede prosperar la tesis del actor de que el plazo para plantear la recusación deba computarse a partir del 3 de junio de 2024, con ocasión de la publicación de una noticia de prensa, puesto que todos los hechos en los que se funda la recusación son muy anteriores en el tiempo no solo a la interposición del recurso de amparo y a la publicación de la composición de las salas y secciones del Tribunal, sino incluso al nombramiento y la toma de posesión del recusado como magistrado del Tribunal Constitucional [en idéntico sentido, ATC 72/2022, FJ 2) C) b) ii) in fine]. Además, todos estos hechos gozaban de publicidad y notoriedad, razón por la cual no puede pretender diferirse su conocimiento al día 3 de junio de 2024. Esto puede predicarse respecto del desempeño de los cargos de secretario de Estado de Justicia (entre los años 2009 y 2011) y de ministro de Justicia (entre los años 2020 y 2021) y de las funciones inherentes a los mismos, pues todo ello es y ha sido objeto de publicidad general a través de las correspondientes publicaciones en el “Boletín Oficial del Estado”, aportadas junto con el escrito de recusación. E igualmente puede afirmarse en relación con el resto de los hechos alegados para fundamentar los motivos de recusación, pues todos ellos estaban reflejados tanto en las noticias de prensa como en los diarios de sesiones del Congreso de los Diputados, del Senado y de les Corts Valencianes, también acompañados junto con el escrito de recusación y que habían sido objeto de publicación en todos los casos mucho tiempo antes de la interposición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en el recurso de amparo núm. 2930-2024.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