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3182-2023, promovido por doña Noelia Velarte Lahoz, representada por la procuradora de los tribunales doña Beatriz Martínez Martínez y bajo la dirección del letrado don Juan José Carrascón Concellón, contra la sentencia 223/2023, de 20 de marzo, dictada por la Sala de lo Social del Tribunal Superior de Justicia de Aragón, por la que se estima el recurso de suplicación núm. 17-2023, interpuesto por el Instituto Nacional de la Seguridad Social contra la sentencia núm. 280/2022, de 22 de noviembre, del Juzgado de lo Social núm. 3 de Zaragoza, en autos de la Seguridad Social en materia prestacional núm. 632-2022.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mayo de 2023, doña Noelia Velarte Lahoz, con la representación y defensa indicadas, interpuso recurso de amparo contra las resoluciones judiciales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que en virtud de contrato a tiempo parcial presta servicios por cuenta ajena para el Ayuntamiento de Guadalaviar, Teruel, desde el 26 de mayo de 2021, con motivo del nacimiento de sus dos hijos el 7 de junio de 2021, solicitó prestación por nacimiento y cuidado del menor que le fue reconocida por resolución con efectos de 7 de junio de 2022, con duración hasta el 10 de octubre de 2022 (dieciocho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ser desestimada la reclamación previa en vía administrativa, por la que reclamaba la ampliación en doce semanas del disfrute del permiso por ser familia monoparental, interpuso una demanda contra el Instituto Nacional de la Seguridad Social (INSS) y la Tesorería General de la Seguridad Social (TGSS), por la que solicitaba la ampliación del permiso por parto múltiple para la acumulación al periodo concedido de otras once semanas, en su condición de única progenitora de los menores nacidos. Alegaba que la desestimación de la acumulación solicitada constituye una discriminación de los derechos del niño en relación con la situación regulada para la familia biparental cuando el menor está a cargo y cuidado de sus dos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lo Social núm. 3 de Zaragoza dictó sentencia el 22 de noviembre de 2022 en la que estimó la demanda y declaró el derecho de la actora a acumular a su prestación de maternidad ya reconocida otras once semanas adicionales de prestación por parto múltiple y cuidado de menores por su condición de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dicha sentencia el INSS interpuso recurso de suplicación alegando como único motivo de revisión jurídica la infracción de normas sustantivas previsto en el art. 193 c) de la Ley 36/2011, de 10 de octubre, reguladora de la jurisdicción social (LRJS). La representación de la trabajadora impugnó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sentencia 223/2023, de 20 de marzo, dictada por la Sala de lo Social del Tribunal Superior de Justicia de Aragón se estimó el recurso de suplicación revocando la sentencia dictada por el Juzgado de lo Social núm. 3, desestimando la pretensión deducida por la actora con absolución del INSS, sin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expone que la Sala, en las sentencias de 27 de diciembre de 2021 (ECLI:ES:TSJAR:2021:1255), 6 de abril de 2022 (ECLI:ES:TSJAR:2022:645) y 14 de febrero de 2022 (ECLI:ES:TSJAR:2022:224), había estimado la pretensión de la trabajadora de acumular a su prestación de maternidad, otras diez semanas adicionales de prestación por nacimiento y cuidado de menores por su condición de familia monoparental. Sin embargo, razona que debía cambiar de criterio atendida la reciente STS 169/2023, de 2 de marzo (ECLI:ES:TS:2023:783), que revoca la sentencia dictada por la Social del Tribunal Superior de Justicia del País Vasco el día 6 de octubre de 2020 (ECLI:ES:TSJPV:2020:396), cuya fundamentación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que se declare vulnerado el derecho a la igualdad (art. 14 CE) y la nulidad de la sentencia dictada por la Sala de lo Social del Tribunal Superior de Justicia de Aragón y la firmeza de la sentencia del Juzgado de lo Social núm. 3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tras referirse al contenido de las resoluciones recaídas en el procedimiento, sostiene que las familias biparentales que reúnan los requisitos para tener derecho a las prestaciones de maternidad y paternidad pueden atender el cuidado de hijo durante veintiséis semanas, si lo disfrutan de forma sucesiva y a tiempo completo y no concurre causa de ampliación.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señala que en las mismas circunstancias de ejercicio una familia monoparental únicamente puede disfrutar de dieciséis semanas para dedicarse plenamente al cuidado del hijo, lo que plantea una posible desigualdad de trato entre ambos modelos de familia en cuanto a que los hijos e hijas —o menores— puedan recibir los cuidados necesarios independientemente de que tengan uno o dos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normativa aplicable e indica que el derecho de paternidad es individual de la persona trabajadora sin que pueda transferirse su ejercicio al otro progenitor y que en el caso de las familias monoparentales existen criterios distintos en orden a la posibilidad de que se conceda la ampliación del permiso de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aun cuando no exista apoyo legislativo es de aplicación el Convenio sobre los derechos del niño al existir una quiebra del principio de igualdad correspondiente a dicha prestación. Se refiere a la observación general 14 del Comité de los Derechos del Niño de Naciones Unidas y al principio de primacía del interés superior del menor en todas las medidas o decisiones que le afecten, tanto desde su perspectiva como derecho sustantivo, como principio interpretativo fundamental y como norma de procedimiento. Destaca que dicho principio ha sido consagrado por la jurisprudencia, europea y nacional, como criterio preferente de interpretación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la doctrina del Tribunal Constitucional elaborada en relación con el derecho de igualdad y refiere que si se parte de la rechazable discriminación del menor por su propia condición o por el estado civil o situación de su progenitor, cuando introducimos un período de cuidado y atención para el grupo de hijos o hijas monoparentales, estamos no solamente mermando la atención que en las familias biparentales se presta, sino que también introducimos un sesgo que quebranta el desarrollo del niño, al quedar atendido menos tiempo y con menor implicación personal de quien ha sido considerado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siendo de directa aplicación, y en cuanto la normativa nacional quiebra esa igualdad, el Convenio sobre los derechos del niño, entiende que corresponde la prestación pedida.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los derechos de conciliación y vida familiar reciben un trato dispar entre personas que partiendo del mismo supuesto, integración de la dinámica de la producción en la de reproducción, quedan protegidas en mayor forma que al integrarse en dinámicas de familia monoparental. Razona que la suspensión del contrato de trabajo tiene una repercusión dentro de la actividad empresarial, pero la integración en un solo progenitor de la acumulación de todo el período de suspensión aglutina toda la suspensión en un solo trabajador, pero no deja de ser el mismo disfrute que cuando nos encontramos ante una dualidad de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opción por el hogar monoparental no delimita un vínculo diferente de filiación determinante del cuidado y atención del menor y sus propios derechos. Por tanto, es posible afirmar una quiebra del principio de igualdad del art. 14 CE. No reconocer este derecho a una familia monoparental y a quienes forman parte de esta unidad familiar representa una discriminación por indiferenciación por parte de la actual redacción del art. 48 del texto refundido de la Ley del estatuto de los trabajadores, aprobado por el Real Decreto Legislativo 2/2015, de 23 de octubre (LET) y también una vulneración del derecho a la no discriminación por razón de sexo de las trabajadoras.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21 de octubre de 2024 acordó la admisión a trámite del recurso al apreciar que su contenido justificaba una decisión sobre el fondo por parte del Tribunal por su especial trascendencia constitucional [art. 50.1 de la Ley Orgánica del Tribunal Constitucional (LOTC)], como consecuencia de que la posible vulneración del derecho fundamental que se denuncia pudiera provenir de la ley o de otra disposición de carácter general [STC 155/2009, de 25 de junio, FJ 2 c)]. Acordó igualmente dirigir atenta comunicación a la Sala de lo Social del Tribunal Superior de Justicia de Aragón y al Juzgado de lo Social núm. 3 de Zaragoza, a fin de que, en plazo que no excediera de diez días, remitiesen certificación o fotocopia adverada de las actuaciones correspondientes, debiendo emplazar a quienes hubieran sido parte en el procedimiento, excepto la parte recurrente en amparo, para que en el plazo de diez días pudieran comparecer en el recurso de amparo, si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11 de diciembre de 2024 la representación procesal de la demandante presentó sus alegaciones en las que hizo referencia a la reciente STC 140/2024, de 6 de diciembre, en la que estimó la cuestión de inconstitucionalidad promovida por la Sala de lo Social del Tribunal Superior de Justicia de Cataluña en relación con el art. 48, apartados 4, 5 y 6, del texto refundido de la Ley del estatuto de los trabajadores (LET), aprobado por Real Decreto Legislativo 2/2015, de 23 de octubre, en conexión con el art. 177 del texto refundido de la Ley general de la Seguridad Social (LGSS), aprobado por el Real Decreto Legislativo 8/2015,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17 de enero de 2025, el Ministerio Fiscal interesó la estimación del recurso de amparo y que se declare la nulidad de la sentencia de 20 de marzo de 2023 del Tribunal Superior de Justicia de Aragón y confirmar la sentencia del Juzgado de lo Social núm. 3 de Zaragoza de 22 de noviembre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aplicable la doctrina constitucional expuesta en la STC 150/2024, de 2 de diciembre, que resuelve el recurso de amparo núm. 1845-2024 en la que se aplica la doctrina constitucional fijada en la STC 140/2024, y consiguientemente estimar la vulneración del derecho a la igualdad ante la ley sin discriminación por razón de nacimiento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detiene el fiscal en efectuar un examen del alcance del recurso de amparo a fin de justificar únicamente la nulidad de la sentencia del Tribunal Superior de Justicia de Aragón de 20 de marzo de 2023, que revocó la sentencia de 22 de noviembre de 2022 del Juzgado de lo Social que reconocía “el derecho de la actora a acumular a su prestación de maternidad ya reconocida, otras once semanas adicionales de prestación por nacimiento parto múltiple y cuidado de menores por su condición de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examina la regulación relativa a la ampliación del permiso de once semanas en caso de parto múltiple prevista en el art. 48.6 LET antes y después de la modificación operada por el 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 y de ejecución y cumplimiento del Derecho de la Unión Europea, e indica que la sentencia de instancia, en aplicación de la normativa vigente sobre la materia, otorgó una ampliación del permiso de once semanas, las que se distribuyen en diez semanas, que serían las que les correspondían al otro progenitor, tal como declaró la doctrina constitucional mencionada, y una semana adicional por nacimiento múltiple, conforme a la normativa vigente (Real Decreto-ley 6/2019, de 1 de marzo, de medidas urgentes para garantía de la igualdad de trato y de oportunidades entre mujeres y hombres en el empleo y la ocupación) en el momento del nacimiento de los menores que tuvo lugar el día 7 de junio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del secretario de la Sección Tercera de 21 enero de 2025, se hizo constar haberse recibido los precedentes escritos de alegaciones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febrero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223/2023, de 20 de marzo, dictada por la Sala de lo Social del Tribunal Superior de Justicia de Aragón, por la que se estima el recurso de suplicación núm. 17-2023, revocando la sentencia dictada por el Juzgado de lo Social núm. 3 de Zaragoza y desestimando la pretensión deducida por la actora con absolución del INSS, ha ocasionado a la demandante una vulneración del derecho a la igualdad (art. 14 CE) al aplicar el art. 48.4 y 6 del texto refundido de la Ley del estatuto de los trabajadores (LET), en relación con el art. 177 del texto refundido de la Ley general de la Seguridad Social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y 6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 sentencia dictada por la Sala de lo Social del Tribunal Superior de Justicia de Aragón, declarando la firmeza de la sentencia núm. 280/2022, de 22 de noviembre, del Juzgado de lo Social núm. 3 de Zaragoza, en autos de Seguridad Social en materia prestacional núm. 632-2022, al ser esta última acorde con el pronunciamiento de la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concretamos en la referida STC 140/2024,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Noelia Velarte Lahoz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núm. 223/2023, de 20 de marzo, dictada por la Sala de lo Social del Tribunal Superior de Justicia de Aragón, por la que se estima el recurso de suplicación núm. 17-2023, quedando firme la sentencia núm. 280/2022, de 22 de noviembre, del Juzgado de lo Social núm. 3 de Zaragoza, en autos de Seguridad Social en materia prestacional núm. 632-2022.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