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5159-2023, promovido por don Gustavo García-Cesto Romero, contra el auto 139/2023, de 2 de junio, del Juzgado de lo Social núm. 3 de Madrid, que desestima el recurso de reposición interpuesto contra el auto 20/2023, de 10 de abril.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julio de 2023, el procurador de los tribunales don Rafael Ros Fernández, en nombre y representación de don Gustavo García-Cesto Romero, defendido por la letrada doña Gemma Reinón Tardáguila, interpuso recurso de amparo contra la resolución judicial que se cita en el encabezamiento,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febrero de 2023, don Gustavo García-Cesto Romero presentó demanda de despido improcedente contra el Colegio Mayor Universitario Isabel de España. Dicha demanda correspondió al Juzgado de lo Social núm. 3 de Madrid, que la tramitó con el núm. 139-2023.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marzo de 2023, el letrado de la administración de justicia dictó diligencia de ordenación advirtiendo los siguientes defectos en la demanda, y requiriendo a la parte actora a fin de que en el plazo de cuatro días los subsanase: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acredita la antigüedad, concretando la fecha exacta, no bastando una referencia genérica del año en que empezó a prestar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indica la fecha de efectividad del despido, forma en que se produjo y hechos alegados por el empresario, acompañando la comunicación recibida.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refiere si el trabajador ostenta o ha ostentado en el año anterior al despido, la cualidad de representante legal o sindical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presentó escrito de 14 de marzo de 2023 subsanando los citados defectos, tras lo cual el letrado de la administración de justicia dictó una nueva diligencia de ordenación de fecha de 16 de marzo de 2023, a fin de que en el plazo de cuatro días aportase la carta de despido, y se estableciese expresamente la antigüedad, con día, mes y año, bajo apercibimiento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Gustavo García-Cesto Romero presentó escrito el 24 de marzo de 2023, manifestando que la antigüedad data de fecha de 1 de enero de 2020 hasta el 3 de febrero de 2023, adjuntando el acta de conciliación celebrada el día 14 de marzo de 2023, cuyo resultado fue intentado sin efecto por incomparecencia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comunicación del cese de la relación laboral, manifestó “[q]ue nos vemos incapaces de aportar la carta de despido pues no disponemos de la misma. No obstante, en los otrosíes de la demanda pedimos que la empresa nos la facilite”.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Social núm. 3 de Madrid dictó el auto 20/2023, de 10 de abril, archivando la demanda de despido por no haber sido subsanados los defectos de los que la misma adolecía dentro del plazo legal establecido, fundamentando que la demanda “no acompaña la comunicación recibida del cese de la relación laboral ni hace mención suficiente de su contenido, según lo dispuesto en el artículo 104 de la Ley reguladora de la jurisdicción social, en la que se establecen los requisitos de la demanda por despido, en su apartado b, en la que se indicarán ‘[f]echa de efectividad del despido, forma en que se produjo y hechos alegados por el empresario, acompañando la comunicación recibida, en su caso, o haciendo mención suficiente a su contenido’ no habiendo subsanado los defectos advertidos, procede al amparo del art. 81 de la Ley reguladora de la jurisdicción social, el archivo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dicho auto, don Gustavo García-Cesto Romero interpuso recurso de reposición el 21 de abril de 2023 solicitando que no se acordara el archivo del procedimiento, sobre la base de que “no dispone de la carta de despido solicitada por el juzgado, al quedarse la empresa la única copia original después de que mi representado firmara como no conforme. En consecuencia, solicitamos en la demanda en el otrosí segundo, la presentación de la misma por parte de la empresa”. Añadiendo que “se dejó constancia de este hecho en el escrito de 24 de marzo de 2023 que se remitió al juzgado, explicando la incapacidad de aportar la carta de despido y adjuntando dentro del plazo otorgado, el resto de las cuestiones que se nos solicitaban, siendo estas el acta de conciliación y la antigüedad de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lo Social núm. 3 de Madrid dictó auto de 2 de junio 2023 desestimando el recurso de reposición y confirmando el auto impugnado. Apreció que “[e]l demandante presentó escrito estableciendo la antigüedad del trabajador pero no aportó la carta de despido, razón por la cual se dictó el auto de archivo”, sobre la base de lo cual concluyó que “dicho auto es ajustado a Derecho dado que de conformidad con la doctrina constitucional toda demanda que ‘olvide requisitos esenciales no puede ser admitida a trámite’ y tal ‘atribución es constitucionalmente inobjetable puesto que responde a una finalidad razonable y necesaria acorde con el principio de celeridad que preside los procesos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añadió que “en la demanda se analiza la carta de despido, utilizando expresiones tales como ‘las causas alegadas son absolutamente falsas’, ‘el motivo de despido es ambiguo, insuficiente y susceptible de causarle indefensión a mi representado’, desconociendo las razones por las que ante dicho análisis no se aporta dicha carta a pesar de haber sido requerido hasta en dos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el auto 139/2023, de 2 de junio, que confirma el auto 20/2023, de 10 de abril, infringe su derecho a la tutela judicial efectiva (art. 24.1 CE) y solicita su declaración de nulidad, así como la retroacción de todas las actuaciones al momento procesal inmediatamente anterior a su dictado, dejando sin efecto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para justificar la relevancia del amparo solicitado, se invoca la vulneración del derecho a la tutela judicial efectiva del art. 24.1 CE, causando indefensión, en la medida en que se está negando el derecho fundamental más básico, que es acudir en primera instancia a impugnar un despido, sin posibilidad alguna para su subsanación, habiendo transcurrido cualquier posible plazo para volver a presentar la demanda y dejando al recurrente completamente indefenso. Explica el demandante de amparo que, por un lado, se ve desprotegido ante el despido cuando la empresa utiliza subterfugios para no facilitarle la carta de despido y también cuando los órganos judiciales no le permiten el ejercicio de sus derechos bajo un criterio tan arbitrario que no depende del trabajador como es la no entrega de la carta de despido. Este comportamiento por parte de la administración de justicia es completamente abusivo y desproporcionado y deja a quien ejercita la acción en una clara desventaja.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concretamente, el recurrente denuncia que se ha lesionado el principio pro actione (STC 187/2004, de 2 de noviembre) considerando desproporcionado el archivo de la demanda por no haber aportado la carta de despido, siendo así que debe evitarse la obstaculización del acceso a la jurisdicción social. Considera que ha actuado diligentemente en todo momento presentando las explicaciones correspondientes ante el juzgado de por qué no podía facilitar la carta de despido, debiendo los jueces evitar la extrema rigidez de los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sentencia 885/2021, de 23 de marzo, del Tribunal Superior de Justicia de la Comunidad Valenciana, que considera indebido y desproporcionado el archivo de la demanda por no haberse adjuntado la carta de despido, cuando se hace mención suficiente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21 de octubre de 2024,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dispuesto en el art. 51 LOTC, y constando en el recurso copia testimoniada del procedimiento de despido núm. 139-2023, acordó dirigir atenta comunicación al Juzgado de lo Social núm. 3 de Madrid, a fin de que en el plazo de diez días emplace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Gustavo García-Cesto Romero presentó el 31 de enero de 2025 escrito de alegaciones por el que reitera el interés constitucional del asunto, así como la diligencia con la que ha obrado al presentar las explicaciones pertinentes ante el juzgado respecto a la imposibilidad de facilitar la carta de despido y suplica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dentro del plazo conferido al efecto, el 7 de febrero de 2025 presentó sus alegaciones interesando la estimación del amparo solicitado. Tras exponer en el primer epígrafe los antecedentes de hecho, aborda en un segundo epígrafe las consideraciones jurídicas relativas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 la vulneración alegada por el recurrente, de la tutela judicial efectiva sin indefensión, en su vertiente del derecho de acceso a la jurisdicción, recordando la doctrina del Tribunal Constitucional que ha configurado el principio pro actione como canon de constitucionalidad diferente del que se aplica a otros aspectos del derecho a la tutela judicial efectiva. Por tanto, cuando se trata de acceso a la jurisdicción, el canon de constitucionalidad es más exigente y procede comprobar, en primer término, si existe la causa impeditiva del conocimiento del asunto, y, en segundo lugar, si la interpretación que se haya hecho de la misma en el caso concreto contraviene el derecho fundamental (STC 236/2006,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considera que la interpretación que el juzgado ha hecho del art. 104, apartado b), de la Ley reguladora de la jurisdicción social (LJS) ha sido excesivamente formalista y que se ha vulnerado el derecho a la tutela judicial efectiva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propia redacción del precepto, dado que la aportación de la carta de despido se hará “en su caso” o se hará “mención suficiente de su contenido”, es decir, no es un requisito imprescindible aportarla, lo que es lógico, pues el trabajador puede no tenerla en su poder porque el empresario no se la haya entregado —porque no exista el documento en caso de despido verbal o porque lo retuviera la empresa, como se alega en este caso— o porque la hubiera perdido accidentalmente.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resulta contradictorio con dicho precepto legal el hecho de que el trabajador en su demanda haya efectuado una mención amplia del contenido de la carta de despido, y que ello en lugar de servir para admitir esta por aplicación del último inciso del apartado b) del art. 104 LJS, se utilice para presuponer que el trabajador tiene la carta de despido en su poder y por algún motivo no quiere reconocer que la tiene y pide que la aporte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reprocha a los autos 20/2023, de 10 de abril, y 139/2023, de 2 de junio, dictados por el Juzgado de los Social núm. 3 de Madrid, haber vulnerado su derecho a la tutela judicial efectiva (art. 24.1 CE), en su vertiente del derecho de acceso a la jurisdicción, por haber archivado la demanda de despido con una interpretación errónea y desproporcionada y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se declare la vulneración del derecho a la tutela judicial efectiva sin indefensión (art. 24.1 CE) anulando dichos autos y que se retrotraigan las actuaciones al momento inmediatamente anterior al dictado del auto 20/2023,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en las alegaciones presentadas, interesa la estimación del recurso de amparo por considerar que se ha vulnerado el derecho de acceso a la jurisdicción por ser la interpretación del precepto excesivamente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Fijados así los términos del debate pasamos, pues, a examinar el fondo del asunto, que se ciñe a resolver si la decisión de archivo de las actuaciones acordada por el Juzgado de lo Social, en el proceso por despido promovido por el recurrente ha vulnerado el derecho a la tutela judicial efectiva, en su manifestación del derecho de acceso a la jurisdicción (art. 24.1 CE). Con carácter previo es necesario recordar, ante todo, nuestra doctrina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constante y reiterada doctrina sentada a partir de la STC 19/1981, de 8 de junio, y sintetizada más recientemente, entre otras muchas, en las SSTC 83/2016, de 28 de abril, FJ 5, y 172/2023, de 11 de diciembre, FJ 3, “el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 (STC 172/2023,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mantenido también de forma reiterada que “los requisitos formales no son valores autónomos que tengan sustantividad propia, sino que solo sirven en la medida en que son instrumentos para conseguir una finalidad legítima, por lo que su incumplimiento no presenta siempre igual valor obstativo, con independencia de la trascendencia práctica del mismo; antes al contrario, los requisitos formales han de examinarse teniendo en cuenta la finalidad que con ellos pretende lograrse, para, de existir defectos, proceder a una justa adecuación de las consecuencias jurídicas por la entidad real del defecto mismo, pues debe existir proporcionalidad entre este y aquellas” (por todas, SSTC 130/1998, de 16 de junio, FJ 4, y 185/2006, de 19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presente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en el fundamento jurídico anterior al supuesto aquí planteado debe llevar a la estimación del recurso de amparo, pues la interpretación que hace el Juzgado de lo Social de la causa legal en la que fundamenta el archivo de la demanda y su aplicación al caso concreto, resulta excesivamente formalista y desproporcionada, a la luz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respecto a la causa legal aplicada, como pone de manifiesto acertadamente el Ministerio Fiscal, el apartado b) del art. 104 LJS, en el que se fundamenta el archivo de la demanda, no configura de forma estricta la aportación de la carta de despido en el procedimiento de despido como un requisito de admisibilidad procesal en todos los casos. Así, este precepto legal configura los requisitos de las demandas por despido, haciendo mención de su contenido, e impone que “deberán contener” los extremos que se relacionan, y, en particular, en su apartado b) prevé que deben contener la “[f]echa de efectividad del despido, forma en que se produjo y hechos alegados por el empresario, acompañando la comunicación recibida, en su caso, o haciendo mención suficiente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impone relacionar cuáles han sido los hechos alegados por el empresario para justificar el despido, y para ello dispone que se hará “acompañando la comunicación recibida, en su caso, o haciendo mención suficiente de su contenido”; es decir, si no acompaña la comunicación recibida, esto es, la carta de despido, la ley permite que se supla “haciendo mención suficiente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una interpretación como la sostenida por las resoluciones recurridas en amparo supone convertir en un requisito esencial la aportación de la carta de despido en todo caso, aun cuando se haga mención de su contenido en la demanda, interpretación que a la luz del apartado b) del art. 104 LJS no puede reputarse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es también preciso analizar la proporcionalidad de la aplicación de dicha causa legal al supuesto concreto, atendiendo no solo a los datos ofrecidos por la regulación legal, sino también a la entidad del defecto advertido, al comportamiento y a las posibilidades de subsanación de la parte demandante y a los perfiles del supuesto concreto. Desde esta segunda perspectiva, debemos también concluir que una interpretación conforme al principio pro actione y favorable al derecho de defensa y a un juicio contradictorio no pueden llevar a inadmitir una demanda de despido que no acompaña la carta de despido, cuando en la misma se ha hecho mención suficiente a su contenido, y más aún en un supuesto como el que nos ocupa en el que el demandante ha explicado de forma diligente en distintos escritos procesales que ha presentado (escrito de 24 de marzo de 2023 y el propio escrito del recurso de reposición de 21 de abril de 2023) que dicha comunicación no obra en su poder porque la empresa no se la ha facilitado, habiendo pedido mediante otrosí en la demanda de despido que dicha carta se presente por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explicamos en la STC 130/1998, FJ 5, los importantes derechos de fondo deducidos en una demanda laboral no pueden resultar ineficaces por el juego riguroso y formalista de la falta o defecto de los requisitos formales que pudiera imputársele a aquella, y, en consecuencia, el derecho a la tutela judicial efectiva obliga a elegir la interpretación y aplicación de la ley, en lo que atañe a estos requisitos formales de la demanda, de la forma que sea más conforme con el principio pro actione, “y que lleve a favorecer la continuación del proceso, siempre que el interesado actúe con diligencia y que no se lesionen bienes o derechos constitucionales, no se grave injustificadamente la posición de la parte contraria, ni se dañe la integridad objetiva del procedimiento” (en sentido similar, STC 21/1989,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dicha sentencia examinamos el supuesto inverso al que nos ocupa, pues la recurrente había aportado la carta de despido pero no había hecho constar en la demanda de despido los hechos alegados por el empresario, y concluimos, atendiendo a la regulación entonces vigente que únicamente preveía que la demanda debía contener “los hechos alegados por el empresario” [art. 104 del texto refundido de la Ley de procedimiento laboral, aprobado por el Real Decreto Legislativo 2/1995, de 7 de abril (LPL)] que “[c]on independencia de que la omisión del relato de los hechos ocurridos según la trabajadora constituya o no un defecto de la demanda por despido, tal omisión en nada viciaría el debate de la litis. En el presente caso quedaba perfectamente delimitada a través de la carta de despido adjuntada con la demanda; además, no habría podido provocar la indefensión del empresario demandado, sobre el que recae en este procedimiento la carga de acreditar la veracidad de los hechos imputados al trabajador en la carta de despido (art. 105 LPL)”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entender como requisito esencial para la admisión a trámite de la demanda la aportación de la carta de despido y disponer por la sola omisión de esta el archivo de las actuaciones, sin tomar en consideración que el recurrente ha alegado diligentemente que carece de la misma y que ha hecho mención suficiente a su contenido en la demanda, no se acomoda a las exigencias que, en la interpretación de los requisitos procesales, se derivan del art. 24.1 CE. El órgano judicial interpretó la regla procesal en el sentido menos favorable al acceso a la justicia del demandante, y con un rigorismo formalista que no guarda proporción con la funcionalidad y trascendencia de los requisitos de la demanda en el procedimiento especial sobre despido. Se ha causado, por tales razones, una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del recurrente. En segundo término, acordar la nulidad del auto 139/2023, de 2 de junio, dictado por el Juzgado de lo Social núm. 3 de Madrid, así como del auto 20/2023, de 10 de abril, dictado también por el Juzgado de lo Social núm. 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las actuaciones al momento inmediatamente anterior al del dictado del auto 20/2023, de 10 de abril, para que el Juzgado de lo Social núm. 3 de Madrid resuelva en los términos que se explicitan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Gustavo García-Cesto Romero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núm. 20/2023, de 10 de abril, así como del auto núm. 139/2023, de 2 de junio, dictados por el Juzgado de lo Social núm. 3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esas resoluciones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