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26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2068-2024, promovido por doña Eva María Bueno Flores, ha dictado, con ponencia del presidente don Cándido Conde-Pumpido Tourón,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marzo de 2024, se presentó recurso de amparo, promovido por doña Eva María Bueno Flores, representada por la procuradora de los tribunales doña Gloria María Llorente de la Torre y asistida por la letrada doña María de los Ángeles Calzadilla Gamero, contra las resoluciones del Instituto Nacional de la Seguridad Social (INSS) de 3 de agosto y 17 de octubre de 2022, y el silencio administrativo negativo del Servicio Extremeño de Salud, que desestimaron su petición de acumulación al permiso y prestación por nacimiento y cuidado de su hija que le fueron reconocidos, los que hubieran correspondido al progenitor distinto de la madre biológica en el ámbito de una familia monoparental; contra la sentencia 261/2023, de 19 de septiembre, dictada por el Juzgado de lo Social núm. 5 de Badajoz en los autos núm. 797-2022, desestimatoria de la demanda interpuesta contra las meritadas resoluciones administrativas, y contra la sentencia 106/2024, de 23 de febrero, dictada por la Sala de lo Social del Tribunal Superior de Justicia de Extremadura en el recurso de suplicación núm. 589-2023, desestimatoria del recurso interpuesto contra aquella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155/2024, de 16 de diciembre, en la que, tras declarar vulnerado el derecho fundamental a la igualdad ante la ley sin que proceda discriminación por razón de nacimiento (art. 14 CE), se acordó para su restauración la nulidad de las resoluciones administrativa y judiciales impugnadas y la retroacción de las actuaciones al momento previo al pronunciamiento de la resolución administrativa anulada, a fin de que, en los términos expuestos en el último párrafo del fundamento jurídico 3, se dictara otra respetuosa con el derecho fundamental reconocido. A esos efectos, en el último párrafo del fundamento jurídico 3 se establecía que, en tanto el legislador no llevara a cabo la consiguiente reforma normativa, en las familias monoparentales el permiso a que hace referencia el art. 48.4 del texto refundido de la Ley del estatuto de los trabajadores, aprobado por el Real Decreto Legislativo 2/2015, de 23 de octubre (LET), y la prestación regulada en el art. 177 del texto refundido de la Ley general de la Seguridad Social aprobado por el Real Decreto Legislativo 8/2015, de 30 de octubre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letrada de la administración de la Seguridad Social, por escrito registrado el 17 de febrero de 2025, formuló incidente de ejecución al amparo del art. 92.3 de la Ley Orgánica del Tribunal Constitucional (LOTC) instando al Tribunal que determine las medidas necesarias para que el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letrada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como el Pleno de este tribunal ha expuesto en el reciente ATC 34/2025, de 13 de mayo,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al igual que sucedía con el examinado en el ATC 34/2025, se constata que el Tribunal ya estableció en la sentencia cuya ejecución se pretende, la obligación del INSS de que dictara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como concluimos en el ATC 34/2025,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