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1.767/96 promovido por don Miguel Alberola Mingallón, representado por el Procurador de los Tribunales don Ángel Martín Gutiérrez y asistido del Letrado don Juan Durán Fuentes, contra la Sentencia de la Sala de lo Social del Tribunal Superior de Justicia de Madrid, de 24 de mayo de 1995, dictada en procedimiento de tutela de derechos fundamentales. Han comparecido el Ministerio Fiscal y la Red Nacional de los Ferrocarriles Españoles (RENFE), representada por la Procuradora doña Teresa de las Alas-Pumariño Larrañaga y asistida del Letrado don Luis Díaz-Guerra Álvarez.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abril de 1996 el Procurador de los Tribunales don Ángel Martín Gutiérrez, en nombre y representación de don Miguel Alberola Mingallón, interpuso recurso de amparo contra la Sentencia de la Sala de lo Social del Tribunal Superior de Justicia de Madrid de 24 de mayo de 1995, estimatoria del recurso de suplicación interpuesto contra la dictada por el Juzgado de lo Social núm. 17 de Madrid en 10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Su horario de trabajo, de carácter flexible, comienza a las 9 horas.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se le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17 de Madrid, en Sentencia de 10 de noviembre de 1994, condenó a la empresa a abonar al recurrente la cantidad simbólica de una peseta por lesión de sus derechos de libertad sindical y de huelga, porque el dato de la afiliación sindical fue determinante para llevar a cabo el descuento, sin averiguación previa alguna acerca de quiénes secundaron la huelga.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24 de mayo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de la C.E. precisaba que "la intimidad y la privacidad de los datos personales ideológicos, en tanto voluntariamente ofrecidos a la contraparte, transcienden de ese mundo reservado para incardinarse en la relación laboral ..." (cfr. fundamentos de Derecho 7º y 8º).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6 de marzo de 1996, al no ser firmes la Sentencias invocadas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100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porque vulnera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al extraordinario recurso de suplicación en una segunda instancia. Por el contrario, el recurrente probó el propósito antisindical de la empresa y así lo entendieron diversos Juzgados de lo Social de Madrid en numerosos pleitos habidos sobre idéntica cuestión. En otro caso similar la Sentencia del Tribunal Superior de Justicia,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El trabajador no pudo materialmente seguir la huelga porque su horario no coincidía con el de los paros y, en cambio, la Sentencia plantea la libre y voluntaria decisión del actor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de la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17 de junio de 1996 acordó, conforme determina el art. 50.5 LOTC, conceder al recurrente un plazo de diez días para que aportara copia de la Sentencia impugnada. </w:t>
      </w:r>
    </w:p>
    <w:p w:rsidRPr="00C21FFE" w:rsidR="00F31FAF" w:rsidRDefault="00356547">
      <w:pPr>
        <w:rPr/>
      </w:pPr>
      <w:r w:rsidRPr="&lt;w:rPr xmlns:w=&quot;http://schemas.openxmlformats.org/wordprocessingml/2006/main&quot;&gt;&lt;w:lang w:val=&quot;es-ES_tradnl&quot; /&gt;&lt;/w:rPr&gt;">
        <w:rPr/>
        <w:t xml:space="preserve">Cumplimentado el requerimiento, la Sección en providencia de 24 de julio de 1996 acordó admitir a trámite la demanda de amparo y, en aplicación de lo dispuesto en el art. 51 LOTC, requerir atentamente a las Salas de lo Social del Tribunal Supremo y del Tribunal Superior de Justicia de Madrid y al Juzgado de lo Social núm. 17 de dicha capital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Tercera en providencia de 7 de octubre de 1996 acordó tener por personada y parte a la Procuradora doña María Teresa de las Alas-Pumariño Larrañaga, en nombre y representación de RENFE; y dar vista de las actuaciones recibidas por un plazo común de veinte días al Ministerio Fiscal y a las partes personadas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insistió en las alegaciones ya vertidas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RENFE solicitó la desestimación del amparo.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Sentencias de 15 de abril, 23 de septiembre y 1 de octubre de 1996 ha considerado que no es acertada la doctrina de las Sentencias de la Sala de lo Social del Tribunal Superior de Justicia de Madrid de 8 y 17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de 16/1995).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subraya que el recurrente nada razona ni expone, sino que se limita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y el Sindicato CC.OO.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el otorgamiento del amparo por lesión del derecho de libertad sindical. Ante todo, plantea el problema de si puede entenderse cumplido el requisito previsto en el art. 44.1 a) LOTC por la utilización incorrecta de la vía emprendida por el actor constándole la carencia de firmeza de las Sentencias contradictorias, lo que produjo la inadmisión del recurso de casación para la unificación de doctrina, aunque finalmente descarta el obstáculo en aras del principio pro actione y ante la inexistencia de una jurisprudencia consolidada sobre el agotamiento defectuoso y los casos que este concepto abarca.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No es cuestionable la legalidad del sistema de cobro de la cuota sindical al amparo del art. 11.2 LOLS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De ahí que la afirmación del fundamento jurídico 7º,in fine, de la Sentencia resulta hartamente desvirtuadora de esa legislación protectora y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marzo de 1998, se señaló para deliberación y fallo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Sala Primera de este Tribunal en su reciente STC 11/1998, dictada en el recurso de amparo núm. 2.264/96, enjuiciando una resolución judicial dictada también por la Sala de lo Social del Tribunal Superior de Justicia de Madrid, en un supuesto de</w:t>
      </w:r>
    </w:p>
    <w:p w:rsidRPr="00C21FFE" w:rsidR="00F31FAF" w:rsidRDefault="00356547">
      <w:pPr>
        <w:rPr/>
      </w:pPr>
      <w:r w:rsidRPr="&lt;w:rPr xmlns:w=&quot;http://schemas.openxmlformats.org/wordprocessingml/2006/main&quot;&gt;&lt;w:lang w:val=&quot;es-ES_tradnl&quot; /&gt;&lt;/w:rPr&gt;">
        <w:rPr/>
        <w:t xml:space="preserve">hecho sustancialmente igual al presente y a la que se imputaban las mismas tachas de inconstitucionalidad fundada en iguales argumentos, estimó el amparo por vulneración de los arts. 18.4 y 28.1 C.E. y no así -dice la Sentencia- (fundamento jurídico 3º)</w:t>
      </w:r>
    </w:p>
    <w:p w:rsidRPr="00C21FFE" w:rsidR="00F31FAF" w:rsidRDefault="00356547">
      <w:pPr>
        <w:rPr/>
      </w:pPr>
      <w:r w:rsidRPr="&lt;w:rPr xmlns:w=&quot;http://schemas.openxmlformats.org/wordprocessingml/2006/main&quot;&gt;&lt;w:lang w:val=&quot;es-ES_tradnl&quot; /&gt;&lt;/w:rPr&gt;">
        <w:rPr/>
        <w:t xml:space="preserve">por la infracción también denunciada del art. 24.1 cuyo contenido no engarza con el de los derechos fundamentales controvertidos. Dado que, salvo la irrelevante particularidad de que aquí el Juzgado de lo Social consideró vulnerado el derecho de huelga,</w:t>
      </w:r>
    </w:p>
    <w:p w:rsidRPr="00C21FFE" w:rsidR="00F31FAF" w:rsidRDefault="00356547">
      <w:pPr>
        <w:rPr/>
      </w:pPr>
      <w:r w:rsidRPr="&lt;w:rPr xmlns:w=&quot;http://schemas.openxmlformats.org/wordprocessingml/2006/main&quot;&gt;&lt;w:lang w:val=&quot;es-ES_tradnl&quot; /&gt;&lt;/w:rPr&gt;">
        <w:rPr/>
        <w:t xml:space="preserve">los razonamientos jurídicos en los que se fundó la citada STC 11/1998 son plenamente aplicables a este caso. De ellos, sin perjuicio de darlos todos por reproducidos, consideramos de interés destacar la doctrina contenida en los fundamentos jurídicos 4º</w:t>
      </w:r>
    </w:p>
    <w:p w:rsidRPr="00C21FFE" w:rsidR="00F31FAF" w:rsidRDefault="00356547">
      <w:pPr>
        <w:rPr/>
      </w:pPr>
      <w:r w:rsidRPr="&lt;w:rPr xmlns:w=&quot;http://schemas.openxmlformats.org/wordprocessingml/2006/main&quot;&gt;&lt;w:lang w:val=&quot;es-ES_tradnl&quot; /&gt;&lt;/w:rPr&gt;">
        <w:rPr/>
        <w:t xml:space="preserve">y 5º, a cuyo tenor:</w:t>
      </w:r>
    </w:p>
    <w:p w:rsidRPr="00C21FFE" w:rsidR="00F31FAF" w:rsidRDefault="00356547">
      <w:pPr>
        <w:rPr/>
      </w:pPr>
      <w:r w:rsidRPr="&lt;w:rPr xmlns:w=&quot;http://schemas.openxmlformats.org/wordprocessingml/2006/main&quot;&gt;&lt;w:lang w:val=&quot;es-ES_tradnl&quot; /&gt;&lt;/w:rPr&gt;">
        <w:rPr/>
        <w:t xml:space="preserve">"4. Resta examinar la lesión de los arts. 28.1 y 18.4 C.E., examen que puede acometerse conjuntamente.</w:t>
      </w:r>
    </w:p>
    <w:p w:rsidRPr="00C21FFE" w:rsidR="00F31FAF" w:rsidRDefault="00356547">
      <w:pPr>
        <w:rPr/>
      </w:pPr>
      <w:r w:rsidRPr="&lt;w:rPr xmlns:w=&quot;http://schemas.openxmlformats.org/wordprocessingml/2006/main&quot;&gt;&lt;w:lang w:val=&quot;es-ES_tradnl&quot; /&gt;&lt;/w:rPr&gt;">
        <w:rPr/>
        <w:t xml:space="preserve">En lo que atañe a la queja constitucional relativa a la quiebra del derecho a la libertad sindical (art. 28.1 C.E.), debe indicarse, como ya se afirmó desde la STC 70/1982, que "el derecho a la libertad sindical que reconoce el art. 28 C.E. incluye como «contenido esencial» el derecho a que las organizaciones sindicales libremente creadas desempeñen el papel y las funciones que les reconoce el art. 7 C.E., de manera que participen en la defensa y protección de los intereses de los trabajadores", afirmándose en la STC 23/1983 que "por muy detallado y concreto que parezca el enunciado del art. 28.1 C.E. a propósito del contenido de la libertad sindical, no puede considerársele como exhaustivo o limitativo, sino meramente ejemplificativo, con la consecuencia de que la enumeración expresa de los derechos concretos que integran el genérico de libertad sindical no agota, en absoluto, el contenido global de dicha libertad.</w:t>
      </w:r>
    </w:p>
    <w:p w:rsidRPr="00C21FFE" w:rsidR="00F31FAF" w:rsidRDefault="00356547">
      <w:pPr>
        <w:rPr/>
      </w:pPr>
      <w:r w:rsidRPr="&lt;w:rPr xmlns:w=&quot;http://schemas.openxmlformats.org/wordprocessingml/2006/main&quot;&gt;&lt;w:lang w:val=&quot;es-ES_tradnl&quot; /&gt;&lt;/w:rPr&gt;">
        <w:rPr/>
        <w:t xml:space="preserve">Por su parte, la STC 254/1993 declaró con relación al art. 18.4 C.E., que dicho precepto incorpora una garantía constitucional para responder a una nueva forma de amenaza concreta a la dignidad y a los derechos de la persona.  Además de un instituto de garantía de otros derechos, fundamentalmente el honor y la intimidad, es también, en sí mismo, un derecho o libertad fundamental, el derecho a la libertad frente a las potenciales agresiones a la dignidad y a la libertad de la persona provenientes de un uso ilegítimo del tratamiento mecanizado de datos (fundamento jurídico 6º). La garantía de la intimidad, latu sensu, adopta hoy un entendimiento positivo que se traduce en un derecho de control sobre los datos relativos a la propia persona. La llamada libertad informátiva es así derecho a controlar el uso de los mismos datos insertos en un programa informático (habeas data) y comprende, entre otros aspectos, la oposición del ciudadano a que determinados datos personales sean utilizados para fines distintos de aquel legítimo que justificó su obtención (fundamento jurídico 7º).</w:t>
      </w:r>
    </w:p>
    <w:p w:rsidRPr="00C21FFE" w:rsidR="00F31FAF" w:rsidRDefault="00356547">
      <w:pPr>
        <w:rPr/>
      </w:pPr>
      <w:r w:rsidRPr="&lt;w:rPr xmlns:w=&quot;http://schemas.openxmlformats.org/wordprocessingml/2006/main&quot;&gt;&lt;w:lang w:val=&quot;es-ES_tradnl&quot; /&gt;&lt;/w:rPr&gt;">
        <w:rPr/>
        <w:t xml:space="preserve">Partiendo de estas premisas, en este caso debe tenerse en consideración que la afiliación del trabajador recurrente a determinado sindicato, se facilitó con la única y exclusiva finalidad lícita de que la Empresa descontara de la retribución la cuota sindical y la transfiriera al Sindicato, de acuerdo con lo establecido en el art. 11.2 L.O.L.S. Sin embargo, el dato fue objeto de tratamiento automatizado y se hizo uso de la correspondiente clave informática para un propósito radicalmente distinto: retener la parte proporcional del salario relativa al periodo de huelga.</w:t>
      </w:r>
    </w:p>
    <w:p w:rsidRPr="00C21FFE" w:rsidR="00F31FAF" w:rsidRDefault="00356547">
      <w:pPr>
        <w:rPr/>
      </w:pPr>
      <w:r w:rsidRPr="&lt;w:rPr xmlns:w=&quot;http://schemas.openxmlformats.org/wordprocessingml/2006/main&quot;&gt;&lt;w:lang w:val=&quot;es-ES_tradnl&quot; /&gt;&lt;/w:rPr&gt;">
        <w:rPr/>
        <w:t xml:space="preserve">Es más, aunque el responsable de la dependencia donde el recurrente presta servicios había participado que éste no se adhirió a la huelga, la Empresa procedió a la detracción sin llevar a cabo investigación alguna en punto a si el demandante efectivamente se sumó a los paros; sinplemente presumió que ello fue así por el simple hecho de pertenecer a uno de los Sindicatos convocantes de la huelga, como viene a reconocer su representación procesal en las alegaciones vertidas en este proceso y lo corrobora la circunstancia de que tan sólo el 1 por cien de los errores afectara a trabajadores afiliados a otros sindicatos o sin militancia sindical conocida.</w:t>
      </w:r>
    </w:p>
    <w:p w:rsidRPr="00C21FFE" w:rsidR="00F31FAF" w:rsidRDefault="00356547">
      <w:pPr>
        <w:rPr/>
      </w:pPr>
      <w:r w:rsidRPr="&lt;w:rPr xmlns:w=&quot;http://schemas.openxmlformats.org/wordprocessingml/2006/main&quot;&gt;&lt;w:lang w:val=&quot;es-ES_tradnl&quot; /&gt;&lt;/w:rPr&gt;">
        <w:rPr/>
        <w:t xml:space="preserve">Por tanto, estamos ante una decisión unilateral del Empresario que supone un trato peyorativo para el trabajador por razón de su adhesión a un Sindicato (art. 12 L.O.L.S.), que le pudiera perjudicar a causa de su afiliación sindical [art. 1.2 b) del Convenio núm. 98 de la O.I.T.]. Paralelamente, la medida puede neutralizar la ventaja que para el Sindicato significa el régimen recaudatorio establecido en el art. 11.2 L.O.L.S., en cuanto le asegura el ingreso puntual y regular de las cuotas sindicales".</w:t>
      </w:r>
    </w:p>
    <w:p w:rsidRPr="00C21FFE" w:rsidR="00F31FAF" w:rsidRDefault="00356547">
      <w:pPr>
        <w:rPr/>
      </w:pPr>
      <w:r w:rsidRPr="&lt;w:rPr xmlns:w=&quot;http://schemas.openxmlformats.org/wordprocessingml/2006/main&quot;&gt;&lt;w:lang w:val=&quot;es-ES_tradnl&quot; /&gt;&lt;/w:rPr&gt;">
        <w:rPr/>
        <w:t xml:space="preserve">"5. Establecidas estas consideraciones con relación a la libertad sindical (art. 28.1 C.E.), y a la protección de los datos informáticos (art. 18.4 C.E.), es procedente desde la perspectiva constitucional, situar correctamente la relación de los citados arts. 18.4 y 28.1, respecto de la libertad sindical.</w:t>
      </w:r>
    </w:p>
    <w:p w:rsidRPr="00C21FFE" w:rsidR="00F31FAF" w:rsidRDefault="00356547">
      <w:pPr>
        <w:rPr/>
      </w:pPr>
      <w:r w:rsidRPr="&lt;w:rPr xmlns:w=&quot;http://schemas.openxmlformats.org/wordprocessingml/2006/main&quot;&gt;&lt;w:lang w:val=&quot;es-ES_tradnl&quot; /&gt;&lt;/w:rPr&gt;">
        <w:rPr/>
        <w:t xml:space="preserve">En efecto, el art. 18.4 en su último inciso establece las limitaciones al uso de la informática para garantizar el pleno ejercicio de los derechos, lo que significa que, en supuestos como el presente, el artículo citado es, por así decirlo, un derecho instrumental ordenado a la protección de otros derechos fundamentales, entre los que se encuentra, desde luego, la libertad sindical, entendida ésta en el sentido que ha sido establecido por la doctrina de este Tribunal, porque es, en definitiva, el derecho que aquí se ha vulnerado como consecuencia de la detracción de salarios, decidida por la empresa al trabajador recurrente por su incorporación a determinado Sindicato.</w:t>
      </w:r>
    </w:p>
    <w:p w:rsidRPr="00C21FFE" w:rsidR="00F31FAF" w:rsidRDefault="00356547">
      <w:pPr>
        <w:rPr/>
      </w:pPr>
      <w:r w:rsidRPr="&lt;w:rPr xmlns:w=&quot;http://schemas.openxmlformats.org/wordprocessingml/2006/main&quot;&gt;&lt;w:lang w:val=&quot;es-ES_tradnl&quot; /&gt;&lt;/w:rPr&gt;">
        <w:rPr/>
        <w:t xml:space="preserve">En suma, ha de concluirse que tuvo lugar una lesión del art. 28.1 en conexión con el art. 18.4 C.E. Éste no sólo entraña un específico instrumento de protección de los derechos del ciudadano frente al uso torticero de la tecnología informática, como ha quedado dicho, sino que además, consagra un derecho fundamental autónomo a controlar el flujo de informaciones que conciernen a cada persona -a la privacidad según la expresión utilizada en la Exposición de Motivos de la L.O.R.T.A.D.-, pertenezcan o no al ámbito más estricto de la intimidad, para así preservar el pleno ejercicio de sus derechos. Trata de evitar que la informatización de los datos personales propicie comportamientos discriminatorios. Y aquí se utilizó un dato sensible, que había sido proporcionado con una determinada finalidad, para otra radicalmente distinta con menoscabo del legítimo ejercicio del derecho de libertad sindical".</w:t>
      </w:r>
    </w:p>
    <w:p w:rsidRPr="00C21FFE" w:rsidR="00F31FAF" w:rsidRDefault="00356547">
      <w:pPr>
        <w:rPr/>
      </w:pPr>
      <w:r w:rsidRPr="&lt;w:rPr xmlns:w=&quot;http://schemas.openxmlformats.org/wordprocessingml/2006/main&quot;&gt;&lt;w:lang w:val=&quot;es-ES_tradnl&quot; /&gt;&lt;/w:rPr&gt;">
        <w:rPr/>
        <w:t xml:space="preserve">La aplicación de la doctrina que se ha reproducido conduce también en este caso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Miguel Alberola Mingallón y, en consecuencia:</w:t>
      </w:r>
    </w:p>
    <w:p w:rsidRPr="" w:rsidR="00F31FAF" w:rsidRDefault="00356547">
      <w:pPr>
        <w:rPr/>
      </w:pPr>
      <w:r w:rsidRPr="&lt;w:rPr xmlns:w=&quot;http://schemas.openxmlformats.org/wordprocessingml/2006/main&quot;&gt;&lt;w:szCs w:val=&quot;24&quot; /&gt;&lt;/w:rPr&gt;">
        <w:rPr/>
        <w:t xml:space="preserve">1º Declarar que se ha vulnerado al recurrente su derecho a la libertad sindical, reconocido en el art. 28.1 de la Constitución en conexión con el art. 18.4 de la misma.</w:t>
      </w:r>
    </w:p>
    <w:p w:rsidRPr="" w:rsidR="00F31FAF" w:rsidRDefault="00356547">
      <w:pPr>
        <w:rPr/>
      </w:pPr>
      <w:r w:rsidRPr="&lt;w:rPr xmlns:w=&quot;http://schemas.openxmlformats.org/wordprocessingml/2006/main&quot;&gt;&lt;w:szCs w:val=&quot;24&quot; /&gt;&lt;/w:rPr&gt;">
        <w:rPr/>
        <w:t xml:space="preserve">2º Restablecerle en su derecho para lo cual se declara la nulidad de la Sentencia de la Sala de lo Social del Tribunal Superior de Justicia de Madrid de 24 de mayo de 1995, recaída en el recurso de suplicación núm. 894/95.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