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3633-2005, promovida por la Sala de lo Social del Tribunal Superior de Justicia de Canarias, en relación con la disposición adicional segunda de la Ley Orgánica 1/1990, de 3 de octubre, de ordenación general del sistema educativo (en la redacción dada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mayo de 2005 se registró en este Tribunal escrito del Presidente de la Sala de lo Social del Tribunal Superior de Justicia de Canarias al que se adjuntaba testimonio del rollo de suplicación núm. 913-2004 y Auto de 31 de marzo de 2005,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Nereida del Pino Díaz Mederos ha venido prestando servicios para la Consejería de Educación, Cultura y Deportes de la Comunidad Autónoma de Canarias, como profesora de religión y moral católica, desde el curso escolar 1998/1999. A finales de 1999 tuvieron lugar una serie de encierros de protesta del profesorado de religión y moral católica por sus condiciones laborales, participando la trabajadora en dichos encierros, así como en una huelga de dicho profesorado a principios del año 2000, eventos que tuvieron notoria repercusión pública a través de los medios de comunicación local. A mediados de 2001 el Obispado de Canarias remitió a la Comunidad Autónoma la relación de personas no propuestas para la prestación del servicio de profesorado, entre los que figuraba la trabajadora, a la que en fecha 4 de noviembre de 2001 se le comunicó que no iba a ser contratada. La trabajadora accionó por despido, dictándose Sentencia el 17 de julio de 2002 por el Juzgado de lo Social núm. 2 que declaró nulo el despido y condenó a la Comunidad Autónoma a la inmediata readmisión de la trabajadora, por entender que se había violado su derecho fundamental a participar en la mencionada huelga. La Sentencia fue recurrida en suplicación, planteándose por la Sala de lo Social del Tribunal Superior de Justicia de Canarias cuestión de inconstitucionalidad ante el Tribunal Constitucional. En la propuesta de contratación efectuada por el Obispado para el curso 2002-2003 tampoco figuraba la trabajadora, que, por ello, no fue tampoco contratada en septiembre de 2002. Nuevamente la trabajadora interpone demanda por despido nulo, dictándose Sentencia el 31 de enero de 2003 por el Juzgado de lo Social núm. 2 de Las Palmas, declarando nulo el despido de la trabajadora en análogos términos a lo resuelto en los autos 963-2001 y por las mismas razones. En ejecución de la Sentencia de 31 de enero de 2003 se contrató a la trabajadora el 27 de febrero de 2003 hasta la finalización del curso escolar 2002/2003. En los meses de julio de 2002 y marzo de 2003 la actora hizo llegar a la prensa local el contenido de las Sentencias dictadas por el Juzgado núm. 2, siendo publicado el sentido y motivación de las mismas, incluso con fotografías de la trabajadora. Llegado el inicio del curso escolar 2003/2004 el Obispado remite comunicación escrita a la Comunidad Autónoma en la que figuraba que la trabajadora no era propuesta para ser contratada. El 30 de septiembre de 2003 la trabajadora no fue nombrada como profesora de la disciplina para el curso 2003-2004. </w:t>
      </w:r>
    </w:p>
    <w:p w:rsidRPr="00C21FFE" w:rsidR="00F31FAF" w:rsidRDefault="00356547">
      <w:pPr>
        <w:rPr/>
      </w:pPr>
      <w:r w:rsidRPr="&lt;w:rPr xmlns:w=&quot;http://schemas.openxmlformats.org/wordprocessingml/2006/main&quot;&gt;&lt;w:lang w:val=&quot;es-ES_tradnl&quot; /&gt;&lt;/w:rPr&gt;">
        <w:rPr/>
        <w:t xml:space="preserve">b) Tras efectuar reclamación previa, que fue desestimada expresamente, la Sra. Díaz Mederos interpuso el 1 de octubre de 2003 demanda por despido contra la Comunidad Autónoma de Canarias y el Obispado de Canarias, que fue repartida al Juzgado de lo Social núm. 4 de Las Palmas de Gran Canaria. </w:t>
      </w:r>
    </w:p>
    <w:p w:rsidRPr="00C21FFE" w:rsidR="00F31FAF" w:rsidRDefault="00356547">
      <w:pPr>
        <w:rPr/>
      </w:pPr>
      <w:r w:rsidRPr="&lt;w:rPr xmlns:w=&quot;http://schemas.openxmlformats.org/wordprocessingml/2006/main&quot;&gt;&lt;w:lang w:val=&quot;es-ES_tradnl&quot; /&gt;&lt;/w:rPr&gt;">
        <w:rPr/>
        <w:t xml:space="preserve">c) La demanda dio lugar a los autos núm. 1110-2003, que concluyeron con Sentencia de 30 de marzo de 2004 que estimó parcialmente la demanda declarando la nulidad del despido y condenando a la Comunidad Autónoma a la readmisión de la trabajadora, con abono de los salarios dejados de percibir. Además, la Sentencia condenaba de forma solidaria a la Comunidad Autónoma y al Obispado de Canarias a abonar a la actora la suma de 6.010,52 € en concepto de indemnización por daños morales. </w:t>
      </w:r>
    </w:p>
    <w:p w:rsidRPr="00C21FFE" w:rsidR="00F31FAF" w:rsidRDefault="00356547">
      <w:pPr>
        <w:rPr/>
      </w:pPr>
      <w:r w:rsidRPr="&lt;w:rPr xmlns:w=&quot;http://schemas.openxmlformats.org/wordprocessingml/2006/main&quot;&gt;&lt;w:lang w:val=&quot;es-ES_tradnl&quot; /&gt;&lt;/w:rPr&gt;">
        <w:rPr/>
        <w:t xml:space="preserve">d) La Comunidad Autónoma interpuso recurso de suplicación ante la Sala de lo Social del Tribunal Superior de Justicia de Canarias (rollo núm. 913-2004), que ha elevado la presente cuestión de inconstitucionalidad. Previamente, y de conformidad con lo dispuesto en el art. 35.2 LOTC, dictó providencia, el 22 de febrero de 2005,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IV del Acuerdo sobre enseñanza y asuntos culturales suscrito con la Santa Sede el 3 de enero de 1979. En dicho proveído se señalaban como supuestamente conculcados los arts. 9, 14, 16, 18, 20, 23, 24, 27 y 103.3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pertinente el planteamiento de la cuestión, por entender que podría existir vinculación entre la validez de las normas cuestionadas y el sentido del fallo judicial, todo ello sin perjuicio del posterior informe que en su caso emitirá la Fiscalía ante el Tribunal Constitucional. </w:t>
      </w:r>
    </w:p>
    <w:p w:rsidRPr="00C21FFE" w:rsidR="00F31FAF" w:rsidRDefault="00356547">
      <w:pPr>
        <w:rPr/>
      </w:pPr>
      <w:r w:rsidRPr="&lt;w:rPr xmlns:w=&quot;http://schemas.openxmlformats.org/wordprocessingml/2006/main&quot;&gt;&lt;w:lang w:val=&quot;es-ES_tradnl&quot; /&gt;&lt;/w:rPr&gt;">
        <w:rPr/>
        <w:t xml:space="preserve">f) La demandante consideró igualmente pertinente el planteamiento de la cuestión, por entender que toda norma que permita a los poderes públicos adoptar una medida inconstitucional con apariencia de legalidad resulta inconstitucional, lo que concurre en la regulación de la relación laboral de los profesores de religión, que discrimina a dichos trabajadores en relación con los demás, habiéndose vulnerado además en el caso analizado los derechos fundamentales de libertad de expresión y libertad sindical. </w:t>
      </w:r>
    </w:p>
    <w:p w:rsidRPr="00C21FFE" w:rsidR="00F31FAF" w:rsidRDefault="00356547">
      <w:pPr>
        <w:rPr/>
      </w:pPr>
      <w:r w:rsidRPr="&lt;w:rPr xmlns:w=&quot;http://schemas.openxmlformats.org/wordprocessingml/2006/main&quot;&gt;&lt;w:lang w:val=&quot;es-ES_tradnl&quot; /&gt;&lt;/w:rPr&gt;">
        <w:rPr/>
        <w:t xml:space="preserve">g) Tanto el Obispado de Canarias como el Gobierno de Canarias se opusieron al planteamiento de la cuestión. </w:t>
      </w:r>
    </w:p>
    <w:p w:rsidRPr="00C21FFE" w:rsidR="00F31FAF" w:rsidRDefault="00356547">
      <w:pPr>
        <w:rPr/>
      </w:pPr>
      <w:r w:rsidRPr="&lt;w:rPr xmlns:w=&quot;http://schemas.openxmlformats.org/wordprocessingml/2006/main&quot;&gt;&lt;w:lang w:val=&quot;es-ES_tradnl&quot; /&gt;&lt;/w:rPr&gt;">
        <w:rPr/>
        <w:t xml:space="preserve">El Obispado se remitió íntegramente a lo informado en sus alegaciones ante providencias idénticas dictadas por la misma Sala con anterioridad en otros asuntos semejantes. El Gobierno canario descartó cualquier infracción sustantiva de derechos fundamentales, resumiéndose su planteamiento en la idea de que, “[d]e la misma manera que dentro de la función pública o del Derecho del Trabajo existen cargos de confianza o de libre designación, en los que existe un amplio margen de discrecionalidad en el nombramiento y cese por la naturaleza de las funciones a desempeñar, la enseñanza de la religión exige también un cierto grado de identificación o de confianza entre el profesor y la autoridad eclesiástica, en cuanto aquél debe ser una prolongación de ésta”. El Gobierno canario no alberga dudas sobre la competencia exclusiva de la Iglesia Católica en punto a “la determinación de la idoneidad de las personas que han de ejercer” la enseñanza de la religión católica, sin que a este respecto pueda exigírsele que se ajuste a otras normas que no sean las propias de la Iglesia.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31 de marzo de 2005, la Sala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 </w:t>
      </w:r>
    </w:p>
    <w:p w:rsidRPr="00C21FFE" w:rsidR="00F31FAF" w:rsidRDefault="00356547">
      <w:pPr>
        <w:rPr/>
      </w:pPr>
      <w:r w:rsidRPr="&lt;w:rPr xmlns:w=&quot;http://schemas.openxmlformats.org/wordprocessingml/2006/main&quot;&gt;&lt;w:lang w:val=&quot;es-ES_tradnl&quot; /&gt;&lt;/w:rPr&gt;">
        <w:rPr/>
        <w:t xml:space="preserve">El Auto de la Sala reproduce el contenido de un anterior Auto dictado en el recurso de suplicación 419-2002, en el que la Sala había ya planteado en otro supuesto similar cuestión de inconstitucionalidad ya admitida a trámite, añadiendo la argumentación relativa a la posible vulneración por las disposiciones cuestionadas de los arts. 20.1 y 28.2 CE, a los que no se aludía en el Auto de planteamiento de aquella cuestión anterior.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Sala, la declaración eclesiástica de idoneidad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y resultante de la disposición adicional segunda de la Ley Orgánica 1/1990 (LOGSE), en la redacción dada por la Ley 50/1998, en conjunción con los artículos III, VI y VII del Acuerdo con la Santa Sede. Para la Sala,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julio de 2005 la Sección Cuarta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175, de 23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27 de julio de 2005, el Presidente del Congreso de los Diputados puso en conocimiento del Tribunal que la Cámara no se personaría en el procedimiento ni formularía alegaciones, remitiendo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29 de julio de 2005. El representante del Gobierno, remitiéndose a lo señalado en las alegaciones presentadas en las precedentes cuestiones planteadas por la Sala de Canarias con el mismo objeto, sostiene, en primer lugar, que no pueden considerarse relevantes para el fallo del pleito laboral todos los preceptos cuestionados y que, en realidad, el verdadero objeto de la cuestión es el primer párrafo del artículo III del Acuerdo con la Santa Sede, si bien no tanto en sí mismo cuanto relacionado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segundo, tercero y cuarto del artículo III y la de los artículos VI y VII. A ello ha de añadirse ahora que el segundo párrafo de la disposición adicional segunda de la Ley Orgánica 1/1990 debe quedar excluido del objeto de este proceso, dado que este precepto legal ha sido derogado expresamente por la Ley Orgánica 10/2002, de 23 de diciembre, de calidad de la educación, en fecha muy anterior a la decisión calificada como despido nulo tomada el 30 de julio de 2003.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del párrafo primero del artículo III del Acuerdo con la Santa Sede, destacando, en primer lugar, que dicho precepto no dispone nada acerca de si la propuesta del Ordinario diocesano a la que debe atenerse la autoridad educativa es o no controlable por los Tribunales españoles. El primer párrafo del artículo III del Acuerdo con la Santa Sede no pasa de atribuir un poder de propuesta al Ordinario diocesano. Ahora bien, éste sólo propone a quienes cuentan con una previa “declaración eclesiástica de idoneidad”, habilitación docente creada por la Conferencia Episcopal Española -no por el artículo III del Acuerdo- y recogida hoy en la cláusula 4ª del convenio aprobado por Orden de 9 de abril de 1999. Con la declaración eclesiástica de idoneidad se acredita el cumplimiento de los “requisitos de formación teológica y pedagogía religiosa” necesarios para ejercer como profesor en determinados niveles, y puede ser revocada o retirada,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el primer párrafo del artículo III del Acuerdo debe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el párrafo examinado del artículo III sea contrarios al art. 24.1 CE porque impida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LORL, SSTC 64/1988, 46/2001 y 128/2001). En la dimensión individual, el art. 2.1 c) LOLR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CIC;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por ejemplo la represalia contra un profesor de religión por ejercitar el derecho fundamental de huelga,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CIC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 norma examinada no impide, por tanto, el control jurisdiccional del Estado, aunque exige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hoy derogado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CIC) responde a la naturaleza del puesto mismo de trabajo. Los alumnos católicos [arts. 16.1 CE, 2.1 c) LORL y 6.1 c) de la Ley Orgánica 5/1985], los padres católicos [arts. 16.1 y 27.3 CE, 2.1 c) LORL y 4 c) de la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Finalmente, carece de todo fundamento sólido, a juicio del Abogado del Estado, atribuir a las disposiciones cuestionadas infracción alguna de los arts. 20.1 a) o 28.2 CE, infracciones que, de existir en el proceso a quo, habrán de ser atribuidas a la decisión empresarial de despido o de no renovación del contrato, pero en modo alguno a los preceptos cuestionados por la Sala, que nada contienen que los haga incompatibles con los referidos derechos.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 la disposición adicional segunda de la Ley Orgánica 1/1990, de 3 de octubre, y a los párrafos segundo, tercero y cuarto del artículo III y a los artículos VI y VII del Acuerdo sobre enseñanza y asuntos culturales entre el Estado español y la Santa Sede, de 3 de enero de 1979, ratificado por Instrumento de 4 de diciembre de 1979, y la desestime en relación con el párrafo primero del art. III del Acuerdo.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12 de septiembre de 2005,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15 de septiembre de 2005, remitiéndose íntegramente a las alegaciones formuladas en las cuestiones de inconstitucionalidad núms. 4126-2003 y 2764-2004 e interesando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abril 2007 se acordó señalar para el día 19 del mismo mes y año,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w:t>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resuelto en su STC 38/2007, de 15 de febrero, la cuestión de inconstitucional núm. 4831-2002, planteada por la misma Sala de lo Social del Tribunal Superior de Justicia de Canarias en relación con los mismos preceptos legales y en términos prácticamente idénticos a los de la presente cuestión. En el fallo de dicha Sentencia el Tribunal declaró inadmisible la cuestión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 y desestimó la cuestión en todo lo demás (párrafos primero y segundo del art. III del Acuerdo y párrafo segundo de la disposición adicional segunda de la Ley Orgánica 1/1990), por considerar que los preceptos legales cuestionados no vulneraban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En relación con lo analizado en la STC 38/2007, la presente cuestión suscita dos problemas adicionales relevantes: de una parte, el derivado de la derogación de uno de los preceptos legales cuestionados, la disposición adicional segunda de la Ley Orgánica 1/1990, llevada a cabo por la Ley Orgánica 10/2002, de 23 de diciembre, de calidad de la educación (disposición derogatoria única); de otra, la necesidad de considerar la eventual vulneración por los preceptos legales cuestionados de los derechos a la libertad de expresión (art. 20.1 CE) y a la huelga (art. 28.1 CE), invocados por el órgano judicial en el Auto de planteamiento de ésta y no en el de aquélla.</w:t>
      </w:r>
    </w:p>
    <w:p w:rsidRPr="00C21FFE" w:rsidR="00F31FAF" w:rsidRDefault="00356547">
      <w:pPr>
        <w:rPr/>
      </w:pPr>
      <w:r w:rsidRPr="&lt;w:rPr xmlns:w=&quot;http://schemas.openxmlformats.org/wordprocessingml/2006/main&quot;&gt;&lt;w:lang w:val=&quot;es-ES_tradnl&quot; /&gt;&lt;/w:rPr&gt;">
        <w:rPr/>
        <w:t xml:space="preserve">Por lo que se refiere al primero de los problemas señalados es claro que, como indica el Abogado del Estado, la expresa derogación de la disposición adicional segunda de la Ley 1/1990, llevada a cabo por la Ley Orgánica 10/2002, de 23 de diciembre, de calidad de la educación (disposición derogatoria única), determina que la norma no se encontraba ya en vigor en la fecha en que se produjo la decisión calificada como despido y, por lo tanto, no era una norma aplicable en el proceso a quo ni de cuya validez dependiera la decisión a adoptar en el recurso de suplicación interpuesto contra la Sentencia que declaró la nulidad del despido (entre las últimas, SSTC 255/2004, de 23 de diciembre, FJ 2; 10/2005, de 20 de enero, FJ 2; 102/2005, de 18 de abril, FJ 2; 121/2005, de 10 de mayo, FJ 3; y 179/2006, de 13 de junio, FJ 2).</w:t>
      </w:r>
    </w:p>
    <w:p w:rsidRPr="00C21FFE" w:rsidR="00F31FAF" w:rsidRDefault="00356547">
      <w:pPr>
        <w:rPr/>
      </w:pPr>
      <w:r w:rsidRPr="&lt;w:rPr xmlns:w=&quot;http://schemas.openxmlformats.org/wordprocessingml/2006/main&quot;&gt;&lt;w:lang w:val=&quot;es-ES_tradnl&quot; /&gt;&lt;/w:rPr&gt;">
        <w:rPr/>
        <w:t xml:space="preserve">En cuanto al segundo de los problemas, debemos partir de la consideración de que el Auto de planteamiento de la cuestión no argumenta la existencia de una incompatibilidad entre el contenido de las disposiciones legales cuestionadas y los señalados derechos fundamentales a la libertad de expresión (art. 20.1 CE) y a la huelga (art. 28.2 CE), que fueron los que se consideraron vulnerados en el proceso a quo por la “no propuesta” del Obispado, sino que parece vincular tal vulneración a la pretendida inmunidad frente al Estado de la decisión eclesiástica, que impediría la tutela judicial de los derechos fundamentales supuestamente vulnerados por la misma.</w:t>
      </w:r>
    </w:p>
    <w:p w:rsidRPr="00C21FFE" w:rsidR="00F31FAF" w:rsidRDefault="00356547">
      <w:pPr>
        <w:rPr/>
      </w:pPr>
      <w:r w:rsidRPr="&lt;w:rPr xmlns:w=&quot;http://schemas.openxmlformats.org/wordprocessingml/2006/main&quot;&gt;&lt;w:lang w:val=&quot;es-ES_tradnl&quot; /&gt;&lt;/w:rPr&gt;">
        <w:rPr/>
        <w:t xml:space="preserve">Pues bien, hemos declarado en nuestra Sentencia 38/2007, de 15 de febrero, FJ 7, que “ni el art. III del Acuerdo sobre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 así como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dado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en lo que respecta al control de constitucionalidad que delimita el objeto de la presente cuestión de inconstitucionalidad no podemos sino descartar que las disposiciones legales cuestionadas vulneren los invocados arts. 20.1 y 28.2 CE, sin perjuicio de las consideraciones que, en su caso, proceda efectuar en el ámbito del control concreto de los actos de aplicación de estas disposiciones legales y de su conformidad con los derechos fundamentales, que corresponde, según hemos señalado, a los órganos judiciales y, en su caso, a este Tribunal Constitucional en el marco del recurso de amparo (STC 38/2007, de 15 de febrero, FJ 14).</w:t>
      </w:r>
    </w:p>
    <w:p w:rsidRPr="00C21FFE" w:rsidR="00F31FAF" w:rsidRDefault="00356547">
      <w:pPr>
        <w:rPr/>
      </w:pPr>
      <w:r w:rsidRPr="&lt;w:rPr xmlns:w=&quot;http://schemas.openxmlformats.org/wordprocessingml/2006/main&quot;&gt;&lt;w:lang w:val=&quot;es-ES_tradnl&quot; /&gt;&lt;/w:rPr&gt;">
        <w:rPr/>
        <w:t xml:space="preserve">Procede reiterar, por ello, el pronunciamiento efectuado en la referida STC 38/2007, de 15 de febrero, con íntegra remisión a la fundamentación jurídica en ella contenida.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F A L L O</w:t>
      </w: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