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5784-2004,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septiembre de 2004 tuvo entrada en el Registro General de este Tribunal un testimonio de actuaciones remitido por la Sección Segunda de la Audiencia Provincial de Tarragona correspondiente al rollo de apelación núm. 598-2004, del que forma parte el Auto de 15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agentes de la guardia urbana de Reus, se celebró en el Juzgado de Instrucción núm. 1 de dicha localidad el juicio de faltas núm. 513-2003, recayendo Sentencia el 5 de febrero de 2004 en la que se declara probado que el 4 de septiembre de 2003 don Manuel Hernández Sánchez conducía el vehículo de su propiedad matrícula T-….-T careciendo de seguro obligatorio de responsabilidad civil, condenándose al denunciado, como autor de la falta prevista en el art. 636 CP, a la pena de 360 euros de multa, así como al abono de las costas procesales.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9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La apelante, en escrito presentado el 29 de julio de 2004, manifestó su plena conformidad con la promoción de la cuestión de inconstitucionalidad, mientras que el Ministerio Fiscal no efectuó alegaciones. </w:t>
      </w:r>
    </w:p>
    <w:p w:rsidRPr="00C21FFE" w:rsidR="00F31FAF" w:rsidRDefault="00356547">
      <w:pPr>
        <w:rPr/>
      </w:pPr>
      <w:r w:rsidRPr="&lt;w:rPr xmlns:w=&quot;http://schemas.openxmlformats.org/wordprocessingml/2006/main&quot;&gt;&lt;w:lang w:val=&quot;es-ES_tradnl&quot; /&gt;&lt;/w:rPr&gt;">
        <w:rPr/>
        <w:t xml:space="preserve">e) El 15 de septiembre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2005 la Sección Tercera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8 de febrero de 2005, la Presidencia del Congreso de los Diputados comunicó que, aunque la Cámara no se personaría en el procedimiento ni formularía alegaciones, ponía a disposición del Tribunal las actuaciones que pudiera precisar. El 10 de febrero del mismo año el Presidente del Senado comunicó el acuerdo, de la Mesa de la Cámara,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15 de febrero de 2005,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Finalmente, recuerda el Ministerio Fiscal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24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5784-2004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