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Miguel García Ortiz, funcionario jubilado del Ayuntamiento de Villafranca de los Barros, dirigió escrito a este Tribunal Constitucional el 30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artículo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20 de Octubre al solicitante, únicamente presentó escrito el Ministe rio Fiscal, solicitando se dicte Auto de inadmisión del recurso, caso de no subsanarse en el plazo concedido los defectos -que en la presentación de la demanda señala el Tribunal; y en-</w:t>
      </w:r>
    </w:p>
    <w:p w:rsidRPr="00C21FFE" w:rsidR="00AD51A7" w:rsidRDefault="008777C4">
      <w:pPr>
        <w:rPr/>
      </w:pPr>
      <w:r w:rsidRPr="&lt;w:rPr xmlns:w=&quot;http://schemas.openxmlformats.org/wordprocessingml/2006/main&quot;&gt;&lt;w:lang w:val=&quot;es-ES_tradnl&quot; /&gt;&lt;/w:rPr&gt;">
        <w:rPr/>
        <w:t xml:space="preserve">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 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157,158, 159 y 160.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podria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MIGUEL GARCÍA ORTIZ,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