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24</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13 de enero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recurrente Sr. de la Morena Bokoka, se dirigió a este Tribunal Constitucional en escrito que se recibió el veintiséis de Octubre del pasado año, poniendo de manifiesto que lleva en prisión preventiva cuatro días, por razón de causa penal y solicitando la reforma del Código Penal y de la Ley de Enjuiciamiento Criminal, y si procede, su libertad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acordó por providencia de nueve de diciembre pasado que el recurrente compareciera por medio de Procurador y bajo la dirección de Abogado, tal como dispone el articulo 81.1) de la L.O.T.C. y al notificársele esta providencia, se ha hecho constar por el Juzgado de Instrucción nº once de Madrid que fué puesto en libertad el seis de noviembre pasado.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De las distintas peticiones que ha hecho el recurrente, sólo es materia propia del amparo la referente al derecho a un proceso debido sin dilaciones excesivas que generen una privación de libertad mas allá de lo que el carácter preventivo requiere en orden a la instrucción penal, pues las otras peticiones de que se proceda a una reforma legislativa, no pueden tener como destinatario a este Tribunal Constitucional, como se infiere de las competencias que asigna el artículo 22 de la L.O.T.C. Como el recurrente ha sido puesto en libertad, el amparo deja de tener razón de ser, quedando por tanto sin contenido, lo que justifica el archivo de las actuaciones.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declarar la inadmisibilidad del recurso de que se ha heclo mérito por falta de contenido constitucional.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enero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