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Martinez Gómez presentó escrito en este Tribunal el 21 de octubre pasado solicitando la reforma inmediata del Código Penal y Ley de Enjuiciamiento Criminal, la aceleración urgente de su proceso jurídico y si procede, la libertad provisional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dieciséis de diciembre acordó hacer saber al solicitante que según lo dispuesto en el art. 49.1 en relación con el 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asímismo,interesar de este Tribunal que se haga el nombramiento de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cuenta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treinta de diciembre último ha transcurrido el plazo de diez días sin que el solicitante comparezca por medio de Abogado y Procurador, sin que tampoco haya solicitado el nombramiento de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