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Iglesias Meléndez, se dirigió a este Tribunal Constitucional en escrito que se recibió el veintiséis de octubre del pasado año, poniendo de manifiesto que lleva en prisión preventiva tres meses y seis dias,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dieciséis de diciembre pasado que el recurrente compareciera por medio de Procurador y bajo la dirección de Abogado, tal como dispone el artículo 81.1 de la Ley Orgánica del Tribunal Constitucional (L.O.T.C.), y al notificársele esta providencia, se ha hecho constar por el Juzgado de Instrucción nº nueve de Madrid que fue puesto en libertad provisional el dieciocho de diciembre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más allá de lo que el carácter preventivo requiere en orden a la instrucción penal, pues las otras peticiones de que se proceda a una reforma legislativa, no pueden tener como destinatario a este Tribunal Constitucional, como se infiere de las competencias que asigna el articulo 2º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