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310</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13 de octubre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escrito que ha dirigido a este Tribunal Braulio Alperi Ortega, interno en el Centro Penitenciario de Santoña.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Dirección del Centro Penitenciario de Santoña, con escrito recibido en este Tribunal el 9 de septiembre, remitió instancia del señor Alperi Ortega, interno en dicho Centro, por lo que solicita que este Tribunal examine su situación penitenciaria y resuelva en la forma que determinan las leyes acerca del tiempo de cumplimiento de las penas que por diversos hechos delictivos le han sido impuestas por distintos Juzgados y Tribunales.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Dice el señor Alperi Ortega en su solicitud que interesó de la audiencia Provincial de Granada la aplicación de lo dispuesto en la regla 2.ª del art. 70 del Código Penal respecto a fijar el límite del cumplimiento de las penas conforme a esta regla. Añade que efectivamente la Audiencia Provincial aplicó lo dispuesto en esta regla, pero, sin embargo, no se le ha computado el tiempo en que ha estado privado de libertad y que es aplicable al cumplimiento de la pena impuesta en una de las causas seguidas contra el mismo, todo lo cual lesiona sus derechos por cuanto el tiempo de prisión liquidado es superior al que le corresponde cumplir.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solicitante no promueve el recurso de amparo previsto en los arts. 53.2 y 161.1 b) de la CE y arts. 41 y siguientes de la LOTC para la defensa de los derechos y libertades que dice aquel precepto. Las cuestiones que suscita son referentes al cumplimiento de las penas privativas de libertad que le han sido impuestas en varias causas a la fijación del límite de su cumplimiento por acumulación de condenas y a su liquidación, materias todas que no son de la jurisdicción de este Tribunal, tal como previene el art. 2 de la LOTC, y que corresponderán, en su caso, al tribunal que haya dictado la última sentencia en las causas penales seguidas contra el solicitante con posibilidad de recurso de casación por infracción de Ley (art. 988 de la L.E.Cr.)  o la de juez de vigilancia penitenciaria, que tiene las atribuciones que dice el art.  76 de la Ley General Penitenciaria de 26 de septiembre de 1979.  Siendo de la incumbencia de la jurisdicción ordinaria el conocimiento de las cuestiones que plantea el solicitante, debemos apreciar de oficio la falta de jurisdicción, según lo dispuesto en el art. 4.2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la falta de jurisdicción para conocer de la petición que se ha hecho en el escrito antes indicado.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