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abril pasado se presentó por Doña Isabel López Martíez demanda de amparo contra sentencia dictada por el Tribunal Central de Trabajo (T.C.T.) en el recurso de suplicación número 451/83 que revocaba sentencia que la Magistratura de Trabajo número 3 de Murcia había dictado en proceso seguido a instancia de la misma parte demandante contra el Instituto Nacional de la Seguridad Social sobre prestaciones de jubilación del Régimen Especial de Autónomos de Agricultura; entendía la representación recurrente que se había vulnerado el artículo 14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artículo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la invocación en vía judicial de la vulneración de los preceptos constitucionales en que la demanda se funda estaba contenida en la adhesión del demandante al recurso de suplicación contra la sentencia de la Magistratura, que el T.C.T. revocó. Por lo que se refiere al contenido constitucional de la demanda, expone que su contenido objetivo es la vulneración del artículo 14 CE. al haberse producido un trato discriminatorio respecto de la demandante en relación con otros afiliados.</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nº 158/77, de 14 de noviembre, y nº 171/77, de 7 de diciembre, que aplicaron criterios diferentes. Pero ambas circulares han sido expresamente derogadas por Resolución de la Dirección General del Instituto Nacional de la Seguridad Social 41/81, de 12 de junio que establece qué las "cotizaciones correspondientes a periodos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adquridos, las nuevas deben ser enjuiciadas conforme al criterio hoy vigente, que es el seguido de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de 1 de julio de aquel año, personas afectadas, entre las que se halla la recurrente actual, no se afiliaron a la Seguridad Social hasta fecha muy posterior al nacimiento de aquella obligación (la demandante en amparo lo hizo mediente alta de 30 de noviembre de 1979) por lo que les fueron reclamadas e hicieron efectivas las cuotas correspondientes al período de tiempo comprendido entre el mes de julio de 1975 hasta el día del alta, surgiendo discrepancia en cuanto a si son o no computables esas cuotas exigidas por atrasos a efectos de completar el período de carencia de sesenta meses llegado el momento de solicitud de prestación de jubilación del trabajador interesado, criterios variables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períodos anteriores a la misma, suspendiéndose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período anterior al alta, mientras que a otros -como la recurrente en amparo- no le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artículo 14 de la CE., hay que notar que aún prescindiendo de que en el escrito de demanda tal violación se sitúa o se entiende cometida en la sentencia dictada por el Tribunal Central de Trabajo con fecha 26 de febrero último por la que, revocando la dictada por la Magistratura de Trabajo, se denegó la pensión de jubilación de que se trata, mientras que en el escrito de la misma parte producido en el trámite de inadmisión que hoy se resuelve, aquella vulneración se localiza en el acuerdo de la Administración que inicialmente se pronunció en términos parejos a los de la resolución judicial que puso fin a la intervención jurisdiccional, conviene resaltar que en este caso, como sin duda en muchos otros, es cierto que los órganos administrativos no han aceptado siempre un único criterio, sino que el mismo fue dual y antagónico, más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cambiante criterio, y sin que, como ya queda apuntado, se haya aducido por la recurrente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la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 14 de la C.E., por lo que tal recurso ha de declararse inadmisible de conformidad con la previsión contenida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