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302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junio de 1983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Sala ha examinado la pieza incidental de suspensión del recurso de amparo promovido por don Miguel Ramiro Rincón y otros.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>1. En 20 de abril pasado, por esta Sala se dictó Auto denegando la suspensión solicitada por la representación de los recurrentes del acto impugnado en esta vía constitucional; y contra dicho Auto ha deducido aquella representación recurso de súplica reiterando sustancialmente la fundamentación de aquella petición incidental referida a la irreparabilidad de los perjuicios que la no suspensión les produciría. Del recurso de súplica se ha dado traslado al Ministerio Fiscal quien estima que procede mantener el Auto denegatorio recurrido.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Las alegaciones que hacen los recurrentes en el recurso de súplica no son, en lo principal, distintas de las aducidas en el incidente de suspensión y que fueron valoradas en el Auto que se recurre. El que la ejecutividad de la Sentencia imponga en el orden civil el pago de las indemnizaciones fijadas en la misma, y las dificultades en orden al pago y a una eventual repetición, no son razones bastantes para suspender la Sentencia, como dijimos en el Auto recurrido.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Sala desestima el recurso de súplica interpuesto por los recurrentes, don Miguel Ramiro Rincón y otros, contra el Auto de 20 de abril pasado.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veintidós de junio de mil novecientos ochenta y tres.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