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26 de enero de 1983, el Procurador de los Tribunales don Juan Miguel Sánchez Masa, en nombre y representación de don Francisco Javier Barberá Chamarro, don Antonio Mesegué Mas y don Fernando Antonio Jabardo García, formula recurso de amparo contra la Sentencia dictada por la Sección Primera de la Sala de lo Penal de la Audiencia Nacional de 15 de enero de 1982, en el sumario núm. 46 de 1977, aclarada por Auto del día 20 del mismo mes, y contra la Sentencia dictada en el mismo sumario por la Sala Segunda del Tribunal Supremo en 27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20 de abril de 1983, se declaró inadmisible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21 de junio de 1983, don Francesco Xabier Barberá y Chamarro formula recurso de amparo contra el Auto anterior, y contra las Sentencias mencionadas en el antecedente primero.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50.3 de la Ley Orgánica del Tribunal Constitucional -LOTC- establece que «contra el acuerdo de inadmisión de una demanda de amparo constitucional no cabrá recurso alguno». De acuerdo con este precepto, el Auto de 20 de abril de 1983, que declaró inadmisible el recurso de amparo formulado contra las Sentencias mencionadas en el antecedente primero, no es susceptible de ningún recurso por lo que procede declarar inadmisible el presentado y acordar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declarar inadmisible el recurso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