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María Anchia Emparanza formuló en su día demanda ante la Magistratura de Trabajo n° 2 de las de Vizcaya en solicitud de pensión de viudedad al amparo de la Ley 1/80 de 4 de enero. Aunque la Sentencia de Magistratura le fue favorable, el Tribunal Central de Trabajo en la suya de 13 de abril de 1983, acogió el recurso de suplicación que el Instituto Nacional de la Seguridad Social interpuso contra la resolución de la instancia. Contra la Sentencia del T.C.T.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22 de junio admitió el recurso recabando las actuaciones a que se refiere el art. 51 de la Ley Orgánica de este Tribunal. Posteriormente, y tras dictarse nuestra Sentencia de 26 de julio de 1983 en el recurso de amparo 61/83, se acordó por providencia de 21 de septiembre dar traslado de dicha Sentencia a las partes otorgándoles un plazo de diez días para alegaciones acerca de la posible conexión con el presente caso y consiguiente aplicación del art. 50.2.c de la LOTC.</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estima que concurre la indicada causa de inadmisibilidad sobrevenida y pide,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de amparo, lo mismo que el 61/83,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Dª María Anchia Emparanza.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