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nº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corriente,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artículo 83 de la LOTC, a las señaladas en el Antecedente número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articulo 38 de la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articulo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579/85,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