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779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noviembre de 1985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>La Sección ha examinado la pieza de justicia gratuita del recurso de amparo promovido por don Juan Ignacio Quintana Montero.</w:t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Don Juan Ignacio Quintana Montero dirigió a este Tribunal un escrito, que tuvo su entrada el 11 de febrero pasado, interponiendo recurso de amparo y solicitando el nombramiento de Abogado y Procurador del turno de oficio.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De dicho escrito se deduce haberse celebrado el 22 de enero de 1985 un juicio ante la Audiencia Provincial de Vitoria, en causa dimanante del sumario 34/1984 del Juzgado núm. 2 de Vitoria, y que ha recaído Sentencia que habría sido notificada el 2 de febrero. Y se alega indefensión, falta de tutela y de garantías procesales, desconocimiento de la presunción de inocencia y discriminación, con infracción de los arts. 14 y 24 C.E., motivados por hechos confusamente expuestos tales como, al parecer una denegación de prueba, ciertas deficiencias en la preparación por el Abogado y el Procurador de la defensa, la expulsión del solicitante de la Sala en el acto del juicio, la no suspensión del mismo.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Designados que le fueron Abogado y Procurador del turno de oficio, formalizaron las demandas de amparo y justicia gratuita, formándose para sustanciar la segunda la correspondiente pieza separada, en la cual, por providencia de 25 de septiembre, se acordó oír al Ministerio Fiscal y al Letrado del Estado, quienes han mostrado su conformidad a la concesión del beneficio demandado.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Unico.  De las actuaciones practicadas aparece que el demandante, de veintidós años de edad, casado, con dos hijos, interno en centro penitenciario, figura como económicamente insolvente en la causa penal a que el recurso de amparo se refiere, sin que conste que perciba ingresos de clase alguna; hallándose, en consecuencia, comprendido en el supuesto que regula el art.  14 de la Ley de Enjuiciamiento Civil.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Por lo expuesto, la Sección acuerda reconocer al solicitante de amparo el derecho a justicia gratuita para litigar en el presente recurso de amparo.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trece de noviembre de mil novecientos ochenta y cinco.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