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1A7" w:rsidRDefault="006E41A7" w:rsidP="006E41A7">
      <w:pPr>
        <w:pStyle w:val="Portada1"/>
      </w:pPr>
      <w:bookmarkStart w:id="0" w:name="_GoBack"/>
      <w:bookmarkEnd w:id="0"/>
      <w:r>
        <w:t>TRIBUNAL CONSTITUCIONAL</w:t>
      </w:r>
    </w:p>
    <w:p w:rsidR="001C705E" w:rsidRDefault="001C705E" w:rsidP="006E41A7">
      <w:pPr>
        <w:pStyle w:val="Portada1"/>
      </w:pPr>
    </w:p>
    <w:p w:rsidR="006E41A7" w:rsidRDefault="006E41A7" w:rsidP="006E41A7">
      <w:pPr>
        <w:pStyle w:val="Portada2"/>
      </w:pPr>
      <w:r>
        <w:t>SECRETARÍA GENERAL</w:t>
      </w:r>
    </w:p>
    <w:p w:rsidR="006E41A7" w:rsidRDefault="006E41A7" w:rsidP="006E41A7">
      <w:pPr>
        <w:pStyle w:val="Portada2"/>
      </w:pPr>
    </w:p>
    <w:p w:rsidR="006E41A7" w:rsidRDefault="006E41A7" w:rsidP="006E41A7">
      <w:pPr>
        <w:pStyle w:val="Portada2"/>
      </w:pPr>
    </w:p>
    <w:p w:rsidR="006E41A7" w:rsidRDefault="006E41A7" w:rsidP="006E41A7">
      <w:pPr>
        <w:pStyle w:val="Portada2"/>
      </w:pPr>
    </w:p>
    <w:p w:rsidR="006E41A7" w:rsidRDefault="006E41A7" w:rsidP="006E41A7">
      <w:pPr>
        <w:pStyle w:val="Portada2"/>
      </w:pPr>
    </w:p>
    <w:p w:rsidR="006E41A7" w:rsidRDefault="006E41A7" w:rsidP="006E41A7">
      <w:pPr>
        <w:pStyle w:val="Portada2"/>
      </w:pPr>
    </w:p>
    <w:p w:rsidR="006E41A7" w:rsidRDefault="006E41A7" w:rsidP="006E41A7">
      <w:pPr>
        <w:pStyle w:val="Portada2"/>
      </w:pPr>
    </w:p>
    <w:p w:rsidR="006E41A7" w:rsidRDefault="006E41A7" w:rsidP="006E41A7">
      <w:pPr>
        <w:pStyle w:val="Portada2"/>
      </w:pPr>
    </w:p>
    <w:p w:rsidR="006E41A7" w:rsidRDefault="006E41A7" w:rsidP="006E41A7">
      <w:pPr>
        <w:pStyle w:val="Portada2"/>
      </w:pPr>
    </w:p>
    <w:p w:rsidR="006E41A7" w:rsidRDefault="006E41A7" w:rsidP="006E41A7">
      <w:pPr>
        <w:pStyle w:val="PortadaPrincipal"/>
      </w:pPr>
      <w:r>
        <w:t>JURISPRUDENCIA</w:t>
      </w:r>
    </w:p>
    <w:p w:rsidR="006E41A7" w:rsidRDefault="006E41A7" w:rsidP="006E41A7">
      <w:pPr>
        <w:pStyle w:val="PortadaPrincipal"/>
      </w:pPr>
      <w:r>
        <w:t>CONSTITUCIONAL</w:t>
      </w:r>
    </w:p>
    <w:p w:rsidR="006E41A7" w:rsidRDefault="006E41A7" w:rsidP="006E41A7">
      <w:pPr>
        <w:pStyle w:val="PortadaPrincipal"/>
      </w:pPr>
    </w:p>
    <w:p w:rsidR="006E41A7" w:rsidRPr="006E41A7" w:rsidRDefault="006E41A7" w:rsidP="006E41A7">
      <w:pPr>
        <w:pStyle w:val="Portada1"/>
        <w:rPr>
          <w:b/>
        </w:rPr>
      </w:pPr>
      <w:r w:rsidRPr="006E41A7">
        <w:rPr>
          <w:b/>
        </w:rPr>
        <w:t>TOMO UNDÉCIMO</w:t>
      </w:r>
    </w:p>
    <w:p w:rsidR="006E41A7" w:rsidRPr="006E41A7" w:rsidRDefault="006E41A7" w:rsidP="006E41A7">
      <w:pPr>
        <w:pStyle w:val="Portada1"/>
        <w:rPr>
          <w:b/>
        </w:rPr>
      </w:pPr>
      <w:r w:rsidRPr="006E41A7">
        <w:rPr>
          <w:b/>
        </w:rPr>
        <w:t>(enero - abril 1985)</w:t>
      </w:r>
    </w:p>
    <w:p w:rsidR="006E41A7" w:rsidRDefault="006E41A7" w:rsidP="006E41A7">
      <w:pPr>
        <w:pStyle w:val="Portada1"/>
      </w:pPr>
    </w:p>
    <w:p w:rsidR="006E41A7" w:rsidRDefault="006E41A7" w:rsidP="006E41A7">
      <w:pPr>
        <w:pStyle w:val="Portada1"/>
      </w:pPr>
    </w:p>
    <w:p w:rsidR="006E41A7" w:rsidRDefault="006E41A7" w:rsidP="006E41A7">
      <w:pPr>
        <w:pStyle w:val="Portada1"/>
      </w:pPr>
    </w:p>
    <w:p w:rsidR="006E41A7" w:rsidRDefault="006E41A7" w:rsidP="006E41A7">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6E41A7" w:rsidRDefault="006E41A7" w:rsidP="006E41A7">
      <w:pPr>
        <w:pStyle w:val="Portada1"/>
      </w:pPr>
    </w:p>
    <w:p w:rsidR="006E41A7" w:rsidRDefault="006E41A7" w:rsidP="006E41A7">
      <w:pPr>
        <w:pStyle w:val="Portada1"/>
      </w:pPr>
    </w:p>
    <w:p w:rsidR="006E41A7" w:rsidRDefault="006E41A7" w:rsidP="006E41A7">
      <w:pPr>
        <w:pStyle w:val="Portada1"/>
      </w:pPr>
    </w:p>
    <w:p w:rsidR="006E41A7" w:rsidRDefault="006E41A7" w:rsidP="006E41A7">
      <w:pPr>
        <w:pStyle w:val="Portada1"/>
      </w:pPr>
    </w:p>
    <w:p w:rsidR="006E41A7" w:rsidRDefault="006E41A7" w:rsidP="006E41A7">
      <w:pPr>
        <w:pStyle w:val="Portada1"/>
      </w:pPr>
    </w:p>
    <w:p w:rsidR="006E41A7" w:rsidRDefault="006E41A7" w:rsidP="006E41A7">
      <w:pPr>
        <w:pStyle w:val="Portada2"/>
      </w:pPr>
      <w:r>
        <w:t>MADRID 1985</w:t>
      </w:r>
    </w:p>
    <w:p w:rsidR="000F63E8" w:rsidRDefault="000F63E8">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0F63E8" w:rsidRDefault="000F63E8" w:rsidP="000F63E8">
      <w:pPr>
        <w:pStyle w:val="CabeceraApartadoDerecha"/>
      </w:pPr>
      <w:r>
        <w:lastRenderedPageBreak/>
        <w:t>CONTENIDO</w:t>
      </w:r>
    </w:p>
    <w:p w:rsidR="001C705E" w:rsidRDefault="001C705E" w:rsidP="000F63E8">
      <w:pPr>
        <w:pStyle w:val="CabeceraApartadoDerecha"/>
      </w:pPr>
    </w:p>
    <w:p w:rsidR="000F63E8" w:rsidRDefault="000F63E8" w:rsidP="000F63E8">
      <w:pPr>
        <w:pStyle w:val="EntradandiceSumario"/>
        <w:keepNext w:val="0"/>
      </w:pPr>
      <w:r>
        <w:t>1. SENTENCIAS: STC 1/1985 A STC 58/1985</w:t>
      </w:r>
      <w:r>
        <w:tab/>
      </w:r>
      <w:r>
        <w:tab/>
      </w:r>
      <w:r>
        <w:fldChar w:fldCharType="begin"/>
      </w:r>
      <w:r>
        <w:instrText xml:space="preserve"> PAGEREF SUMARIOSENTENCIAS \h </w:instrText>
      </w:r>
      <w:r>
        <w:fldChar w:fldCharType="separate"/>
      </w:r>
      <w:r w:rsidR="00CB2978">
        <w:rPr>
          <w:noProof/>
        </w:rPr>
        <w:t>3</w:t>
      </w:r>
      <w:r>
        <w:fldChar w:fldCharType="end"/>
      </w:r>
    </w:p>
    <w:p w:rsidR="000F63E8" w:rsidRDefault="000F63E8" w:rsidP="000F63E8">
      <w:pPr>
        <w:pStyle w:val="EntradandiceSumario"/>
        <w:keepNext w:val="0"/>
      </w:pPr>
    </w:p>
    <w:p w:rsidR="000F63E8" w:rsidRDefault="000F63E8" w:rsidP="000F63E8">
      <w:pPr>
        <w:pStyle w:val="EntradandiceSumario"/>
        <w:keepNext w:val="0"/>
      </w:pPr>
      <w:bookmarkStart w:id="1" w:name="SUMARIOSINDICES"/>
      <w:r>
        <w:t>2. AUTOS: ATC 1/1985 A ATC 284/1985</w:t>
      </w:r>
      <w:r>
        <w:tab/>
      </w:r>
      <w:r>
        <w:tab/>
      </w:r>
      <w:r>
        <w:fldChar w:fldCharType="begin"/>
      </w:r>
      <w:r>
        <w:instrText xml:space="preserve"> PAGEREF SUMARIOSAUTOS \h </w:instrText>
      </w:r>
      <w:r>
        <w:fldChar w:fldCharType="separate"/>
      </w:r>
      <w:r w:rsidR="00CB2978">
        <w:rPr>
          <w:noProof/>
        </w:rPr>
        <w:t>11</w:t>
      </w:r>
      <w:r>
        <w:fldChar w:fldCharType="end"/>
      </w:r>
    </w:p>
    <w:bookmarkEnd w:id="1"/>
    <w:p w:rsidR="000F63E8" w:rsidRDefault="000F63E8" w:rsidP="000F63E8">
      <w:pPr>
        <w:pStyle w:val="EntradandiceSumario"/>
        <w:keepNext w:val="0"/>
      </w:pPr>
    </w:p>
    <w:p w:rsidR="000F63E8" w:rsidRDefault="00FB3A39" w:rsidP="000F63E8">
      <w:pPr>
        <w:pStyle w:val="EntradandiceSumario"/>
        <w:keepNext w:val="0"/>
      </w:pPr>
      <w:r>
        <w:t>3.</w:t>
      </w:r>
      <w:r w:rsidR="008E7076">
        <w:t xml:space="preserve"> ÍNDICE DE DISPOSICIONES CON FUERZA DE LEY IMPUGNADAS</w:t>
      </w:r>
      <w:r w:rsidR="000F63E8">
        <w:t>:</w:t>
      </w:r>
    </w:p>
    <w:p w:rsidR="000F63E8" w:rsidRDefault="000F63E8" w:rsidP="000F63E8">
      <w:pPr>
        <w:pStyle w:val="EntradandiceSumario"/>
        <w:keepNext w:val="0"/>
      </w:pPr>
    </w:p>
    <w:p w:rsidR="000F63E8" w:rsidRDefault="00F87A86" w:rsidP="000F63E8">
      <w:pPr>
        <w:pStyle w:val="EntradandiceSumarioNivel2"/>
        <w:keepNext w:val="0"/>
      </w:pPr>
      <w:r>
        <w:t>A) Disposiciones con fuerza de ley del Estado</w:t>
      </w:r>
      <w:r w:rsidR="000F63E8">
        <w:tab/>
      </w:r>
      <w:r w:rsidR="000F63E8">
        <w:tab/>
      </w:r>
      <w:r w:rsidR="000F63E8">
        <w:fldChar w:fldCharType="begin"/>
      </w:r>
      <w:r w:rsidR="000F63E8">
        <w:instrText xml:space="preserve"> PAGEREF INDICE22802 \h </w:instrText>
      </w:r>
      <w:r w:rsidR="000F63E8">
        <w:fldChar w:fldCharType="separate"/>
      </w:r>
      <w:r w:rsidR="00CB2978">
        <w:rPr>
          <w:noProof/>
        </w:rPr>
        <w:t>1719</w:t>
      </w:r>
      <w:r w:rsidR="000F63E8">
        <w:fldChar w:fldCharType="end"/>
      </w:r>
    </w:p>
    <w:p w:rsidR="000F63E8" w:rsidRDefault="006670AE" w:rsidP="000F63E8">
      <w:pPr>
        <w:pStyle w:val="EntradandiceSumarioNivel2"/>
        <w:keepNext w:val="0"/>
      </w:pPr>
      <w:r>
        <w:t>B) Disposiciones con fuerza de ley de las Comunidades Autónomas</w:t>
      </w:r>
      <w:r w:rsidR="000F63E8">
        <w:tab/>
      </w:r>
      <w:r w:rsidR="000F63E8">
        <w:tab/>
      </w:r>
      <w:r w:rsidR="000F63E8">
        <w:fldChar w:fldCharType="begin"/>
      </w:r>
      <w:r w:rsidR="000F63E8">
        <w:instrText xml:space="preserve"> PAGEREF INDICE22806 \h </w:instrText>
      </w:r>
      <w:r w:rsidR="000F63E8">
        <w:fldChar w:fldCharType="separate"/>
      </w:r>
      <w:r w:rsidR="00CB2978">
        <w:rPr>
          <w:noProof/>
        </w:rPr>
        <w:t>1720</w:t>
      </w:r>
      <w:r w:rsidR="000F63E8">
        <w:fldChar w:fldCharType="end"/>
      </w:r>
    </w:p>
    <w:p w:rsidR="000F63E8" w:rsidRDefault="000F63E8" w:rsidP="000F63E8"/>
    <w:p w:rsidR="000F63E8" w:rsidRDefault="00BD7949" w:rsidP="000F63E8">
      <w:pPr>
        <w:pStyle w:val="EntradandiceSumario"/>
        <w:keepNext w:val="0"/>
      </w:pPr>
      <w:r>
        <w:t>4. ÍNDICE DE DISPOSICIONES GENERALES IMPUGNADAS</w:t>
      </w:r>
      <w:r w:rsidR="000F63E8">
        <w:t>:</w:t>
      </w:r>
    </w:p>
    <w:p w:rsidR="000F63E8" w:rsidRDefault="000F63E8" w:rsidP="000F63E8">
      <w:pPr>
        <w:pStyle w:val="EntradandiceSumario"/>
        <w:keepNext w:val="0"/>
      </w:pPr>
    </w:p>
    <w:p w:rsidR="000F63E8" w:rsidRDefault="000F63E8" w:rsidP="000F63E8">
      <w:pPr>
        <w:pStyle w:val="EntradandiceSumarioNivel2"/>
        <w:keepNext w:val="0"/>
      </w:pPr>
      <w:r>
        <w:t>A) Disposiciones del Estado</w:t>
      </w:r>
      <w:r>
        <w:tab/>
      </w:r>
      <w:r>
        <w:tab/>
      </w:r>
      <w:r>
        <w:fldChar w:fldCharType="begin"/>
      </w:r>
      <w:r>
        <w:instrText xml:space="preserve"> PAGEREF INDICE22803 \h </w:instrText>
      </w:r>
      <w:r>
        <w:fldChar w:fldCharType="separate"/>
      </w:r>
      <w:r w:rsidR="00CB2978">
        <w:rPr>
          <w:noProof/>
        </w:rPr>
        <w:t>1722</w:t>
      </w:r>
      <w:r>
        <w:fldChar w:fldCharType="end"/>
      </w:r>
    </w:p>
    <w:p w:rsidR="000F63E8" w:rsidRDefault="000F63E8" w:rsidP="000F63E8">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CB2978">
        <w:rPr>
          <w:noProof/>
        </w:rPr>
        <w:t>1723</w:t>
      </w:r>
      <w:r>
        <w:fldChar w:fldCharType="end"/>
      </w:r>
    </w:p>
    <w:p w:rsidR="000F63E8" w:rsidRDefault="000F63E8" w:rsidP="000F63E8"/>
    <w:p w:rsidR="000F63E8" w:rsidRDefault="000F63E8" w:rsidP="000F63E8">
      <w:pPr>
        <w:pStyle w:val="EntradandiceSumario"/>
        <w:keepNext w:val="0"/>
      </w:pPr>
      <w:r>
        <w:t>5. ÍNDICE DE DISPOSICIONES CITADAS:</w:t>
      </w:r>
    </w:p>
    <w:p w:rsidR="000F63E8" w:rsidRDefault="000F63E8" w:rsidP="000F63E8">
      <w:pPr>
        <w:pStyle w:val="EntradandiceSumario"/>
        <w:keepNext w:val="0"/>
      </w:pPr>
    </w:p>
    <w:p w:rsidR="000F63E8" w:rsidRDefault="000F63E8" w:rsidP="000F63E8">
      <w:pPr>
        <w:pStyle w:val="EntradandiceSumarioNivel2"/>
        <w:keepNext w:val="0"/>
      </w:pPr>
      <w:r>
        <w:t>A) Constitución</w:t>
      </w:r>
      <w:r>
        <w:tab/>
      </w:r>
      <w:r>
        <w:tab/>
      </w:r>
      <w:r>
        <w:fldChar w:fldCharType="begin"/>
      </w:r>
      <w:r>
        <w:instrText xml:space="preserve"> PAGEREF INDICE22804 \h </w:instrText>
      </w:r>
      <w:r>
        <w:fldChar w:fldCharType="separate"/>
      </w:r>
      <w:r w:rsidR="00CB2978">
        <w:rPr>
          <w:noProof/>
        </w:rPr>
        <w:t>1725</w:t>
      </w:r>
      <w:r>
        <w:fldChar w:fldCharType="end"/>
      </w:r>
    </w:p>
    <w:p w:rsidR="000F63E8" w:rsidRDefault="000F63E8" w:rsidP="000F63E8">
      <w:pPr>
        <w:pStyle w:val="EntradandiceSumarioNivel2"/>
        <w:keepNext w:val="0"/>
      </w:pPr>
      <w:r>
        <w:t>B) Tribunal Constitucional</w:t>
      </w:r>
      <w:r>
        <w:tab/>
      </w:r>
      <w:r>
        <w:tab/>
      </w:r>
      <w:r>
        <w:fldChar w:fldCharType="begin"/>
      </w:r>
      <w:r>
        <w:instrText xml:space="preserve"> PAGEREF INDICE22843 \h </w:instrText>
      </w:r>
      <w:r>
        <w:fldChar w:fldCharType="separate"/>
      </w:r>
      <w:r w:rsidR="00CB2978">
        <w:rPr>
          <w:noProof/>
        </w:rPr>
        <w:t>1730</w:t>
      </w:r>
      <w:r>
        <w:fldChar w:fldCharType="end"/>
      </w:r>
    </w:p>
    <w:p w:rsidR="000F63E8" w:rsidRDefault="000F63E8" w:rsidP="000F63E8">
      <w:pPr>
        <w:pStyle w:val="EntradandiceSumarioNivel2"/>
        <w:keepNext w:val="0"/>
      </w:pPr>
      <w:r>
        <w:t>C) Cortes Generales</w:t>
      </w:r>
      <w:r>
        <w:tab/>
      </w:r>
      <w:r>
        <w:tab/>
      </w:r>
      <w:r>
        <w:fldChar w:fldCharType="begin"/>
      </w:r>
      <w:r>
        <w:instrText xml:space="preserve"> PAGEREF INDICE22844 \h </w:instrText>
      </w:r>
      <w:r>
        <w:fldChar w:fldCharType="separate"/>
      </w:r>
      <w:r w:rsidR="00CB2978">
        <w:rPr>
          <w:noProof/>
        </w:rPr>
        <w:t>1734</w:t>
      </w:r>
      <w:r>
        <w:fldChar w:fldCharType="end"/>
      </w:r>
    </w:p>
    <w:p w:rsidR="000F63E8" w:rsidRDefault="000F63E8" w:rsidP="000F63E8">
      <w:pPr>
        <w:pStyle w:val="EntradandiceSumarioNivel2"/>
        <w:keepNext w:val="0"/>
      </w:pPr>
      <w:r>
        <w:t>D) Leyes Orgánicas</w:t>
      </w:r>
      <w:r>
        <w:tab/>
      </w:r>
      <w:r>
        <w:tab/>
      </w:r>
      <w:r>
        <w:fldChar w:fldCharType="begin"/>
      </w:r>
      <w:r>
        <w:instrText xml:space="preserve"> PAGEREF INDICE22845 \h </w:instrText>
      </w:r>
      <w:r>
        <w:fldChar w:fldCharType="separate"/>
      </w:r>
      <w:r w:rsidR="00CB2978">
        <w:rPr>
          <w:noProof/>
        </w:rPr>
        <w:t>1734</w:t>
      </w:r>
      <w:r>
        <w:fldChar w:fldCharType="end"/>
      </w:r>
    </w:p>
    <w:p w:rsidR="000F63E8" w:rsidRDefault="000F63E8" w:rsidP="000F63E8">
      <w:pPr>
        <w:pStyle w:val="EntradandiceSumarioNivel2"/>
        <w:keepNext w:val="0"/>
      </w:pPr>
      <w:r>
        <w:t>E) Leyes de las Cortes Generales</w:t>
      </w:r>
      <w:r>
        <w:tab/>
      </w:r>
      <w:r>
        <w:tab/>
      </w:r>
      <w:r>
        <w:fldChar w:fldCharType="begin"/>
      </w:r>
      <w:r>
        <w:instrText xml:space="preserve"> PAGEREF INDICE22846 \h </w:instrText>
      </w:r>
      <w:r>
        <w:fldChar w:fldCharType="separate"/>
      </w:r>
      <w:r w:rsidR="00CB2978">
        <w:rPr>
          <w:noProof/>
        </w:rPr>
        <w:t>1735</w:t>
      </w:r>
      <w:r>
        <w:fldChar w:fldCharType="end"/>
      </w:r>
    </w:p>
    <w:p w:rsidR="000F63E8" w:rsidRDefault="000F63E8" w:rsidP="000F63E8">
      <w:pPr>
        <w:pStyle w:val="EntradandiceSumarioNivel2"/>
        <w:keepNext w:val="0"/>
      </w:pPr>
      <w:r>
        <w:t>F) Reales Decretos Legislativos</w:t>
      </w:r>
      <w:r>
        <w:tab/>
      </w:r>
      <w:r>
        <w:tab/>
      </w:r>
      <w:r>
        <w:fldChar w:fldCharType="begin"/>
      </w:r>
      <w:r>
        <w:instrText xml:space="preserve"> PAGEREF INDICE22847 \h </w:instrText>
      </w:r>
      <w:r>
        <w:fldChar w:fldCharType="separate"/>
      </w:r>
      <w:r w:rsidR="00CB2978">
        <w:rPr>
          <w:noProof/>
        </w:rPr>
        <w:t>1739</w:t>
      </w:r>
      <w:r>
        <w:fldChar w:fldCharType="end"/>
      </w:r>
    </w:p>
    <w:p w:rsidR="000F63E8" w:rsidRDefault="000F63E8" w:rsidP="000F63E8">
      <w:pPr>
        <w:pStyle w:val="EntradandiceSumarioNivel2"/>
        <w:keepNext w:val="0"/>
      </w:pPr>
      <w:r>
        <w:t>G) Reales Decretos-leyes</w:t>
      </w:r>
      <w:r>
        <w:tab/>
      </w:r>
      <w:r>
        <w:tab/>
      </w:r>
      <w:r>
        <w:fldChar w:fldCharType="begin"/>
      </w:r>
      <w:r>
        <w:instrText xml:space="preserve"> PAGEREF INDICE22848 \h </w:instrText>
      </w:r>
      <w:r>
        <w:fldChar w:fldCharType="separate"/>
      </w:r>
      <w:r w:rsidR="00CB2978">
        <w:rPr>
          <w:noProof/>
        </w:rPr>
        <w:t>1740</w:t>
      </w:r>
      <w:r>
        <w:fldChar w:fldCharType="end"/>
      </w:r>
    </w:p>
    <w:p w:rsidR="000F63E8" w:rsidRDefault="000F63E8" w:rsidP="000F63E8">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CB2978">
        <w:rPr>
          <w:noProof/>
        </w:rPr>
        <w:t>1740</w:t>
      </w:r>
      <w:r>
        <w:fldChar w:fldCharType="end"/>
      </w:r>
    </w:p>
    <w:p w:rsidR="000F63E8" w:rsidRDefault="000F63E8" w:rsidP="000F63E8">
      <w:pPr>
        <w:pStyle w:val="EntradandiceSumarioNivel2"/>
        <w:keepNext w:val="0"/>
      </w:pPr>
      <w:r>
        <w:t>I) Legislación preconstitucional</w:t>
      </w:r>
      <w:r>
        <w:tab/>
      </w:r>
      <w:r>
        <w:tab/>
      </w:r>
      <w:r>
        <w:fldChar w:fldCharType="begin"/>
      </w:r>
      <w:r>
        <w:instrText xml:space="preserve"> PAGEREF INDICE22850 \h </w:instrText>
      </w:r>
      <w:r>
        <w:fldChar w:fldCharType="separate"/>
      </w:r>
      <w:r w:rsidR="00CB2978">
        <w:rPr>
          <w:noProof/>
        </w:rPr>
        <w:t>1743</w:t>
      </w:r>
      <w:r>
        <w:fldChar w:fldCharType="end"/>
      </w:r>
    </w:p>
    <w:p w:rsidR="000F63E8" w:rsidRDefault="000F63E8" w:rsidP="000F63E8">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CB2978">
        <w:rPr>
          <w:noProof/>
        </w:rPr>
        <w:t>1756</w:t>
      </w:r>
      <w:r>
        <w:fldChar w:fldCharType="end"/>
      </w:r>
    </w:p>
    <w:p w:rsidR="000F63E8" w:rsidRDefault="000F63E8" w:rsidP="000F63E8">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CB2978">
        <w:rPr>
          <w:noProof/>
        </w:rPr>
        <w:t>1759</w:t>
      </w:r>
      <w:r>
        <w:fldChar w:fldCharType="end"/>
      </w:r>
    </w:p>
    <w:p w:rsidR="000F63E8" w:rsidRDefault="000F63E8" w:rsidP="000F63E8">
      <w:pPr>
        <w:pStyle w:val="EntradandiceSumarioNivel2"/>
        <w:keepNext w:val="0"/>
      </w:pPr>
      <w:r>
        <w:t>N) Consejo de Europa</w:t>
      </w:r>
      <w:r>
        <w:tab/>
      </w:r>
      <w:r>
        <w:tab/>
      </w:r>
      <w:r>
        <w:fldChar w:fldCharType="begin"/>
      </w:r>
      <w:r>
        <w:instrText xml:space="preserve"> PAGEREF INDICE27994 \h </w:instrText>
      </w:r>
      <w:r>
        <w:fldChar w:fldCharType="separate"/>
      </w:r>
      <w:r w:rsidR="00CB2978">
        <w:rPr>
          <w:noProof/>
        </w:rPr>
        <w:t>1760</w:t>
      </w:r>
      <w:r>
        <w:fldChar w:fldCharType="end"/>
      </w:r>
    </w:p>
    <w:p w:rsidR="000F63E8" w:rsidRDefault="000F63E8" w:rsidP="000F63E8">
      <w:pPr>
        <w:pStyle w:val="EntradandiceSumarioNivel2"/>
        <w:keepNext w:val="0"/>
      </w:pPr>
      <w:r>
        <w:t>Ñ) Legislación extranjera</w:t>
      </w:r>
      <w:r>
        <w:tab/>
      </w:r>
      <w:r>
        <w:tab/>
      </w:r>
      <w:r>
        <w:fldChar w:fldCharType="begin"/>
      </w:r>
      <w:r>
        <w:instrText xml:space="preserve"> PAGEREF INDICE22872 \h </w:instrText>
      </w:r>
      <w:r>
        <w:fldChar w:fldCharType="separate"/>
      </w:r>
      <w:r w:rsidR="00CB2978">
        <w:rPr>
          <w:noProof/>
        </w:rPr>
        <w:t>1761</w:t>
      </w:r>
      <w:r>
        <w:fldChar w:fldCharType="end"/>
      </w:r>
    </w:p>
    <w:p w:rsidR="000F63E8" w:rsidRDefault="000F63E8" w:rsidP="000F63E8"/>
    <w:p w:rsidR="000F63E8" w:rsidRDefault="00575B95" w:rsidP="000F63E8">
      <w:pPr>
        <w:pStyle w:val="EntradandiceSumario"/>
        <w:keepNext w:val="0"/>
      </w:pPr>
      <w:r>
        <w:t>6.</w:t>
      </w:r>
      <w:r w:rsidR="0097109F">
        <w:t xml:space="preserve"> ÍNDICE DE RESOLUCIONES JUDICIALES DE OTROS TRIBUNALES CITADAS</w:t>
      </w:r>
      <w:r w:rsidR="000F63E8">
        <w:t>:</w:t>
      </w:r>
    </w:p>
    <w:p w:rsidR="000F63E8" w:rsidRDefault="000F63E8" w:rsidP="000F63E8">
      <w:pPr>
        <w:pStyle w:val="EntradandiceSumario"/>
        <w:keepNext w:val="0"/>
      </w:pPr>
    </w:p>
    <w:p w:rsidR="000F63E8" w:rsidRDefault="000F63E8" w:rsidP="000F63E8">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CB2978">
        <w:rPr>
          <w:noProof/>
        </w:rPr>
        <w:t>1762</w:t>
      </w:r>
      <w:r>
        <w:fldChar w:fldCharType="end"/>
      </w:r>
    </w:p>
    <w:p w:rsidR="000F63E8" w:rsidRDefault="000F63E8" w:rsidP="000F63E8">
      <w:pPr>
        <w:pStyle w:val="EntradandiceSumarioNivel2"/>
        <w:keepNext w:val="0"/>
      </w:pPr>
      <w:r>
        <w:t>D) Otros Tribunales</w:t>
      </w:r>
      <w:r>
        <w:tab/>
      </w:r>
      <w:r>
        <w:tab/>
      </w:r>
      <w:r>
        <w:fldChar w:fldCharType="begin"/>
      </w:r>
      <w:r>
        <w:instrText xml:space="preserve"> PAGEREF INDICE22926 \h </w:instrText>
      </w:r>
      <w:r>
        <w:fldChar w:fldCharType="separate"/>
      </w:r>
      <w:r w:rsidR="00CB2978">
        <w:rPr>
          <w:noProof/>
        </w:rPr>
        <w:t>1762</w:t>
      </w:r>
      <w:r>
        <w:fldChar w:fldCharType="end"/>
      </w:r>
    </w:p>
    <w:p w:rsidR="000F63E8" w:rsidRDefault="000F63E8" w:rsidP="000F63E8"/>
    <w:p w:rsidR="000F63E8" w:rsidRDefault="000F63E8" w:rsidP="000F63E8">
      <w:pPr>
        <w:pStyle w:val="EntradandiceSumario"/>
        <w:keepNext w:val="0"/>
      </w:pPr>
      <w:r>
        <w:t>7. ÍNDICE ANALÍTICO</w:t>
      </w:r>
      <w:r>
        <w:tab/>
      </w:r>
      <w:r>
        <w:tab/>
      </w:r>
      <w:r>
        <w:fldChar w:fldCharType="begin"/>
      </w:r>
      <w:r>
        <w:instrText xml:space="preserve"> PAGEREF INDICE5ALFABETICO \h </w:instrText>
      </w:r>
      <w:r>
        <w:fldChar w:fldCharType="separate"/>
      </w:r>
      <w:r w:rsidR="00CB2978">
        <w:rPr>
          <w:noProof/>
        </w:rPr>
        <w:t>1763</w:t>
      </w:r>
      <w:r>
        <w:fldChar w:fldCharType="end"/>
      </w:r>
    </w:p>
    <w:p w:rsidR="000F63E8" w:rsidRDefault="000F63E8" w:rsidP="000F63E8"/>
    <w:p w:rsidR="000F63E8" w:rsidRDefault="000F63E8" w:rsidP="000F63E8">
      <w:pPr>
        <w:pStyle w:val="EntradandiceSumario"/>
        <w:keepNext w:val="0"/>
      </w:pPr>
      <w:r>
        <w:t>8. ABREVIATURAS Y ACRÓNIMOS</w:t>
      </w:r>
      <w:r>
        <w:tab/>
      </w:r>
      <w:r>
        <w:tab/>
      </w:r>
      <w:r>
        <w:fldChar w:fldCharType="begin"/>
      </w:r>
      <w:r>
        <w:instrText xml:space="preserve"> PAGEREF ACRONIMOS \h </w:instrText>
      </w:r>
      <w:r>
        <w:fldChar w:fldCharType="separate"/>
      </w:r>
      <w:r w:rsidR="00CB2978">
        <w:rPr>
          <w:noProof/>
        </w:rPr>
        <w:t>1786</w:t>
      </w:r>
      <w:r>
        <w:fldChar w:fldCharType="end"/>
      </w:r>
    </w:p>
    <w:p w:rsidR="000F63E8" w:rsidRDefault="000F63E8">
      <w:pPr>
        <w:rPr>
          <w:rFonts w:ascii="Times New Roman" w:eastAsia="Times New Roman" w:hAnsi="Times New Roman" w:cs="Times New Roman"/>
          <w:sz w:val="24"/>
          <w:szCs w:val="24"/>
          <w:lang w:eastAsia="es-ES"/>
        </w:rPr>
      </w:pPr>
      <w:r>
        <w:br w:type="page"/>
      </w:r>
    </w:p>
    <w:p w:rsidR="000F63E8" w:rsidRDefault="000F63E8" w:rsidP="000F63E8">
      <w:pPr>
        <w:pStyle w:val="EntradandiceSumario"/>
        <w:keepNext w:val="0"/>
      </w:pPr>
    </w:p>
    <w:p w:rsidR="000F63E8" w:rsidRDefault="000F63E8" w:rsidP="000F63E8"/>
    <w:p w:rsidR="000F63E8" w:rsidRDefault="000F63E8" w:rsidP="000F63E8"/>
    <w:p w:rsidR="000F63E8" w:rsidRDefault="000F63E8" w:rsidP="000F63E8">
      <w:pPr>
        <w:pStyle w:val="Ttulondice"/>
      </w:pPr>
      <w:bookmarkStart w:id="2" w:name="SUMARIOSENTENCIAS"/>
      <w:r>
        <w:t>1. SENTENCIAS: STC 1/1985 A STC 58/1985</w:t>
      </w:r>
    </w:p>
    <w:bookmarkEnd w:id="2"/>
    <w:p w:rsidR="000F63E8" w:rsidRDefault="000F63E8" w:rsidP="000F63E8">
      <w:pPr>
        <w:pStyle w:val="Ttulondice"/>
      </w:pPr>
    </w:p>
    <w:p w:rsidR="000F63E8" w:rsidRDefault="000F63E8" w:rsidP="000F63E8">
      <w:pPr>
        <w:pStyle w:val="Ttulondice"/>
      </w:pPr>
    </w:p>
    <w:p w:rsidR="000F63E8" w:rsidRDefault="000F63E8" w:rsidP="000F63E8">
      <w:pPr>
        <w:pStyle w:val="Ttulondice"/>
      </w:pPr>
    </w:p>
    <w:p w:rsidR="000F63E8" w:rsidRDefault="000F63E8" w:rsidP="000F63E8">
      <w:pPr>
        <w:pStyle w:val="Ttulondice"/>
      </w:pPr>
    </w:p>
    <w:p w:rsidR="000F63E8" w:rsidRDefault="000F63E8" w:rsidP="000F63E8">
      <w:pPr>
        <w:pStyle w:val="Ttulondice"/>
      </w:pPr>
    </w:p>
    <w:p w:rsidR="000F63E8" w:rsidRDefault="000F63E8" w:rsidP="000F63E8">
      <w:pPr>
        <w:pStyle w:val="Ttulondice"/>
      </w:pPr>
    </w:p>
    <w:p w:rsidR="000F63E8" w:rsidRDefault="000F63E8" w:rsidP="000F63E8">
      <w:pPr>
        <w:pStyle w:val="EntradandiceSentencia"/>
      </w:pPr>
      <w:r>
        <w:t>Sala Segunda. Sentencia 1/1985, de 9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806/1983. </w:t>
      </w:r>
      <w:r w:rsidRPr="000F63E8">
        <w:rPr>
          <w:rStyle w:val="TextoNormalCursivaCaracter"/>
        </w:rPr>
        <w:t xml:space="preserve"> </w:t>
      </w:r>
      <w:r>
        <w:tab/>
      </w:r>
      <w:r>
        <w:tab/>
      </w:r>
      <w:r>
        <w:fldChar w:fldCharType="begin"/>
      </w:r>
      <w:r>
        <w:instrText xml:space="preserve"> PAGEREF SENTENCIA_1985_1 \h </w:instrText>
      </w:r>
      <w:r>
        <w:fldChar w:fldCharType="separate"/>
      </w:r>
      <w:r w:rsidR="00CB2978">
        <w:rPr>
          <w:noProof/>
        </w:rPr>
        <w:t>36</w:t>
      </w:r>
      <w:r>
        <w:fldChar w:fldCharType="end"/>
      </w:r>
    </w:p>
    <w:p w:rsidR="001C705E" w:rsidRDefault="001C705E" w:rsidP="000F63E8"/>
    <w:p w:rsidR="000F63E8" w:rsidRDefault="000F63E8" w:rsidP="000F63E8">
      <w:pPr>
        <w:pStyle w:val="EntradandiceSentencia"/>
      </w:pPr>
      <w:r>
        <w:t>Sala Segunda. Sentencia 2/1985, de 10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314/1984. </w:t>
      </w:r>
      <w:r w:rsidRPr="000F63E8">
        <w:rPr>
          <w:rStyle w:val="TextoNormalCursivaCaracter"/>
        </w:rPr>
        <w:t xml:space="preserve"> </w:t>
      </w:r>
      <w:r>
        <w:tab/>
      </w:r>
      <w:r>
        <w:tab/>
      </w:r>
      <w:r>
        <w:fldChar w:fldCharType="begin"/>
      </w:r>
      <w:r>
        <w:instrText xml:space="preserve"> PAGEREF SENTENCIA_1985_2 \h </w:instrText>
      </w:r>
      <w:r>
        <w:fldChar w:fldCharType="separate"/>
      </w:r>
      <w:r w:rsidR="00CB2978">
        <w:rPr>
          <w:noProof/>
        </w:rPr>
        <w:t>44</w:t>
      </w:r>
      <w:r>
        <w:fldChar w:fldCharType="end"/>
      </w:r>
    </w:p>
    <w:p w:rsidR="000F63E8" w:rsidRDefault="000F63E8" w:rsidP="000F63E8"/>
    <w:p w:rsidR="000F63E8" w:rsidRDefault="000F63E8" w:rsidP="000F63E8">
      <w:pPr>
        <w:pStyle w:val="EntradandiceSentencia"/>
      </w:pPr>
      <w:r>
        <w:t>Sala Segunda. Sentencia 3/1985, de 11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315/1984. </w:t>
      </w:r>
      <w:r w:rsidRPr="000F63E8">
        <w:rPr>
          <w:rStyle w:val="TextoNormalCursivaCaracter"/>
        </w:rPr>
        <w:t xml:space="preserve"> </w:t>
      </w:r>
      <w:r>
        <w:tab/>
      </w:r>
      <w:r>
        <w:tab/>
      </w:r>
      <w:r>
        <w:fldChar w:fldCharType="begin"/>
      </w:r>
      <w:r>
        <w:instrText xml:space="preserve"> PAGEREF SENTENCIA_1985_3 \h </w:instrText>
      </w:r>
      <w:r>
        <w:fldChar w:fldCharType="separate"/>
      </w:r>
      <w:r w:rsidR="00CB2978">
        <w:rPr>
          <w:noProof/>
        </w:rPr>
        <w:t>50</w:t>
      </w:r>
      <w:r>
        <w:fldChar w:fldCharType="end"/>
      </w:r>
    </w:p>
    <w:p w:rsidR="000F63E8" w:rsidRDefault="000F63E8" w:rsidP="000F63E8"/>
    <w:p w:rsidR="000F63E8" w:rsidRDefault="000F63E8" w:rsidP="000F63E8">
      <w:pPr>
        <w:pStyle w:val="EntradandiceSentencia"/>
      </w:pPr>
      <w:r>
        <w:t>Sala Primera. Sentencia 4/1985, de 18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734/1983. </w:t>
      </w:r>
      <w:r w:rsidRPr="000F63E8">
        <w:rPr>
          <w:rStyle w:val="TextoNormalCursivaCaracter"/>
        </w:rPr>
        <w:t xml:space="preserve"> </w:t>
      </w:r>
      <w:r>
        <w:tab/>
      </w:r>
      <w:r>
        <w:tab/>
      </w:r>
      <w:r>
        <w:fldChar w:fldCharType="begin"/>
      </w:r>
      <w:r>
        <w:instrText xml:space="preserve"> PAGEREF SENTENCIA_1985_4 \h </w:instrText>
      </w:r>
      <w:r>
        <w:fldChar w:fldCharType="separate"/>
      </w:r>
      <w:r w:rsidR="00CB2978">
        <w:rPr>
          <w:noProof/>
        </w:rPr>
        <w:t>56</w:t>
      </w:r>
      <w:r>
        <w:fldChar w:fldCharType="end"/>
      </w:r>
    </w:p>
    <w:p w:rsidR="000F63E8" w:rsidRDefault="000F63E8" w:rsidP="000F63E8"/>
    <w:p w:rsidR="000F63E8" w:rsidRDefault="000F63E8" w:rsidP="000F63E8">
      <w:pPr>
        <w:pStyle w:val="EntradandiceSentencia"/>
      </w:pPr>
      <w:r>
        <w:t>Sala Segunda. Sentencia 5/1985, de 23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720/1983. </w:t>
      </w:r>
      <w:r w:rsidRPr="000F63E8">
        <w:rPr>
          <w:rStyle w:val="TextoNormalCursivaCaracter"/>
        </w:rPr>
        <w:t xml:space="preserve"> </w:t>
      </w:r>
      <w:r>
        <w:tab/>
      </w:r>
      <w:r>
        <w:tab/>
      </w:r>
      <w:r>
        <w:fldChar w:fldCharType="begin"/>
      </w:r>
      <w:r>
        <w:instrText xml:space="preserve"> PAGEREF SENTENCIA_1985_5 \h </w:instrText>
      </w:r>
      <w:r>
        <w:fldChar w:fldCharType="separate"/>
      </w:r>
      <w:r w:rsidR="00CB2978">
        <w:rPr>
          <w:noProof/>
        </w:rPr>
        <w:t>68</w:t>
      </w:r>
      <w:r>
        <w:fldChar w:fldCharType="end"/>
      </w:r>
    </w:p>
    <w:p w:rsidR="000F63E8" w:rsidRDefault="000F63E8" w:rsidP="000F63E8"/>
    <w:p w:rsidR="000F63E8" w:rsidRDefault="000F63E8" w:rsidP="000F63E8">
      <w:pPr>
        <w:pStyle w:val="EntradandiceSentencia"/>
      </w:pPr>
      <w:r>
        <w:t>Sala Segunda. Sentencia 6/1985, de 23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316/1984. </w:t>
      </w:r>
      <w:r w:rsidRPr="000F63E8">
        <w:rPr>
          <w:rStyle w:val="TextoNormalCursivaCaracter"/>
        </w:rPr>
        <w:t xml:space="preserve"> </w:t>
      </w:r>
      <w:r>
        <w:tab/>
      </w:r>
      <w:r>
        <w:tab/>
      </w:r>
      <w:r>
        <w:fldChar w:fldCharType="begin"/>
      </w:r>
      <w:r>
        <w:instrText xml:space="preserve"> PAGEREF SENTENCIA_1985_6 \h </w:instrText>
      </w:r>
      <w:r>
        <w:fldChar w:fldCharType="separate"/>
      </w:r>
      <w:r w:rsidR="00CB2978">
        <w:rPr>
          <w:noProof/>
        </w:rPr>
        <w:t>84</w:t>
      </w:r>
      <w:r>
        <w:fldChar w:fldCharType="end"/>
      </w:r>
    </w:p>
    <w:p w:rsidR="000F63E8" w:rsidRDefault="000F63E8" w:rsidP="000F63E8"/>
    <w:p w:rsidR="000F63E8" w:rsidRDefault="000F63E8" w:rsidP="000F63E8">
      <w:pPr>
        <w:pStyle w:val="EntradandiceSentencia"/>
      </w:pPr>
      <w:r>
        <w:t>Pleno. Sentencia 7/1985, de 25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Conflictos positivos de competencia 91/1982 y 96/1982 (acumulados). </w:t>
      </w:r>
      <w:r w:rsidRPr="000F63E8">
        <w:rPr>
          <w:rStyle w:val="TextoNormalCursivaCaracter"/>
        </w:rPr>
        <w:t xml:space="preserve"> </w:t>
      </w:r>
      <w:r>
        <w:tab/>
      </w:r>
      <w:r>
        <w:tab/>
      </w:r>
      <w:r>
        <w:fldChar w:fldCharType="begin"/>
      </w:r>
      <w:r>
        <w:instrText xml:space="preserve"> PAGEREF SENTENCIA_1985_7 \h </w:instrText>
      </w:r>
      <w:r>
        <w:fldChar w:fldCharType="separate"/>
      </w:r>
      <w:r w:rsidR="00CB2978">
        <w:rPr>
          <w:noProof/>
        </w:rPr>
        <w:t>90</w:t>
      </w:r>
      <w:r>
        <w:fldChar w:fldCharType="end"/>
      </w:r>
    </w:p>
    <w:p w:rsidR="000F63E8" w:rsidRDefault="000F63E8" w:rsidP="000F63E8"/>
    <w:p w:rsidR="000F63E8" w:rsidRDefault="000F63E8" w:rsidP="000F63E8">
      <w:pPr>
        <w:pStyle w:val="EntradandiceSentencia"/>
      </w:pPr>
      <w:r>
        <w:t>Sala Segunda. Sentencia 8/1985, de 25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507/1983. </w:t>
      </w:r>
      <w:r w:rsidRPr="000F63E8">
        <w:rPr>
          <w:rStyle w:val="TextoNormalCursivaCaracter"/>
        </w:rPr>
        <w:t xml:space="preserve"> Incidencia del juramento o promesa para la adquisición de la condición de Concejal</w:t>
      </w:r>
      <w:r>
        <w:tab/>
      </w:r>
      <w:r>
        <w:tab/>
      </w:r>
      <w:r>
        <w:fldChar w:fldCharType="begin"/>
      </w:r>
      <w:r>
        <w:instrText xml:space="preserve"> PAGEREF SENTENCIA_1985_8 \h </w:instrText>
      </w:r>
      <w:r>
        <w:fldChar w:fldCharType="separate"/>
      </w:r>
      <w:r w:rsidR="00CB2978">
        <w:rPr>
          <w:noProof/>
        </w:rPr>
        <w:t>101</w:t>
      </w:r>
      <w:r>
        <w:fldChar w:fldCharType="end"/>
      </w:r>
    </w:p>
    <w:p w:rsidR="000F63E8" w:rsidRDefault="000F63E8" w:rsidP="000F63E8"/>
    <w:p w:rsidR="000F63E8" w:rsidRDefault="000F63E8" w:rsidP="000F63E8">
      <w:pPr>
        <w:pStyle w:val="EntradandiceSentencia"/>
      </w:pPr>
      <w:r>
        <w:t>Pleno. Sentencia 9/1985, de 28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Conflicto positivo de competencia 342/1982. </w:t>
      </w:r>
      <w:r w:rsidRPr="000F63E8">
        <w:rPr>
          <w:rStyle w:val="TextoNormalCursivaCaracter"/>
        </w:rPr>
        <w:t xml:space="preserve"> </w:t>
      </w:r>
      <w:r>
        <w:tab/>
      </w:r>
      <w:r>
        <w:tab/>
      </w:r>
      <w:r>
        <w:fldChar w:fldCharType="begin"/>
      </w:r>
      <w:r>
        <w:instrText xml:space="preserve"> PAGEREF SENTENCIA_1985_9 \h </w:instrText>
      </w:r>
      <w:r>
        <w:fldChar w:fldCharType="separate"/>
      </w:r>
      <w:r w:rsidR="00CB2978">
        <w:rPr>
          <w:noProof/>
        </w:rPr>
        <w:t>115</w:t>
      </w:r>
      <w:r>
        <w:fldChar w:fldCharType="end"/>
      </w:r>
    </w:p>
    <w:p w:rsidR="000F63E8" w:rsidRDefault="000F63E8" w:rsidP="000F63E8"/>
    <w:p w:rsidR="000F63E8" w:rsidRDefault="000F63E8" w:rsidP="000F63E8">
      <w:pPr>
        <w:pStyle w:val="EntradandiceSentencia"/>
      </w:pPr>
      <w:r>
        <w:t>Sala Segunda. Sentencia 10/1985, de 28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266/1984. </w:t>
      </w:r>
      <w:r w:rsidRPr="000F63E8">
        <w:rPr>
          <w:rStyle w:val="TextoNormalCursivaCaracter"/>
        </w:rPr>
        <w:t xml:space="preserve"> Invocación del derecho a no ser discriminado por razón de sexo</w:t>
      </w:r>
      <w:r>
        <w:tab/>
      </w:r>
      <w:r>
        <w:tab/>
      </w:r>
      <w:r>
        <w:fldChar w:fldCharType="begin"/>
      </w:r>
      <w:r>
        <w:instrText xml:space="preserve"> PAGEREF SENTENCIA_1985_10 \h </w:instrText>
      </w:r>
      <w:r>
        <w:fldChar w:fldCharType="separate"/>
      </w:r>
      <w:r w:rsidR="00CB2978">
        <w:rPr>
          <w:noProof/>
        </w:rPr>
        <w:t>123</w:t>
      </w:r>
      <w:r>
        <w:fldChar w:fldCharType="end"/>
      </w:r>
    </w:p>
    <w:p w:rsidR="000F63E8" w:rsidRDefault="000F63E8" w:rsidP="000F63E8"/>
    <w:p w:rsidR="000F63E8" w:rsidRDefault="000F63E8" w:rsidP="000F63E8">
      <w:pPr>
        <w:pStyle w:val="EntradandiceSentencia"/>
      </w:pPr>
      <w:r>
        <w:t>Sala Primera. Sentencia 11/1985, de 30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596/1983. </w:t>
      </w:r>
      <w:r w:rsidRPr="000F63E8">
        <w:rPr>
          <w:rStyle w:val="TextoNormalCursivaCaracter"/>
        </w:rPr>
        <w:t xml:space="preserve"> </w:t>
      </w:r>
      <w:r>
        <w:tab/>
      </w:r>
      <w:r>
        <w:tab/>
      </w:r>
      <w:r>
        <w:fldChar w:fldCharType="begin"/>
      </w:r>
      <w:r>
        <w:instrText xml:space="preserve"> PAGEREF SENTENCIA_1985_11 \h </w:instrText>
      </w:r>
      <w:r>
        <w:fldChar w:fldCharType="separate"/>
      </w:r>
      <w:r w:rsidR="00CB2978">
        <w:rPr>
          <w:noProof/>
        </w:rPr>
        <w:t>132</w:t>
      </w:r>
      <w:r>
        <w:fldChar w:fldCharType="end"/>
      </w:r>
    </w:p>
    <w:p w:rsidR="000F63E8" w:rsidRDefault="000F63E8" w:rsidP="000F63E8"/>
    <w:p w:rsidR="000F63E8" w:rsidRDefault="000F63E8" w:rsidP="000F63E8">
      <w:pPr>
        <w:pStyle w:val="EntradandiceSentencia"/>
      </w:pPr>
      <w:r>
        <w:t>Pleno. Sentencia 12/1985, de 30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Conflictos positivos de competencia 810/1983 y 816/1983 (acumulados). </w:t>
      </w:r>
      <w:r w:rsidRPr="000F63E8">
        <w:rPr>
          <w:rStyle w:val="TextoNormalCursivaCaracter"/>
        </w:rPr>
        <w:t xml:space="preserve"> </w:t>
      </w:r>
      <w:r>
        <w:tab/>
      </w:r>
      <w:r>
        <w:tab/>
      </w:r>
      <w:r>
        <w:fldChar w:fldCharType="begin"/>
      </w:r>
      <w:r>
        <w:instrText xml:space="preserve"> PAGEREF SENTENCIA_1985_12 \h </w:instrText>
      </w:r>
      <w:r>
        <w:fldChar w:fldCharType="separate"/>
      </w:r>
      <w:r w:rsidR="00CB2978">
        <w:rPr>
          <w:noProof/>
        </w:rPr>
        <w:t>143</w:t>
      </w:r>
      <w:r>
        <w:fldChar w:fldCharType="end"/>
      </w:r>
    </w:p>
    <w:p w:rsidR="000F63E8" w:rsidRDefault="000F63E8" w:rsidP="000F63E8"/>
    <w:p w:rsidR="000F63E8" w:rsidRDefault="000F63E8" w:rsidP="000F63E8">
      <w:pPr>
        <w:pStyle w:val="EntradandiceSentencia"/>
      </w:pPr>
      <w:r>
        <w:t>Sala Segunda. Sentencia 13/1985, de 31 de enero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358/1984. </w:t>
      </w:r>
      <w:r w:rsidRPr="000F63E8">
        <w:rPr>
          <w:rStyle w:val="TextoNormalCursivaCaracter"/>
        </w:rPr>
        <w:t xml:space="preserve"> </w:t>
      </w:r>
      <w:r>
        <w:tab/>
      </w:r>
      <w:r>
        <w:tab/>
      </w:r>
      <w:r>
        <w:fldChar w:fldCharType="begin"/>
      </w:r>
      <w:r>
        <w:instrText xml:space="preserve"> PAGEREF SENTENCIA_1985_13 \h </w:instrText>
      </w:r>
      <w:r>
        <w:fldChar w:fldCharType="separate"/>
      </w:r>
      <w:r w:rsidR="00CB2978">
        <w:rPr>
          <w:noProof/>
        </w:rPr>
        <w:t>152</w:t>
      </w:r>
      <w:r>
        <w:fldChar w:fldCharType="end"/>
      </w:r>
    </w:p>
    <w:p w:rsidR="000F63E8" w:rsidRDefault="000F63E8" w:rsidP="000F63E8"/>
    <w:p w:rsidR="000F63E8" w:rsidRDefault="000F63E8" w:rsidP="000F63E8">
      <w:pPr>
        <w:pStyle w:val="EntradandiceSentencia"/>
      </w:pPr>
      <w:r>
        <w:t>Sala Primera. Sentencia 14/1985, de 1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869/1983. </w:t>
      </w:r>
      <w:r w:rsidRPr="000F63E8">
        <w:rPr>
          <w:rStyle w:val="TextoNormalCursivaCaracter"/>
        </w:rPr>
        <w:t xml:space="preserve"> </w:t>
      </w:r>
      <w:r>
        <w:tab/>
      </w:r>
      <w:r>
        <w:tab/>
      </w:r>
      <w:r>
        <w:fldChar w:fldCharType="begin"/>
      </w:r>
      <w:r>
        <w:instrText xml:space="preserve"> PAGEREF SENTENCIA_1985_14 \h </w:instrText>
      </w:r>
      <w:r>
        <w:fldChar w:fldCharType="separate"/>
      </w:r>
      <w:r w:rsidR="00CB2978">
        <w:rPr>
          <w:noProof/>
        </w:rPr>
        <w:t>162</w:t>
      </w:r>
      <w:r>
        <w:fldChar w:fldCharType="end"/>
      </w:r>
    </w:p>
    <w:p w:rsidR="000F63E8" w:rsidRDefault="000F63E8" w:rsidP="000F63E8"/>
    <w:p w:rsidR="000F63E8" w:rsidRDefault="000F63E8" w:rsidP="000F63E8">
      <w:pPr>
        <w:pStyle w:val="EntradandiceSentencia"/>
      </w:pPr>
      <w:r>
        <w:lastRenderedPageBreak/>
        <w:t>Sala Segunda. Sentencia 15/1985, de 5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360/1984. </w:t>
      </w:r>
      <w:r w:rsidRPr="000F63E8">
        <w:rPr>
          <w:rStyle w:val="TextoNormalCursivaCaracter"/>
        </w:rPr>
        <w:t xml:space="preserve"> </w:t>
      </w:r>
      <w:r>
        <w:tab/>
      </w:r>
      <w:r>
        <w:tab/>
      </w:r>
      <w:r>
        <w:fldChar w:fldCharType="begin"/>
      </w:r>
      <w:r>
        <w:instrText xml:space="preserve"> PAGEREF SENTENCIA_1985_15 \h </w:instrText>
      </w:r>
      <w:r>
        <w:fldChar w:fldCharType="separate"/>
      </w:r>
      <w:r w:rsidR="00CB2978">
        <w:rPr>
          <w:noProof/>
        </w:rPr>
        <w:t>176</w:t>
      </w:r>
      <w:r>
        <w:fldChar w:fldCharType="end"/>
      </w:r>
    </w:p>
    <w:p w:rsidR="000F63E8" w:rsidRDefault="000F63E8" w:rsidP="000F63E8"/>
    <w:p w:rsidR="000F63E8" w:rsidRDefault="000F63E8" w:rsidP="000F63E8">
      <w:pPr>
        <w:pStyle w:val="EntradandiceSentencia"/>
      </w:pPr>
      <w:r>
        <w:t>Sala Segunda. Sentencia 16/1985, de 8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819/1983. </w:t>
      </w:r>
      <w:r w:rsidRPr="000F63E8">
        <w:rPr>
          <w:rStyle w:val="TextoNormalCursivaCaracter"/>
        </w:rPr>
        <w:t xml:space="preserve"> </w:t>
      </w:r>
      <w:r>
        <w:tab/>
      </w:r>
      <w:r>
        <w:tab/>
      </w:r>
      <w:r>
        <w:fldChar w:fldCharType="begin"/>
      </w:r>
      <w:r>
        <w:instrText xml:space="preserve"> PAGEREF SENTENCIA_1985_16 \h </w:instrText>
      </w:r>
      <w:r>
        <w:fldChar w:fldCharType="separate"/>
      </w:r>
      <w:r w:rsidR="00CB2978">
        <w:rPr>
          <w:noProof/>
        </w:rPr>
        <w:t>183</w:t>
      </w:r>
      <w:r>
        <w:fldChar w:fldCharType="end"/>
      </w:r>
    </w:p>
    <w:p w:rsidR="000F63E8" w:rsidRDefault="000F63E8" w:rsidP="000F63E8"/>
    <w:p w:rsidR="000F63E8" w:rsidRDefault="000F63E8" w:rsidP="000F63E8">
      <w:pPr>
        <w:pStyle w:val="EntradandiceSentencia"/>
      </w:pPr>
      <w:r>
        <w:t>Sala Primera. Sentencia 17/1985, de 9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9/1983. </w:t>
      </w:r>
      <w:r w:rsidRPr="000F63E8">
        <w:rPr>
          <w:rStyle w:val="TextoNormalCursivaCaracter"/>
        </w:rPr>
        <w:t xml:space="preserve"> </w:t>
      </w:r>
      <w:r>
        <w:tab/>
      </w:r>
      <w:r>
        <w:tab/>
      </w:r>
      <w:r>
        <w:fldChar w:fldCharType="begin"/>
      </w:r>
      <w:r>
        <w:instrText xml:space="preserve"> PAGEREF SENTENCIA_1985_17 \h </w:instrText>
      </w:r>
      <w:r>
        <w:fldChar w:fldCharType="separate"/>
      </w:r>
      <w:r w:rsidR="00CB2978">
        <w:rPr>
          <w:noProof/>
        </w:rPr>
        <w:t>191</w:t>
      </w:r>
      <w:r>
        <w:fldChar w:fldCharType="end"/>
      </w:r>
    </w:p>
    <w:p w:rsidR="000F63E8" w:rsidRDefault="000F63E8" w:rsidP="000F63E8"/>
    <w:p w:rsidR="000F63E8" w:rsidRDefault="000F63E8" w:rsidP="000F63E8">
      <w:pPr>
        <w:pStyle w:val="EntradandiceSentencia"/>
      </w:pPr>
      <w:r>
        <w:t>Sala Segunda. Sentencia 18/1985, de 11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439/1984. </w:t>
      </w:r>
      <w:r w:rsidRPr="000F63E8">
        <w:rPr>
          <w:rStyle w:val="TextoNormalCursivaCaracter"/>
        </w:rPr>
        <w:t xml:space="preserve"> </w:t>
      </w:r>
      <w:r>
        <w:tab/>
      </w:r>
      <w:r>
        <w:tab/>
      </w:r>
      <w:r>
        <w:fldChar w:fldCharType="begin"/>
      </w:r>
      <w:r>
        <w:instrText xml:space="preserve"> PAGEREF SENTENCIA_1985_18 \h </w:instrText>
      </w:r>
      <w:r>
        <w:fldChar w:fldCharType="separate"/>
      </w:r>
      <w:r w:rsidR="00CB2978">
        <w:rPr>
          <w:noProof/>
        </w:rPr>
        <w:t>203</w:t>
      </w:r>
      <w:r>
        <w:fldChar w:fldCharType="end"/>
      </w:r>
    </w:p>
    <w:p w:rsidR="000F63E8" w:rsidRDefault="000F63E8" w:rsidP="000F63E8"/>
    <w:p w:rsidR="000F63E8" w:rsidRDefault="000F63E8" w:rsidP="000F63E8">
      <w:pPr>
        <w:pStyle w:val="EntradandiceSentencia"/>
      </w:pPr>
      <w:r>
        <w:t>Sala Segunda. Sentencia 19/1985, de 13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98/1984. </w:t>
      </w:r>
      <w:r w:rsidRPr="000F63E8">
        <w:rPr>
          <w:rStyle w:val="TextoNormalCursivaCaracter"/>
        </w:rPr>
        <w:t xml:space="preserve"> Supuesta violación del art. 16 de la C.E.</w:t>
      </w:r>
      <w:r>
        <w:tab/>
      </w:r>
      <w:r>
        <w:tab/>
      </w:r>
      <w:r>
        <w:fldChar w:fldCharType="begin"/>
      </w:r>
      <w:r>
        <w:instrText xml:space="preserve"> PAGEREF SENTENCIA_1985_19 \h </w:instrText>
      </w:r>
      <w:r>
        <w:fldChar w:fldCharType="separate"/>
      </w:r>
      <w:r w:rsidR="00CB2978">
        <w:rPr>
          <w:noProof/>
        </w:rPr>
        <w:t>209</w:t>
      </w:r>
      <w:r>
        <w:fldChar w:fldCharType="end"/>
      </w:r>
    </w:p>
    <w:p w:rsidR="000F63E8" w:rsidRDefault="000F63E8" w:rsidP="000F63E8"/>
    <w:p w:rsidR="000F63E8" w:rsidRDefault="000F63E8" w:rsidP="000F63E8">
      <w:pPr>
        <w:pStyle w:val="EntradandiceSentencia"/>
      </w:pPr>
      <w:r>
        <w:t>Pleno. Sentencia 20/1985, de 14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inconstitucionalidad 687/1983. </w:t>
      </w:r>
      <w:r w:rsidRPr="000F63E8">
        <w:rPr>
          <w:rStyle w:val="TextoNormalCursivaCaracter"/>
        </w:rPr>
        <w:t xml:space="preserve"> </w:t>
      </w:r>
      <w:r>
        <w:tab/>
      </w:r>
      <w:r>
        <w:tab/>
      </w:r>
      <w:r>
        <w:fldChar w:fldCharType="begin"/>
      </w:r>
      <w:r>
        <w:instrText xml:space="preserve"> PAGEREF SENTENCIA_1985_20 \h </w:instrText>
      </w:r>
      <w:r>
        <w:fldChar w:fldCharType="separate"/>
      </w:r>
      <w:r w:rsidR="00CB2978">
        <w:rPr>
          <w:noProof/>
        </w:rPr>
        <w:t>218</w:t>
      </w:r>
      <w:r>
        <w:fldChar w:fldCharType="end"/>
      </w:r>
    </w:p>
    <w:p w:rsidR="000F63E8" w:rsidRDefault="000F63E8" w:rsidP="000F63E8"/>
    <w:p w:rsidR="000F63E8" w:rsidRDefault="000F63E8" w:rsidP="000F63E8">
      <w:pPr>
        <w:pStyle w:val="EntradandiceSentencia"/>
      </w:pPr>
      <w:r>
        <w:t>Pleno. Sentencia 21/1985, de 15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Cuestión de inconstitucionalidad 184/1983. </w:t>
      </w:r>
      <w:r w:rsidRPr="000F63E8">
        <w:rPr>
          <w:rStyle w:val="TextoNormalCursivaCaracter"/>
        </w:rPr>
        <w:t xml:space="preserve"> </w:t>
      </w:r>
      <w:r>
        <w:tab/>
      </w:r>
      <w:r>
        <w:tab/>
      </w:r>
      <w:r>
        <w:fldChar w:fldCharType="begin"/>
      </w:r>
      <w:r>
        <w:instrText xml:space="preserve"> PAGEREF SENTENCIA_1985_21 \h </w:instrText>
      </w:r>
      <w:r>
        <w:fldChar w:fldCharType="separate"/>
      </w:r>
      <w:r w:rsidR="00CB2978">
        <w:rPr>
          <w:noProof/>
        </w:rPr>
        <w:t>231</w:t>
      </w:r>
      <w:r>
        <w:fldChar w:fldCharType="end"/>
      </w:r>
    </w:p>
    <w:p w:rsidR="000F63E8" w:rsidRDefault="000F63E8" w:rsidP="000F63E8"/>
    <w:p w:rsidR="000F63E8" w:rsidRDefault="000F63E8" w:rsidP="000F63E8">
      <w:pPr>
        <w:pStyle w:val="EntradandiceSentencia"/>
      </w:pPr>
      <w:r>
        <w:t>Sala Segunda. Sentencia 22/1985, de 15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104/1984. </w:t>
      </w:r>
      <w:r w:rsidRPr="000F63E8">
        <w:rPr>
          <w:rStyle w:val="TextoNormalCursivaCaracter"/>
        </w:rPr>
        <w:t xml:space="preserve"> Derogación del art. 88 a) de la LJCA por considerarlo lesivo para el derecho a la tutela judicial efectiva. Voto particular</w:t>
      </w:r>
      <w:r>
        <w:tab/>
      </w:r>
      <w:r>
        <w:tab/>
      </w:r>
      <w:r>
        <w:fldChar w:fldCharType="begin"/>
      </w:r>
      <w:r>
        <w:instrText xml:space="preserve"> PAGEREF SENTENCIA_1985_22 \h </w:instrText>
      </w:r>
      <w:r>
        <w:fldChar w:fldCharType="separate"/>
      </w:r>
      <w:r w:rsidR="00CB2978">
        <w:rPr>
          <w:noProof/>
        </w:rPr>
        <w:t>246</w:t>
      </w:r>
      <w:r>
        <w:fldChar w:fldCharType="end"/>
      </w:r>
    </w:p>
    <w:p w:rsidR="000F63E8" w:rsidRDefault="000F63E8" w:rsidP="000F63E8"/>
    <w:p w:rsidR="000F63E8" w:rsidRDefault="000F63E8" w:rsidP="000F63E8">
      <w:pPr>
        <w:pStyle w:val="EntradandiceSentencia"/>
      </w:pPr>
      <w:r>
        <w:t>Sala Segunda. Sentencia 23/1985, de 15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313/1984. </w:t>
      </w:r>
      <w:r w:rsidRPr="000F63E8">
        <w:rPr>
          <w:rStyle w:val="TextoNormalCursivaCaracter"/>
        </w:rPr>
        <w:t xml:space="preserve"> </w:t>
      </w:r>
      <w:r>
        <w:tab/>
      </w:r>
      <w:r>
        <w:tab/>
      </w:r>
      <w:r>
        <w:fldChar w:fldCharType="begin"/>
      </w:r>
      <w:r>
        <w:instrText xml:space="preserve"> PAGEREF SENTENCIA_1985_23 \h </w:instrText>
      </w:r>
      <w:r>
        <w:fldChar w:fldCharType="separate"/>
      </w:r>
      <w:r w:rsidR="00CB2978">
        <w:rPr>
          <w:noProof/>
        </w:rPr>
        <w:t>262</w:t>
      </w:r>
      <w:r>
        <w:fldChar w:fldCharType="end"/>
      </w:r>
    </w:p>
    <w:p w:rsidR="000F63E8" w:rsidRDefault="000F63E8" w:rsidP="000F63E8"/>
    <w:p w:rsidR="000F63E8" w:rsidRDefault="000F63E8" w:rsidP="000F63E8">
      <w:pPr>
        <w:pStyle w:val="EntradandiceSentencia"/>
      </w:pPr>
      <w:r>
        <w:t>Pleno. Sentencia 24/1985, de 21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Conflicto positivo de competencia 265/1982. </w:t>
      </w:r>
      <w:r w:rsidRPr="000F63E8">
        <w:rPr>
          <w:rStyle w:val="TextoNormalCursivaCaracter"/>
        </w:rPr>
        <w:t xml:space="preserve"> </w:t>
      </w:r>
      <w:r>
        <w:tab/>
      </w:r>
      <w:r>
        <w:tab/>
      </w:r>
      <w:r>
        <w:fldChar w:fldCharType="begin"/>
      </w:r>
      <w:r>
        <w:instrText xml:space="preserve"> PAGEREF SENTENCIA_1985_24 \h </w:instrText>
      </w:r>
      <w:r>
        <w:fldChar w:fldCharType="separate"/>
      </w:r>
      <w:r w:rsidR="00CB2978">
        <w:rPr>
          <w:noProof/>
        </w:rPr>
        <w:t>267</w:t>
      </w:r>
      <w:r>
        <w:fldChar w:fldCharType="end"/>
      </w:r>
    </w:p>
    <w:p w:rsidR="000F63E8" w:rsidRDefault="000F63E8" w:rsidP="000F63E8"/>
    <w:p w:rsidR="000F63E8" w:rsidRDefault="000F63E8" w:rsidP="000F63E8">
      <w:pPr>
        <w:pStyle w:val="EntradandiceSentencia"/>
      </w:pPr>
      <w:r>
        <w:t>Sala Primera. Sentencia 25/1985, de 22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534/1983. </w:t>
      </w:r>
      <w:r w:rsidRPr="000F63E8">
        <w:rPr>
          <w:rStyle w:val="TextoNormalCursivaCaracter"/>
        </w:rPr>
        <w:t xml:space="preserve"> </w:t>
      </w:r>
      <w:r>
        <w:tab/>
      </w:r>
      <w:r>
        <w:tab/>
      </w:r>
      <w:r>
        <w:fldChar w:fldCharType="begin"/>
      </w:r>
      <w:r>
        <w:instrText xml:space="preserve"> PAGEREF SENTENCIA_1985_25 \h </w:instrText>
      </w:r>
      <w:r>
        <w:fldChar w:fldCharType="separate"/>
      </w:r>
      <w:r w:rsidR="00CB2978">
        <w:rPr>
          <w:noProof/>
        </w:rPr>
        <w:t>279</w:t>
      </w:r>
      <w:r>
        <w:fldChar w:fldCharType="end"/>
      </w:r>
    </w:p>
    <w:p w:rsidR="000F63E8" w:rsidRDefault="000F63E8" w:rsidP="000F63E8"/>
    <w:p w:rsidR="000F63E8" w:rsidRDefault="000F63E8" w:rsidP="000F63E8">
      <w:pPr>
        <w:pStyle w:val="EntradandiceSentencia"/>
      </w:pPr>
      <w:r>
        <w:t>Pleno. Sentencia 26/1985, de 22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inconstitucionalidad 208/1984. </w:t>
      </w:r>
      <w:r w:rsidRPr="000F63E8">
        <w:rPr>
          <w:rStyle w:val="TextoNormalCursivaCaracter"/>
        </w:rPr>
        <w:t xml:space="preserve"> </w:t>
      </w:r>
      <w:r>
        <w:tab/>
      </w:r>
      <w:r>
        <w:tab/>
      </w:r>
      <w:r>
        <w:fldChar w:fldCharType="begin"/>
      </w:r>
      <w:r>
        <w:instrText xml:space="preserve"> PAGEREF SENTENCIA_1985_26 \h </w:instrText>
      </w:r>
      <w:r>
        <w:fldChar w:fldCharType="separate"/>
      </w:r>
      <w:r w:rsidR="00CB2978">
        <w:rPr>
          <w:noProof/>
        </w:rPr>
        <w:t>283</w:t>
      </w:r>
      <w:r>
        <w:fldChar w:fldCharType="end"/>
      </w:r>
    </w:p>
    <w:p w:rsidR="000F63E8" w:rsidRDefault="000F63E8" w:rsidP="000F63E8"/>
    <w:p w:rsidR="000F63E8" w:rsidRDefault="000F63E8" w:rsidP="000F63E8">
      <w:pPr>
        <w:pStyle w:val="EntradandiceSentencia"/>
      </w:pPr>
      <w:r>
        <w:t>Pleno. Sentencia 27/1985, de 26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Cuestión de inconstitucionalidad 620/1984. </w:t>
      </w:r>
      <w:r w:rsidRPr="000F63E8">
        <w:rPr>
          <w:rStyle w:val="TextoNormalCursivaCaracter"/>
        </w:rPr>
        <w:t xml:space="preserve"> </w:t>
      </w:r>
      <w:r>
        <w:tab/>
      </w:r>
      <w:r>
        <w:tab/>
      </w:r>
      <w:r>
        <w:fldChar w:fldCharType="begin"/>
      </w:r>
      <w:r>
        <w:instrText xml:space="preserve"> PAGEREF SENTENCIA_1985_27 \h </w:instrText>
      </w:r>
      <w:r>
        <w:fldChar w:fldCharType="separate"/>
      </w:r>
      <w:r w:rsidR="00CB2978">
        <w:rPr>
          <w:noProof/>
        </w:rPr>
        <w:t>290</w:t>
      </w:r>
      <w:r>
        <w:fldChar w:fldCharType="end"/>
      </w:r>
    </w:p>
    <w:p w:rsidR="000F63E8" w:rsidRDefault="000F63E8" w:rsidP="000F63E8"/>
    <w:p w:rsidR="000F63E8" w:rsidRDefault="000F63E8" w:rsidP="000F63E8">
      <w:pPr>
        <w:pStyle w:val="EntradandiceSentencia"/>
      </w:pPr>
      <w:r>
        <w:t>Sala Primera. Sentencia 28/1985, de 27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82/1984 199/1984 256/1984 (acumulados). </w:t>
      </w:r>
      <w:r w:rsidRPr="000F63E8">
        <w:rPr>
          <w:rStyle w:val="TextoNormalCursivaCaracter"/>
        </w:rPr>
        <w:t xml:space="preserve"> </w:t>
      </w:r>
      <w:r>
        <w:tab/>
      </w:r>
      <w:r>
        <w:tab/>
      </w:r>
      <w:r>
        <w:fldChar w:fldCharType="begin"/>
      </w:r>
      <w:r>
        <w:instrText xml:space="preserve"> PAGEREF SENTENCIA_1985_28 \h </w:instrText>
      </w:r>
      <w:r>
        <w:fldChar w:fldCharType="separate"/>
      </w:r>
      <w:r w:rsidR="00CB2978">
        <w:rPr>
          <w:noProof/>
        </w:rPr>
        <w:t>297</w:t>
      </w:r>
      <w:r>
        <w:fldChar w:fldCharType="end"/>
      </w:r>
    </w:p>
    <w:p w:rsidR="000F63E8" w:rsidRDefault="000F63E8" w:rsidP="000F63E8"/>
    <w:p w:rsidR="000F63E8" w:rsidRDefault="000F63E8" w:rsidP="000F63E8">
      <w:pPr>
        <w:pStyle w:val="EntradandiceSentencia"/>
      </w:pPr>
      <w:r>
        <w:t>Sala Segunda. Sentencia 29/1985, de 28 de febrero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124/1984. </w:t>
      </w:r>
      <w:r w:rsidRPr="000F63E8">
        <w:rPr>
          <w:rStyle w:val="TextoNormalCursivaCaracter"/>
        </w:rPr>
        <w:t xml:space="preserve"> </w:t>
      </w:r>
      <w:r>
        <w:tab/>
      </w:r>
      <w:r>
        <w:tab/>
      </w:r>
      <w:r>
        <w:fldChar w:fldCharType="begin"/>
      </w:r>
      <w:r>
        <w:instrText xml:space="preserve"> PAGEREF SENTENCIA_1985_29 \h </w:instrText>
      </w:r>
      <w:r>
        <w:fldChar w:fldCharType="separate"/>
      </w:r>
      <w:r w:rsidR="00CB2978">
        <w:rPr>
          <w:noProof/>
        </w:rPr>
        <w:t>308</w:t>
      </w:r>
      <w:r>
        <w:fldChar w:fldCharType="end"/>
      </w:r>
    </w:p>
    <w:p w:rsidR="000F63E8" w:rsidRDefault="000F63E8" w:rsidP="000F63E8"/>
    <w:p w:rsidR="000F63E8" w:rsidRDefault="000F63E8" w:rsidP="000F63E8">
      <w:pPr>
        <w:pStyle w:val="EntradandiceSentencia"/>
      </w:pPr>
      <w:r>
        <w:t>Sala Segunda. Sentencia 30/1985, de 1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413/1984. </w:t>
      </w:r>
      <w:r w:rsidRPr="000F63E8">
        <w:rPr>
          <w:rStyle w:val="TextoNormalCursivaCaracter"/>
        </w:rPr>
        <w:t xml:space="preserve"> </w:t>
      </w:r>
      <w:r>
        <w:tab/>
      </w:r>
      <w:r>
        <w:tab/>
      </w:r>
      <w:r>
        <w:fldChar w:fldCharType="begin"/>
      </w:r>
      <w:r>
        <w:instrText xml:space="preserve"> PAGEREF SENTENCIA_1985_30 \h </w:instrText>
      </w:r>
      <w:r>
        <w:fldChar w:fldCharType="separate"/>
      </w:r>
      <w:r w:rsidR="00CB2978">
        <w:rPr>
          <w:noProof/>
        </w:rPr>
        <w:t>322</w:t>
      </w:r>
      <w:r>
        <w:fldChar w:fldCharType="end"/>
      </w:r>
    </w:p>
    <w:p w:rsidR="000F63E8" w:rsidRDefault="000F63E8" w:rsidP="000F63E8"/>
    <w:p w:rsidR="000F63E8" w:rsidRDefault="000F63E8" w:rsidP="000F63E8">
      <w:pPr>
        <w:pStyle w:val="EntradandiceSentencia"/>
      </w:pPr>
      <w:r>
        <w:t>Sala Primera. Sentencia 31/1985, de 5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718/1984. </w:t>
      </w:r>
      <w:r w:rsidRPr="000F63E8">
        <w:rPr>
          <w:rStyle w:val="TextoNormalCursivaCaracter"/>
        </w:rPr>
        <w:t xml:space="preserve"> </w:t>
      </w:r>
      <w:r>
        <w:tab/>
      </w:r>
      <w:r>
        <w:tab/>
      </w:r>
      <w:r>
        <w:fldChar w:fldCharType="begin"/>
      </w:r>
      <w:r>
        <w:instrText xml:space="preserve"> PAGEREF SENTENCIA_1985_31 \h </w:instrText>
      </w:r>
      <w:r>
        <w:fldChar w:fldCharType="separate"/>
      </w:r>
      <w:r w:rsidR="00CB2978">
        <w:rPr>
          <w:noProof/>
        </w:rPr>
        <w:t>327</w:t>
      </w:r>
      <w:r>
        <w:fldChar w:fldCharType="end"/>
      </w:r>
    </w:p>
    <w:p w:rsidR="000F63E8" w:rsidRDefault="000F63E8" w:rsidP="000F63E8"/>
    <w:p w:rsidR="000F63E8" w:rsidRDefault="000F63E8" w:rsidP="000F63E8">
      <w:pPr>
        <w:pStyle w:val="EntradandiceSentencia"/>
      </w:pPr>
      <w:r>
        <w:lastRenderedPageBreak/>
        <w:t>Sala Segunda. Sentencia 32/1985, de 6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573/1983. </w:t>
      </w:r>
      <w:r w:rsidRPr="000F63E8">
        <w:rPr>
          <w:rStyle w:val="TextoNormalCursivaCaracter"/>
        </w:rPr>
        <w:t xml:space="preserve"> </w:t>
      </w:r>
      <w:r>
        <w:tab/>
      </w:r>
      <w:r>
        <w:tab/>
      </w:r>
      <w:r>
        <w:fldChar w:fldCharType="begin"/>
      </w:r>
      <w:r>
        <w:instrText xml:space="preserve"> PAGEREF SENTENCIA_1985_32 \h </w:instrText>
      </w:r>
      <w:r>
        <w:fldChar w:fldCharType="separate"/>
      </w:r>
      <w:r w:rsidR="00CB2978">
        <w:rPr>
          <w:noProof/>
        </w:rPr>
        <w:t>342</w:t>
      </w:r>
      <w:r>
        <w:fldChar w:fldCharType="end"/>
      </w:r>
    </w:p>
    <w:p w:rsidR="000F63E8" w:rsidRDefault="000F63E8" w:rsidP="000F63E8"/>
    <w:p w:rsidR="000F63E8" w:rsidRDefault="000F63E8" w:rsidP="000F63E8">
      <w:pPr>
        <w:pStyle w:val="EntradandiceSentencia"/>
      </w:pPr>
      <w:r>
        <w:t>Sala Primera. Sentencia 33/1985, de 7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372/1984. </w:t>
      </w:r>
      <w:r w:rsidRPr="000F63E8">
        <w:rPr>
          <w:rStyle w:val="TextoNormalCursivaCaracter"/>
        </w:rPr>
        <w:t xml:space="preserve"> </w:t>
      </w:r>
      <w:r>
        <w:tab/>
      </w:r>
      <w:r>
        <w:tab/>
      </w:r>
      <w:r>
        <w:fldChar w:fldCharType="begin"/>
      </w:r>
      <w:r>
        <w:instrText xml:space="preserve"> PAGEREF SENTENCIA_1985_33 \h </w:instrText>
      </w:r>
      <w:r>
        <w:fldChar w:fldCharType="separate"/>
      </w:r>
      <w:r w:rsidR="00CB2978">
        <w:rPr>
          <w:noProof/>
        </w:rPr>
        <w:t>357</w:t>
      </w:r>
      <w:r>
        <w:fldChar w:fldCharType="end"/>
      </w:r>
    </w:p>
    <w:p w:rsidR="000F63E8" w:rsidRDefault="000F63E8" w:rsidP="000F63E8"/>
    <w:p w:rsidR="000F63E8" w:rsidRDefault="000F63E8" w:rsidP="000F63E8">
      <w:pPr>
        <w:pStyle w:val="EntradandiceSentencia"/>
      </w:pPr>
      <w:r>
        <w:t>Sala Segunda. Sentencia 34/1985, de 7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411/1984. </w:t>
      </w:r>
      <w:r w:rsidRPr="000F63E8">
        <w:rPr>
          <w:rStyle w:val="TextoNormalCursivaCaracter"/>
        </w:rPr>
        <w:t xml:space="preserve"> </w:t>
      </w:r>
      <w:r>
        <w:tab/>
      </w:r>
      <w:r>
        <w:tab/>
      </w:r>
      <w:r>
        <w:fldChar w:fldCharType="begin"/>
      </w:r>
      <w:r>
        <w:instrText xml:space="preserve"> PAGEREF SENTENCIA_1985_34 \h </w:instrText>
      </w:r>
      <w:r>
        <w:fldChar w:fldCharType="separate"/>
      </w:r>
      <w:r w:rsidR="00CB2978">
        <w:rPr>
          <w:noProof/>
        </w:rPr>
        <w:t>363</w:t>
      </w:r>
      <w:r>
        <w:fldChar w:fldCharType="end"/>
      </w:r>
    </w:p>
    <w:p w:rsidR="000F63E8" w:rsidRDefault="000F63E8" w:rsidP="000F63E8"/>
    <w:p w:rsidR="000F63E8" w:rsidRDefault="000F63E8" w:rsidP="000F63E8">
      <w:pPr>
        <w:pStyle w:val="EntradandiceSentencia"/>
      </w:pPr>
      <w:r>
        <w:t>Sala Primera. Sentencia 35/1985, de 7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444/1984. </w:t>
      </w:r>
      <w:r w:rsidRPr="000F63E8">
        <w:rPr>
          <w:rStyle w:val="TextoNormalCursivaCaracter"/>
        </w:rPr>
        <w:t xml:space="preserve"> </w:t>
      </w:r>
      <w:r>
        <w:tab/>
      </w:r>
      <w:r>
        <w:tab/>
      </w:r>
      <w:r>
        <w:fldChar w:fldCharType="begin"/>
      </w:r>
      <w:r>
        <w:instrText xml:space="preserve"> PAGEREF SENTENCIA_1985_35 \h </w:instrText>
      </w:r>
      <w:r>
        <w:fldChar w:fldCharType="separate"/>
      </w:r>
      <w:r w:rsidR="00CB2978">
        <w:rPr>
          <w:noProof/>
        </w:rPr>
        <w:t>371</w:t>
      </w:r>
      <w:r>
        <w:fldChar w:fldCharType="end"/>
      </w:r>
    </w:p>
    <w:p w:rsidR="000F63E8" w:rsidRDefault="000F63E8" w:rsidP="000F63E8"/>
    <w:p w:rsidR="000F63E8" w:rsidRDefault="000F63E8" w:rsidP="000F63E8">
      <w:pPr>
        <w:pStyle w:val="EntradandiceSentencia"/>
      </w:pPr>
      <w:r>
        <w:t>Sala Primera. Sentencia 36/1985, de 8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473/1983. </w:t>
      </w:r>
      <w:r w:rsidRPr="000F63E8">
        <w:rPr>
          <w:rStyle w:val="TextoNormalCursivaCaracter"/>
        </w:rPr>
        <w:t xml:space="preserve"> </w:t>
      </w:r>
      <w:r>
        <w:tab/>
      </w:r>
      <w:r>
        <w:tab/>
      </w:r>
      <w:r>
        <w:fldChar w:fldCharType="begin"/>
      </w:r>
      <w:r>
        <w:instrText xml:space="preserve"> PAGEREF SENTENCIA_1985_36 \h </w:instrText>
      </w:r>
      <w:r>
        <w:fldChar w:fldCharType="separate"/>
      </w:r>
      <w:r w:rsidR="00CB2978">
        <w:rPr>
          <w:noProof/>
        </w:rPr>
        <w:t>379</w:t>
      </w:r>
      <w:r>
        <w:fldChar w:fldCharType="end"/>
      </w:r>
    </w:p>
    <w:p w:rsidR="000F63E8" w:rsidRDefault="000F63E8" w:rsidP="000F63E8"/>
    <w:p w:rsidR="000F63E8" w:rsidRDefault="000F63E8" w:rsidP="000F63E8">
      <w:pPr>
        <w:pStyle w:val="EntradandiceSentencia"/>
      </w:pPr>
      <w:r>
        <w:t>Sala Primera. Sentencia 37/1985, de 8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174/1984. </w:t>
      </w:r>
      <w:r w:rsidRPr="000F63E8">
        <w:rPr>
          <w:rStyle w:val="TextoNormalCursivaCaracter"/>
        </w:rPr>
        <w:t xml:space="preserve"> </w:t>
      </w:r>
      <w:r>
        <w:tab/>
      </w:r>
      <w:r>
        <w:tab/>
      </w:r>
      <w:r>
        <w:fldChar w:fldCharType="begin"/>
      </w:r>
      <w:r>
        <w:instrText xml:space="preserve"> PAGEREF SENTENCIA_1985_37 \h </w:instrText>
      </w:r>
      <w:r>
        <w:fldChar w:fldCharType="separate"/>
      </w:r>
      <w:r w:rsidR="00CB2978">
        <w:rPr>
          <w:noProof/>
        </w:rPr>
        <w:t>390</w:t>
      </w:r>
      <w:r>
        <w:fldChar w:fldCharType="end"/>
      </w:r>
    </w:p>
    <w:p w:rsidR="000F63E8" w:rsidRDefault="000F63E8" w:rsidP="000F63E8"/>
    <w:p w:rsidR="000F63E8" w:rsidRDefault="000F63E8" w:rsidP="000F63E8">
      <w:pPr>
        <w:pStyle w:val="EntradandiceSentencia"/>
      </w:pPr>
      <w:r>
        <w:t>Sala Segunda. Sentencia 38/1985, de 8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343/1984. </w:t>
      </w:r>
      <w:r w:rsidRPr="000F63E8">
        <w:rPr>
          <w:rStyle w:val="TextoNormalCursivaCaracter"/>
        </w:rPr>
        <w:t xml:space="preserve"> </w:t>
      </w:r>
      <w:r>
        <w:tab/>
      </w:r>
      <w:r>
        <w:tab/>
      </w:r>
      <w:r>
        <w:fldChar w:fldCharType="begin"/>
      </w:r>
      <w:r>
        <w:instrText xml:space="preserve"> PAGEREF SENTENCIA_1985_38 \h </w:instrText>
      </w:r>
      <w:r>
        <w:fldChar w:fldCharType="separate"/>
      </w:r>
      <w:r w:rsidR="00CB2978">
        <w:rPr>
          <w:noProof/>
        </w:rPr>
        <w:t>397</w:t>
      </w:r>
      <w:r>
        <w:fldChar w:fldCharType="end"/>
      </w:r>
    </w:p>
    <w:p w:rsidR="000F63E8" w:rsidRDefault="000F63E8" w:rsidP="000F63E8"/>
    <w:p w:rsidR="000F63E8" w:rsidRDefault="000F63E8" w:rsidP="000F63E8">
      <w:pPr>
        <w:pStyle w:val="EntradandiceSentencia"/>
      </w:pPr>
      <w:r>
        <w:t>Sala Segunda. Sentencia 39/1985, de 11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589/1983. </w:t>
      </w:r>
      <w:r w:rsidRPr="000F63E8">
        <w:rPr>
          <w:rStyle w:val="TextoNormalCursivaCaracter"/>
        </w:rPr>
        <w:t xml:space="preserve"> Sentencia incongruente con la pretensión deducida. Voto particular</w:t>
      </w:r>
      <w:r>
        <w:tab/>
      </w:r>
      <w:r>
        <w:tab/>
      </w:r>
      <w:r>
        <w:fldChar w:fldCharType="begin"/>
      </w:r>
      <w:r>
        <w:instrText xml:space="preserve"> PAGEREF SENTENCIA_1985_39 \h </w:instrText>
      </w:r>
      <w:r>
        <w:fldChar w:fldCharType="separate"/>
      </w:r>
      <w:r w:rsidR="00CB2978">
        <w:rPr>
          <w:noProof/>
        </w:rPr>
        <w:t>400</w:t>
      </w:r>
      <w:r>
        <w:fldChar w:fldCharType="end"/>
      </w:r>
    </w:p>
    <w:p w:rsidR="000F63E8" w:rsidRDefault="000F63E8" w:rsidP="000F63E8"/>
    <w:p w:rsidR="000F63E8" w:rsidRDefault="000F63E8" w:rsidP="000F63E8">
      <w:pPr>
        <w:pStyle w:val="EntradandiceSentencia"/>
      </w:pPr>
      <w:r>
        <w:t>Sala Segunda. Sentencia 40/1985, de 13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397/1984. </w:t>
      </w:r>
      <w:r w:rsidRPr="000F63E8">
        <w:rPr>
          <w:rStyle w:val="TextoNormalCursivaCaracter"/>
        </w:rPr>
        <w:t xml:space="preserve"> </w:t>
      </w:r>
      <w:r>
        <w:tab/>
      </w:r>
      <w:r>
        <w:tab/>
      </w:r>
      <w:r>
        <w:fldChar w:fldCharType="begin"/>
      </w:r>
      <w:r>
        <w:instrText xml:space="preserve"> PAGEREF SENTENCIA_1985_40 \h </w:instrText>
      </w:r>
      <w:r>
        <w:fldChar w:fldCharType="separate"/>
      </w:r>
      <w:r w:rsidR="00CB2978">
        <w:rPr>
          <w:noProof/>
        </w:rPr>
        <w:t>411</w:t>
      </w:r>
      <w:r>
        <w:fldChar w:fldCharType="end"/>
      </w:r>
    </w:p>
    <w:p w:rsidR="000F63E8" w:rsidRDefault="000F63E8" w:rsidP="000F63E8"/>
    <w:p w:rsidR="000F63E8" w:rsidRDefault="000F63E8" w:rsidP="000F63E8">
      <w:pPr>
        <w:pStyle w:val="EntradandiceSentencia"/>
      </w:pPr>
      <w:r>
        <w:t>Sala Segunda. Sentencia 41/1985, de 14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291/1984. </w:t>
      </w:r>
      <w:r w:rsidRPr="000F63E8">
        <w:rPr>
          <w:rStyle w:val="TextoNormalCursivaCaracter"/>
        </w:rPr>
        <w:t xml:space="preserve"> </w:t>
      </w:r>
      <w:r>
        <w:tab/>
      </w:r>
      <w:r>
        <w:tab/>
      </w:r>
      <w:r>
        <w:fldChar w:fldCharType="begin"/>
      </w:r>
      <w:r>
        <w:instrText xml:space="preserve"> PAGEREF SENTENCIA_1985_41 \h </w:instrText>
      </w:r>
      <w:r>
        <w:fldChar w:fldCharType="separate"/>
      </w:r>
      <w:r w:rsidR="00CB2978">
        <w:rPr>
          <w:noProof/>
        </w:rPr>
        <w:t>417</w:t>
      </w:r>
      <w:r>
        <w:fldChar w:fldCharType="end"/>
      </w:r>
    </w:p>
    <w:p w:rsidR="000F63E8" w:rsidRDefault="000F63E8" w:rsidP="000F63E8"/>
    <w:p w:rsidR="000F63E8" w:rsidRDefault="000F63E8" w:rsidP="000F63E8">
      <w:pPr>
        <w:pStyle w:val="EntradandiceSentencia"/>
      </w:pPr>
      <w:r>
        <w:t>Pleno. Sentencia 42/1985, de 15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inconstitucionalidad 614/1983. </w:t>
      </w:r>
      <w:r w:rsidRPr="000F63E8">
        <w:rPr>
          <w:rStyle w:val="TextoNormalCursivaCaracter"/>
        </w:rPr>
        <w:t xml:space="preserve"> </w:t>
      </w:r>
      <w:r>
        <w:tab/>
      </w:r>
      <w:r>
        <w:tab/>
      </w:r>
      <w:r>
        <w:fldChar w:fldCharType="begin"/>
      </w:r>
      <w:r>
        <w:instrText xml:space="preserve"> PAGEREF SENTENCIA_1985_42 \h </w:instrText>
      </w:r>
      <w:r>
        <w:fldChar w:fldCharType="separate"/>
      </w:r>
      <w:r w:rsidR="00CB2978">
        <w:rPr>
          <w:noProof/>
        </w:rPr>
        <w:t>426</w:t>
      </w:r>
      <w:r>
        <w:fldChar w:fldCharType="end"/>
      </w:r>
    </w:p>
    <w:p w:rsidR="000F63E8" w:rsidRDefault="000F63E8" w:rsidP="000F63E8"/>
    <w:p w:rsidR="000F63E8" w:rsidRDefault="000F63E8" w:rsidP="000F63E8">
      <w:pPr>
        <w:pStyle w:val="EntradandiceSentencia"/>
      </w:pPr>
      <w:r>
        <w:t>Sala Segunda. Sentencia 43/1985, de 22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512/1984. </w:t>
      </w:r>
      <w:r w:rsidRPr="000F63E8">
        <w:rPr>
          <w:rStyle w:val="TextoNormalCursivaCaracter"/>
        </w:rPr>
        <w:t xml:space="preserve"> </w:t>
      </w:r>
      <w:r>
        <w:tab/>
      </w:r>
      <w:r>
        <w:tab/>
      </w:r>
      <w:r>
        <w:fldChar w:fldCharType="begin"/>
      </w:r>
      <w:r>
        <w:instrText xml:space="preserve"> PAGEREF SENTENCIA_1985_43 \h </w:instrText>
      </w:r>
      <w:r>
        <w:fldChar w:fldCharType="separate"/>
      </w:r>
      <w:r w:rsidR="00CB2978">
        <w:rPr>
          <w:noProof/>
        </w:rPr>
        <w:t>434</w:t>
      </w:r>
      <w:r>
        <w:fldChar w:fldCharType="end"/>
      </w:r>
    </w:p>
    <w:p w:rsidR="000F63E8" w:rsidRDefault="000F63E8" w:rsidP="000F63E8"/>
    <w:p w:rsidR="000F63E8" w:rsidRDefault="000F63E8" w:rsidP="000F63E8">
      <w:pPr>
        <w:pStyle w:val="EntradandiceSentencia"/>
      </w:pPr>
      <w:r>
        <w:t>Sala Primera. Sentencia 44/1985, de 22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591/1984. </w:t>
      </w:r>
      <w:r w:rsidRPr="000F63E8">
        <w:rPr>
          <w:rStyle w:val="TextoNormalCursivaCaracter"/>
        </w:rPr>
        <w:t xml:space="preserve"> </w:t>
      </w:r>
      <w:r>
        <w:tab/>
      </w:r>
      <w:r>
        <w:tab/>
      </w:r>
      <w:r>
        <w:fldChar w:fldCharType="begin"/>
      </w:r>
      <w:r>
        <w:instrText xml:space="preserve"> PAGEREF SENTENCIA_1985_44 \h </w:instrText>
      </w:r>
      <w:r>
        <w:fldChar w:fldCharType="separate"/>
      </w:r>
      <w:r w:rsidR="00CB2978">
        <w:rPr>
          <w:noProof/>
        </w:rPr>
        <w:t>440</w:t>
      </w:r>
      <w:r>
        <w:fldChar w:fldCharType="end"/>
      </w:r>
    </w:p>
    <w:p w:rsidR="000F63E8" w:rsidRDefault="000F63E8" w:rsidP="000F63E8"/>
    <w:p w:rsidR="000F63E8" w:rsidRDefault="000F63E8" w:rsidP="000F63E8">
      <w:pPr>
        <w:pStyle w:val="EntradandiceSentencia"/>
      </w:pPr>
      <w:r>
        <w:t>Sala Segunda. Sentencia 45/1985, de 26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378/1983. </w:t>
      </w:r>
      <w:r w:rsidRPr="000F63E8">
        <w:rPr>
          <w:rStyle w:val="TextoNormalCursivaCaracter"/>
        </w:rPr>
        <w:t xml:space="preserve"> Cómputo del plazo a partir del conocimiento por el funcionario recurrente en amparo de una circular en que se hacía referencia a la Sentencia Impugnada</w:t>
      </w:r>
      <w:r>
        <w:tab/>
      </w:r>
      <w:r>
        <w:tab/>
      </w:r>
      <w:r>
        <w:fldChar w:fldCharType="begin"/>
      </w:r>
      <w:r>
        <w:instrText xml:space="preserve"> PAGEREF SENTENCIA_1985_45 \h </w:instrText>
      </w:r>
      <w:r>
        <w:fldChar w:fldCharType="separate"/>
      </w:r>
      <w:r w:rsidR="00CB2978">
        <w:rPr>
          <w:noProof/>
        </w:rPr>
        <w:t>451</w:t>
      </w:r>
      <w:r>
        <w:fldChar w:fldCharType="end"/>
      </w:r>
    </w:p>
    <w:p w:rsidR="000F63E8" w:rsidRDefault="000F63E8" w:rsidP="000F63E8"/>
    <w:p w:rsidR="000F63E8" w:rsidRDefault="000F63E8" w:rsidP="000F63E8">
      <w:pPr>
        <w:pStyle w:val="EntradandiceSentencia"/>
      </w:pPr>
      <w:r>
        <w:t>Pleno. Sentencia 46/1985, de 26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inconstitucionalidad 154/1984. </w:t>
      </w:r>
      <w:r w:rsidRPr="000F63E8">
        <w:rPr>
          <w:rStyle w:val="TextoNormalCursivaCaracter"/>
        </w:rPr>
        <w:t xml:space="preserve"> </w:t>
      </w:r>
      <w:r>
        <w:tab/>
      </w:r>
      <w:r>
        <w:tab/>
      </w:r>
      <w:r>
        <w:fldChar w:fldCharType="begin"/>
      </w:r>
      <w:r>
        <w:instrText xml:space="preserve"> PAGEREF SENTENCIA_1985_46 \h </w:instrText>
      </w:r>
      <w:r>
        <w:fldChar w:fldCharType="separate"/>
      </w:r>
      <w:r w:rsidR="00CB2978">
        <w:rPr>
          <w:noProof/>
        </w:rPr>
        <w:t>469</w:t>
      </w:r>
      <w:r>
        <w:fldChar w:fldCharType="end"/>
      </w:r>
    </w:p>
    <w:p w:rsidR="000F63E8" w:rsidRDefault="000F63E8" w:rsidP="000F63E8"/>
    <w:p w:rsidR="000F63E8" w:rsidRDefault="000F63E8" w:rsidP="000F63E8">
      <w:pPr>
        <w:pStyle w:val="EntradandiceSentencia"/>
      </w:pPr>
      <w:r>
        <w:t>Sala Segunda. Sentencia 47/1985, de 27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811/1983. </w:t>
      </w:r>
      <w:r w:rsidRPr="000F63E8">
        <w:rPr>
          <w:rStyle w:val="TextoNormalCursivaCaracter"/>
        </w:rPr>
        <w:t xml:space="preserve"> </w:t>
      </w:r>
      <w:r>
        <w:tab/>
      </w:r>
      <w:r>
        <w:tab/>
      </w:r>
      <w:r>
        <w:fldChar w:fldCharType="begin"/>
      </w:r>
      <w:r>
        <w:instrText xml:space="preserve"> PAGEREF SENTENCIA_1985_47 \h </w:instrText>
      </w:r>
      <w:r>
        <w:fldChar w:fldCharType="separate"/>
      </w:r>
      <w:r w:rsidR="00CB2978">
        <w:rPr>
          <w:noProof/>
        </w:rPr>
        <w:t>484</w:t>
      </w:r>
      <w:r>
        <w:fldChar w:fldCharType="end"/>
      </w:r>
    </w:p>
    <w:p w:rsidR="000F63E8" w:rsidRDefault="000F63E8" w:rsidP="000F63E8"/>
    <w:p w:rsidR="000F63E8" w:rsidRDefault="000F63E8" w:rsidP="000F63E8">
      <w:pPr>
        <w:pStyle w:val="EntradandiceSentencia"/>
      </w:pPr>
      <w:r>
        <w:t>Pleno. Sentencia 48/1985, de 28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Conflicto positivo de competencia 170/1982. </w:t>
      </w:r>
      <w:r w:rsidRPr="000F63E8">
        <w:rPr>
          <w:rStyle w:val="TextoNormalCursivaCaracter"/>
        </w:rPr>
        <w:t xml:space="preserve"> </w:t>
      </w:r>
      <w:r>
        <w:tab/>
      </w:r>
      <w:r>
        <w:tab/>
      </w:r>
      <w:r>
        <w:fldChar w:fldCharType="begin"/>
      </w:r>
      <w:r>
        <w:instrText xml:space="preserve"> PAGEREF SENTENCIA_1985_48 \h </w:instrText>
      </w:r>
      <w:r>
        <w:fldChar w:fldCharType="separate"/>
      </w:r>
      <w:r w:rsidR="00CB2978">
        <w:rPr>
          <w:noProof/>
        </w:rPr>
        <w:t>495</w:t>
      </w:r>
      <w:r>
        <w:fldChar w:fldCharType="end"/>
      </w:r>
    </w:p>
    <w:p w:rsidR="000F63E8" w:rsidRDefault="000F63E8" w:rsidP="000F63E8"/>
    <w:p w:rsidR="000F63E8" w:rsidRDefault="000F63E8" w:rsidP="000F63E8">
      <w:pPr>
        <w:pStyle w:val="EntradandiceSentencia"/>
      </w:pPr>
      <w:r>
        <w:lastRenderedPageBreak/>
        <w:t>Sala Segunda. Sentencia 49/1985, de 28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278/1984. </w:t>
      </w:r>
      <w:r w:rsidRPr="000F63E8">
        <w:rPr>
          <w:rStyle w:val="TextoNormalCursivaCaracter"/>
        </w:rPr>
        <w:t xml:space="preserve"> </w:t>
      </w:r>
      <w:r>
        <w:tab/>
      </w:r>
      <w:r>
        <w:tab/>
      </w:r>
      <w:r>
        <w:fldChar w:fldCharType="begin"/>
      </w:r>
      <w:r>
        <w:instrText xml:space="preserve"> PAGEREF SENTENCIA_1985_49 \h </w:instrText>
      </w:r>
      <w:r>
        <w:fldChar w:fldCharType="separate"/>
      </w:r>
      <w:r w:rsidR="00CB2978">
        <w:rPr>
          <w:noProof/>
        </w:rPr>
        <w:t>511</w:t>
      </w:r>
      <w:r>
        <w:fldChar w:fldCharType="end"/>
      </w:r>
    </w:p>
    <w:p w:rsidR="000F63E8" w:rsidRDefault="000F63E8" w:rsidP="000F63E8"/>
    <w:p w:rsidR="000F63E8" w:rsidRDefault="000F63E8" w:rsidP="000F63E8">
      <w:pPr>
        <w:pStyle w:val="EntradandiceSentencia"/>
      </w:pPr>
      <w:r>
        <w:t>Sala Segunda. Sentencia 50/1985, de 29 de marzo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628/1984. </w:t>
      </w:r>
      <w:r w:rsidRPr="000F63E8">
        <w:rPr>
          <w:rStyle w:val="TextoNormalCursivaCaracter"/>
        </w:rPr>
        <w:t xml:space="preserve"> </w:t>
      </w:r>
      <w:r>
        <w:tab/>
      </w:r>
      <w:r>
        <w:tab/>
      </w:r>
      <w:r>
        <w:fldChar w:fldCharType="begin"/>
      </w:r>
      <w:r>
        <w:instrText xml:space="preserve"> PAGEREF SENTENCIA_1985_50 \h </w:instrText>
      </w:r>
      <w:r>
        <w:fldChar w:fldCharType="separate"/>
      </w:r>
      <w:r w:rsidR="00CB2978">
        <w:rPr>
          <w:noProof/>
        </w:rPr>
        <w:t>521</w:t>
      </w:r>
      <w:r>
        <w:fldChar w:fldCharType="end"/>
      </w:r>
    </w:p>
    <w:p w:rsidR="000F63E8" w:rsidRDefault="000F63E8" w:rsidP="000F63E8"/>
    <w:p w:rsidR="000F63E8" w:rsidRDefault="000F63E8" w:rsidP="000F63E8">
      <w:pPr>
        <w:pStyle w:val="EntradandiceSentencia"/>
      </w:pPr>
      <w:r>
        <w:t>Sala Segunda. Sentencia 51/1985, de 10 de abril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781/1983. </w:t>
      </w:r>
      <w:r w:rsidRPr="000F63E8">
        <w:rPr>
          <w:rStyle w:val="TextoNormalCursivaCaracter"/>
        </w:rPr>
        <w:t xml:space="preserve"> </w:t>
      </w:r>
      <w:r>
        <w:tab/>
      </w:r>
      <w:r>
        <w:tab/>
      </w:r>
      <w:r>
        <w:fldChar w:fldCharType="begin"/>
      </w:r>
      <w:r>
        <w:instrText xml:space="preserve"> PAGEREF SENTENCIA_1985_51 \h </w:instrText>
      </w:r>
      <w:r>
        <w:fldChar w:fldCharType="separate"/>
      </w:r>
      <w:r w:rsidR="00CB2978">
        <w:rPr>
          <w:noProof/>
        </w:rPr>
        <w:t>526</w:t>
      </w:r>
      <w:r>
        <w:fldChar w:fldCharType="end"/>
      </w:r>
    </w:p>
    <w:p w:rsidR="000F63E8" w:rsidRDefault="000F63E8" w:rsidP="000F63E8"/>
    <w:p w:rsidR="000F63E8" w:rsidRDefault="000F63E8" w:rsidP="000F63E8">
      <w:pPr>
        <w:pStyle w:val="EntradandiceSentencia"/>
      </w:pPr>
      <w:r>
        <w:t>Sala Segunda. Sentencia 52/1985, de 11 de abril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467/1983. </w:t>
      </w:r>
      <w:r w:rsidRPr="000F63E8">
        <w:rPr>
          <w:rStyle w:val="TextoNormalCursivaCaracter"/>
        </w:rPr>
        <w:t xml:space="preserve"> </w:t>
      </w:r>
      <w:r>
        <w:tab/>
      </w:r>
      <w:r>
        <w:tab/>
      </w:r>
      <w:r>
        <w:fldChar w:fldCharType="begin"/>
      </w:r>
      <w:r>
        <w:instrText xml:space="preserve"> PAGEREF SENTENCIA_1985_52 \h </w:instrText>
      </w:r>
      <w:r>
        <w:fldChar w:fldCharType="separate"/>
      </w:r>
      <w:r w:rsidR="00CB2978">
        <w:rPr>
          <w:noProof/>
        </w:rPr>
        <w:t>549</w:t>
      </w:r>
      <w:r>
        <w:fldChar w:fldCharType="end"/>
      </w:r>
    </w:p>
    <w:p w:rsidR="000F63E8" w:rsidRDefault="000F63E8" w:rsidP="000F63E8"/>
    <w:p w:rsidR="000F63E8" w:rsidRDefault="000F63E8" w:rsidP="000F63E8">
      <w:pPr>
        <w:pStyle w:val="EntradandiceSentencia"/>
      </w:pPr>
      <w:r>
        <w:t>Pleno. Sentencia 53/1985, de 11 de abril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previo de inconstitucionalidad 800-1983. </w:t>
      </w:r>
      <w:r w:rsidRPr="000F63E8">
        <w:rPr>
          <w:rStyle w:val="TextoNormalCursivaCaracter"/>
        </w:rPr>
        <w:t xml:space="preserve"> </w:t>
      </w:r>
      <w:r>
        <w:tab/>
      </w:r>
      <w:r>
        <w:tab/>
      </w:r>
      <w:r>
        <w:fldChar w:fldCharType="begin"/>
      </w:r>
      <w:r>
        <w:instrText xml:space="preserve"> PAGEREF SENTENCIA_1985_53 \h </w:instrText>
      </w:r>
      <w:r>
        <w:fldChar w:fldCharType="separate"/>
      </w:r>
      <w:r w:rsidR="00CB2978">
        <w:rPr>
          <w:noProof/>
        </w:rPr>
        <w:t>556</w:t>
      </w:r>
      <w:r>
        <w:fldChar w:fldCharType="end"/>
      </w:r>
    </w:p>
    <w:p w:rsidR="000F63E8" w:rsidRDefault="000F63E8" w:rsidP="000F63E8"/>
    <w:p w:rsidR="000F63E8" w:rsidRDefault="000F63E8" w:rsidP="000F63E8">
      <w:pPr>
        <w:pStyle w:val="EntradandiceSentencia"/>
      </w:pPr>
      <w:r>
        <w:t>Sala Primera. Sentencia 54/1985, de 18 de abril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349/1984. </w:t>
      </w:r>
      <w:r w:rsidRPr="000F63E8">
        <w:rPr>
          <w:rStyle w:val="TextoNormalCursivaCaracter"/>
        </w:rPr>
        <w:t xml:space="preserve"> </w:t>
      </w:r>
      <w:r>
        <w:tab/>
      </w:r>
      <w:r>
        <w:tab/>
      </w:r>
      <w:r>
        <w:fldChar w:fldCharType="begin"/>
      </w:r>
      <w:r>
        <w:instrText xml:space="preserve"> PAGEREF SENTENCIA_1985_54 \h </w:instrText>
      </w:r>
      <w:r>
        <w:fldChar w:fldCharType="separate"/>
      </w:r>
      <w:r w:rsidR="00CB2978">
        <w:rPr>
          <w:noProof/>
        </w:rPr>
        <w:t>600</w:t>
      </w:r>
      <w:r>
        <w:fldChar w:fldCharType="end"/>
      </w:r>
    </w:p>
    <w:p w:rsidR="000F63E8" w:rsidRDefault="000F63E8" w:rsidP="000F63E8"/>
    <w:p w:rsidR="000F63E8" w:rsidRDefault="000F63E8" w:rsidP="000F63E8">
      <w:pPr>
        <w:pStyle w:val="EntradandiceSentencia"/>
      </w:pPr>
      <w:r>
        <w:t>Sala Segunda. Sentencia 55/1985, de 22 de abril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114/1984 115/1984 (acumulados). </w:t>
      </w:r>
      <w:r w:rsidRPr="000F63E8">
        <w:rPr>
          <w:rStyle w:val="TextoNormalCursivaCaracter"/>
        </w:rPr>
        <w:t xml:space="preserve"> </w:t>
      </w:r>
      <w:r>
        <w:tab/>
      </w:r>
      <w:r>
        <w:tab/>
      </w:r>
      <w:r>
        <w:fldChar w:fldCharType="begin"/>
      </w:r>
      <w:r>
        <w:instrText xml:space="preserve"> PAGEREF SENTENCIA_1985_55 \h </w:instrText>
      </w:r>
      <w:r>
        <w:fldChar w:fldCharType="separate"/>
      </w:r>
      <w:r w:rsidR="00CB2978">
        <w:rPr>
          <w:noProof/>
        </w:rPr>
        <w:t>609</w:t>
      </w:r>
      <w:r>
        <w:fldChar w:fldCharType="end"/>
      </w:r>
    </w:p>
    <w:p w:rsidR="000F63E8" w:rsidRDefault="000F63E8" w:rsidP="000F63E8"/>
    <w:p w:rsidR="000F63E8" w:rsidRDefault="000F63E8" w:rsidP="000F63E8">
      <w:pPr>
        <w:pStyle w:val="EntradandiceSentencia"/>
      </w:pPr>
      <w:r>
        <w:t>Sala Segunda. Sentencia 56/1985, de 29 de abril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264/1984. </w:t>
      </w:r>
      <w:r w:rsidRPr="000F63E8">
        <w:rPr>
          <w:rStyle w:val="TextoNormalCursivaCaracter"/>
        </w:rPr>
        <w:t xml:space="preserve"> Falta de diligencia del recurrente</w:t>
      </w:r>
      <w:r>
        <w:tab/>
      </w:r>
      <w:r>
        <w:tab/>
      </w:r>
      <w:r>
        <w:fldChar w:fldCharType="begin"/>
      </w:r>
      <w:r>
        <w:instrText xml:space="preserve"> PAGEREF SENTENCIA_1985_56 \h </w:instrText>
      </w:r>
      <w:r>
        <w:fldChar w:fldCharType="separate"/>
      </w:r>
      <w:r w:rsidR="00CB2978">
        <w:rPr>
          <w:noProof/>
        </w:rPr>
        <w:t>621</w:t>
      </w:r>
      <w:r>
        <w:fldChar w:fldCharType="end"/>
      </w:r>
    </w:p>
    <w:p w:rsidR="000F63E8" w:rsidRDefault="000F63E8" w:rsidP="000F63E8"/>
    <w:p w:rsidR="000F63E8" w:rsidRDefault="000F63E8" w:rsidP="000F63E8">
      <w:pPr>
        <w:pStyle w:val="EntradandiceSentencia"/>
      </w:pPr>
      <w:r>
        <w:t>Sala Segunda. Sentencia 57/1985, de 29 de abril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Recurso de amparo 549/1984. </w:t>
      </w:r>
      <w:r w:rsidRPr="000F63E8">
        <w:rPr>
          <w:rStyle w:val="TextoNormalCursivaCaracter"/>
        </w:rPr>
        <w:t xml:space="preserve"> </w:t>
      </w:r>
      <w:r>
        <w:tab/>
      </w:r>
      <w:r>
        <w:tab/>
      </w:r>
      <w:r>
        <w:fldChar w:fldCharType="begin"/>
      </w:r>
      <w:r>
        <w:instrText xml:space="preserve"> PAGEREF SENTENCIA_1985_57 \h </w:instrText>
      </w:r>
      <w:r>
        <w:fldChar w:fldCharType="separate"/>
      </w:r>
      <w:r w:rsidR="00CB2978">
        <w:rPr>
          <w:noProof/>
        </w:rPr>
        <w:t>633</w:t>
      </w:r>
      <w:r>
        <w:fldChar w:fldCharType="end"/>
      </w:r>
    </w:p>
    <w:p w:rsidR="000F63E8" w:rsidRDefault="000F63E8" w:rsidP="000F63E8"/>
    <w:p w:rsidR="000F63E8" w:rsidRDefault="000F63E8" w:rsidP="000F63E8">
      <w:pPr>
        <w:pStyle w:val="EntradandiceSentencia"/>
      </w:pPr>
      <w:r>
        <w:t>Pleno. Sentencia 58/1985, de 30 de abril de 1985</w:t>
      </w:r>
    </w:p>
    <w:p w:rsidR="000F63E8" w:rsidRDefault="000F63E8" w:rsidP="000F63E8">
      <w:pPr>
        <w:pStyle w:val="EntradandiceSentencia"/>
      </w:pPr>
    </w:p>
    <w:p w:rsidR="000F63E8" w:rsidRDefault="000F63E8" w:rsidP="000F63E8">
      <w:pPr>
        <w:pStyle w:val="EntradaSumario"/>
      </w:pPr>
      <w:r w:rsidRPr="000F63E8">
        <w:rPr>
          <w:rStyle w:val="TextoNormalCaracter"/>
        </w:rPr>
        <w:t xml:space="preserve">Cuestión de inconstitucionalidad 170/1983. </w:t>
      </w:r>
      <w:r w:rsidRPr="000F63E8">
        <w:rPr>
          <w:rStyle w:val="TextoNormalCursivaCaracter"/>
        </w:rPr>
        <w:t xml:space="preserve"> </w:t>
      </w:r>
      <w:r>
        <w:tab/>
      </w:r>
      <w:r>
        <w:tab/>
      </w:r>
      <w:r>
        <w:fldChar w:fldCharType="begin"/>
      </w:r>
      <w:r>
        <w:instrText xml:space="preserve"> PAGEREF SENTENCIA_1985_58 \h </w:instrText>
      </w:r>
      <w:r>
        <w:fldChar w:fldCharType="separate"/>
      </w:r>
      <w:r w:rsidR="00CB2978">
        <w:rPr>
          <w:noProof/>
        </w:rPr>
        <w:t>641</w:t>
      </w:r>
      <w:r>
        <w:fldChar w:fldCharType="end"/>
      </w:r>
    </w:p>
    <w:p w:rsidR="000F63E8" w:rsidRDefault="000F63E8">
      <w:r>
        <w:br w:type="page"/>
      </w:r>
    </w:p>
    <w:p w:rsidR="000F63E8" w:rsidRDefault="000F63E8" w:rsidP="000F63E8"/>
    <w:p w:rsidR="000F63E8" w:rsidRDefault="000F63E8" w:rsidP="000F63E8"/>
    <w:p w:rsidR="000F63E8" w:rsidRDefault="000F63E8" w:rsidP="000F63E8"/>
    <w:p w:rsidR="000F63E8" w:rsidRDefault="000F63E8" w:rsidP="000F63E8">
      <w:pPr>
        <w:pStyle w:val="Ttulondice"/>
      </w:pPr>
      <w:bookmarkStart w:id="3" w:name="SUMARIOSAUTOS"/>
      <w:r>
        <w:t>2. AUTOS: ATC 1/1985 A ATC 284/1985</w:t>
      </w:r>
    </w:p>
    <w:bookmarkEnd w:id="3"/>
    <w:p w:rsidR="000F63E8" w:rsidRDefault="000F63E8" w:rsidP="000F63E8">
      <w:pPr>
        <w:pStyle w:val="Ttulondice"/>
      </w:pPr>
    </w:p>
    <w:p w:rsidR="000F63E8" w:rsidRDefault="000F63E8" w:rsidP="000F63E8">
      <w:pPr>
        <w:pStyle w:val="Ttulondice"/>
      </w:pPr>
    </w:p>
    <w:p w:rsidR="000F63E8" w:rsidRDefault="000F63E8" w:rsidP="000F63E8">
      <w:pPr>
        <w:pStyle w:val="Ttulondice"/>
      </w:pPr>
    </w:p>
    <w:p w:rsidR="000F63E8" w:rsidRDefault="000F63E8" w:rsidP="000F63E8">
      <w:pPr>
        <w:pStyle w:val="Ttulondice"/>
      </w:pPr>
    </w:p>
    <w:p w:rsidR="000F63E8" w:rsidRDefault="000F63E8" w:rsidP="000F63E8">
      <w:pPr>
        <w:pStyle w:val="Ttulondice"/>
      </w:pPr>
    </w:p>
    <w:p w:rsidR="000F63E8" w:rsidRDefault="000F63E8" w:rsidP="000F63E8">
      <w:pPr>
        <w:pStyle w:val="Ttulondice"/>
      </w:pPr>
    </w:p>
    <w:p w:rsidR="000F63E8" w:rsidRDefault="000F63E8" w:rsidP="000F63E8">
      <w:pPr>
        <w:pStyle w:val="Ttulondice"/>
      </w:pPr>
    </w:p>
    <w:p w:rsidR="000F63E8" w:rsidRDefault="000F63E8" w:rsidP="000F63E8">
      <w:pPr>
        <w:pStyle w:val="EntradandiceAuto"/>
      </w:pPr>
      <w:r>
        <w:t>Sección Tercera. Auto 1/1985, de 9 de enero de 1985. Acordando la inadmisión a trámite del recurso de amparo 341/1984</w:t>
      </w:r>
      <w:r>
        <w:tab/>
      </w:r>
      <w:r>
        <w:tab/>
      </w:r>
      <w:r>
        <w:fldChar w:fldCharType="begin"/>
      </w:r>
      <w:r>
        <w:instrText xml:space="preserve"> PAGEREF AUTO_1985_1 \h </w:instrText>
      </w:r>
      <w:r>
        <w:fldChar w:fldCharType="separate"/>
      </w:r>
      <w:r w:rsidR="00CB2978">
        <w:rPr>
          <w:noProof/>
        </w:rPr>
        <w:t>653</w:t>
      </w:r>
      <w:r>
        <w:fldChar w:fldCharType="end"/>
      </w:r>
    </w:p>
    <w:p w:rsidR="001C705E" w:rsidRDefault="001C705E" w:rsidP="000F63E8"/>
    <w:p w:rsidR="000F63E8" w:rsidRDefault="000F63E8" w:rsidP="000F63E8">
      <w:pPr>
        <w:pStyle w:val="EntradandiceAuto"/>
      </w:pPr>
      <w:r>
        <w:t>Sección Tercera. Auto 2/1985, de 9 de enero de 1985. Desestimando recurso de súplica contra Auto 627/1984 en el recurso de amparo 464/1984</w:t>
      </w:r>
      <w:r>
        <w:tab/>
      </w:r>
      <w:r>
        <w:tab/>
      </w:r>
      <w:r>
        <w:fldChar w:fldCharType="begin"/>
      </w:r>
      <w:r>
        <w:instrText xml:space="preserve"> PAGEREF AUTO_1985_2 \h </w:instrText>
      </w:r>
      <w:r>
        <w:fldChar w:fldCharType="separate"/>
      </w:r>
      <w:r w:rsidR="00CB2978">
        <w:rPr>
          <w:noProof/>
        </w:rPr>
        <w:t>656</w:t>
      </w:r>
      <w:r>
        <w:fldChar w:fldCharType="end"/>
      </w:r>
    </w:p>
    <w:p w:rsidR="000F63E8" w:rsidRDefault="000F63E8" w:rsidP="000F63E8"/>
    <w:p w:rsidR="000F63E8" w:rsidRDefault="000F63E8" w:rsidP="000F63E8">
      <w:pPr>
        <w:pStyle w:val="EntradandiceAuto"/>
      </w:pPr>
      <w:r>
        <w:t>Sección Tercera. Auto 3/1985, de 9 de enero de 1985. Acordando la inadmisión a trámite del recurso de amparo 588/1984</w:t>
      </w:r>
      <w:r>
        <w:tab/>
      </w:r>
      <w:r>
        <w:tab/>
      </w:r>
      <w:r>
        <w:fldChar w:fldCharType="begin"/>
      </w:r>
      <w:r>
        <w:instrText xml:space="preserve"> PAGEREF AUTO_1985_3 \h </w:instrText>
      </w:r>
      <w:r>
        <w:fldChar w:fldCharType="separate"/>
      </w:r>
      <w:r w:rsidR="00CB2978">
        <w:rPr>
          <w:noProof/>
        </w:rPr>
        <w:t>658</w:t>
      </w:r>
      <w:r>
        <w:fldChar w:fldCharType="end"/>
      </w:r>
    </w:p>
    <w:p w:rsidR="000F63E8" w:rsidRDefault="000F63E8" w:rsidP="000F63E8"/>
    <w:p w:rsidR="000F63E8" w:rsidRDefault="000F63E8" w:rsidP="000F63E8">
      <w:pPr>
        <w:pStyle w:val="EntradandiceAuto"/>
      </w:pPr>
      <w:r>
        <w:t>Sección Tercera. Auto 4/1985, de 9 de enero de 1985. Acordando la inadmisión a trámite del recurso de amparo 592/1984</w:t>
      </w:r>
      <w:r>
        <w:tab/>
      </w:r>
      <w:r>
        <w:tab/>
      </w:r>
      <w:r>
        <w:fldChar w:fldCharType="begin"/>
      </w:r>
      <w:r>
        <w:instrText xml:space="preserve"> PAGEREF AUTO_1985_4 \h </w:instrText>
      </w:r>
      <w:r>
        <w:fldChar w:fldCharType="separate"/>
      </w:r>
      <w:r w:rsidR="00CB2978">
        <w:rPr>
          <w:noProof/>
        </w:rPr>
        <w:t>662</w:t>
      </w:r>
      <w:r>
        <w:fldChar w:fldCharType="end"/>
      </w:r>
    </w:p>
    <w:p w:rsidR="000F63E8" w:rsidRDefault="000F63E8" w:rsidP="000F63E8"/>
    <w:p w:rsidR="000F63E8" w:rsidRDefault="000F63E8" w:rsidP="000F63E8">
      <w:pPr>
        <w:pStyle w:val="EntradandiceAuto"/>
      </w:pPr>
      <w:r>
        <w:t>Sección Cuarta. Auto 5/1985, de 9 de enero de 1985. Acordando la inadmisión a trámite del recurso de amparo 702/1984</w:t>
      </w:r>
      <w:r>
        <w:tab/>
      </w:r>
      <w:r>
        <w:tab/>
      </w:r>
      <w:r>
        <w:fldChar w:fldCharType="begin"/>
      </w:r>
      <w:r>
        <w:instrText xml:space="preserve"> PAGEREF AUTO_1985_5 \h </w:instrText>
      </w:r>
      <w:r>
        <w:fldChar w:fldCharType="separate"/>
      </w:r>
      <w:r w:rsidR="00CB2978">
        <w:rPr>
          <w:noProof/>
        </w:rPr>
        <w:t>665</w:t>
      </w:r>
      <w:r>
        <w:fldChar w:fldCharType="end"/>
      </w:r>
    </w:p>
    <w:p w:rsidR="000F63E8" w:rsidRDefault="000F63E8" w:rsidP="000F63E8"/>
    <w:p w:rsidR="000F63E8" w:rsidRDefault="000F63E8" w:rsidP="000F63E8">
      <w:pPr>
        <w:pStyle w:val="EntradandiceAuto"/>
      </w:pPr>
      <w:r>
        <w:t>Sección Tercera. Auto 6/1985, de 9 de enero de 1985. Acordando la inadmisión a trámite del recurso de amparo 705/1984</w:t>
      </w:r>
      <w:r>
        <w:tab/>
      </w:r>
      <w:r>
        <w:tab/>
      </w:r>
      <w:r>
        <w:fldChar w:fldCharType="begin"/>
      </w:r>
      <w:r>
        <w:instrText xml:space="preserve"> PAGEREF AUTO_1985_6 \h </w:instrText>
      </w:r>
      <w:r>
        <w:fldChar w:fldCharType="separate"/>
      </w:r>
      <w:r w:rsidR="00CB2978">
        <w:rPr>
          <w:noProof/>
        </w:rPr>
        <w:t>669</w:t>
      </w:r>
      <w:r>
        <w:fldChar w:fldCharType="end"/>
      </w:r>
    </w:p>
    <w:p w:rsidR="000F63E8" w:rsidRDefault="000F63E8" w:rsidP="000F63E8"/>
    <w:p w:rsidR="000F63E8" w:rsidRDefault="000F63E8" w:rsidP="000F63E8">
      <w:pPr>
        <w:pStyle w:val="EntradandiceAuto"/>
      </w:pPr>
      <w:r>
        <w:t>Sección Tercera. Auto 7/1985, de 9 de enero de 1985. Acordando la inadmisión a trámite del recurso de amparo 725/1984</w:t>
      </w:r>
      <w:r>
        <w:tab/>
      </w:r>
      <w:r>
        <w:tab/>
      </w:r>
      <w:r>
        <w:fldChar w:fldCharType="begin"/>
      </w:r>
      <w:r>
        <w:instrText xml:space="preserve"> PAGEREF AUTO_1985_7 \h </w:instrText>
      </w:r>
      <w:r>
        <w:fldChar w:fldCharType="separate"/>
      </w:r>
      <w:r w:rsidR="00CB2978">
        <w:rPr>
          <w:noProof/>
        </w:rPr>
        <w:t>673</w:t>
      </w:r>
      <w:r>
        <w:fldChar w:fldCharType="end"/>
      </w:r>
    </w:p>
    <w:p w:rsidR="000F63E8" w:rsidRDefault="000F63E8" w:rsidP="000F63E8"/>
    <w:p w:rsidR="000F63E8" w:rsidRDefault="000F63E8" w:rsidP="000F63E8">
      <w:pPr>
        <w:pStyle w:val="EntradandiceAuto"/>
      </w:pPr>
      <w:r>
        <w:t>Sección Cuarta. Auto 8/1985, de 9 de enero de 1985. Acordando la inadmisión a trámite del recurso de amparo 750/1984</w:t>
      </w:r>
      <w:r>
        <w:tab/>
      </w:r>
      <w:r>
        <w:tab/>
      </w:r>
      <w:r>
        <w:fldChar w:fldCharType="begin"/>
      </w:r>
      <w:r>
        <w:instrText xml:space="preserve"> PAGEREF AUTO_1985_8 \h </w:instrText>
      </w:r>
      <w:r>
        <w:fldChar w:fldCharType="separate"/>
      </w:r>
      <w:r w:rsidR="00CB2978">
        <w:rPr>
          <w:noProof/>
        </w:rPr>
        <w:t>676</w:t>
      </w:r>
      <w:r>
        <w:fldChar w:fldCharType="end"/>
      </w:r>
    </w:p>
    <w:p w:rsidR="000F63E8" w:rsidRDefault="000F63E8" w:rsidP="000F63E8"/>
    <w:p w:rsidR="000F63E8" w:rsidRDefault="000F63E8" w:rsidP="000F63E8">
      <w:pPr>
        <w:pStyle w:val="EntradandiceAuto"/>
      </w:pPr>
      <w:r>
        <w:t>Sección Primera. Auto 9/1985, de 10 de enero de 1985. Acordando la inadmisión a trámite del recurso de amparo 404/1983</w:t>
      </w:r>
      <w:r>
        <w:tab/>
      </w:r>
      <w:r>
        <w:tab/>
      </w:r>
      <w:r>
        <w:fldChar w:fldCharType="begin"/>
      </w:r>
      <w:r>
        <w:instrText xml:space="preserve"> PAGEREF AUTO_1985_9 \h </w:instrText>
      </w:r>
      <w:r>
        <w:fldChar w:fldCharType="separate"/>
      </w:r>
      <w:r w:rsidR="00CB2978">
        <w:rPr>
          <w:noProof/>
        </w:rPr>
        <w:t>679</w:t>
      </w:r>
      <w:r>
        <w:fldChar w:fldCharType="end"/>
      </w:r>
    </w:p>
    <w:p w:rsidR="000F63E8" w:rsidRDefault="000F63E8" w:rsidP="000F63E8"/>
    <w:p w:rsidR="000F63E8" w:rsidRDefault="000F63E8" w:rsidP="000F63E8">
      <w:pPr>
        <w:pStyle w:val="EntradandiceAuto"/>
      </w:pPr>
      <w:r>
        <w:t>Sección Primera. Auto 10/1985, de 10 de enero de 1985. Acordando el archivo de las actuaciones en el procedimiento 333/1984</w:t>
      </w:r>
      <w:r>
        <w:tab/>
      </w:r>
      <w:r>
        <w:tab/>
      </w:r>
      <w:r>
        <w:fldChar w:fldCharType="begin"/>
      </w:r>
      <w:r>
        <w:instrText xml:space="preserve"> PAGEREF AUTO_1985_10 \h </w:instrText>
      </w:r>
      <w:r>
        <w:fldChar w:fldCharType="separate"/>
      </w:r>
      <w:r w:rsidR="00CB2978">
        <w:rPr>
          <w:noProof/>
        </w:rPr>
        <w:t>683</w:t>
      </w:r>
      <w:r>
        <w:fldChar w:fldCharType="end"/>
      </w:r>
    </w:p>
    <w:p w:rsidR="000F63E8" w:rsidRDefault="000F63E8" w:rsidP="000F63E8"/>
    <w:p w:rsidR="000F63E8" w:rsidRDefault="000F63E8" w:rsidP="000F63E8">
      <w:pPr>
        <w:pStyle w:val="EntradandiceAuto"/>
      </w:pPr>
      <w:r>
        <w:t>Sección Segunda. Auto 11/1985, de 10 de enero de 1985. Acordando la inadmisión a trámite del recurso de amparo 364/1984</w:t>
      </w:r>
      <w:r>
        <w:tab/>
      </w:r>
      <w:r>
        <w:tab/>
      </w:r>
      <w:r>
        <w:fldChar w:fldCharType="begin"/>
      </w:r>
      <w:r>
        <w:instrText xml:space="preserve"> PAGEREF AUTO_1985_11 \h </w:instrText>
      </w:r>
      <w:r>
        <w:fldChar w:fldCharType="separate"/>
      </w:r>
      <w:r w:rsidR="00CB2978">
        <w:rPr>
          <w:noProof/>
        </w:rPr>
        <w:t>686</w:t>
      </w:r>
      <w:r>
        <w:fldChar w:fldCharType="end"/>
      </w:r>
    </w:p>
    <w:p w:rsidR="000F63E8" w:rsidRDefault="000F63E8" w:rsidP="000F63E8"/>
    <w:p w:rsidR="000F63E8" w:rsidRDefault="000F63E8" w:rsidP="000F63E8">
      <w:pPr>
        <w:pStyle w:val="EntradandiceAuto"/>
      </w:pPr>
      <w:r>
        <w:t>Sala Primera. Auto 12/1985, de 10 de enero de 1985. Acordando la acumulación de los recursos de amparo 645 y 804/1984</w:t>
      </w:r>
      <w:r>
        <w:tab/>
      </w:r>
      <w:r>
        <w:tab/>
      </w:r>
      <w:r>
        <w:fldChar w:fldCharType="begin"/>
      </w:r>
      <w:r>
        <w:instrText xml:space="preserve"> PAGEREF AUTO_1985_12 \h </w:instrText>
      </w:r>
      <w:r>
        <w:fldChar w:fldCharType="separate"/>
      </w:r>
      <w:r w:rsidR="00CB2978">
        <w:rPr>
          <w:noProof/>
        </w:rPr>
        <w:t>689</w:t>
      </w:r>
      <w:r>
        <w:fldChar w:fldCharType="end"/>
      </w:r>
    </w:p>
    <w:p w:rsidR="000F63E8" w:rsidRDefault="000F63E8" w:rsidP="000F63E8"/>
    <w:p w:rsidR="000F63E8" w:rsidRDefault="000F63E8" w:rsidP="000F63E8">
      <w:pPr>
        <w:pStyle w:val="EntradandiceAuto"/>
      </w:pPr>
      <w:r>
        <w:t>Sección Segunda. Auto 13/1985, de 10 de enero de 1985. Acordando la inadmisión a trámite del recurso de amparo 651/1984</w:t>
      </w:r>
      <w:r>
        <w:tab/>
      </w:r>
      <w:r>
        <w:tab/>
      </w:r>
      <w:r>
        <w:fldChar w:fldCharType="begin"/>
      </w:r>
      <w:r>
        <w:instrText xml:space="preserve"> PAGEREF AUTO_1985_13 \h </w:instrText>
      </w:r>
      <w:r>
        <w:fldChar w:fldCharType="separate"/>
      </w:r>
      <w:r w:rsidR="00CB2978">
        <w:rPr>
          <w:noProof/>
        </w:rPr>
        <w:t>692</w:t>
      </w:r>
      <w:r>
        <w:fldChar w:fldCharType="end"/>
      </w:r>
    </w:p>
    <w:p w:rsidR="000F63E8" w:rsidRDefault="000F63E8" w:rsidP="000F63E8"/>
    <w:p w:rsidR="000F63E8" w:rsidRDefault="000F63E8" w:rsidP="000F63E8">
      <w:pPr>
        <w:pStyle w:val="EntradandiceAuto"/>
      </w:pPr>
      <w:r>
        <w:t>Sección Primera. Auto 14/1985, de 10 de enero de 1985. Acordando el archivo de las actuaciones en el procedimiento 712/1984</w:t>
      </w:r>
      <w:r>
        <w:tab/>
      </w:r>
      <w:r>
        <w:tab/>
      </w:r>
      <w:r>
        <w:fldChar w:fldCharType="begin"/>
      </w:r>
      <w:r>
        <w:instrText xml:space="preserve"> PAGEREF AUTO_1985_14 \h </w:instrText>
      </w:r>
      <w:r>
        <w:fldChar w:fldCharType="separate"/>
      </w:r>
      <w:r w:rsidR="00CB2978">
        <w:rPr>
          <w:noProof/>
        </w:rPr>
        <w:t>697</w:t>
      </w:r>
      <w:r>
        <w:fldChar w:fldCharType="end"/>
      </w:r>
    </w:p>
    <w:p w:rsidR="000F63E8" w:rsidRDefault="000F63E8" w:rsidP="000F63E8"/>
    <w:p w:rsidR="000F63E8" w:rsidRDefault="000F63E8" w:rsidP="000F63E8">
      <w:pPr>
        <w:pStyle w:val="EntradandiceAuto"/>
      </w:pPr>
      <w:r>
        <w:t>Sección Primera. Auto 15/1985, de 10 de enero de 1985. Acordando la inadmisión a trámite del recurso de amparo 716/1984</w:t>
      </w:r>
      <w:r>
        <w:tab/>
      </w:r>
      <w:r>
        <w:tab/>
      </w:r>
      <w:r>
        <w:fldChar w:fldCharType="begin"/>
      </w:r>
      <w:r>
        <w:instrText xml:space="preserve"> PAGEREF AUTO_1985_15 \h </w:instrText>
      </w:r>
      <w:r>
        <w:fldChar w:fldCharType="separate"/>
      </w:r>
      <w:r w:rsidR="00CB2978">
        <w:rPr>
          <w:noProof/>
        </w:rPr>
        <w:t>699</w:t>
      </w:r>
      <w:r>
        <w:fldChar w:fldCharType="end"/>
      </w:r>
    </w:p>
    <w:p w:rsidR="000F63E8" w:rsidRDefault="000F63E8" w:rsidP="000F63E8"/>
    <w:p w:rsidR="000F63E8" w:rsidRDefault="000F63E8" w:rsidP="000F63E8">
      <w:pPr>
        <w:pStyle w:val="EntradandiceAuto"/>
      </w:pPr>
      <w:r>
        <w:t>Sección Primera. Auto 16/1985, de 10 de enero de 1985. Declarando la falta de jurisdicción del Tribunal Constitucional y acordando el archivo de las actuaciones en el procedimiento 801/1984</w:t>
      </w:r>
      <w:r>
        <w:tab/>
      </w:r>
      <w:r>
        <w:tab/>
      </w:r>
      <w:r>
        <w:fldChar w:fldCharType="begin"/>
      </w:r>
      <w:r>
        <w:instrText xml:space="preserve"> PAGEREF AUTO_1985_16 \h </w:instrText>
      </w:r>
      <w:r>
        <w:fldChar w:fldCharType="separate"/>
      </w:r>
      <w:r w:rsidR="00CB2978">
        <w:rPr>
          <w:noProof/>
        </w:rPr>
        <w:t>703</w:t>
      </w:r>
      <w:r>
        <w:fldChar w:fldCharType="end"/>
      </w:r>
    </w:p>
    <w:p w:rsidR="000F63E8" w:rsidRDefault="000F63E8" w:rsidP="000F63E8"/>
    <w:p w:rsidR="000F63E8" w:rsidRDefault="000F63E8" w:rsidP="000F63E8">
      <w:pPr>
        <w:pStyle w:val="EntradandiceAuto"/>
      </w:pPr>
      <w:r>
        <w:t>Pleno. Auto 17/1985, de 15 de enero de 1985. Denegando la acumulación de los recursos de inconstitucionalidad 223 y 490/1984</w:t>
      </w:r>
      <w:r>
        <w:tab/>
      </w:r>
      <w:r>
        <w:tab/>
      </w:r>
      <w:r>
        <w:fldChar w:fldCharType="begin"/>
      </w:r>
      <w:r>
        <w:instrText xml:space="preserve"> PAGEREF AUTO_1985_17 \h </w:instrText>
      </w:r>
      <w:r>
        <w:fldChar w:fldCharType="separate"/>
      </w:r>
      <w:r w:rsidR="00CB2978">
        <w:rPr>
          <w:noProof/>
        </w:rPr>
        <w:t>705</w:t>
      </w:r>
      <w:r>
        <w:fldChar w:fldCharType="end"/>
      </w:r>
    </w:p>
    <w:p w:rsidR="000F63E8" w:rsidRDefault="000F63E8" w:rsidP="000F63E8"/>
    <w:p w:rsidR="000F63E8" w:rsidRDefault="000F63E8" w:rsidP="000F63E8">
      <w:pPr>
        <w:pStyle w:val="EntradandiceAuto"/>
      </w:pPr>
      <w:r>
        <w:t>Pleno. Auto 18/1985, de 15 de enero de 1985. Acordando la acumulación de los recursos de inconstitucionalidad 759 y 768/1984 y denegando la de ambos al recurso previo de inconstitucionalidad 594/1984</w:t>
      </w:r>
      <w:r>
        <w:tab/>
      </w:r>
      <w:r>
        <w:tab/>
      </w:r>
      <w:r>
        <w:fldChar w:fldCharType="begin"/>
      </w:r>
      <w:r>
        <w:instrText xml:space="preserve"> PAGEREF AUTO_1985_18 \h </w:instrText>
      </w:r>
      <w:r>
        <w:fldChar w:fldCharType="separate"/>
      </w:r>
      <w:r w:rsidR="00CB2978">
        <w:rPr>
          <w:noProof/>
        </w:rPr>
        <w:t>707</w:t>
      </w:r>
      <w:r>
        <w:fldChar w:fldCharType="end"/>
      </w:r>
    </w:p>
    <w:p w:rsidR="000F63E8" w:rsidRDefault="000F63E8" w:rsidP="000F63E8"/>
    <w:p w:rsidR="000F63E8" w:rsidRDefault="000F63E8" w:rsidP="000F63E8">
      <w:pPr>
        <w:pStyle w:val="EntradandiceAuto"/>
      </w:pPr>
      <w:r>
        <w:t>Sección Tercera. Auto 19/1985, de 16 de enero de 1985. Acordando la concesión del beneficio de pobreza al actor en el recurso de amparo 213/1984</w:t>
      </w:r>
      <w:r>
        <w:tab/>
      </w:r>
      <w:r>
        <w:tab/>
      </w:r>
      <w:r>
        <w:fldChar w:fldCharType="begin"/>
      </w:r>
      <w:r>
        <w:instrText xml:space="preserve"> PAGEREF AUTO_1985_19 \h </w:instrText>
      </w:r>
      <w:r>
        <w:fldChar w:fldCharType="separate"/>
      </w:r>
      <w:r w:rsidR="00CB2978">
        <w:rPr>
          <w:noProof/>
        </w:rPr>
        <w:t>711</w:t>
      </w:r>
      <w:r>
        <w:fldChar w:fldCharType="end"/>
      </w:r>
    </w:p>
    <w:p w:rsidR="000F63E8" w:rsidRDefault="000F63E8" w:rsidP="000F63E8"/>
    <w:p w:rsidR="000F63E8" w:rsidRDefault="000F63E8" w:rsidP="000F63E8">
      <w:pPr>
        <w:pStyle w:val="EntradandiceAuto"/>
      </w:pPr>
      <w:r>
        <w:t>Sección Tercera. Auto 20/1985, de 16 de enero de 1985. Acordando la inadmisión a trámite del recurso de amparo 466/1984</w:t>
      </w:r>
      <w:r>
        <w:tab/>
      </w:r>
      <w:r>
        <w:tab/>
      </w:r>
      <w:r>
        <w:fldChar w:fldCharType="begin"/>
      </w:r>
      <w:r>
        <w:instrText xml:space="preserve"> PAGEREF AUTO_1985_20 \h </w:instrText>
      </w:r>
      <w:r>
        <w:fldChar w:fldCharType="separate"/>
      </w:r>
      <w:r w:rsidR="00CB2978">
        <w:rPr>
          <w:noProof/>
        </w:rPr>
        <w:t>713</w:t>
      </w:r>
      <w:r>
        <w:fldChar w:fldCharType="end"/>
      </w:r>
    </w:p>
    <w:p w:rsidR="000F63E8" w:rsidRDefault="000F63E8" w:rsidP="000F63E8"/>
    <w:p w:rsidR="000F63E8" w:rsidRDefault="000F63E8" w:rsidP="000F63E8">
      <w:pPr>
        <w:pStyle w:val="EntradandiceAuto"/>
      </w:pPr>
      <w:r>
        <w:t>Sección Segunda. Auto 21/1985, de 16 de enero de 1985. Acordando la inadmisión a trámite del recurso de amparo 476/1984</w:t>
      </w:r>
      <w:r>
        <w:tab/>
      </w:r>
      <w:r>
        <w:tab/>
      </w:r>
      <w:r>
        <w:fldChar w:fldCharType="begin"/>
      </w:r>
      <w:r>
        <w:instrText xml:space="preserve"> PAGEREF AUTO_1985_21 \h </w:instrText>
      </w:r>
      <w:r>
        <w:fldChar w:fldCharType="separate"/>
      </w:r>
      <w:r w:rsidR="00CB2978">
        <w:rPr>
          <w:noProof/>
        </w:rPr>
        <w:t>716</w:t>
      </w:r>
      <w:r>
        <w:fldChar w:fldCharType="end"/>
      </w:r>
    </w:p>
    <w:p w:rsidR="000F63E8" w:rsidRDefault="000F63E8" w:rsidP="000F63E8"/>
    <w:p w:rsidR="000F63E8" w:rsidRDefault="000F63E8" w:rsidP="000F63E8">
      <w:pPr>
        <w:pStyle w:val="EntradandiceAuto"/>
      </w:pPr>
      <w:r>
        <w:t>Sección Cuarta. Auto 22/1985, de 16 de enero de 1985. Desestimando recurso de súplica contra providencia del Tribunal Constitucional en el recurso de amparo 558/1984</w:t>
      </w:r>
      <w:r>
        <w:tab/>
      </w:r>
      <w:r>
        <w:tab/>
      </w:r>
      <w:r>
        <w:fldChar w:fldCharType="begin"/>
      </w:r>
      <w:r>
        <w:instrText xml:space="preserve"> PAGEREF AUTO_1985_22 \h </w:instrText>
      </w:r>
      <w:r>
        <w:fldChar w:fldCharType="separate"/>
      </w:r>
      <w:r w:rsidR="00CB2978">
        <w:rPr>
          <w:noProof/>
        </w:rPr>
        <w:t>721</w:t>
      </w:r>
      <w:r>
        <w:fldChar w:fldCharType="end"/>
      </w:r>
    </w:p>
    <w:p w:rsidR="000F63E8" w:rsidRDefault="000F63E8" w:rsidP="000F63E8"/>
    <w:p w:rsidR="000F63E8" w:rsidRDefault="000F63E8" w:rsidP="000F63E8">
      <w:pPr>
        <w:pStyle w:val="EntradandiceAuto"/>
      </w:pPr>
      <w:r>
        <w:t>Sección Tercera. Auto 23/1985, de 16 de enero de 1985. Acordando la inadmisión a trámite del recurso de amparo 667/1984</w:t>
      </w:r>
      <w:r>
        <w:tab/>
      </w:r>
      <w:r>
        <w:tab/>
      </w:r>
      <w:r>
        <w:fldChar w:fldCharType="begin"/>
      </w:r>
      <w:r>
        <w:instrText xml:space="preserve"> PAGEREF AUTO_1985_23 \h </w:instrText>
      </w:r>
      <w:r>
        <w:fldChar w:fldCharType="separate"/>
      </w:r>
      <w:r w:rsidR="00CB2978">
        <w:rPr>
          <w:noProof/>
        </w:rPr>
        <w:t>724</w:t>
      </w:r>
      <w:r>
        <w:fldChar w:fldCharType="end"/>
      </w:r>
    </w:p>
    <w:p w:rsidR="000F63E8" w:rsidRDefault="000F63E8" w:rsidP="000F63E8"/>
    <w:p w:rsidR="000F63E8" w:rsidRDefault="000F63E8" w:rsidP="000F63E8">
      <w:pPr>
        <w:pStyle w:val="EntradandiceAuto"/>
      </w:pPr>
      <w:r>
        <w:t>Sala Segunda. Auto 24/1985, de 16 de enero de 1985. Acordando la suspensión de la ejecución del acto que origina el recurso de amparo 669/1984</w:t>
      </w:r>
      <w:r>
        <w:tab/>
      </w:r>
      <w:r>
        <w:tab/>
      </w:r>
      <w:r>
        <w:fldChar w:fldCharType="begin"/>
      </w:r>
      <w:r>
        <w:instrText xml:space="preserve"> PAGEREF AUTO_1985_24 \h </w:instrText>
      </w:r>
      <w:r>
        <w:fldChar w:fldCharType="separate"/>
      </w:r>
      <w:r w:rsidR="00CB2978">
        <w:rPr>
          <w:noProof/>
        </w:rPr>
        <w:t>727</w:t>
      </w:r>
      <w:r>
        <w:fldChar w:fldCharType="end"/>
      </w:r>
    </w:p>
    <w:p w:rsidR="000F63E8" w:rsidRDefault="000F63E8" w:rsidP="000F63E8"/>
    <w:p w:rsidR="000F63E8" w:rsidRDefault="000F63E8" w:rsidP="000F63E8">
      <w:pPr>
        <w:pStyle w:val="EntradandiceAuto"/>
      </w:pPr>
      <w:r>
        <w:t>Sección Tercera. Auto 25/1985, de 16 de enero de 1985. Acordando la inadmisión a trámite del recurso de amparo 688/1984</w:t>
      </w:r>
      <w:r>
        <w:tab/>
      </w:r>
      <w:r>
        <w:tab/>
      </w:r>
      <w:r>
        <w:fldChar w:fldCharType="begin"/>
      </w:r>
      <w:r>
        <w:instrText xml:space="preserve"> PAGEREF AUTO_1985_25 \h </w:instrText>
      </w:r>
      <w:r>
        <w:fldChar w:fldCharType="separate"/>
      </w:r>
      <w:r w:rsidR="00CB2978">
        <w:rPr>
          <w:noProof/>
        </w:rPr>
        <w:t>729</w:t>
      </w:r>
      <w:r>
        <w:fldChar w:fldCharType="end"/>
      </w:r>
    </w:p>
    <w:p w:rsidR="000F63E8" w:rsidRDefault="000F63E8" w:rsidP="000F63E8"/>
    <w:p w:rsidR="000F63E8" w:rsidRDefault="000F63E8" w:rsidP="000F63E8">
      <w:pPr>
        <w:pStyle w:val="EntradandiceAuto"/>
      </w:pPr>
      <w:r>
        <w:t>Sección Cuarta. Auto 26/1985, de 16 de enero de 1985. Acordando la inadmisión a trámite del recurso de amparo 690/1984</w:t>
      </w:r>
      <w:r>
        <w:tab/>
      </w:r>
      <w:r>
        <w:tab/>
      </w:r>
      <w:r>
        <w:fldChar w:fldCharType="begin"/>
      </w:r>
      <w:r>
        <w:instrText xml:space="preserve"> PAGEREF AUTO_1985_26 \h </w:instrText>
      </w:r>
      <w:r>
        <w:fldChar w:fldCharType="separate"/>
      </w:r>
      <w:r w:rsidR="00CB2978">
        <w:rPr>
          <w:noProof/>
        </w:rPr>
        <w:t>733</w:t>
      </w:r>
      <w:r>
        <w:fldChar w:fldCharType="end"/>
      </w:r>
    </w:p>
    <w:p w:rsidR="000F63E8" w:rsidRDefault="000F63E8" w:rsidP="000F63E8"/>
    <w:p w:rsidR="000F63E8" w:rsidRDefault="000F63E8" w:rsidP="000F63E8">
      <w:pPr>
        <w:pStyle w:val="EntradandiceAuto"/>
      </w:pPr>
      <w:r>
        <w:t>Sección Tercera. Auto 27/1985, de 16 de enero de 1985. Acordando la inadmisión a trámite del recurso de amparo 694/1984</w:t>
      </w:r>
      <w:r>
        <w:tab/>
      </w:r>
      <w:r>
        <w:tab/>
      </w:r>
      <w:r>
        <w:fldChar w:fldCharType="begin"/>
      </w:r>
      <w:r>
        <w:instrText xml:space="preserve"> PAGEREF AUTO_1985_27 \h </w:instrText>
      </w:r>
      <w:r>
        <w:fldChar w:fldCharType="separate"/>
      </w:r>
      <w:r w:rsidR="00CB2978">
        <w:rPr>
          <w:noProof/>
        </w:rPr>
        <w:t>736</w:t>
      </w:r>
      <w:r>
        <w:fldChar w:fldCharType="end"/>
      </w:r>
    </w:p>
    <w:p w:rsidR="000F63E8" w:rsidRDefault="000F63E8" w:rsidP="000F63E8"/>
    <w:p w:rsidR="000F63E8" w:rsidRDefault="000F63E8" w:rsidP="000F63E8">
      <w:pPr>
        <w:pStyle w:val="EntradandiceAuto"/>
      </w:pPr>
      <w:r>
        <w:t>Sección Tercera. Auto 28/1985, de 16 de enero de 1985. Acordando la inadmisión a trámite del recurso de amparo 698/1984</w:t>
      </w:r>
      <w:r>
        <w:tab/>
      </w:r>
      <w:r>
        <w:tab/>
      </w:r>
      <w:r>
        <w:fldChar w:fldCharType="begin"/>
      </w:r>
      <w:r>
        <w:instrText xml:space="preserve"> PAGEREF AUTO_1985_28 \h </w:instrText>
      </w:r>
      <w:r>
        <w:fldChar w:fldCharType="separate"/>
      </w:r>
      <w:r w:rsidR="00CB2978">
        <w:rPr>
          <w:noProof/>
        </w:rPr>
        <w:t>739</w:t>
      </w:r>
      <w:r>
        <w:fldChar w:fldCharType="end"/>
      </w:r>
    </w:p>
    <w:p w:rsidR="000F63E8" w:rsidRDefault="000F63E8" w:rsidP="000F63E8"/>
    <w:p w:rsidR="000F63E8" w:rsidRDefault="000F63E8" w:rsidP="000F63E8">
      <w:pPr>
        <w:pStyle w:val="EntradandiceAuto"/>
      </w:pPr>
      <w:r>
        <w:t>Sección Cuarta. Auto 29/1985, de 16 de enero de 1985. Acordando la inadmisión a trámite del recurso de amparo 711/1984</w:t>
      </w:r>
      <w:r>
        <w:tab/>
      </w:r>
      <w:r>
        <w:tab/>
      </w:r>
      <w:r>
        <w:fldChar w:fldCharType="begin"/>
      </w:r>
      <w:r>
        <w:instrText xml:space="preserve"> PAGEREF AUTO_1985_29 \h </w:instrText>
      </w:r>
      <w:r>
        <w:fldChar w:fldCharType="separate"/>
      </w:r>
      <w:r w:rsidR="00CB2978">
        <w:rPr>
          <w:noProof/>
        </w:rPr>
        <w:t>742</w:t>
      </w:r>
      <w:r>
        <w:fldChar w:fldCharType="end"/>
      </w:r>
    </w:p>
    <w:p w:rsidR="000F63E8" w:rsidRDefault="000F63E8" w:rsidP="000F63E8"/>
    <w:p w:rsidR="000F63E8" w:rsidRDefault="000F63E8" w:rsidP="000F63E8">
      <w:pPr>
        <w:pStyle w:val="EntradandiceAuto"/>
      </w:pPr>
      <w:r>
        <w:t>Sección Cuarta. Auto 30/1985, de 16 de enero de 1985. Acordando la inadmisión a trámite del recurso de amparo 713/1984</w:t>
      </w:r>
      <w:r>
        <w:tab/>
      </w:r>
      <w:r>
        <w:tab/>
      </w:r>
      <w:r>
        <w:fldChar w:fldCharType="begin"/>
      </w:r>
      <w:r>
        <w:instrText xml:space="preserve"> PAGEREF AUTO_1985_30 \h </w:instrText>
      </w:r>
      <w:r>
        <w:fldChar w:fldCharType="separate"/>
      </w:r>
      <w:r w:rsidR="00CB2978">
        <w:rPr>
          <w:noProof/>
        </w:rPr>
        <w:t>745</w:t>
      </w:r>
      <w:r>
        <w:fldChar w:fldCharType="end"/>
      </w:r>
    </w:p>
    <w:p w:rsidR="000F63E8" w:rsidRDefault="000F63E8" w:rsidP="000F63E8"/>
    <w:p w:rsidR="000F63E8" w:rsidRDefault="000F63E8" w:rsidP="000F63E8">
      <w:pPr>
        <w:pStyle w:val="EntradandiceAuto"/>
      </w:pPr>
      <w:r>
        <w:t>Sección Cuarta. Auto 31/1985, de 16 de enero de 1985. Acordando la inadmisión a trámite del recurso de amparo 715/1984</w:t>
      </w:r>
      <w:r>
        <w:tab/>
      </w:r>
      <w:r>
        <w:tab/>
      </w:r>
      <w:r>
        <w:fldChar w:fldCharType="begin"/>
      </w:r>
      <w:r>
        <w:instrText xml:space="preserve"> PAGEREF AUTO_1985_31 \h </w:instrText>
      </w:r>
      <w:r>
        <w:fldChar w:fldCharType="separate"/>
      </w:r>
      <w:r w:rsidR="00CB2978">
        <w:rPr>
          <w:noProof/>
        </w:rPr>
        <w:t>750</w:t>
      </w:r>
      <w:r>
        <w:fldChar w:fldCharType="end"/>
      </w:r>
    </w:p>
    <w:p w:rsidR="000F63E8" w:rsidRDefault="000F63E8" w:rsidP="000F63E8"/>
    <w:p w:rsidR="000F63E8" w:rsidRDefault="000F63E8" w:rsidP="000F63E8">
      <w:pPr>
        <w:pStyle w:val="EntradandiceAuto"/>
      </w:pPr>
      <w:r>
        <w:t>Sección Tercera. Auto 32/1985, de 16 de enero de 1985. Acordando la inadmisión a trámite del recurso de amparo 717/1984</w:t>
      </w:r>
      <w:r>
        <w:tab/>
      </w:r>
      <w:r>
        <w:tab/>
      </w:r>
      <w:r>
        <w:fldChar w:fldCharType="begin"/>
      </w:r>
      <w:r>
        <w:instrText xml:space="preserve"> PAGEREF AUTO_1985_32 \h </w:instrText>
      </w:r>
      <w:r>
        <w:fldChar w:fldCharType="separate"/>
      </w:r>
      <w:r w:rsidR="00CB2978">
        <w:rPr>
          <w:noProof/>
        </w:rPr>
        <w:t>755</w:t>
      </w:r>
      <w:r>
        <w:fldChar w:fldCharType="end"/>
      </w:r>
    </w:p>
    <w:p w:rsidR="000F63E8" w:rsidRDefault="000F63E8" w:rsidP="000F63E8"/>
    <w:p w:rsidR="000F63E8" w:rsidRDefault="000F63E8" w:rsidP="000F63E8">
      <w:pPr>
        <w:pStyle w:val="EntradandiceAuto"/>
      </w:pPr>
      <w:r>
        <w:lastRenderedPageBreak/>
        <w:t>Sección Cuarta. Auto 33/1985, de 16 de enero de 1985. Acordando la inadmisión a trámite del recurso de amparo 743/1984</w:t>
      </w:r>
      <w:r>
        <w:tab/>
      </w:r>
      <w:r>
        <w:tab/>
      </w:r>
      <w:r>
        <w:fldChar w:fldCharType="begin"/>
      </w:r>
      <w:r>
        <w:instrText xml:space="preserve"> PAGEREF AUTO_1985_33 \h </w:instrText>
      </w:r>
      <w:r>
        <w:fldChar w:fldCharType="separate"/>
      </w:r>
      <w:r w:rsidR="00CB2978">
        <w:rPr>
          <w:noProof/>
        </w:rPr>
        <w:t>757</w:t>
      </w:r>
      <w:r>
        <w:fldChar w:fldCharType="end"/>
      </w:r>
    </w:p>
    <w:p w:rsidR="000F63E8" w:rsidRDefault="000F63E8" w:rsidP="000F63E8"/>
    <w:p w:rsidR="000F63E8" w:rsidRDefault="000F63E8" w:rsidP="000F63E8">
      <w:pPr>
        <w:pStyle w:val="EntradandiceAuto"/>
      </w:pPr>
      <w:r>
        <w:t>Sección Cuarta. Auto 34/1985, de 16 de enero de 1985. Acordando la inadmisión a trámite del recurso de amparo 758/1984</w:t>
      </w:r>
      <w:r>
        <w:tab/>
      </w:r>
      <w:r>
        <w:tab/>
      </w:r>
      <w:r>
        <w:fldChar w:fldCharType="begin"/>
      </w:r>
      <w:r>
        <w:instrText xml:space="preserve"> PAGEREF AUTO_1985_34 \h </w:instrText>
      </w:r>
      <w:r>
        <w:fldChar w:fldCharType="separate"/>
      </w:r>
      <w:r w:rsidR="00CB2978">
        <w:rPr>
          <w:noProof/>
        </w:rPr>
        <w:t>760</w:t>
      </w:r>
      <w:r>
        <w:fldChar w:fldCharType="end"/>
      </w:r>
    </w:p>
    <w:p w:rsidR="000F63E8" w:rsidRDefault="000F63E8" w:rsidP="000F63E8"/>
    <w:p w:rsidR="000F63E8" w:rsidRDefault="000F63E8" w:rsidP="000F63E8">
      <w:pPr>
        <w:pStyle w:val="EntradandiceAuto"/>
      </w:pPr>
      <w:r>
        <w:t>Sala Segunda. Auto 35/1985, de 16 de enero de 1985. Acordando la suspensión de la ejecución del acto que origina el recurso de amparo 766/1984</w:t>
      </w:r>
      <w:r>
        <w:tab/>
      </w:r>
      <w:r>
        <w:tab/>
      </w:r>
      <w:r>
        <w:fldChar w:fldCharType="begin"/>
      </w:r>
      <w:r>
        <w:instrText xml:space="preserve"> PAGEREF AUTO_1985_35 \h </w:instrText>
      </w:r>
      <w:r>
        <w:fldChar w:fldCharType="separate"/>
      </w:r>
      <w:r w:rsidR="00CB2978">
        <w:rPr>
          <w:noProof/>
        </w:rPr>
        <w:t>764</w:t>
      </w:r>
      <w:r>
        <w:fldChar w:fldCharType="end"/>
      </w:r>
    </w:p>
    <w:p w:rsidR="000F63E8" w:rsidRDefault="000F63E8" w:rsidP="000F63E8"/>
    <w:p w:rsidR="000F63E8" w:rsidRDefault="000F63E8" w:rsidP="000F63E8">
      <w:pPr>
        <w:pStyle w:val="EntradandiceAuto"/>
      </w:pPr>
      <w:r>
        <w:t>Sala Primera. Auto 36/1985, de 16 de enero de 1985. Acordando la suspensión de la ejecución del acto que origina el recurso de amparo 778/1984</w:t>
      </w:r>
      <w:r>
        <w:tab/>
      </w:r>
      <w:r>
        <w:tab/>
      </w:r>
      <w:r>
        <w:fldChar w:fldCharType="begin"/>
      </w:r>
      <w:r>
        <w:instrText xml:space="preserve"> PAGEREF AUTO_1985_36 \h </w:instrText>
      </w:r>
      <w:r>
        <w:fldChar w:fldCharType="separate"/>
      </w:r>
      <w:r w:rsidR="00CB2978">
        <w:rPr>
          <w:noProof/>
        </w:rPr>
        <w:t>766</w:t>
      </w:r>
      <w:r>
        <w:fldChar w:fldCharType="end"/>
      </w:r>
    </w:p>
    <w:p w:rsidR="000F63E8" w:rsidRDefault="000F63E8" w:rsidP="000F63E8"/>
    <w:p w:rsidR="000F63E8" w:rsidRDefault="000F63E8" w:rsidP="000F63E8">
      <w:pPr>
        <w:pStyle w:val="EntradandiceAuto"/>
      </w:pPr>
      <w:r>
        <w:t>Sección Segunda. Auto 37/1985, de 16 de enero de 1985. Acordando la inadmisión a trámite del recurso de amparo 781/1984</w:t>
      </w:r>
      <w:r>
        <w:tab/>
      </w:r>
      <w:r>
        <w:tab/>
      </w:r>
      <w:r>
        <w:fldChar w:fldCharType="begin"/>
      </w:r>
      <w:r>
        <w:instrText xml:space="preserve"> PAGEREF AUTO_1985_37 \h </w:instrText>
      </w:r>
      <w:r>
        <w:fldChar w:fldCharType="separate"/>
      </w:r>
      <w:r w:rsidR="00CB2978">
        <w:rPr>
          <w:noProof/>
        </w:rPr>
        <w:t>769</w:t>
      </w:r>
      <w:r>
        <w:fldChar w:fldCharType="end"/>
      </w:r>
    </w:p>
    <w:p w:rsidR="000F63E8" w:rsidRDefault="000F63E8" w:rsidP="000F63E8"/>
    <w:p w:rsidR="000F63E8" w:rsidRDefault="000F63E8" w:rsidP="000F63E8">
      <w:pPr>
        <w:pStyle w:val="EntradandiceAuto"/>
      </w:pPr>
      <w:r>
        <w:t>Pleno. Auto 38/1985, de 17 de enero de 1985. Acordando la acumulación de los recursos de inconstitucionalidad 584, 585 y 594/1984</w:t>
      </w:r>
      <w:r>
        <w:tab/>
      </w:r>
      <w:r>
        <w:tab/>
      </w:r>
      <w:r>
        <w:fldChar w:fldCharType="begin"/>
      </w:r>
      <w:r>
        <w:instrText xml:space="preserve"> PAGEREF AUTO_1985_38 \h </w:instrText>
      </w:r>
      <w:r>
        <w:fldChar w:fldCharType="separate"/>
      </w:r>
      <w:r w:rsidR="00CB2978">
        <w:rPr>
          <w:noProof/>
        </w:rPr>
        <w:t>774</w:t>
      </w:r>
      <w:r>
        <w:fldChar w:fldCharType="end"/>
      </w:r>
    </w:p>
    <w:p w:rsidR="000F63E8" w:rsidRDefault="000F63E8" w:rsidP="000F63E8"/>
    <w:p w:rsidR="000F63E8" w:rsidRDefault="000F63E8" w:rsidP="000F63E8">
      <w:pPr>
        <w:pStyle w:val="EntradandiceAuto"/>
      </w:pPr>
      <w:r>
        <w:t>Pleno. Auto 39/1985, de 17 de enero de 1985. Ratificando y levantando, según los casos, la suspensión, previamente acordada, de diversas resoluciones del Departamento de Sanidad y Seguridad Social de la Generalidad de Cataluña, en el conflicto positivo de competencia 623/1984</w:t>
      </w:r>
      <w:r>
        <w:tab/>
      </w:r>
      <w:r>
        <w:tab/>
      </w:r>
      <w:r>
        <w:fldChar w:fldCharType="begin"/>
      </w:r>
      <w:r>
        <w:instrText xml:space="preserve"> PAGEREF AUTO_1985_39 \h </w:instrText>
      </w:r>
      <w:r>
        <w:fldChar w:fldCharType="separate"/>
      </w:r>
      <w:r w:rsidR="00CB2978">
        <w:rPr>
          <w:noProof/>
        </w:rPr>
        <w:t>777</w:t>
      </w:r>
      <w:r>
        <w:fldChar w:fldCharType="end"/>
      </w:r>
    </w:p>
    <w:p w:rsidR="000F63E8" w:rsidRDefault="000F63E8" w:rsidP="000F63E8"/>
    <w:p w:rsidR="000F63E8" w:rsidRDefault="000F63E8" w:rsidP="000F63E8">
      <w:pPr>
        <w:pStyle w:val="EntradandiceAuto"/>
      </w:pPr>
      <w:r>
        <w:t>Sección Tercera. Auto 40/1985, de 23 de enero de 1985. Acordando la inadmisión a trámite del recurso de amparo 504/1984</w:t>
      </w:r>
      <w:r>
        <w:tab/>
      </w:r>
      <w:r>
        <w:tab/>
      </w:r>
      <w:r>
        <w:fldChar w:fldCharType="begin"/>
      </w:r>
      <w:r>
        <w:instrText xml:space="preserve"> PAGEREF AUTO_1985_40 \h </w:instrText>
      </w:r>
      <w:r>
        <w:fldChar w:fldCharType="separate"/>
      </w:r>
      <w:r w:rsidR="00CB2978">
        <w:rPr>
          <w:noProof/>
        </w:rPr>
        <w:t>780</w:t>
      </w:r>
      <w:r>
        <w:fldChar w:fldCharType="end"/>
      </w:r>
    </w:p>
    <w:p w:rsidR="000F63E8" w:rsidRDefault="000F63E8" w:rsidP="000F63E8"/>
    <w:p w:rsidR="000F63E8" w:rsidRDefault="000F63E8" w:rsidP="000F63E8">
      <w:pPr>
        <w:pStyle w:val="EntradandiceAuto"/>
      </w:pPr>
      <w:r>
        <w:t>Sección Primera. Auto 41/1985, de 23 de enero de 1985. Acordando la inadmisión a trámite del recurso de amparo 625/1984</w:t>
      </w:r>
      <w:r>
        <w:tab/>
      </w:r>
      <w:r>
        <w:tab/>
      </w:r>
      <w:r>
        <w:fldChar w:fldCharType="begin"/>
      </w:r>
      <w:r>
        <w:instrText xml:space="preserve"> PAGEREF AUTO_1985_41 \h </w:instrText>
      </w:r>
      <w:r>
        <w:fldChar w:fldCharType="separate"/>
      </w:r>
      <w:r w:rsidR="00CB2978">
        <w:rPr>
          <w:noProof/>
        </w:rPr>
        <w:t>783</w:t>
      </w:r>
      <w:r>
        <w:fldChar w:fldCharType="end"/>
      </w:r>
    </w:p>
    <w:p w:rsidR="000F63E8" w:rsidRDefault="000F63E8" w:rsidP="000F63E8"/>
    <w:p w:rsidR="000F63E8" w:rsidRDefault="000F63E8" w:rsidP="000F63E8">
      <w:pPr>
        <w:pStyle w:val="EntradandiceAuto"/>
      </w:pPr>
      <w:r>
        <w:t>Sección Primera. Auto 42/1985, de 23 de enero de 1985. Acordando la inadmisión a trámite del recurso de amparo 654/1984</w:t>
      </w:r>
      <w:r>
        <w:tab/>
      </w:r>
      <w:r>
        <w:tab/>
      </w:r>
      <w:r>
        <w:fldChar w:fldCharType="begin"/>
      </w:r>
      <w:r>
        <w:instrText xml:space="preserve"> PAGEREF AUTO_1985_42 \h </w:instrText>
      </w:r>
      <w:r>
        <w:fldChar w:fldCharType="separate"/>
      </w:r>
      <w:r w:rsidR="00CB2978">
        <w:rPr>
          <w:noProof/>
        </w:rPr>
        <w:t>786</w:t>
      </w:r>
      <w:r>
        <w:fldChar w:fldCharType="end"/>
      </w:r>
    </w:p>
    <w:p w:rsidR="000F63E8" w:rsidRDefault="000F63E8" w:rsidP="000F63E8"/>
    <w:p w:rsidR="000F63E8" w:rsidRDefault="000F63E8" w:rsidP="000F63E8">
      <w:pPr>
        <w:pStyle w:val="EntradandiceAuto"/>
      </w:pPr>
      <w:r>
        <w:t>Sección Cuarta. Auto 43/1985, de 23 de enero de 1985. Declarando la extinción del proceso por satisfacción extraprocesal de la pretensión, en el recurso de amparo 734/1984</w:t>
      </w:r>
      <w:r>
        <w:tab/>
      </w:r>
      <w:r>
        <w:tab/>
      </w:r>
      <w:r>
        <w:fldChar w:fldCharType="begin"/>
      </w:r>
      <w:r>
        <w:instrText xml:space="preserve"> PAGEREF AUTO_1985_43 \h </w:instrText>
      </w:r>
      <w:r>
        <w:fldChar w:fldCharType="separate"/>
      </w:r>
      <w:r w:rsidR="00CB2978">
        <w:rPr>
          <w:noProof/>
        </w:rPr>
        <w:t>791</w:t>
      </w:r>
      <w:r>
        <w:fldChar w:fldCharType="end"/>
      </w:r>
    </w:p>
    <w:p w:rsidR="000F63E8" w:rsidRDefault="000F63E8" w:rsidP="000F63E8"/>
    <w:p w:rsidR="000F63E8" w:rsidRDefault="000F63E8" w:rsidP="000F63E8">
      <w:pPr>
        <w:pStyle w:val="EntradandiceAuto"/>
      </w:pPr>
      <w:r>
        <w:t>Sección Tercera. Auto 44/1985, de 23 de enero de 1985. Acordando la inadmisión a trámite del recurso de amparo 737/1984</w:t>
      </w:r>
      <w:r>
        <w:tab/>
      </w:r>
      <w:r>
        <w:tab/>
      </w:r>
      <w:r>
        <w:fldChar w:fldCharType="begin"/>
      </w:r>
      <w:r>
        <w:instrText xml:space="preserve"> PAGEREF AUTO_1985_44 \h </w:instrText>
      </w:r>
      <w:r>
        <w:fldChar w:fldCharType="separate"/>
      </w:r>
      <w:r w:rsidR="00CB2978">
        <w:rPr>
          <w:noProof/>
        </w:rPr>
        <w:t>795</w:t>
      </w:r>
      <w:r>
        <w:fldChar w:fldCharType="end"/>
      </w:r>
    </w:p>
    <w:p w:rsidR="000F63E8" w:rsidRDefault="000F63E8" w:rsidP="000F63E8"/>
    <w:p w:rsidR="000F63E8" w:rsidRDefault="000F63E8" w:rsidP="000F63E8">
      <w:pPr>
        <w:pStyle w:val="EntradandiceAuto"/>
      </w:pPr>
      <w:r>
        <w:lastRenderedPageBreak/>
        <w:t>Sección Cuarta. Auto 45/1985, de 23 de enero de 1985. Acordando la inadmisión a trámite del recurso de amparo 752/1984</w:t>
      </w:r>
      <w:r>
        <w:tab/>
      </w:r>
      <w:r>
        <w:tab/>
      </w:r>
      <w:r>
        <w:fldChar w:fldCharType="begin"/>
      </w:r>
      <w:r>
        <w:instrText xml:space="preserve"> PAGEREF AUTO_1985_45 \h </w:instrText>
      </w:r>
      <w:r>
        <w:fldChar w:fldCharType="separate"/>
      </w:r>
      <w:r w:rsidR="00CB2978">
        <w:rPr>
          <w:noProof/>
        </w:rPr>
        <w:t>798</w:t>
      </w:r>
      <w:r>
        <w:fldChar w:fldCharType="end"/>
      </w:r>
    </w:p>
    <w:p w:rsidR="000F63E8" w:rsidRDefault="000F63E8" w:rsidP="000F63E8"/>
    <w:p w:rsidR="000F63E8" w:rsidRDefault="000F63E8" w:rsidP="000F63E8">
      <w:pPr>
        <w:pStyle w:val="EntradandiceAuto"/>
      </w:pPr>
      <w:r>
        <w:t>Sección Cuarta. Auto 46/1985, de 23 de enero de 1985. Acordando la inadmisión a trámite del recurso de amparo 770/1984</w:t>
      </w:r>
      <w:r>
        <w:tab/>
      </w:r>
      <w:r>
        <w:tab/>
      </w:r>
      <w:r>
        <w:fldChar w:fldCharType="begin"/>
      </w:r>
      <w:r>
        <w:instrText xml:space="preserve"> PAGEREF AUTO_1985_46 \h </w:instrText>
      </w:r>
      <w:r>
        <w:fldChar w:fldCharType="separate"/>
      </w:r>
      <w:r w:rsidR="00CB2978">
        <w:rPr>
          <w:noProof/>
        </w:rPr>
        <w:t>804</w:t>
      </w:r>
      <w:r>
        <w:fldChar w:fldCharType="end"/>
      </w:r>
    </w:p>
    <w:p w:rsidR="000F63E8" w:rsidRDefault="000F63E8" w:rsidP="000F63E8"/>
    <w:p w:rsidR="000F63E8" w:rsidRDefault="000F63E8" w:rsidP="000F63E8">
      <w:pPr>
        <w:pStyle w:val="EntradandiceAuto"/>
      </w:pPr>
      <w:r>
        <w:t>Sección Tercera. Auto 47/1985, de 23 de enero de 1985. Acordando la inadmisión a trámite del recurso de amparo 789/1984</w:t>
      </w:r>
      <w:r>
        <w:tab/>
      </w:r>
      <w:r>
        <w:tab/>
      </w:r>
      <w:r>
        <w:fldChar w:fldCharType="begin"/>
      </w:r>
      <w:r>
        <w:instrText xml:space="preserve"> PAGEREF AUTO_1985_47 \h </w:instrText>
      </w:r>
      <w:r>
        <w:fldChar w:fldCharType="separate"/>
      </w:r>
      <w:r w:rsidR="00CB2978">
        <w:rPr>
          <w:noProof/>
        </w:rPr>
        <w:t>809</w:t>
      </w:r>
      <w:r>
        <w:fldChar w:fldCharType="end"/>
      </w:r>
    </w:p>
    <w:p w:rsidR="000F63E8" w:rsidRDefault="000F63E8" w:rsidP="000F63E8"/>
    <w:p w:rsidR="000F63E8" w:rsidRDefault="000F63E8" w:rsidP="000F63E8">
      <w:pPr>
        <w:pStyle w:val="EntradandiceAuto"/>
      </w:pPr>
      <w:r>
        <w:t>Sección Cuarta. Auto 48/1985, de 23 de enero de 1985. Acordando la inadmisión a trámite del recurso de amparo 791/1984</w:t>
      </w:r>
      <w:r>
        <w:tab/>
      </w:r>
      <w:r>
        <w:tab/>
      </w:r>
      <w:r>
        <w:fldChar w:fldCharType="begin"/>
      </w:r>
      <w:r>
        <w:instrText xml:space="preserve"> PAGEREF AUTO_1985_48 \h </w:instrText>
      </w:r>
      <w:r>
        <w:fldChar w:fldCharType="separate"/>
      </w:r>
      <w:r w:rsidR="00CB2978">
        <w:rPr>
          <w:noProof/>
        </w:rPr>
        <w:t>813</w:t>
      </w:r>
      <w:r>
        <w:fldChar w:fldCharType="end"/>
      </w:r>
    </w:p>
    <w:p w:rsidR="000F63E8" w:rsidRDefault="000F63E8" w:rsidP="000F63E8"/>
    <w:p w:rsidR="000F63E8" w:rsidRDefault="000F63E8" w:rsidP="000F63E8">
      <w:pPr>
        <w:pStyle w:val="EntradandiceAuto"/>
      </w:pPr>
      <w:r>
        <w:t>Sección Primera. Auto 49/1985, de 23 de enero de 1985. Acordando la inadmisión a trámite del recurso de amparo 818/1984</w:t>
      </w:r>
      <w:r>
        <w:tab/>
      </w:r>
      <w:r>
        <w:tab/>
      </w:r>
      <w:r>
        <w:fldChar w:fldCharType="begin"/>
      </w:r>
      <w:r>
        <w:instrText xml:space="preserve"> PAGEREF AUTO_1985_49 \h </w:instrText>
      </w:r>
      <w:r>
        <w:fldChar w:fldCharType="separate"/>
      </w:r>
      <w:r w:rsidR="00CB2978">
        <w:rPr>
          <w:noProof/>
        </w:rPr>
        <w:t>815</w:t>
      </w:r>
      <w:r>
        <w:fldChar w:fldCharType="end"/>
      </w:r>
    </w:p>
    <w:p w:rsidR="000F63E8" w:rsidRDefault="000F63E8" w:rsidP="000F63E8"/>
    <w:p w:rsidR="000F63E8" w:rsidRDefault="000F63E8" w:rsidP="000F63E8">
      <w:pPr>
        <w:pStyle w:val="EntradandiceAuto"/>
      </w:pPr>
      <w:r>
        <w:t>Sección Segunda. Auto 50/1985, de 24 de enero de 1985. Acordando la inadmisión a trámite del recurso de amparo 308/1984</w:t>
      </w:r>
      <w:r>
        <w:tab/>
      </w:r>
      <w:r>
        <w:tab/>
      </w:r>
      <w:r>
        <w:fldChar w:fldCharType="begin"/>
      </w:r>
      <w:r>
        <w:instrText xml:space="preserve"> PAGEREF AUTO_1985_50 \h </w:instrText>
      </w:r>
      <w:r>
        <w:fldChar w:fldCharType="separate"/>
      </w:r>
      <w:r w:rsidR="00CB2978">
        <w:rPr>
          <w:noProof/>
        </w:rPr>
        <w:t>819</w:t>
      </w:r>
      <w:r>
        <w:fldChar w:fldCharType="end"/>
      </w:r>
    </w:p>
    <w:p w:rsidR="000F63E8" w:rsidRDefault="000F63E8" w:rsidP="000F63E8"/>
    <w:p w:rsidR="000F63E8" w:rsidRDefault="000F63E8" w:rsidP="000F63E8">
      <w:pPr>
        <w:pStyle w:val="EntradandiceAuto"/>
      </w:pPr>
      <w:r>
        <w:t>Sección Segunda. Auto 51/1985, de 24 de enero de 1985. Acordando la inadmisión a trámite del recurso de amparo 453/1984</w:t>
      </w:r>
      <w:r>
        <w:tab/>
      </w:r>
      <w:r>
        <w:tab/>
      </w:r>
      <w:r>
        <w:fldChar w:fldCharType="begin"/>
      </w:r>
      <w:r>
        <w:instrText xml:space="preserve"> PAGEREF AUTO_1985_51 \h </w:instrText>
      </w:r>
      <w:r>
        <w:fldChar w:fldCharType="separate"/>
      </w:r>
      <w:r w:rsidR="00CB2978">
        <w:rPr>
          <w:noProof/>
        </w:rPr>
        <w:t>824</w:t>
      </w:r>
      <w:r>
        <w:fldChar w:fldCharType="end"/>
      </w:r>
    </w:p>
    <w:p w:rsidR="000F63E8" w:rsidRDefault="000F63E8" w:rsidP="000F63E8"/>
    <w:p w:rsidR="000F63E8" w:rsidRDefault="000F63E8" w:rsidP="000F63E8">
      <w:pPr>
        <w:pStyle w:val="EntradandiceAuto"/>
      </w:pPr>
      <w:r>
        <w:t>Sección Segunda. Auto 52/1985, de 24 de enero de 1985. Acordando la inadmisión a trámite del recurso de amparo 574/1984</w:t>
      </w:r>
      <w:r>
        <w:tab/>
      </w:r>
      <w:r>
        <w:tab/>
      </w:r>
      <w:r>
        <w:fldChar w:fldCharType="begin"/>
      </w:r>
      <w:r>
        <w:instrText xml:space="preserve"> PAGEREF AUTO_1985_52 \h </w:instrText>
      </w:r>
      <w:r>
        <w:fldChar w:fldCharType="separate"/>
      </w:r>
      <w:r w:rsidR="00CB2978">
        <w:rPr>
          <w:noProof/>
        </w:rPr>
        <w:t>829</w:t>
      </w:r>
      <w:r>
        <w:fldChar w:fldCharType="end"/>
      </w:r>
    </w:p>
    <w:p w:rsidR="000F63E8" w:rsidRDefault="000F63E8" w:rsidP="000F63E8"/>
    <w:p w:rsidR="000F63E8" w:rsidRDefault="000F63E8" w:rsidP="000F63E8">
      <w:pPr>
        <w:pStyle w:val="EntradandiceAuto"/>
      </w:pPr>
      <w:r>
        <w:t>Sección Segunda. Auto 53/1985, de 24 de enero de 1985. Acordando la inadmisión a trámite del recurso de amparo 578/1984</w:t>
      </w:r>
      <w:r>
        <w:tab/>
      </w:r>
      <w:r>
        <w:tab/>
      </w:r>
      <w:r>
        <w:fldChar w:fldCharType="begin"/>
      </w:r>
      <w:r>
        <w:instrText xml:space="preserve"> PAGEREF AUTO_1985_53 \h </w:instrText>
      </w:r>
      <w:r>
        <w:fldChar w:fldCharType="separate"/>
      </w:r>
      <w:r w:rsidR="00CB2978">
        <w:rPr>
          <w:noProof/>
        </w:rPr>
        <w:t>838</w:t>
      </w:r>
      <w:r>
        <w:fldChar w:fldCharType="end"/>
      </w:r>
    </w:p>
    <w:p w:rsidR="000F63E8" w:rsidRDefault="000F63E8" w:rsidP="000F63E8"/>
    <w:p w:rsidR="000F63E8" w:rsidRDefault="000F63E8" w:rsidP="000F63E8">
      <w:pPr>
        <w:pStyle w:val="EntradandiceAuto"/>
      </w:pPr>
      <w:r>
        <w:t>Pleno. Auto 54/1985, de 24 de enero de 1985. Ratificando la suspensión, previamente acordada, de la Ley 1/1984, del Parlamento de Galicia, en el recurso de inconstitucionalidad 646/1984</w:t>
      </w:r>
      <w:r>
        <w:tab/>
      </w:r>
      <w:r>
        <w:tab/>
      </w:r>
      <w:r>
        <w:fldChar w:fldCharType="begin"/>
      </w:r>
      <w:r>
        <w:instrText xml:space="preserve"> PAGEREF AUTO_1985_54 \h </w:instrText>
      </w:r>
      <w:r>
        <w:fldChar w:fldCharType="separate"/>
      </w:r>
      <w:r w:rsidR="00CB2978">
        <w:rPr>
          <w:noProof/>
        </w:rPr>
        <w:t>842</w:t>
      </w:r>
      <w:r>
        <w:fldChar w:fldCharType="end"/>
      </w:r>
    </w:p>
    <w:p w:rsidR="000F63E8" w:rsidRDefault="000F63E8" w:rsidP="000F63E8"/>
    <w:p w:rsidR="000F63E8" w:rsidRDefault="000F63E8" w:rsidP="000F63E8">
      <w:pPr>
        <w:pStyle w:val="EntradandiceAuto"/>
      </w:pPr>
      <w:r>
        <w:t>Pleno. Auto 55/1985, de 24 de enero de 1985. Ratificando la suspensión, previamente acordada, del art. 3 del Decreto 125/1984, del Consejo Ejecutivo de la Generalidad de Cataluña, en el conflicto positivo de competencia 649/1984</w:t>
      </w:r>
      <w:r>
        <w:tab/>
      </w:r>
      <w:r>
        <w:tab/>
      </w:r>
      <w:r>
        <w:fldChar w:fldCharType="begin"/>
      </w:r>
      <w:r>
        <w:instrText xml:space="preserve"> PAGEREF AUTO_1985_55 \h </w:instrText>
      </w:r>
      <w:r>
        <w:fldChar w:fldCharType="separate"/>
      </w:r>
      <w:r w:rsidR="00CB2978">
        <w:rPr>
          <w:noProof/>
        </w:rPr>
        <w:t>845</w:t>
      </w:r>
      <w:r>
        <w:fldChar w:fldCharType="end"/>
      </w:r>
    </w:p>
    <w:p w:rsidR="000F63E8" w:rsidRDefault="000F63E8" w:rsidP="000F63E8"/>
    <w:p w:rsidR="000F63E8" w:rsidRDefault="000F63E8" w:rsidP="000F63E8">
      <w:pPr>
        <w:pStyle w:val="EntradandiceAuto"/>
      </w:pPr>
      <w:r>
        <w:t>Sección Segunda. Auto 56/1985, de 24 de enero de 1985. Acordando la inadmisión a trámite del recurso de amparo 695/1984</w:t>
      </w:r>
      <w:r>
        <w:tab/>
      </w:r>
      <w:r>
        <w:tab/>
      </w:r>
      <w:r>
        <w:fldChar w:fldCharType="begin"/>
      </w:r>
      <w:r>
        <w:instrText xml:space="preserve"> PAGEREF AUTO_1985_56 \h </w:instrText>
      </w:r>
      <w:r>
        <w:fldChar w:fldCharType="separate"/>
      </w:r>
      <w:r w:rsidR="00CB2978">
        <w:rPr>
          <w:noProof/>
        </w:rPr>
        <w:t>848</w:t>
      </w:r>
      <w:r>
        <w:fldChar w:fldCharType="end"/>
      </w:r>
    </w:p>
    <w:p w:rsidR="000F63E8" w:rsidRDefault="000F63E8" w:rsidP="000F63E8"/>
    <w:p w:rsidR="000F63E8" w:rsidRDefault="000F63E8" w:rsidP="000F63E8">
      <w:pPr>
        <w:pStyle w:val="EntradandiceAuto"/>
      </w:pPr>
      <w:r>
        <w:lastRenderedPageBreak/>
        <w:t>Sección Segunda. Auto 57/1985, de 24 de enero de 1985. Acordando la inadmisión a trámite del recurso de amparo 827/1984</w:t>
      </w:r>
      <w:r>
        <w:tab/>
      </w:r>
      <w:r>
        <w:tab/>
      </w:r>
      <w:r>
        <w:fldChar w:fldCharType="begin"/>
      </w:r>
      <w:r>
        <w:instrText xml:space="preserve"> PAGEREF AUTO_1985_57 \h </w:instrText>
      </w:r>
      <w:r>
        <w:fldChar w:fldCharType="separate"/>
      </w:r>
      <w:r w:rsidR="00CB2978">
        <w:rPr>
          <w:noProof/>
        </w:rPr>
        <w:t>851</w:t>
      </w:r>
      <w:r>
        <w:fldChar w:fldCharType="end"/>
      </w:r>
    </w:p>
    <w:p w:rsidR="000F63E8" w:rsidRDefault="000F63E8" w:rsidP="000F63E8"/>
    <w:p w:rsidR="000F63E8" w:rsidRDefault="000F63E8" w:rsidP="000F63E8">
      <w:pPr>
        <w:pStyle w:val="EntradandiceAuto"/>
      </w:pPr>
      <w:r>
        <w:t>Sección Tercera. Auto 58/1985, de 30 de enero de 1985. Acordando la inadmisión a trámite del recurso de amparo 37/1984</w:t>
      </w:r>
      <w:r>
        <w:tab/>
      </w:r>
      <w:r>
        <w:tab/>
      </w:r>
      <w:r>
        <w:fldChar w:fldCharType="begin"/>
      </w:r>
      <w:r>
        <w:instrText xml:space="preserve"> PAGEREF AUTO_1985_58 \h </w:instrText>
      </w:r>
      <w:r>
        <w:fldChar w:fldCharType="separate"/>
      </w:r>
      <w:r w:rsidR="00CB2978">
        <w:rPr>
          <w:noProof/>
        </w:rPr>
        <w:t>856</w:t>
      </w:r>
      <w:r>
        <w:fldChar w:fldCharType="end"/>
      </w:r>
    </w:p>
    <w:p w:rsidR="000F63E8" w:rsidRDefault="000F63E8" w:rsidP="000F63E8"/>
    <w:p w:rsidR="000F63E8" w:rsidRDefault="000F63E8" w:rsidP="000F63E8">
      <w:pPr>
        <w:pStyle w:val="EntradandiceAuto"/>
      </w:pPr>
      <w:r>
        <w:t>Sección Primera. Auto 59/1985, de 30 de enero de 1985. Acordando la inadmisión a trámite de los recursos de amparo 95 y 755/1984 (acumulados)</w:t>
      </w:r>
      <w:r>
        <w:tab/>
      </w:r>
      <w:r>
        <w:tab/>
      </w:r>
      <w:r>
        <w:fldChar w:fldCharType="begin"/>
      </w:r>
      <w:r>
        <w:instrText xml:space="preserve"> PAGEREF AUTO_1985_59 \h </w:instrText>
      </w:r>
      <w:r>
        <w:fldChar w:fldCharType="separate"/>
      </w:r>
      <w:r w:rsidR="00CB2978">
        <w:rPr>
          <w:noProof/>
        </w:rPr>
        <w:t>860</w:t>
      </w:r>
      <w:r>
        <w:fldChar w:fldCharType="end"/>
      </w:r>
    </w:p>
    <w:p w:rsidR="000F63E8" w:rsidRDefault="000F63E8" w:rsidP="000F63E8"/>
    <w:p w:rsidR="000F63E8" w:rsidRDefault="000F63E8" w:rsidP="000F63E8">
      <w:pPr>
        <w:pStyle w:val="EntradandiceAuto"/>
      </w:pPr>
      <w:r>
        <w:t>Sección Primera. Auto 60/1985, de 30 de enero de 1985. Acordando la inadmisión a trámite del recurso de amparo 292/1984</w:t>
      </w:r>
      <w:r>
        <w:tab/>
      </w:r>
      <w:r>
        <w:tab/>
      </w:r>
      <w:r>
        <w:fldChar w:fldCharType="begin"/>
      </w:r>
      <w:r>
        <w:instrText xml:space="preserve"> PAGEREF AUTO_1985_60 \h </w:instrText>
      </w:r>
      <w:r>
        <w:fldChar w:fldCharType="separate"/>
      </w:r>
      <w:r w:rsidR="00CB2978">
        <w:rPr>
          <w:noProof/>
        </w:rPr>
        <w:t>869</w:t>
      </w:r>
      <w:r>
        <w:fldChar w:fldCharType="end"/>
      </w:r>
    </w:p>
    <w:p w:rsidR="000F63E8" w:rsidRDefault="000F63E8" w:rsidP="000F63E8"/>
    <w:p w:rsidR="000F63E8" w:rsidRDefault="000F63E8" w:rsidP="000F63E8">
      <w:pPr>
        <w:pStyle w:val="EntradandiceAuto"/>
      </w:pPr>
      <w:r>
        <w:t>Sección Tercera. Auto 61/1985, de 30 de enero de 1985. Acordando la inadmisión a trámite del recurso de amparo 468/1984</w:t>
      </w:r>
      <w:r>
        <w:tab/>
      </w:r>
      <w:r>
        <w:tab/>
      </w:r>
      <w:r>
        <w:fldChar w:fldCharType="begin"/>
      </w:r>
      <w:r>
        <w:instrText xml:space="preserve"> PAGEREF AUTO_1985_61 \h </w:instrText>
      </w:r>
      <w:r>
        <w:fldChar w:fldCharType="separate"/>
      </w:r>
      <w:r w:rsidR="00CB2978">
        <w:rPr>
          <w:noProof/>
        </w:rPr>
        <w:t>875</w:t>
      </w:r>
      <w:r>
        <w:fldChar w:fldCharType="end"/>
      </w:r>
    </w:p>
    <w:p w:rsidR="000F63E8" w:rsidRDefault="000F63E8" w:rsidP="000F63E8"/>
    <w:p w:rsidR="000F63E8" w:rsidRDefault="000F63E8" w:rsidP="000F63E8">
      <w:pPr>
        <w:pStyle w:val="EntradandiceAuto"/>
      </w:pPr>
      <w:r>
        <w:t>Sección Tercera. Auto 62/1985, de 30 de enero de 1985. Acordando la inadmisión a trámite del recurso de amparo 485/1984</w:t>
      </w:r>
      <w:r>
        <w:tab/>
      </w:r>
      <w:r>
        <w:tab/>
      </w:r>
      <w:r>
        <w:fldChar w:fldCharType="begin"/>
      </w:r>
      <w:r>
        <w:instrText xml:space="preserve"> PAGEREF AUTO_1985_62 \h </w:instrText>
      </w:r>
      <w:r>
        <w:fldChar w:fldCharType="separate"/>
      </w:r>
      <w:r w:rsidR="00CB2978">
        <w:rPr>
          <w:noProof/>
        </w:rPr>
        <w:t>878</w:t>
      </w:r>
      <w:r>
        <w:fldChar w:fldCharType="end"/>
      </w:r>
    </w:p>
    <w:p w:rsidR="000F63E8" w:rsidRDefault="000F63E8" w:rsidP="000F63E8"/>
    <w:p w:rsidR="000F63E8" w:rsidRDefault="000F63E8" w:rsidP="000F63E8">
      <w:pPr>
        <w:pStyle w:val="EntradandiceAuto"/>
      </w:pPr>
      <w:r>
        <w:t>Sección Segunda. Auto 63/1985, de 30 de enero de 1985. Acordando la inadmisión a trámite del recurso de amparo 708/1984</w:t>
      </w:r>
      <w:r>
        <w:tab/>
      </w:r>
      <w:r>
        <w:tab/>
      </w:r>
      <w:r>
        <w:fldChar w:fldCharType="begin"/>
      </w:r>
      <w:r>
        <w:instrText xml:space="preserve"> PAGEREF AUTO_1985_63 \h </w:instrText>
      </w:r>
      <w:r>
        <w:fldChar w:fldCharType="separate"/>
      </w:r>
      <w:r w:rsidR="00CB2978">
        <w:rPr>
          <w:noProof/>
        </w:rPr>
        <w:t>881</w:t>
      </w:r>
      <w:r>
        <w:fldChar w:fldCharType="end"/>
      </w:r>
    </w:p>
    <w:p w:rsidR="000F63E8" w:rsidRDefault="000F63E8" w:rsidP="000F63E8"/>
    <w:p w:rsidR="000F63E8" w:rsidRDefault="000F63E8" w:rsidP="000F63E8">
      <w:pPr>
        <w:pStyle w:val="EntradandiceAuto"/>
      </w:pPr>
      <w:r>
        <w:t>Sección Segunda. Auto 64/1985, de 30 de enero de 1985. Acordando la inadmisión a trámite del recurso de amparo 720/1984</w:t>
      </w:r>
      <w:r>
        <w:tab/>
      </w:r>
      <w:r>
        <w:tab/>
      </w:r>
      <w:r>
        <w:fldChar w:fldCharType="begin"/>
      </w:r>
      <w:r>
        <w:instrText xml:space="preserve"> PAGEREF AUTO_1985_64 \h </w:instrText>
      </w:r>
      <w:r>
        <w:fldChar w:fldCharType="separate"/>
      </w:r>
      <w:r w:rsidR="00CB2978">
        <w:rPr>
          <w:noProof/>
        </w:rPr>
        <w:t>884</w:t>
      </w:r>
      <w:r>
        <w:fldChar w:fldCharType="end"/>
      </w:r>
    </w:p>
    <w:p w:rsidR="000F63E8" w:rsidRDefault="000F63E8" w:rsidP="000F63E8"/>
    <w:p w:rsidR="000F63E8" w:rsidRDefault="000F63E8" w:rsidP="000F63E8">
      <w:pPr>
        <w:pStyle w:val="EntradandiceAuto"/>
      </w:pPr>
      <w:r>
        <w:t>Sección Tercera. Auto 65/1985, de 30 de enero de 1985. Acordando la inadmisión a trámite del recurso de amparo 721/1984</w:t>
      </w:r>
      <w:r>
        <w:tab/>
      </w:r>
      <w:r>
        <w:tab/>
      </w:r>
      <w:r>
        <w:fldChar w:fldCharType="begin"/>
      </w:r>
      <w:r>
        <w:instrText xml:space="preserve"> PAGEREF AUTO_1985_65 \h </w:instrText>
      </w:r>
      <w:r>
        <w:fldChar w:fldCharType="separate"/>
      </w:r>
      <w:r w:rsidR="00CB2978">
        <w:rPr>
          <w:noProof/>
        </w:rPr>
        <w:t>888</w:t>
      </w:r>
      <w:r>
        <w:fldChar w:fldCharType="end"/>
      </w:r>
    </w:p>
    <w:p w:rsidR="000F63E8" w:rsidRDefault="000F63E8" w:rsidP="000F63E8"/>
    <w:p w:rsidR="000F63E8" w:rsidRDefault="000F63E8" w:rsidP="000F63E8">
      <w:pPr>
        <w:pStyle w:val="EntradandiceAuto"/>
      </w:pPr>
      <w:r>
        <w:t>Sección Tercera. Auto 66/1985, de 30 de enero de 1985. Acordando la inadmisión a trámite del recurso de amparo 729/1984</w:t>
      </w:r>
      <w:r>
        <w:tab/>
      </w:r>
      <w:r>
        <w:tab/>
      </w:r>
      <w:r>
        <w:fldChar w:fldCharType="begin"/>
      </w:r>
      <w:r>
        <w:instrText xml:space="preserve"> PAGEREF AUTO_1985_66 \h </w:instrText>
      </w:r>
      <w:r>
        <w:fldChar w:fldCharType="separate"/>
      </w:r>
      <w:r w:rsidR="00CB2978">
        <w:rPr>
          <w:noProof/>
        </w:rPr>
        <w:t>893</w:t>
      </w:r>
      <w:r>
        <w:fldChar w:fldCharType="end"/>
      </w:r>
    </w:p>
    <w:p w:rsidR="000F63E8" w:rsidRDefault="000F63E8" w:rsidP="000F63E8"/>
    <w:p w:rsidR="000F63E8" w:rsidRDefault="000F63E8" w:rsidP="000F63E8">
      <w:pPr>
        <w:pStyle w:val="EntradandiceAuto"/>
      </w:pPr>
      <w:r>
        <w:t>Sección Tercera. Auto 67/1985, de 30 de enero de 1985. Acordando la inadmisión a trámite del recurso de amparo 741/1984</w:t>
      </w:r>
      <w:r>
        <w:tab/>
      </w:r>
      <w:r>
        <w:tab/>
      </w:r>
      <w:r>
        <w:fldChar w:fldCharType="begin"/>
      </w:r>
      <w:r>
        <w:instrText xml:space="preserve"> PAGEREF AUTO_1985_67 \h </w:instrText>
      </w:r>
      <w:r>
        <w:fldChar w:fldCharType="separate"/>
      </w:r>
      <w:r w:rsidR="00CB2978">
        <w:rPr>
          <w:noProof/>
        </w:rPr>
        <w:t>898</w:t>
      </w:r>
      <w:r>
        <w:fldChar w:fldCharType="end"/>
      </w:r>
    </w:p>
    <w:p w:rsidR="000F63E8" w:rsidRDefault="000F63E8" w:rsidP="000F63E8"/>
    <w:p w:rsidR="000F63E8" w:rsidRDefault="000F63E8" w:rsidP="000F63E8">
      <w:pPr>
        <w:pStyle w:val="EntradandiceAuto"/>
      </w:pPr>
      <w:r>
        <w:t>Sala Segunda. Auto 68/1985, de 30 de enero de 1985. Denegando la suspensión de la ejecución del acto que origina el recurso de amparo 746/1984</w:t>
      </w:r>
      <w:r>
        <w:tab/>
      </w:r>
      <w:r>
        <w:tab/>
      </w:r>
      <w:r>
        <w:fldChar w:fldCharType="begin"/>
      </w:r>
      <w:r>
        <w:instrText xml:space="preserve"> PAGEREF AUTO_1985_68 \h </w:instrText>
      </w:r>
      <w:r>
        <w:fldChar w:fldCharType="separate"/>
      </w:r>
      <w:r w:rsidR="00CB2978">
        <w:rPr>
          <w:noProof/>
        </w:rPr>
        <w:t>902</w:t>
      </w:r>
      <w:r>
        <w:fldChar w:fldCharType="end"/>
      </w:r>
    </w:p>
    <w:p w:rsidR="000F63E8" w:rsidRDefault="000F63E8" w:rsidP="000F63E8"/>
    <w:p w:rsidR="000F63E8" w:rsidRDefault="000F63E8" w:rsidP="000F63E8">
      <w:pPr>
        <w:pStyle w:val="EntradandiceAuto"/>
      </w:pPr>
      <w:r>
        <w:t>Sección Segunda. Auto 69/1985, de 30 de enero de 1985. Acordando la inadmisión a trámite del recurso de amparo 757/1984</w:t>
      </w:r>
      <w:r>
        <w:tab/>
      </w:r>
      <w:r>
        <w:tab/>
      </w:r>
      <w:r>
        <w:fldChar w:fldCharType="begin"/>
      </w:r>
      <w:r>
        <w:instrText xml:space="preserve"> PAGEREF AUTO_1985_69 \h </w:instrText>
      </w:r>
      <w:r>
        <w:fldChar w:fldCharType="separate"/>
      </w:r>
      <w:r w:rsidR="00CB2978">
        <w:rPr>
          <w:noProof/>
        </w:rPr>
        <w:t>904</w:t>
      </w:r>
      <w:r>
        <w:fldChar w:fldCharType="end"/>
      </w:r>
    </w:p>
    <w:p w:rsidR="000F63E8" w:rsidRDefault="000F63E8" w:rsidP="000F63E8"/>
    <w:p w:rsidR="000F63E8" w:rsidRDefault="000F63E8" w:rsidP="000F63E8">
      <w:pPr>
        <w:pStyle w:val="EntradandiceAuto"/>
      </w:pPr>
      <w:r>
        <w:t>Sección Tercera. Auto 70/1985, de 30 de enero de 1985. Acordando la inadmisión a trámite del recurso de amparo 762/1984</w:t>
      </w:r>
      <w:r>
        <w:tab/>
      </w:r>
      <w:r>
        <w:tab/>
      </w:r>
      <w:r>
        <w:fldChar w:fldCharType="begin"/>
      </w:r>
      <w:r>
        <w:instrText xml:space="preserve"> PAGEREF AUTO_1985_70 \h </w:instrText>
      </w:r>
      <w:r>
        <w:fldChar w:fldCharType="separate"/>
      </w:r>
      <w:r w:rsidR="00CB2978">
        <w:rPr>
          <w:noProof/>
        </w:rPr>
        <w:t>909</w:t>
      </w:r>
      <w:r>
        <w:fldChar w:fldCharType="end"/>
      </w:r>
    </w:p>
    <w:p w:rsidR="000F63E8" w:rsidRDefault="000F63E8" w:rsidP="000F63E8"/>
    <w:p w:rsidR="000F63E8" w:rsidRDefault="000F63E8" w:rsidP="000F63E8">
      <w:pPr>
        <w:pStyle w:val="EntradandiceAuto"/>
      </w:pPr>
      <w:r>
        <w:t>Sala Segunda. Auto 71/1985, de 30 de enero de 1985. Acordando la suspensión condicionada de la ejecución del acto que origina el recurso de amparo 774/1984</w:t>
      </w:r>
      <w:r>
        <w:tab/>
      </w:r>
      <w:r>
        <w:tab/>
      </w:r>
      <w:r>
        <w:fldChar w:fldCharType="begin"/>
      </w:r>
      <w:r>
        <w:instrText xml:space="preserve"> PAGEREF AUTO_1985_71 \h </w:instrText>
      </w:r>
      <w:r>
        <w:fldChar w:fldCharType="separate"/>
      </w:r>
      <w:r w:rsidR="00CB2978">
        <w:rPr>
          <w:noProof/>
        </w:rPr>
        <w:t>914</w:t>
      </w:r>
      <w:r>
        <w:fldChar w:fldCharType="end"/>
      </w:r>
    </w:p>
    <w:p w:rsidR="000F63E8" w:rsidRDefault="000F63E8" w:rsidP="000F63E8"/>
    <w:p w:rsidR="000F63E8" w:rsidRDefault="000F63E8" w:rsidP="000F63E8">
      <w:pPr>
        <w:pStyle w:val="EntradandiceAuto"/>
      </w:pPr>
      <w:r>
        <w:t>Sección Tercera. Auto 72/1985, de 30 de enero de 1985. Acordando la inadmisión a trámite del recurso de amparo 794/1984</w:t>
      </w:r>
      <w:r>
        <w:tab/>
      </w:r>
      <w:r>
        <w:tab/>
      </w:r>
      <w:r>
        <w:fldChar w:fldCharType="begin"/>
      </w:r>
      <w:r>
        <w:instrText xml:space="preserve"> PAGEREF AUTO_1985_72 \h </w:instrText>
      </w:r>
      <w:r>
        <w:fldChar w:fldCharType="separate"/>
      </w:r>
      <w:r w:rsidR="00CB2978">
        <w:rPr>
          <w:noProof/>
        </w:rPr>
        <w:t>917</w:t>
      </w:r>
      <w:r>
        <w:fldChar w:fldCharType="end"/>
      </w:r>
    </w:p>
    <w:p w:rsidR="000F63E8" w:rsidRDefault="000F63E8" w:rsidP="000F63E8"/>
    <w:p w:rsidR="000F63E8" w:rsidRDefault="000F63E8" w:rsidP="000F63E8">
      <w:pPr>
        <w:pStyle w:val="EntradandiceAuto"/>
      </w:pPr>
      <w:r>
        <w:t>Sección Cuarta. Auto 73/1985, de 30 de enero de 1985. Acordando la inadmisión a trámite del recurso de amparo 796/1984</w:t>
      </w:r>
      <w:r>
        <w:tab/>
      </w:r>
      <w:r>
        <w:tab/>
      </w:r>
      <w:r>
        <w:fldChar w:fldCharType="begin"/>
      </w:r>
      <w:r>
        <w:instrText xml:space="preserve"> PAGEREF AUTO_1985_73 \h </w:instrText>
      </w:r>
      <w:r>
        <w:fldChar w:fldCharType="separate"/>
      </w:r>
      <w:r w:rsidR="00CB2978">
        <w:rPr>
          <w:noProof/>
        </w:rPr>
        <w:t>921</w:t>
      </w:r>
      <w:r>
        <w:fldChar w:fldCharType="end"/>
      </w:r>
    </w:p>
    <w:p w:rsidR="000F63E8" w:rsidRDefault="000F63E8" w:rsidP="000F63E8"/>
    <w:p w:rsidR="000F63E8" w:rsidRDefault="000F63E8" w:rsidP="000F63E8">
      <w:pPr>
        <w:pStyle w:val="EntradandiceAuto"/>
      </w:pPr>
      <w:r>
        <w:t>Sala Segunda. Auto 74/1985, de 30 de enero de 1985. Denegando la suspensión de la ejecución del acto que origina el recurso de amparo 821/1984</w:t>
      </w:r>
      <w:r>
        <w:tab/>
      </w:r>
      <w:r>
        <w:tab/>
      </w:r>
      <w:r>
        <w:fldChar w:fldCharType="begin"/>
      </w:r>
      <w:r>
        <w:instrText xml:space="preserve"> PAGEREF AUTO_1985_74 \h </w:instrText>
      </w:r>
      <w:r>
        <w:fldChar w:fldCharType="separate"/>
      </w:r>
      <w:r w:rsidR="00CB2978">
        <w:rPr>
          <w:noProof/>
        </w:rPr>
        <w:t>924</w:t>
      </w:r>
      <w:r>
        <w:fldChar w:fldCharType="end"/>
      </w:r>
    </w:p>
    <w:p w:rsidR="000F63E8" w:rsidRDefault="000F63E8" w:rsidP="000F63E8"/>
    <w:p w:rsidR="000F63E8" w:rsidRDefault="000F63E8" w:rsidP="000F63E8">
      <w:pPr>
        <w:pStyle w:val="EntradandiceAuto"/>
      </w:pPr>
      <w:r>
        <w:t>Sección Segunda. Auto 75/1985, de 6 de febrero de 1985. Declarando la extinción del proceso por satisfacción extraprocesal de la pretensión en el recurso de amparo 130/1984</w:t>
      </w:r>
      <w:r>
        <w:tab/>
      </w:r>
      <w:r>
        <w:tab/>
      </w:r>
      <w:r>
        <w:fldChar w:fldCharType="begin"/>
      </w:r>
      <w:r>
        <w:instrText xml:space="preserve"> PAGEREF AUTO_1985_75 \h </w:instrText>
      </w:r>
      <w:r>
        <w:fldChar w:fldCharType="separate"/>
      </w:r>
      <w:r w:rsidR="00CB2978">
        <w:rPr>
          <w:noProof/>
        </w:rPr>
        <w:t>925</w:t>
      </w:r>
      <w:r>
        <w:fldChar w:fldCharType="end"/>
      </w:r>
    </w:p>
    <w:p w:rsidR="000F63E8" w:rsidRDefault="000F63E8" w:rsidP="000F63E8"/>
    <w:p w:rsidR="000F63E8" w:rsidRDefault="000F63E8" w:rsidP="000F63E8">
      <w:pPr>
        <w:pStyle w:val="EntradandiceAuto"/>
      </w:pPr>
      <w:r>
        <w:t>Sección Primera. Auto 76/1985, de 6 de febrero de 1985. Acordando la inadmisión a trámite del recurso de amparo 435/1984</w:t>
      </w:r>
      <w:r>
        <w:tab/>
      </w:r>
      <w:r>
        <w:tab/>
      </w:r>
      <w:r>
        <w:fldChar w:fldCharType="begin"/>
      </w:r>
      <w:r>
        <w:instrText xml:space="preserve"> PAGEREF AUTO_1985_76 \h </w:instrText>
      </w:r>
      <w:r>
        <w:fldChar w:fldCharType="separate"/>
      </w:r>
      <w:r w:rsidR="00CB2978">
        <w:rPr>
          <w:noProof/>
        </w:rPr>
        <w:t>926</w:t>
      </w:r>
      <w:r>
        <w:fldChar w:fldCharType="end"/>
      </w:r>
    </w:p>
    <w:p w:rsidR="000F63E8" w:rsidRDefault="000F63E8" w:rsidP="000F63E8"/>
    <w:p w:rsidR="000F63E8" w:rsidRDefault="000F63E8" w:rsidP="000F63E8">
      <w:pPr>
        <w:pStyle w:val="EntradandiceAuto"/>
      </w:pPr>
      <w:r>
        <w:t>Sección Primera. Auto 77/1985, de 6 de febrero de 1985. Acordando la inadmisión a trámite del recurso de amparo 640/1984</w:t>
      </w:r>
      <w:r>
        <w:tab/>
      </w:r>
      <w:r>
        <w:tab/>
      </w:r>
      <w:r>
        <w:fldChar w:fldCharType="begin"/>
      </w:r>
      <w:r>
        <w:instrText xml:space="preserve"> PAGEREF AUTO_1985_77 \h </w:instrText>
      </w:r>
      <w:r>
        <w:fldChar w:fldCharType="separate"/>
      </w:r>
      <w:r w:rsidR="00CB2978">
        <w:rPr>
          <w:noProof/>
        </w:rPr>
        <w:t>930</w:t>
      </w:r>
      <w:r>
        <w:fldChar w:fldCharType="end"/>
      </w:r>
    </w:p>
    <w:p w:rsidR="000F63E8" w:rsidRDefault="000F63E8" w:rsidP="000F63E8"/>
    <w:p w:rsidR="000F63E8" w:rsidRDefault="000F63E8" w:rsidP="000F63E8">
      <w:pPr>
        <w:pStyle w:val="EntradandiceAuto"/>
      </w:pPr>
      <w:r>
        <w:t>Sección Segunda. Auto 78/1985, de 6 de febrero de 1985. Acordando la inadmisión a trámite del recurso de amparo 678/1984</w:t>
      </w:r>
      <w:r>
        <w:tab/>
      </w:r>
      <w:r>
        <w:tab/>
      </w:r>
      <w:r>
        <w:fldChar w:fldCharType="begin"/>
      </w:r>
      <w:r>
        <w:instrText xml:space="preserve"> PAGEREF AUTO_1985_78 \h </w:instrText>
      </w:r>
      <w:r>
        <w:fldChar w:fldCharType="separate"/>
      </w:r>
      <w:r w:rsidR="00CB2978">
        <w:rPr>
          <w:noProof/>
        </w:rPr>
        <w:t>933</w:t>
      </w:r>
      <w:r>
        <w:fldChar w:fldCharType="end"/>
      </w:r>
    </w:p>
    <w:p w:rsidR="000F63E8" w:rsidRDefault="000F63E8" w:rsidP="000F63E8"/>
    <w:p w:rsidR="000F63E8" w:rsidRDefault="000F63E8" w:rsidP="000F63E8">
      <w:pPr>
        <w:pStyle w:val="EntradandiceAuto"/>
      </w:pPr>
      <w:r>
        <w:t>Sección Primera. Auto 79/1985, de 6 de febrero de 1985. Acordando la inadmisión a trámite del recurso de amparo 689/1984</w:t>
      </w:r>
      <w:r>
        <w:tab/>
      </w:r>
      <w:r>
        <w:tab/>
      </w:r>
      <w:r>
        <w:fldChar w:fldCharType="begin"/>
      </w:r>
      <w:r>
        <w:instrText xml:space="preserve"> PAGEREF AUTO_1985_79 \h </w:instrText>
      </w:r>
      <w:r>
        <w:fldChar w:fldCharType="separate"/>
      </w:r>
      <w:r w:rsidR="00CB2978">
        <w:rPr>
          <w:noProof/>
        </w:rPr>
        <w:t>936</w:t>
      </w:r>
      <w:r>
        <w:fldChar w:fldCharType="end"/>
      </w:r>
    </w:p>
    <w:p w:rsidR="000F63E8" w:rsidRDefault="000F63E8" w:rsidP="000F63E8"/>
    <w:p w:rsidR="000F63E8" w:rsidRDefault="000F63E8" w:rsidP="000F63E8">
      <w:pPr>
        <w:pStyle w:val="EntradandiceAuto"/>
      </w:pPr>
      <w:r>
        <w:t>Sección Cuarta. Auto 80/1985, de 6 de febrero de 1985. Acordando la inadmisión a trámite del recurso de amparo 732/1984</w:t>
      </w:r>
      <w:r>
        <w:tab/>
      </w:r>
      <w:r>
        <w:tab/>
      </w:r>
      <w:r>
        <w:fldChar w:fldCharType="begin"/>
      </w:r>
      <w:r>
        <w:instrText xml:space="preserve"> PAGEREF AUTO_1985_80 \h </w:instrText>
      </w:r>
      <w:r>
        <w:fldChar w:fldCharType="separate"/>
      </w:r>
      <w:r w:rsidR="00CB2978">
        <w:rPr>
          <w:noProof/>
        </w:rPr>
        <w:t>941</w:t>
      </w:r>
      <w:r>
        <w:fldChar w:fldCharType="end"/>
      </w:r>
    </w:p>
    <w:p w:rsidR="000F63E8" w:rsidRDefault="000F63E8" w:rsidP="000F63E8"/>
    <w:p w:rsidR="000F63E8" w:rsidRDefault="000F63E8" w:rsidP="000F63E8">
      <w:pPr>
        <w:pStyle w:val="EntradandiceAuto"/>
      </w:pPr>
      <w:r>
        <w:t>Sección Primera. Auto 81/1985, de 6 de febrero de 1985. Acordando la inadmisión a trámite del recurso de amparo 742/1984</w:t>
      </w:r>
      <w:r>
        <w:tab/>
      </w:r>
      <w:r>
        <w:tab/>
      </w:r>
      <w:r>
        <w:fldChar w:fldCharType="begin"/>
      </w:r>
      <w:r>
        <w:instrText xml:space="preserve"> PAGEREF AUTO_1985_81 \h </w:instrText>
      </w:r>
      <w:r>
        <w:fldChar w:fldCharType="separate"/>
      </w:r>
      <w:r w:rsidR="00CB2978">
        <w:rPr>
          <w:noProof/>
        </w:rPr>
        <w:t>946</w:t>
      </w:r>
      <w:r>
        <w:fldChar w:fldCharType="end"/>
      </w:r>
    </w:p>
    <w:p w:rsidR="000F63E8" w:rsidRDefault="000F63E8" w:rsidP="000F63E8"/>
    <w:p w:rsidR="000F63E8" w:rsidRDefault="000F63E8" w:rsidP="000F63E8">
      <w:pPr>
        <w:pStyle w:val="EntradandiceAuto"/>
      </w:pPr>
      <w:r>
        <w:t>Sección Primera. Auto 82/1985, de 6 de febrero de 1985. Acordando la inadmisión a trámite del recurso de amparo 764/1984</w:t>
      </w:r>
      <w:r>
        <w:tab/>
      </w:r>
      <w:r>
        <w:tab/>
      </w:r>
      <w:r>
        <w:fldChar w:fldCharType="begin"/>
      </w:r>
      <w:r>
        <w:instrText xml:space="preserve"> PAGEREF AUTO_1985_82 \h </w:instrText>
      </w:r>
      <w:r>
        <w:fldChar w:fldCharType="separate"/>
      </w:r>
      <w:r w:rsidR="00CB2978">
        <w:rPr>
          <w:noProof/>
        </w:rPr>
        <w:t>950</w:t>
      </w:r>
      <w:r>
        <w:fldChar w:fldCharType="end"/>
      </w:r>
    </w:p>
    <w:p w:rsidR="000F63E8" w:rsidRDefault="000F63E8" w:rsidP="000F63E8"/>
    <w:p w:rsidR="000F63E8" w:rsidRDefault="000F63E8" w:rsidP="000F63E8">
      <w:pPr>
        <w:pStyle w:val="EntradandiceAuto"/>
      </w:pPr>
      <w:r>
        <w:t>Sección Segunda. Auto 83/1985, de 6 de febrero de 1985. Acordando la inadmisión a trámite del recurso de amparo 769/1984</w:t>
      </w:r>
      <w:r>
        <w:tab/>
      </w:r>
      <w:r>
        <w:tab/>
      </w:r>
      <w:r>
        <w:fldChar w:fldCharType="begin"/>
      </w:r>
      <w:r>
        <w:instrText xml:space="preserve"> PAGEREF AUTO_1985_83 \h </w:instrText>
      </w:r>
      <w:r>
        <w:fldChar w:fldCharType="separate"/>
      </w:r>
      <w:r w:rsidR="00CB2978">
        <w:rPr>
          <w:noProof/>
        </w:rPr>
        <w:t>955</w:t>
      </w:r>
      <w:r>
        <w:fldChar w:fldCharType="end"/>
      </w:r>
    </w:p>
    <w:p w:rsidR="000F63E8" w:rsidRDefault="000F63E8" w:rsidP="000F63E8"/>
    <w:p w:rsidR="000F63E8" w:rsidRDefault="000F63E8" w:rsidP="000F63E8">
      <w:pPr>
        <w:pStyle w:val="EntradandiceAuto"/>
      </w:pPr>
      <w:r>
        <w:t>Sección Segunda. Auto 84/1985, de 6 de febrero de 1985. Acordando la inadmisión a trámite del recurso de amparo 773/1984</w:t>
      </w:r>
      <w:r>
        <w:tab/>
      </w:r>
      <w:r>
        <w:tab/>
      </w:r>
      <w:r>
        <w:fldChar w:fldCharType="begin"/>
      </w:r>
      <w:r>
        <w:instrText xml:space="preserve"> PAGEREF AUTO_1985_84 \h </w:instrText>
      </w:r>
      <w:r>
        <w:fldChar w:fldCharType="separate"/>
      </w:r>
      <w:r w:rsidR="00CB2978">
        <w:rPr>
          <w:noProof/>
        </w:rPr>
        <w:t>960</w:t>
      </w:r>
      <w:r>
        <w:fldChar w:fldCharType="end"/>
      </w:r>
    </w:p>
    <w:p w:rsidR="000F63E8" w:rsidRDefault="000F63E8" w:rsidP="000F63E8"/>
    <w:p w:rsidR="000F63E8" w:rsidRDefault="000F63E8" w:rsidP="000F63E8">
      <w:pPr>
        <w:pStyle w:val="EntradandiceAuto"/>
      </w:pPr>
      <w:r>
        <w:t>Sección Tercera. Auto 85/1985, de 6 de febrero de 1985. Acordando la inadmisión a trámite del recurso de amparo 787/1984</w:t>
      </w:r>
      <w:r>
        <w:tab/>
      </w:r>
      <w:r>
        <w:tab/>
      </w:r>
      <w:r>
        <w:fldChar w:fldCharType="begin"/>
      </w:r>
      <w:r>
        <w:instrText xml:space="preserve"> PAGEREF AUTO_1985_85 \h </w:instrText>
      </w:r>
      <w:r>
        <w:fldChar w:fldCharType="separate"/>
      </w:r>
      <w:r w:rsidR="00CB2978">
        <w:rPr>
          <w:noProof/>
        </w:rPr>
        <w:t>964</w:t>
      </w:r>
      <w:r>
        <w:fldChar w:fldCharType="end"/>
      </w:r>
    </w:p>
    <w:p w:rsidR="000F63E8" w:rsidRDefault="000F63E8" w:rsidP="000F63E8"/>
    <w:p w:rsidR="000F63E8" w:rsidRDefault="000F63E8" w:rsidP="000F63E8">
      <w:pPr>
        <w:pStyle w:val="EntradandiceAuto"/>
      </w:pPr>
      <w:r>
        <w:t>Sección Tercera. Auto 86/1985, de 6 de febrero de 1985. Acordando la inadmisión a trámite del recurso de amparo 800/1984</w:t>
      </w:r>
      <w:r>
        <w:tab/>
      </w:r>
      <w:r>
        <w:tab/>
      </w:r>
      <w:r>
        <w:fldChar w:fldCharType="begin"/>
      </w:r>
      <w:r>
        <w:instrText xml:space="preserve"> PAGEREF AUTO_1985_86 \h </w:instrText>
      </w:r>
      <w:r>
        <w:fldChar w:fldCharType="separate"/>
      </w:r>
      <w:r w:rsidR="00CB2978">
        <w:rPr>
          <w:noProof/>
        </w:rPr>
        <w:t>968</w:t>
      </w:r>
      <w:r>
        <w:fldChar w:fldCharType="end"/>
      </w:r>
    </w:p>
    <w:p w:rsidR="000F63E8" w:rsidRDefault="000F63E8" w:rsidP="000F63E8"/>
    <w:p w:rsidR="000F63E8" w:rsidRDefault="000F63E8" w:rsidP="000F63E8">
      <w:pPr>
        <w:pStyle w:val="EntradandiceAuto"/>
      </w:pPr>
      <w:r>
        <w:t>Sección Cuarta. Auto 87/1985, de 6 de febrero de 1985. Acordando la inadmisión a trámite del recurso de amparo 805/1984</w:t>
      </w:r>
      <w:r>
        <w:tab/>
      </w:r>
      <w:r>
        <w:tab/>
      </w:r>
      <w:r>
        <w:fldChar w:fldCharType="begin"/>
      </w:r>
      <w:r>
        <w:instrText xml:space="preserve"> PAGEREF AUTO_1985_87 \h </w:instrText>
      </w:r>
      <w:r>
        <w:fldChar w:fldCharType="separate"/>
      </w:r>
      <w:r w:rsidR="00CB2978">
        <w:rPr>
          <w:noProof/>
        </w:rPr>
        <w:t>972</w:t>
      </w:r>
      <w:r>
        <w:fldChar w:fldCharType="end"/>
      </w:r>
    </w:p>
    <w:p w:rsidR="000F63E8" w:rsidRDefault="000F63E8" w:rsidP="000F63E8"/>
    <w:p w:rsidR="000F63E8" w:rsidRDefault="000F63E8" w:rsidP="000F63E8">
      <w:pPr>
        <w:pStyle w:val="EntradandiceAuto"/>
      </w:pPr>
      <w:r>
        <w:t>Sección Cuarta. Auto 88/1985, de 6 de febrero de 1985. Acordando la inadmisión a trámite del recurso de amparo 812/1984</w:t>
      </w:r>
      <w:r>
        <w:tab/>
      </w:r>
      <w:r>
        <w:tab/>
      </w:r>
      <w:r>
        <w:fldChar w:fldCharType="begin"/>
      </w:r>
      <w:r>
        <w:instrText xml:space="preserve"> PAGEREF AUTO_1985_88 \h </w:instrText>
      </w:r>
      <w:r>
        <w:fldChar w:fldCharType="separate"/>
      </w:r>
      <w:r w:rsidR="00CB2978">
        <w:rPr>
          <w:noProof/>
        </w:rPr>
        <w:t>975</w:t>
      </w:r>
      <w:r>
        <w:fldChar w:fldCharType="end"/>
      </w:r>
    </w:p>
    <w:p w:rsidR="000F63E8" w:rsidRDefault="000F63E8" w:rsidP="000F63E8"/>
    <w:p w:rsidR="000F63E8" w:rsidRDefault="000F63E8" w:rsidP="000F63E8">
      <w:pPr>
        <w:pStyle w:val="EntradandiceAuto"/>
      </w:pPr>
      <w:r>
        <w:t>Sección Tercera. Auto 89/1985, de 6 de febrero de 1985. Acordando la inadmisión a trámite del recurso de amparo 816/1984</w:t>
      </w:r>
      <w:r>
        <w:tab/>
      </w:r>
      <w:r>
        <w:tab/>
      </w:r>
      <w:r>
        <w:fldChar w:fldCharType="begin"/>
      </w:r>
      <w:r>
        <w:instrText xml:space="preserve"> PAGEREF AUTO_1985_89 \h </w:instrText>
      </w:r>
      <w:r>
        <w:fldChar w:fldCharType="separate"/>
      </w:r>
      <w:r w:rsidR="00CB2978">
        <w:rPr>
          <w:noProof/>
        </w:rPr>
        <w:t>979</w:t>
      </w:r>
      <w:r>
        <w:fldChar w:fldCharType="end"/>
      </w:r>
    </w:p>
    <w:p w:rsidR="000F63E8" w:rsidRDefault="000F63E8" w:rsidP="000F63E8"/>
    <w:p w:rsidR="000F63E8" w:rsidRDefault="000F63E8" w:rsidP="000F63E8">
      <w:pPr>
        <w:pStyle w:val="EntradandiceAuto"/>
      </w:pPr>
      <w:r>
        <w:t>Sección Segunda. Auto 90/1985, de 6 de febrero de 1985. Acordando la inadmisión a trámite del recurso de amparo 820/1984</w:t>
      </w:r>
      <w:r>
        <w:tab/>
      </w:r>
      <w:r>
        <w:tab/>
      </w:r>
      <w:r>
        <w:fldChar w:fldCharType="begin"/>
      </w:r>
      <w:r>
        <w:instrText xml:space="preserve"> PAGEREF AUTO_1985_90 \h </w:instrText>
      </w:r>
      <w:r>
        <w:fldChar w:fldCharType="separate"/>
      </w:r>
      <w:r w:rsidR="00CB2978">
        <w:rPr>
          <w:noProof/>
        </w:rPr>
        <w:t>982</w:t>
      </w:r>
      <w:r>
        <w:fldChar w:fldCharType="end"/>
      </w:r>
    </w:p>
    <w:p w:rsidR="000F63E8" w:rsidRDefault="000F63E8" w:rsidP="000F63E8"/>
    <w:p w:rsidR="000F63E8" w:rsidRDefault="000F63E8" w:rsidP="000F63E8">
      <w:pPr>
        <w:pStyle w:val="EntradandiceAuto"/>
      </w:pPr>
      <w:r>
        <w:t>Pleno. Auto 91/1985, de 7 de febrero de 1985. Ratificando la suspensión, previamente acordada, del Decreto 25/1984, del Gobierno de las Islas Baleares, en el conflicto positivo de competencia 658/1984</w:t>
      </w:r>
      <w:r>
        <w:tab/>
      </w:r>
      <w:r>
        <w:tab/>
      </w:r>
      <w:r>
        <w:fldChar w:fldCharType="begin"/>
      </w:r>
      <w:r>
        <w:instrText xml:space="preserve"> PAGEREF AUTO_1985_91 \h </w:instrText>
      </w:r>
      <w:r>
        <w:fldChar w:fldCharType="separate"/>
      </w:r>
      <w:r w:rsidR="00CB2978">
        <w:rPr>
          <w:noProof/>
        </w:rPr>
        <w:t>987</w:t>
      </w:r>
      <w:r>
        <w:fldChar w:fldCharType="end"/>
      </w:r>
    </w:p>
    <w:p w:rsidR="000F63E8" w:rsidRDefault="000F63E8" w:rsidP="000F63E8"/>
    <w:p w:rsidR="000F63E8" w:rsidRDefault="000F63E8" w:rsidP="000F63E8">
      <w:pPr>
        <w:pStyle w:val="EntradandiceAuto"/>
      </w:pPr>
      <w:r>
        <w:t>Pleno. Auto 92/1985, de 7 de febrero de 1985. Ratificando parcialmente la suspensión, previamente acordada, de diversas resoluciones de la Dirección General de Promoción de la Salud, del Departamento de Sanidad y Seguridad Social de la Generalidad de Cataluña, en el conflicto positivo de competencia 659/1984</w:t>
      </w:r>
      <w:r>
        <w:tab/>
      </w:r>
      <w:r>
        <w:tab/>
      </w:r>
      <w:r>
        <w:fldChar w:fldCharType="begin"/>
      </w:r>
      <w:r>
        <w:instrText xml:space="preserve"> PAGEREF AUTO_1985_92 \h </w:instrText>
      </w:r>
      <w:r>
        <w:fldChar w:fldCharType="separate"/>
      </w:r>
      <w:r w:rsidR="00CB2978">
        <w:rPr>
          <w:noProof/>
        </w:rPr>
        <w:t>990</w:t>
      </w:r>
      <w:r>
        <w:fldChar w:fldCharType="end"/>
      </w:r>
    </w:p>
    <w:p w:rsidR="000F63E8" w:rsidRDefault="000F63E8" w:rsidP="000F63E8"/>
    <w:p w:rsidR="000F63E8" w:rsidRDefault="000F63E8" w:rsidP="000F63E8">
      <w:pPr>
        <w:pStyle w:val="EntradandiceAuto"/>
      </w:pPr>
      <w:r>
        <w:lastRenderedPageBreak/>
        <w:t>Sección Segunda. Auto 93/1985, de 13 de febrero de 1985. Acordando la inadmisión a trámite del recurso de amparo 691/1984</w:t>
      </w:r>
      <w:r>
        <w:tab/>
      </w:r>
      <w:r>
        <w:tab/>
      </w:r>
      <w:r>
        <w:fldChar w:fldCharType="begin"/>
      </w:r>
      <w:r>
        <w:instrText xml:space="preserve"> PAGEREF AUTO_1985_93 \h </w:instrText>
      </w:r>
      <w:r>
        <w:fldChar w:fldCharType="separate"/>
      </w:r>
      <w:r w:rsidR="00CB2978">
        <w:rPr>
          <w:noProof/>
        </w:rPr>
        <w:t>993</w:t>
      </w:r>
      <w:r>
        <w:fldChar w:fldCharType="end"/>
      </w:r>
    </w:p>
    <w:p w:rsidR="000F63E8" w:rsidRDefault="000F63E8" w:rsidP="000F63E8"/>
    <w:p w:rsidR="000F63E8" w:rsidRDefault="000F63E8" w:rsidP="000F63E8">
      <w:pPr>
        <w:pStyle w:val="EntradandiceAuto"/>
      </w:pPr>
      <w:r>
        <w:t>Sección Tercera. Auto 94/1985, de 13 de febrero de 1985. Acordando la inadmisión a trámite del recurso de amparo 707/1984</w:t>
      </w:r>
      <w:r>
        <w:tab/>
      </w:r>
      <w:r>
        <w:tab/>
      </w:r>
      <w:r>
        <w:fldChar w:fldCharType="begin"/>
      </w:r>
      <w:r>
        <w:instrText xml:space="preserve"> PAGEREF AUTO_1985_94 \h </w:instrText>
      </w:r>
      <w:r>
        <w:fldChar w:fldCharType="separate"/>
      </w:r>
      <w:r w:rsidR="00CB2978">
        <w:rPr>
          <w:noProof/>
        </w:rPr>
        <w:t>997</w:t>
      </w:r>
      <w:r>
        <w:fldChar w:fldCharType="end"/>
      </w:r>
    </w:p>
    <w:p w:rsidR="000F63E8" w:rsidRDefault="000F63E8" w:rsidP="000F63E8"/>
    <w:p w:rsidR="000F63E8" w:rsidRDefault="000F63E8" w:rsidP="000F63E8">
      <w:pPr>
        <w:pStyle w:val="EntradandiceAuto"/>
      </w:pPr>
      <w:r>
        <w:t>Sección Segunda. Auto 95/1985, de 13 de febrero de 1985. Acordando la inadmisión a trámite del recurso de amparo 736/1984</w:t>
      </w:r>
      <w:r>
        <w:tab/>
      </w:r>
      <w:r>
        <w:tab/>
      </w:r>
      <w:r>
        <w:fldChar w:fldCharType="begin"/>
      </w:r>
      <w:r>
        <w:instrText xml:space="preserve"> PAGEREF AUTO_1985_95 \h </w:instrText>
      </w:r>
      <w:r>
        <w:fldChar w:fldCharType="separate"/>
      </w:r>
      <w:r w:rsidR="00CB2978">
        <w:rPr>
          <w:noProof/>
        </w:rPr>
        <w:t>1001</w:t>
      </w:r>
      <w:r>
        <w:fldChar w:fldCharType="end"/>
      </w:r>
    </w:p>
    <w:p w:rsidR="000F63E8" w:rsidRDefault="000F63E8" w:rsidP="000F63E8"/>
    <w:p w:rsidR="000F63E8" w:rsidRDefault="000F63E8" w:rsidP="000F63E8">
      <w:pPr>
        <w:pStyle w:val="EntradandiceAuto"/>
      </w:pPr>
      <w:r>
        <w:t>Sección Segunda. Auto 96/1985, de 13 de febrero de 1985. Acordando la admisión a trámite del recurso de amparo 745/1984</w:t>
      </w:r>
      <w:r>
        <w:tab/>
      </w:r>
      <w:r>
        <w:tab/>
      </w:r>
      <w:r>
        <w:fldChar w:fldCharType="begin"/>
      </w:r>
      <w:r>
        <w:instrText xml:space="preserve"> PAGEREF AUTO_1985_96 \h </w:instrText>
      </w:r>
      <w:r>
        <w:fldChar w:fldCharType="separate"/>
      </w:r>
      <w:r w:rsidR="00CB2978">
        <w:rPr>
          <w:noProof/>
        </w:rPr>
        <w:t>1007</w:t>
      </w:r>
      <w:r>
        <w:fldChar w:fldCharType="end"/>
      </w:r>
    </w:p>
    <w:p w:rsidR="000F63E8" w:rsidRDefault="000F63E8" w:rsidP="000F63E8"/>
    <w:p w:rsidR="000F63E8" w:rsidRDefault="000F63E8" w:rsidP="000F63E8">
      <w:pPr>
        <w:pStyle w:val="EntradandiceAuto"/>
      </w:pPr>
      <w:r>
        <w:t>Sección Segunda. Auto 97/1985, de 13 de febrero de 1985. Acordando la inadmisión a trámite del recurso de amparo 775/1984</w:t>
      </w:r>
      <w:r>
        <w:tab/>
      </w:r>
      <w:r>
        <w:tab/>
      </w:r>
      <w:r>
        <w:fldChar w:fldCharType="begin"/>
      </w:r>
      <w:r>
        <w:instrText xml:space="preserve"> PAGEREF AUTO_1985_97 \h </w:instrText>
      </w:r>
      <w:r>
        <w:fldChar w:fldCharType="separate"/>
      </w:r>
      <w:r w:rsidR="00CB2978">
        <w:rPr>
          <w:noProof/>
        </w:rPr>
        <w:t>1009</w:t>
      </w:r>
      <w:r>
        <w:fldChar w:fldCharType="end"/>
      </w:r>
    </w:p>
    <w:p w:rsidR="000F63E8" w:rsidRDefault="000F63E8" w:rsidP="000F63E8"/>
    <w:p w:rsidR="000F63E8" w:rsidRDefault="000F63E8" w:rsidP="000F63E8">
      <w:pPr>
        <w:pStyle w:val="EntradandiceAuto"/>
      </w:pPr>
      <w:r>
        <w:t>Sección Cuarta. Auto 98/1985, de 13 de febrero de 1985. Acordando la inadmisión a trámite del recurso de amparo 782/1984</w:t>
      </w:r>
      <w:r>
        <w:tab/>
      </w:r>
      <w:r>
        <w:tab/>
      </w:r>
      <w:r>
        <w:fldChar w:fldCharType="begin"/>
      </w:r>
      <w:r>
        <w:instrText xml:space="preserve"> PAGEREF AUTO_1985_98 \h </w:instrText>
      </w:r>
      <w:r>
        <w:fldChar w:fldCharType="separate"/>
      </w:r>
      <w:r w:rsidR="00CB2978">
        <w:rPr>
          <w:noProof/>
        </w:rPr>
        <w:t>1015</w:t>
      </w:r>
      <w:r>
        <w:fldChar w:fldCharType="end"/>
      </w:r>
    </w:p>
    <w:p w:rsidR="000F63E8" w:rsidRDefault="000F63E8" w:rsidP="000F63E8"/>
    <w:p w:rsidR="000F63E8" w:rsidRDefault="000F63E8" w:rsidP="000F63E8">
      <w:pPr>
        <w:pStyle w:val="EntradandiceAuto"/>
      </w:pPr>
      <w:r>
        <w:t>Sección Cuarta. Auto 99/1985, de 13 de febrero de 1985. Acordando la inadmisión a trámite del recurso de amparo 783/1984</w:t>
      </w:r>
      <w:r>
        <w:tab/>
      </w:r>
      <w:r>
        <w:tab/>
      </w:r>
      <w:r>
        <w:fldChar w:fldCharType="begin"/>
      </w:r>
      <w:r>
        <w:instrText xml:space="preserve"> PAGEREF AUTO_1985_99 \h </w:instrText>
      </w:r>
      <w:r>
        <w:fldChar w:fldCharType="separate"/>
      </w:r>
      <w:r w:rsidR="00CB2978">
        <w:rPr>
          <w:noProof/>
        </w:rPr>
        <w:t>1019</w:t>
      </w:r>
      <w:r>
        <w:fldChar w:fldCharType="end"/>
      </w:r>
    </w:p>
    <w:p w:rsidR="000F63E8" w:rsidRDefault="000F63E8" w:rsidP="000F63E8"/>
    <w:p w:rsidR="000F63E8" w:rsidRDefault="000F63E8" w:rsidP="000F63E8">
      <w:pPr>
        <w:pStyle w:val="EntradandiceAuto"/>
      </w:pPr>
      <w:r>
        <w:t>Sección Cuarta. Auto 100/1985, de 13 de febrero de 1985. Acordando la inadmisión a trámite del recurso de amparo 785/1984</w:t>
      </w:r>
      <w:r>
        <w:tab/>
      </w:r>
      <w:r>
        <w:tab/>
      </w:r>
      <w:r>
        <w:fldChar w:fldCharType="begin"/>
      </w:r>
      <w:r>
        <w:instrText xml:space="preserve"> PAGEREF AUTO_1985_100 \h </w:instrText>
      </w:r>
      <w:r>
        <w:fldChar w:fldCharType="separate"/>
      </w:r>
      <w:r w:rsidR="00CB2978">
        <w:rPr>
          <w:noProof/>
        </w:rPr>
        <w:t>1020</w:t>
      </w:r>
      <w:r>
        <w:fldChar w:fldCharType="end"/>
      </w:r>
    </w:p>
    <w:p w:rsidR="000F63E8" w:rsidRDefault="000F63E8" w:rsidP="000F63E8"/>
    <w:p w:rsidR="000F63E8" w:rsidRDefault="000F63E8" w:rsidP="000F63E8">
      <w:pPr>
        <w:pStyle w:val="EntradandiceAuto"/>
      </w:pPr>
      <w:r>
        <w:t>Sección Primera. Auto 101/1985, de 13 de febrero de 1985. Acordando el archivo de las actuaciones en el procedimiento 790/1984</w:t>
      </w:r>
      <w:r>
        <w:tab/>
      </w:r>
      <w:r>
        <w:tab/>
      </w:r>
      <w:r>
        <w:fldChar w:fldCharType="begin"/>
      </w:r>
      <w:r>
        <w:instrText xml:space="preserve"> PAGEREF AUTO_1985_101 \h </w:instrText>
      </w:r>
      <w:r>
        <w:fldChar w:fldCharType="separate"/>
      </w:r>
      <w:r w:rsidR="00CB2978">
        <w:rPr>
          <w:noProof/>
        </w:rPr>
        <w:t>1026</w:t>
      </w:r>
      <w:r>
        <w:fldChar w:fldCharType="end"/>
      </w:r>
    </w:p>
    <w:p w:rsidR="000F63E8" w:rsidRDefault="000F63E8" w:rsidP="000F63E8"/>
    <w:p w:rsidR="000F63E8" w:rsidRDefault="000F63E8" w:rsidP="000F63E8">
      <w:pPr>
        <w:pStyle w:val="EntradandiceAuto"/>
      </w:pPr>
      <w:r>
        <w:t>Sección Tercera. Auto 102/1985, de 13 de febrero de 1985. Acordando la inadmisión a trámite del recurso de amparo 814/1984</w:t>
      </w:r>
      <w:r>
        <w:tab/>
      </w:r>
      <w:r>
        <w:tab/>
      </w:r>
      <w:r>
        <w:fldChar w:fldCharType="begin"/>
      </w:r>
      <w:r>
        <w:instrText xml:space="preserve"> PAGEREF AUTO_1985_102 \h </w:instrText>
      </w:r>
      <w:r>
        <w:fldChar w:fldCharType="separate"/>
      </w:r>
      <w:r w:rsidR="00CB2978">
        <w:rPr>
          <w:noProof/>
        </w:rPr>
        <w:t>1029</w:t>
      </w:r>
      <w:r>
        <w:fldChar w:fldCharType="end"/>
      </w:r>
    </w:p>
    <w:p w:rsidR="000F63E8" w:rsidRDefault="000F63E8" w:rsidP="000F63E8"/>
    <w:p w:rsidR="000F63E8" w:rsidRDefault="000F63E8" w:rsidP="000F63E8">
      <w:pPr>
        <w:pStyle w:val="EntradandiceAuto"/>
      </w:pPr>
      <w:r>
        <w:t>Sección Cuarta. Auto 103/1985, de 13 de febrero de 1985. Acordando la inadmisión a trámite del recurso de amparo 819/1984</w:t>
      </w:r>
      <w:r>
        <w:tab/>
      </w:r>
      <w:r>
        <w:tab/>
      </w:r>
      <w:r>
        <w:fldChar w:fldCharType="begin"/>
      </w:r>
      <w:r>
        <w:instrText xml:space="preserve"> PAGEREF AUTO_1985_103 \h </w:instrText>
      </w:r>
      <w:r>
        <w:fldChar w:fldCharType="separate"/>
      </w:r>
      <w:r w:rsidR="00CB2978">
        <w:rPr>
          <w:noProof/>
        </w:rPr>
        <w:t>1031</w:t>
      </w:r>
      <w:r>
        <w:fldChar w:fldCharType="end"/>
      </w:r>
    </w:p>
    <w:p w:rsidR="000F63E8" w:rsidRDefault="000F63E8" w:rsidP="000F63E8"/>
    <w:p w:rsidR="000F63E8" w:rsidRDefault="000F63E8" w:rsidP="000F63E8">
      <w:pPr>
        <w:pStyle w:val="EntradandiceAuto"/>
      </w:pPr>
      <w:r>
        <w:t>Sección Segunda. Auto 104/1985, de 13 de febrero de 1985. Acordando la inadmisión a trámite del recurso de amparo 848/1984</w:t>
      </w:r>
      <w:r>
        <w:tab/>
      </w:r>
      <w:r>
        <w:tab/>
      </w:r>
      <w:r>
        <w:fldChar w:fldCharType="begin"/>
      </w:r>
      <w:r>
        <w:instrText xml:space="preserve"> PAGEREF AUTO_1985_104 \h </w:instrText>
      </w:r>
      <w:r>
        <w:fldChar w:fldCharType="separate"/>
      </w:r>
      <w:r w:rsidR="00CB2978">
        <w:rPr>
          <w:noProof/>
        </w:rPr>
        <w:t>1035</w:t>
      </w:r>
      <w:r>
        <w:fldChar w:fldCharType="end"/>
      </w:r>
    </w:p>
    <w:p w:rsidR="000F63E8" w:rsidRDefault="000F63E8" w:rsidP="000F63E8"/>
    <w:p w:rsidR="000F63E8" w:rsidRDefault="000F63E8" w:rsidP="000F63E8">
      <w:pPr>
        <w:pStyle w:val="EntradandiceAuto"/>
      </w:pPr>
      <w:r>
        <w:t>Sección Tercera. Auto 105/1985, de 13 de febrero de 1985. Acordando la inadmisión a trámite del recurso de amparo 866/1984</w:t>
      </w:r>
      <w:r>
        <w:tab/>
      </w:r>
      <w:r>
        <w:tab/>
      </w:r>
      <w:r>
        <w:fldChar w:fldCharType="begin"/>
      </w:r>
      <w:r>
        <w:instrText xml:space="preserve"> PAGEREF AUTO_1985_105 \h </w:instrText>
      </w:r>
      <w:r>
        <w:fldChar w:fldCharType="separate"/>
      </w:r>
      <w:r w:rsidR="00CB2978">
        <w:rPr>
          <w:noProof/>
        </w:rPr>
        <w:t>1039</w:t>
      </w:r>
      <w:r>
        <w:fldChar w:fldCharType="end"/>
      </w:r>
    </w:p>
    <w:p w:rsidR="000F63E8" w:rsidRDefault="000F63E8" w:rsidP="000F63E8"/>
    <w:p w:rsidR="000F63E8" w:rsidRDefault="000F63E8" w:rsidP="000F63E8">
      <w:pPr>
        <w:pStyle w:val="EntradandiceAuto"/>
      </w:pPr>
      <w:r>
        <w:t>Sección Tercera. Auto 106/1985, de 13 de febrero de 1985. Acordando la inadmisión a trámite del recurso de amparo 873/1984</w:t>
      </w:r>
      <w:r>
        <w:tab/>
      </w:r>
      <w:r>
        <w:tab/>
      </w:r>
      <w:r>
        <w:fldChar w:fldCharType="begin"/>
      </w:r>
      <w:r>
        <w:instrText xml:space="preserve"> PAGEREF AUTO_1985_106 \h </w:instrText>
      </w:r>
      <w:r>
        <w:fldChar w:fldCharType="separate"/>
      </w:r>
      <w:r w:rsidR="00CB2978">
        <w:rPr>
          <w:noProof/>
        </w:rPr>
        <w:t>1042</w:t>
      </w:r>
      <w:r>
        <w:fldChar w:fldCharType="end"/>
      </w:r>
    </w:p>
    <w:p w:rsidR="000F63E8" w:rsidRDefault="000F63E8" w:rsidP="000F63E8"/>
    <w:p w:rsidR="000F63E8" w:rsidRDefault="000F63E8" w:rsidP="000F63E8">
      <w:pPr>
        <w:pStyle w:val="EntradandiceAuto"/>
      </w:pPr>
      <w:r>
        <w:t>Sección Cuarta. Auto 107/1985, de 13 de febrero de 1985. Acordando la inadmisión a trámite del recurso de amparo 877/1984</w:t>
      </w:r>
      <w:r>
        <w:tab/>
      </w:r>
      <w:r>
        <w:tab/>
      </w:r>
      <w:r>
        <w:fldChar w:fldCharType="begin"/>
      </w:r>
      <w:r>
        <w:instrText xml:space="preserve"> PAGEREF AUTO_1985_107 \h </w:instrText>
      </w:r>
      <w:r>
        <w:fldChar w:fldCharType="separate"/>
      </w:r>
      <w:r w:rsidR="00CB2978">
        <w:rPr>
          <w:noProof/>
        </w:rPr>
        <w:t>1046</w:t>
      </w:r>
      <w:r>
        <w:fldChar w:fldCharType="end"/>
      </w:r>
    </w:p>
    <w:p w:rsidR="000F63E8" w:rsidRDefault="000F63E8" w:rsidP="000F63E8"/>
    <w:p w:rsidR="000F63E8" w:rsidRDefault="000F63E8" w:rsidP="000F63E8">
      <w:pPr>
        <w:pStyle w:val="EntradandiceAuto"/>
      </w:pPr>
      <w:r>
        <w:t>Sala Segunda. Auto 108/1985, de 13 de febrero de 1985. Acordando la suspensión de la ejecución del acto que origina el recurso de amparo 889/1984</w:t>
      </w:r>
      <w:r>
        <w:tab/>
      </w:r>
      <w:r>
        <w:tab/>
      </w:r>
      <w:r>
        <w:fldChar w:fldCharType="begin"/>
      </w:r>
      <w:r>
        <w:instrText xml:space="preserve"> PAGEREF AUTO_1985_108 \h </w:instrText>
      </w:r>
      <w:r>
        <w:fldChar w:fldCharType="separate"/>
      </w:r>
      <w:r w:rsidR="00CB2978">
        <w:rPr>
          <w:noProof/>
        </w:rPr>
        <w:t>1049</w:t>
      </w:r>
      <w:r>
        <w:fldChar w:fldCharType="end"/>
      </w:r>
    </w:p>
    <w:p w:rsidR="000F63E8" w:rsidRDefault="000F63E8" w:rsidP="000F63E8"/>
    <w:p w:rsidR="000F63E8" w:rsidRDefault="000F63E8" w:rsidP="000F63E8">
      <w:pPr>
        <w:pStyle w:val="EntradandiceAuto"/>
      </w:pPr>
      <w:r>
        <w:t>Sección Segunda. Auto 109/1985, de 13 de febrero de 1985. Acordando la inadmisión a trámite del recurso de amparo 908/1984</w:t>
      </w:r>
      <w:r>
        <w:tab/>
      </w:r>
      <w:r>
        <w:tab/>
      </w:r>
      <w:r>
        <w:fldChar w:fldCharType="begin"/>
      </w:r>
      <w:r>
        <w:instrText xml:space="preserve"> PAGEREF AUTO_1985_109 \h </w:instrText>
      </w:r>
      <w:r>
        <w:fldChar w:fldCharType="separate"/>
      </w:r>
      <w:r w:rsidR="00CB2978">
        <w:rPr>
          <w:noProof/>
        </w:rPr>
        <w:t>1051</w:t>
      </w:r>
      <w:r>
        <w:fldChar w:fldCharType="end"/>
      </w:r>
    </w:p>
    <w:p w:rsidR="000F63E8" w:rsidRDefault="000F63E8" w:rsidP="000F63E8"/>
    <w:p w:rsidR="000F63E8" w:rsidRDefault="000F63E8" w:rsidP="000F63E8">
      <w:pPr>
        <w:pStyle w:val="EntradandiceAuto"/>
      </w:pPr>
      <w:r>
        <w:t>Pleno. Auto 110/1985, de 14 de febrero de 1985. Acordando la acumulación de los recursos de inconstitucionalidad 111/1982, 209, 655 y 679/1983 y 223/1984</w:t>
      </w:r>
      <w:r>
        <w:tab/>
      </w:r>
      <w:r>
        <w:tab/>
      </w:r>
      <w:r>
        <w:fldChar w:fldCharType="begin"/>
      </w:r>
      <w:r>
        <w:instrText xml:space="preserve"> PAGEREF AUTO_1985_110 \h </w:instrText>
      </w:r>
      <w:r>
        <w:fldChar w:fldCharType="separate"/>
      </w:r>
      <w:r w:rsidR="00CB2978">
        <w:rPr>
          <w:noProof/>
        </w:rPr>
        <w:t>1057</w:t>
      </w:r>
      <w:r>
        <w:fldChar w:fldCharType="end"/>
      </w:r>
    </w:p>
    <w:p w:rsidR="000F63E8" w:rsidRDefault="000F63E8" w:rsidP="000F63E8"/>
    <w:p w:rsidR="000F63E8" w:rsidRDefault="000F63E8" w:rsidP="000F63E8">
      <w:pPr>
        <w:pStyle w:val="EntradandiceAuto"/>
      </w:pPr>
      <w:r>
        <w:t>Pleno. Auto 111/1985, de 14 de febrero de 1985. Levantando la suspensión, previamente acordada, de la Orden de 6 de abril de 1984, de la Generalidad de Cataluña, en el conflicto positivo de competencia 670/1984</w:t>
      </w:r>
      <w:r>
        <w:tab/>
      </w:r>
      <w:r>
        <w:tab/>
      </w:r>
      <w:r>
        <w:fldChar w:fldCharType="begin"/>
      </w:r>
      <w:r>
        <w:instrText xml:space="preserve"> PAGEREF AUTO_1985_111 \h </w:instrText>
      </w:r>
      <w:r>
        <w:fldChar w:fldCharType="separate"/>
      </w:r>
      <w:r w:rsidR="00CB2978">
        <w:rPr>
          <w:noProof/>
        </w:rPr>
        <w:t>1060</w:t>
      </w:r>
      <w:r>
        <w:fldChar w:fldCharType="end"/>
      </w:r>
    </w:p>
    <w:p w:rsidR="000F63E8" w:rsidRDefault="000F63E8" w:rsidP="000F63E8"/>
    <w:p w:rsidR="000F63E8" w:rsidRDefault="000F63E8" w:rsidP="000F63E8">
      <w:pPr>
        <w:pStyle w:val="EntradandiceAuto"/>
      </w:pPr>
      <w:r>
        <w:t>Sección Segunda. Auto 112/1985, de 20 de febrero de 1985. Acordando el archivo de las actuaciones en el procedimiento 290/1984</w:t>
      </w:r>
      <w:r>
        <w:tab/>
      </w:r>
      <w:r>
        <w:tab/>
      </w:r>
      <w:r>
        <w:fldChar w:fldCharType="begin"/>
      </w:r>
      <w:r>
        <w:instrText xml:space="preserve"> PAGEREF AUTO_1985_112 \h </w:instrText>
      </w:r>
      <w:r>
        <w:fldChar w:fldCharType="separate"/>
      </w:r>
      <w:r w:rsidR="00CB2978">
        <w:rPr>
          <w:noProof/>
        </w:rPr>
        <w:t>1063</w:t>
      </w:r>
      <w:r>
        <w:fldChar w:fldCharType="end"/>
      </w:r>
    </w:p>
    <w:p w:rsidR="000F63E8" w:rsidRDefault="000F63E8" w:rsidP="000F63E8"/>
    <w:p w:rsidR="000F63E8" w:rsidRDefault="000F63E8" w:rsidP="000F63E8">
      <w:pPr>
        <w:pStyle w:val="EntradandiceAuto"/>
      </w:pPr>
      <w:r>
        <w:t>Sección Primera. Auto 113/1985, de 20 de febrero de 1985. Acordando la inadmisión a trámite del recurso de amparo 516/1984</w:t>
      </w:r>
      <w:r>
        <w:tab/>
      </w:r>
      <w:r>
        <w:tab/>
      </w:r>
      <w:r>
        <w:fldChar w:fldCharType="begin"/>
      </w:r>
      <w:r>
        <w:instrText xml:space="preserve"> PAGEREF AUTO_1985_113 \h </w:instrText>
      </w:r>
      <w:r>
        <w:fldChar w:fldCharType="separate"/>
      </w:r>
      <w:r w:rsidR="00CB2978">
        <w:rPr>
          <w:noProof/>
        </w:rPr>
        <w:t>1067</w:t>
      </w:r>
      <w:r>
        <w:fldChar w:fldCharType="end"/>
      </w:r>
    </w:p>
    <w:p w:rsidR="000F63E8" w:rsidRDefault="000F63E8" w:rsidP="000F63E8"/>
    <w:p w:rsidR="000F63E8" w:rsidRDefault="000F63E8" w:rsidP="000F63E8">
      <w:pPr>
        <w:pStyle w:val="EntradandiceAuto"/>
      </w:pPr>
      <w:r>
        <w:t>Sección Primera. Auto 114/1985, de 20 de febrero de 1985. Acordando la inadmisión a trámite del recurso de amparo 579/1984</w:t>
      </w:r>
      <w:r>
        <w:tab/>
      </w:r>
      <w:r>
        <w:tab/>
      </w:r>
      <w:r>
        <w:fldChar w:fldCharType="begin"/>
      </w:r>
      <w:r>
        <w:instrText xml:space="preserve"> PAGEREF AUTO_1985_114 \h </w:instrText>
      </w:r>
      <w:r>
        <w:fldChar w:fldCharType="separate"/>
      </w:r>
      <w:r w:rsidR="00CB2978">
        <w:rPr>
          <w:noProof/>
        </w:rPr>
        <w:t>1068</w:t>
      </w:r>
      <w:r>
        <w:fldChar w:fldCharType="end"/>
      </w:r>
    </w:p>
    <w:p w:rsidR="000F63E8" w:rsidRDefault="000F63E8" w:rsidP="000F63E8"/>
    <w:p w:rsidR="000F63E8" w:rsidRDefault="000F63E8" w:rsidP="000F63E8">
      <w:pPr>
        <w:pStyle w:val="EntradandiceAuto"/>
      </w:pPr>
      <w:r>
        <w:t>Sección Primera. Auto 115/1985, de 20 de febrero de 1985. Acordando la inadmisión a trámite del recurso de amparo 580/1984</w:t>
      </w:r>
      <w:r>
        <w:tab/>
      </w:r>
      <w:r>
        <w:tab/>
      </w:r>
      <w:r>
        <w:fldChar w:fldCharType="begin"/>
      </w:r>
      <w:r>
        <w:instrText xml:space="preserve"> PAGEREF AUTO_1985_115 \h </w:instrText>
      </w:r>
      <w:r>
        <w:fldChar w:fldCharType="separate"/>
      </w:r>
      <w:r w:rsidR="00CB2978">
        <w:rPr>
          <w:noProof/>
        </w:rPr>
        <w:t>1069</w:t>
      </w:r>
      <w:r>
        <w:fldChar w:fldCharType="end"/>
      </w:r>
    </w:p>
    <w:p w:rsidR="000F63E8" w:rsidRDefault="000F63E8" w:rsidP="000F63E8"/>
    <w:p w:rsidR="000F63E8" w:rsidRDefault="000F63E8" w:rsidP="000F63E8">
      <w:pPr>
        <w:pStyle w:val="EntradandiceAuto"/>
      </w:pPr>
      <w:r>
        <w:t>Sección Primera. Auto 116/1985, de 20 de febrero de 1985. Acordando la inadmisión a trámite del recurso de amparo 648/1984</w:t>
      </w:r>
      <w:r>
        <w:tab/>
      </w:r>
      <w:r>
        <w:tab/>
      </w:r>
      <w:r>
        <w:fldChar w:fldCharType="begin"/>
      </w:r>
      <w:r>
        <w:instrText xml:space="preserve"> PAGEREF AUTO_1985_116 \h </w:instrText>
      </w:r>
      <w:r>
        <w:fldChar w:fldCharType="separate"/>
      </w:r>
      <w:r w:rsidR="00CB2978">
        <w:rPr>
          <w:noProof/>
        </w:rPr>
        <w:t>1070</w:t>
      </w:r>
      <w:r>
        <w:fldChar w:fldCharType="end"/>
      </w:r>
    </w:p>
    <w:p w:rsidR="000F63E8" w:rsidRDefault="000F63E8" w:rsidP="000F63E8"/>
    <w:p w:rsidR="000F63E8" w:rsidRDefault="000F63E8" w:rsidP="000F63E8">
      <w:pPr>
        <w:pStyle w:val="EntradandiceAuto"/>
      </w:pPr>
      <w:r>
        <w:t>Sección Segunda. Auto 117/1985, de 20 de febrero de 1985. Acordando la inadmisión a trámite del recurso de amparo 697/1984</w:t>
      </w:r>
      <w:r>
        <w:tab/>
      </w:r>
      <w:r>
        <w:tab/>
      </w:r>
      <w:r>
        <w:fldChar w:fldCharType="begin"/>
      </w:r>
      <w:r>
        <w:instrText xml:space="preserve"> PAGEREF AUTO_1985_117 \h </w:instrText>
      </w:r>
      <w:r>
        <w:fldChar w:fldCharType="separate"/>
      </w:r>
      <w:r w:rsidR="00CB2978">
        <w:rPr>
          <w:noProof/>
        </w:rPr>
        <w:t>1074</w:t>
      </w:r>
      <w:r>
        <w:fldChar w:fldCharType="end"/>
      </w:r>
    </w:p>
    <w:p w:rsidR="000F63E8" w:rsidRDefault="000F63E8" w:rsidP="000F63E8"/>
    <w:p w:rsidR="000F63E8" w:rsidRDefault="000F63E8" w:rsidP="000F63E8">
      <w:pPr>
        <w:pStyle w:val="EntradandiceAuto"/>
      </w:pPr>
      <w:r>
        <w:lastRenderedPageBreak/>
        <w:t>Sección Segunda. Auto 118/1985, de 20 de febrero de 1985. Acordando la inadmisión a trámite del recurso de amparo 710/1984</w:t>
      </w:r>
      <w:r>
        <w:tab/>
      </w:r>
      <w:r>
        <w:tab/>
      </w:r>
      <w:r>
        <w:fldChar w:fldCharType="begin"/>
      </w:r>
      <w:r>
        <w:instrText xml:space="preserve"> PAGEREF AUTO_1985_118 \h </w:instrText>
      </w:r>
      <w:r>
        <w:fldChar w:fldCharType="separate"/>
      </w:r>
      <w:r w:rsidR="00CB2978">
        <w:rPr>
          <w:noProof/>
        </w:rPr>
        <w:t>1079</w:t>
      </w:r>
      <w:r>
        <w:fldChar w:fldCharType="end"/>
      </w:r>
    </w:p>
    <w:p w:rsidR="000F63E8" w:rsidRDefault="000F63E8" w:rsidP="000F63E8"/>
    <w:p w:rsidR="000F63E8" w:rsidRDefault="000F63E8" w:rsidP="000F63E8">
      <w:pPr>
        <w:pStyle w:val="EntradandiceAuto"/>
      </w:pPr>
      <w:r>
        <w:t>Sección Primera. Auto 119/1985, de 20 de febrero de 1985. Acordando la inadmisión a trámite del recurso de amparo 722/1984</w:t>
      </w:r>
      <w:r>
        <w:tab/>
      </w:r>
      <w:r>
        <w:tab/>
      </w:r>
      <w:r>
        <w:fldChar w:fldCharType="begin"/>
      </w:r>
      <w:r>
        <w:instrText xml:space="preserve"> PAGEREF AUTO_1985_119 \h </w:instrText>
      </w:r>
      <w:r>
        <w:fldChar w:fldCharType="separate"/>
      </w:r>
      <w:r w:rsidR="00CB2978">
        <w:rPr>
          <w:noProof/>
        </w:rPr>
        <w:t>1084</w:t>
      </w:r>
      <w:r>
        <w:fldChar w:fldCharType="end"/>
      </w:r>
    </w:p>
    <w:p w:rsidR="000F63E8" w:rsidRDefault="000F63E8" w:rsidP="000F63E8"/>
    <w:p w:rsidR="000F63E8" w:rsidRDefault="000F63E8" w:rsidP="000F63E8">
      <w:pPr>
        <w:pStyle w:val="EntradandiceAuto"/>
      </w:pPr>
      <w:r>
        <w:t>Sección Segunda. Auto 120/1985, de 20 de febrero de 1985. Acordando la inadmisión a trámite del recurso de amparo 726/1984</w:t>
      </w:r>
      <w:r>
        <w:tab/>
      </w:r>
      <w:r>
        <w:tab/>
      </w:r>
      <w:r>
        <w:fldChar w:fldCharType="begin"/>
      </w:r>
      <w:r>
        <w:instrText xml:space="preserve"> PAGEREF AUTO_1985_120 \h </w:instrText>
      </w:r>
      <w:r>
        <w:fldChar w:fldCharType="separate"/>
      </w:r>
      <w:r w:rsidR="00CB2978">
        <w:rPr>
          <w:noProof/>
        </w:rPr>
        <w:t>1088</w:t>
      </w:r>
      <w:r>
        <w:fldChar w:fldCharType="end"/>
      </w:r>
    </w:p>
    <w:p w:rsidR="000F63E8" w:rsidRDefault="000F63E8" w:rsidP="000F63E8"/>
    <w:p w:rsidR="000F63E8" w:rsidRDefault="000F63E8" w:rsidP="000F63E8">
      <w:pPr>
        <w:pStyle w:val="EntradandiceAuto"/>
      </w:pPr>
      <w:r>
        <w:t>Sección Segunda. Auto 121/1985, de 20 de febrero de 1985. Acordando la inadmisión a trámite del recurso de amparo 761/1984</w:t>
      </w:r>
      <w:r>
        <w:tab/>
      </w:r>
      <w:r>
        <w:tab/>
      </w:r>
      <w:r>
        <w:fldChar w:fldCharType="begin"/>
      </w:r>
      <w:r>
        <w:instrText xml:space="preserve"> PAGEREF AUTO_1985_121 \h </w:instrText>
      </w:r>
      <w:r>
        <w:fldChar w:fldCharType="separate"/>
      </w:r>
      <w:r w:rsidR="00CB2978">
        <w:rPr>
          <w:noProof/>
        </w:rPr>
        <w:t>1092</w:t>
      </w:r>
      <w:r>
        <w:fldChar w:fldCharType="end"/>
      </w:r>
    </w:p>
    <w:p w:rsidR="000F63E8" w:rsidRDefault="000F63E8" w:rsidP="000F63E8"/>
    <w:p w:rsidR="000F63E8" w:rsidRDefault="000F63E8" w:rsidP="000F63E8">
      <w:pPr>
        <w:pStyle w:val="EntradandiceAuto"/>
      </w:pPr>
      <w:r>
        <w:t>Sección Tercera. Auto 122/1985, de 20 de febrero de 1985. Acordando la inadmisión a trámite del recurso de amparo 780/1984</w:t>
      </w:r>
      <w:r>
        <w:tab/>
      </w:r>
      <w:r>
        <w:tab/>
      </w:r>
      <w:r>
        <w:fldChar w:fldCharType="begin"/>
      </w:r>
      <w:r>
        <w:instrText xml:space="preserve"> PAGEREF AUTO_1985_122 \h </w:instrText>
      </w:r>
      <w:r>
        <w:fldChar w:fldCharType="separate"/>
      </w:r>
      <w:r w:rsidR="00CB2978">
        <w:rPr>
          <w:noProof/>
        </w:rPr>
        <w:t>1101</w:t>
      </w:r>
      <w:r>
        <w:fldChar w:fldCharType="end"/>
      </w:r>
    </w:p>
    <w:p w:rsidR="000F63E8" w:rsidRDefault="000F63E8" w:rsidP="000F63E8"/>
    <w:p w:rsidR="000F63E8" w:rsidRDefault="000F63E8" w:rsidP="000F63E8">
      <w:pPr>
        <w:pStyle w:val="EntradandiceAuto"/>
      </w:pPr>
      <w:r>
        <w:t>Sección Segunda. Auto 123/1985, de 20 de febrero de 1985. Acordando la inadmisión a trámite del recurso de amparo 809/1984</w:t>
      </w:r>
      <w:r>
        <w:tab/>
      </w:r>
      <w:r>
        <w:tab/>
      </w:r>
      <w:r>
        <w:fldChar w:fldCharType="begin"/>
      </w:r>
      <w:r>
        <w:instrText xml:space="preserve"> PAGEREF AUTO_1985_123 \h </w:instrText>
      </w:r>
      <w:r>
        <w:fldChar w:fldCharType="separate"/>
      </w:r>
      <w:r w:rsidR="00CB2978">
        <w:rPr>
          <w:noProof/>
        </w:rPr>
        <w:t>1105</w:t>
      </w:r>
      <w:r>
        <w:fldChar w:fldCharType="end"/>
      </w:r>
    </w:p>
    <w:p w:rsidR="000F63E8" w:rsidRDefault="000F63E8" w:rsidP="000F63E8"/>
    <w:p w:rsidR="000F63E8" w:rsidRDefault="000F63E8" w:rsidP="000F63E8">
      <w:pPr>
        <w:pStyle w:val="EntradandiceAuto"/>
      </w:pPr>
      <w:r>
        <w:t>Sección Tercera. Auto 124/1985, de 20 de febrero de 1985. Acordando la inadmisión a trámite del recurso de amparo 828/1984</w:t>
      </w:r>
      <w:r>
        <w:tab/>
      </w:r>
      <w:r>
        <w:tab/>
      </w:r>
      <w:r>
        <w:fldChar w:fldCharType="begin"/>
      </w:r>
      <w:r>
        <w:instrText xml:space="preserve"> PAGEREF AUTO_1985_124 \h </w:instrText>
      </w:r>
      <w:r>
        <w:fldChar w:fldCharType="separate"/>
      </w:r>
      <w:r w:rsidR="00CB2978">
        <w:rPr>
          <w:noProof/>
        </w:rPr>
        <w:t>1110</w:t>
      </w:r>
      <w:r>
        <w:fldChar w:fldCharType="end"/>
      </w:r>
    </w:p>
    <w:p w:rsidR="000F63E8" w:rsidRDefault="000F63E8" w:rsidP="000F63E8"/>
    <w:p w:rsidR="000F63E8" w:rsidRDefault="000F63E8" w:rsidP="000F63E8">
      <w:pPr>
        <w:pStyle w:val="EntradandiceAuto"/>
      </w:pPr>
      <w:r>
        <w:t>Pleno. Auto 125/1985, de 21 de febrero de 1985. Ratificando la suspensión, previamente acordada, de diversos preceptos del Decreto Foral 24/1984, de la Diputación Foral de Navarra, en el conflicto positivo de competencia 652/1984</w:t>
      </w:r>
      <w:r>
        <w:tab/>
      </w:r>
      <w:r>
        <w:tab/>
      </w:r>
      <w:r>
        <w:fldChar w:fldCharType="begin"/>
      </w:r>
      <w:r>
        <w:instrText xml:space="preserve"> PAGEREF AUTO_1985_125 \h </w:instrText>
      </w:r>
      <w:r>
        <w:fldChar w:fldCharType="separate"/>
      </w:r>
      <w:r w:rsidR="00CB2978">
        <w:rPr>
          <w:noProof/>
        </w:rPr>
        <w:t>1114</w:t>
      </w:r>
      <w:r>
        <w:fldChar w:fldCharType="end"/>
      </w:r>
    </w:p>
    <w:p w:rsidR="000F63E8" w:rsidRDefault="000F63E8" w:rsidP="000F63E8"/>
    <w:p w:rsidR="000F63E8" w:rsidRDefault="000F63E8" w:rsidP="000F63E8">
      <w:pPr>
        <w:pStyle w:val="EntradandiceAuto"/>
      </w:pPr>
      <w:r>
        <w:t>Pleno. Auto 126/1985, de 21 de febrero de 1985. Acordando la acumulación de los conflictos positivos de competencia 838 y 891/1984</w:t>
      </w:r>
      <w:r>
        <w:tab/>
      </w:r>
      <w:r>
        <w:tab/>
      </w:r>
      <w:r>
        <w:fldChar w:fldCharType="begin"/>
      </w:r>
      <w:r>
        <w:instrText xml:space="preserve"> PAGEREF AUTO_1985_126 \h </w:instrText>
      </w:r>
      <w:r>
        <w:fldChar w:fldCharType="separate"/>
      </w:r>
      <w:r w:rsidR="00CB2978">
        <w:rPr>
          <w:noProof/>
        </w:rPr>
        <w:t>1116</w:t>
      </w:r>
      <w:r>
        <w:fldChar w:fldCharType="end"/>
      </w:r>
    </w:p>
    <w:p w:rsidR="000F63E8" w:rsidRDefault="000F63E8" w:rsidP="000F63E8"/>
    <w:p w:rsidR="000F63E8" w:rsidRDefault="000F63E8" w:rsidP="000F63E8">
      <w:pPr>
        <w:pStyle w:val="EntradandiceAuto"/>
      </w:pPr>
      <w:r>
        <w:t>Sala Segunda. Auto 127/1985, de 27 de febrero de 1985. Denegando la suspensión de la ejecución del acto que origina el recurso de amparo 375/1984</w:t>
      </w:r>
      <w:r>
        <w:tab/>
      </w:r>
      <w:r>
        <w:tab/>
      </w:r>
      <w:r>
        <w:fldChar w:fldCharType="begin"/>
      </w:r>
      <w:r>
        <w:instrText xml:space="preserve"> PAGEREF AUTO_1985_127 \h </w:instrText>
      </w:r>
      <w:r>
        <w:fldChar w:fldCharType="separate"/>
      </w:r>
      <w:r w:rsidR="00CB2978">
        <w:rPr>
          <w:noProof/>
        </w:rPr>
        <w:t>1118</w:t>
      </w:r>
      <w:r>
        <w:fldChar w:fldCharType="end"/>
      </w:r>
    </w:p>
    <w:p w:rsidR="000F63E8" w:rsidRDefault="000F63E8" w:rsidP="000F63E8"/>
    <w:p w:rsidR="000F63E8" w:rsidRDefault="000F63E8" w:rsidP="000F63E8">
      <w:pPr>
        <w:pStyle w:val="EntradandiceAuto"/>
      </w:pPr>
      <w:r>
        <w:t>Sala Primera. Auto 128/1985, de 27 de febrero de 1985. Denegando la suspensión de la ejecución del acto que origina el recurso de amparo 438/1984</w:t>
      </w:r>
      <w:r>
        <w:tab/>
      </w:r>
      <w:r>
        <w:tab/>
      </w:r>
      <w:r>
        <w:fldChar w:fldCharType="begin"/>
      </w:r>
      <w:r>
        <w:instrText xml:space="preserve"> PAGEREF AUTO_1985_128 \h </w:instrText>
      </w:r>
      <w:r>
        <w:fldChar w:fldCharType="separate"/>
      </w:r>
      <w:r w:rsidR="00CB2978">
        <w:rPr>
          <w:noProof/>
        </w:rPr>
        <w:t>1121</w:t>
      </w:r>
      <w:r>
        <w:fldChar w:fldCharType="end"/>
      </w:r>
    </w:p>
    <w:p w:rsidR="000F63E8" w:rsidRDefault="000F63E8" w:rsidP="000F63E8"/>
    <w:p w:rsidR="000F63E8" w:rsidRDefault="000F63E8" w:rsidP="000F63E8">
      <w:pPr>
        <w:pStyle w:val="EntradandiceAuto"/>
      </w:pPr>
      <w:r>
        <w:t>Sección Primera. Auto 129/1985, de 27 de febrero de 1985. Acordando la inadmisión a trámite del recurso de amparo 581/1984</w:t>
      </w:r>
      <w:r>
        <w:tab/>
      </w:r>
      <w:r>
        <w:tab/>
      </w:r>
      <w:r>
        <w:fldChar w:fldCharType="begin"/>
      </w:r>
      <w:r>
        <w:instrText xml:space="preserve"> PAGEREF AUTO_1985_129 \h </w:instrText>
      </w:r>
      <w:r>
        <w:fldChar w:fldCharType="separate"/>
      </w:r>
      <w:r w:rsidR="00CB2978">
        <w:rPr>
          <w:noProof/>
        </w:rPr>
        <w:t>1125</w:t>
      </w:r>
      <w:r>
        <w:fldChar w:fldCharType="end"/>
      </w:r>
    </w:p>
    <w:p w:rsidR="000F63E8" w:rsidRDefault="000F63E8" w:rsidP="000F63E8"/>
    <w:p w:rsidR="000F63E8" w:rsidRDefault="000F63E8" w:rsidP="000F63E8">
      <w:pPr>
        <w:pStyle w:val="EntradandiceAuto"/>
      </w:pPr>
      <w:r>
        <w:lastRenderedPageBreak/>
        <w:t>Sección Segunda. Auto 130/1985, de 27 de febrero de 1985. Acordando la inadmisión a trámite del recurso de amparo 740/1984</w:t>
      </w:r>
      <w:r>
        <w:tab/>
      </w:r>
      <w:r>
        <w:tab/>
      </w:r>
      <w:r>
        <w:fldChar w:fldCharType="begin"/>
      </w:r>
      <w:r>
        <w:instrText xml:space="preserve"> PAGEREF AUTO_1985_130 \h </w:instrText>
      </w:r>
      <w:r>
        <w:fldChar w:fldCharType="separate"/>
      </w:r>
      <w:r w:rsidR="00CB2978">
        <w:rPr>
          <w:noProof/>
        </w:rPr>
        <w:t>1126</w:t>
      </w:r>
      <w:r>
        <w:fldChar w:fldCharType="end"/>
      </w:r>
    </w:p>
    <w:p w:rsidR="000F63E8" w:rsidRDefault="000F63E8" w:rsidP="000F63E8"/>
    <w:p w:rsidR="000F63E8" w:rsidRDefault="000F63E8" w:rsidP="000F63E8">
      <w:pPr>
        <w:pStyle w:val="EntradandiceAuto"/>
      </w:pPr>
      <w:r>
        <w:t>Sección Tercera. Auto 131/1985, de 27 de febrero de 1985. Acordando la inadmisión a trámite del recurso de amparo 772/1984</w:t>
      </w:r>
      <w:r>
        <w:tab/>
      </w:r>
      <w:r>
        <w:tab/>
      </w:r>
      <w:r>
        <w:fldChar w:fldCharType="begin"/>
      </w:r>
      <w:r>
        <w:instrText xml:space="preserve"> PAGEREF AUTO_1985_131 \h </w:instrText>
      </w:r>
      <w:r>
        <w:fldChar w:fldCharType="separate"/>
      </w:r>
      <w:r w:rsidR="00CB2978">
        <w:rPr>
          <w:noProof/>
        </w:rPr>
        <w:t>1130</w:t>
      </w:r>
      <w:r>
        <w:fldChar w:fldCharType="end"/>
      </w:r>
    </w:p>
    <w:p w:rsidR="000F63E8" w:rsidRDefault="000F63E8" w:rsidP="000F63E8"/>
    <w:p w:rsidR="000F63E8" w:rsidRDefault="000F63E8" w:rsidP="000F63E8">
      <w:pPr>
        <w:pStyle w:val="EntradandiceAuto"/>
      </w:pPr>
      <w:r>
        <w:t>Sala Segunda. Auto 132/1985, de 27 de febrero de 1985. Acordando la suspensión de la ejecución del acto que origina el recurso de amparo 798/1984</w:t>
      </w:r>
      <w:r>
        <w:tab/>
      </w:r>
      <w:r>
        <w:tab/>
      </w:r>
      <w:r>
        <w:fldChar w:fldCharType="begin"/>
      </w:r>
      <w:r>
        <w:instrText xml:space="preserve"> PAGEREF AUTO_1985_132 \h </w:instrText>
      </w:r>
      <w:r>
        <w:fldChar w:fldCharType="separate"/>
      </w:r>
      <w:r w:rsidR="00CB2978">
        <w:rPr>
          <w:noProof/>
        </w:rPr>
        <w:t>1134</w:t>
      </w:r>
      <w:r>
        <w:fldChar w:fldCharType="end"/>
      </w:r>
    </w:p>
    <w:p w:rsidR="000F63E8" w:rsidRDefault="000F63E8" w:rsidP="000F63E8"/>
    <w:p w:rsidR="000F63E8" w:rsidRDefault="000F63E8" w:rsidP="000F63E8">
      <w:pPr>
        <w:pStyle w:val="EntradandiceAuto"/>
      </w:pPr>
      <w:r>
        <w:t>Sección Tercera. Auto 133/1985, de 27 de febrero de 1985. Acordando la inadmisión a trámite del recurso de amparo 802/1984</w:t>
      </w:r>
      <w:r>
        <w:tab/>
      </w:r>
      <w:r>
        <w:tab/>
      </w:r>
      <w:r>
        <w:fldChar w:fldCharType="begin"/>
      </w:r>
      <w:r>
        <w:instrText xml:space="preserve"> PAGEREF AUTO_1985_133 \h </w:instrText>
      </w:r>
      <w:r>
        <w:fldChar w:fldCharType="separate"/>
      </w:r>
      <w:r w:rsidR="00CB2978">
        <w:rPr>
          <w:noProof/>
        </w:rPr>
        <w:t>1136</w:t>
      </w:r>
      <w:r>
        <w:fldChar w:fldCharType="end"/>
      </w:r>
    </w:p>
    <w:p w:rsidR="000F63E8" w:rsidRDefault="000F63E8" w:rsidP="000F63E8"/>
    <w:p w:rsidR="000F63E8" w:rsidRDefault="000F63E8" w:rsidP="000F63E8">
      <w:pPr>
        <w:pStyle w:val="EntradandiceAuto"/>
      </w:pPr>
      <w:r>
        <w:t>Sección Segunda. Auto 134/1985, de 27 de febrero de 1985. Acordando la inadmisión a trámite del recurso de amparo 803/1984</w:t>
      </w:r>
      <w:r>
        <w:tab/>
      </w:r>
      <w:r>
        <w:tab/>
      </w:r>
      <w:r>
        <w:fldChar w:fldCharType="begin"/>
      </w:r>
      <w:r>
        <w:instrText xml:space="preserve"> PAGEREF AUTO_1985_134 \h </w:instrText>
      </w:r>
      <w:r>
        <w:fldChar w:fldCharType="separate"/>
      </w:r>
      <w:r w:rsidR="00CB2978">
        <w:rPr>
          <w:noProof/>
        </w:rPr>
        <w:t>1142</w:t>
      </w:r>
      <w:r>
        <w:fldChar w:fldCharType="end"/>
      </w:r>
    </w:p>
    <w:p w:rsidR="000F63E8" w:rsidRDefault="000F63E8" w:rsidP="000F63E8"/>
    <w:p w:rsidR="000F63E8" w:rsidRDefault="000F63E8" w:rsidP="000F63E8">
      <w:pPr>
        <w:pStyle w:val="EntradandiceAuto"/>
      </w:pPr>
      <w:r>
        <w:t>Sección Tercera. Auto 135/1985, de 27 de febrero de 1985. Acordando la inadmisión a trámite del recurso de amparo 808/1984</w:t>
      </w:r>
      <w:r>
        <w:tab/>
      </w:r>
      <w:r>
        <w:tab/>
      </w:r>
      <w:r>
        <w:fldChar w:fldCharType="begin"/>
      </w:r>
      <w:r>
        <w:instrText xml:space="preserve"> PAGEREF AUTO_1985_135 \h </w:instrText>
      </w:r>
      <w:r>
        <w:fldChar w:fldCharType="separate"/>
      </w:r>
      <w:r w:rsidR="00CB2978">
        <w:rPr>
          <w:noProof/>
        </w:rPr>
        <w:t>1145</w:t>
      </w:r>
      <w:r>
        <w:fldChar w:fldCharType="end"/>
      </w:r>
    </w:p>
    <w:p w:rsidR="000F63E8" w:rsidRDefault="000F63E8" w:rsidP="000F63E8"/>
    <w:p w:rsidR="000F63E8" w:rsidRDefault="000F63E8" w:rsidP="000F63E8">
      <w:pPr>
        <w:pStyle w:val="EntradandiceAuto"/>
      </w:pPr>
      <w:r>
        <w:t>Sección Cuarta. Auto 136/1985, de 27 de febrero de 1985. Acordando la inadmisión a trámite del recurso de amparo 810/1984</w:t>
      </w:r>
      <w:r>
        <w:tab/>
      </w:r>
      <w:r>
        <w:tab/>
      </w:r>
      <w:r>
        <w:fldChar w:fldCharType="begin"/>
      </w:r>
      <w:r>
        <w:instrText xml:space="preserve"> PAGEREF AUTO_1985_136 \h </w:instrText>
      </w:r>
      <w:r>
        <w:fldChar w:fldCharType="separate"/>
      </w:r>
      <w:r w:rsidR="00CB2978">
        <w:rPr>
          <w:noProof/>
        </w:rPr>
        <w:t>1149</w:t>
      </w:r>
      <w:r>
        <w:fldChar w:fldCharType="end"/>
      </w:r>
    </w:p>
    <w:p w:rsidR="000F63E8" w:rsidRDefault="000F63E8" w:rsidP="000F63E8"/>
    <w:p w:rsidR="000F63E8" w:rsidRDefault="000F63E8" w:rsidP="000F63E8">
      <w:pPr>
        <w:pStyle w:val="EntradandiceAuto"/>
      </w:pPr>
      <w:r>
        <w:t>Sección Tercera. Auto 137/1985, de 27 de febrero de 1985. Acordando haber lugar al desistimiento del actor en el recurso de amparo 830/1984</w:t>
      </w:r>
      <w:r>
        <w:tab/>
      </w:r>
      <w:r>
        <w:tab/>
      </w:r>
      <w:r>
        <w:fldChar w:fldCharType="begin"/>
      </w:r>
      <w:r>
        <w:instrText xml:space="preserve"> PAGEREF AUTO_1985_137 \h </w:instrText>
      </w:r>
      <w:r>
        <w:fldChar w:fldCharType="separate"/>
      </w:r>
      <w:r w:rsidR="00CB2978">
        <w:rPr>
          <w:noProof/>
        </w:rPr>
        <w:t>1153</w:t>
      </w:r>
      <w:r>
        <w:fldChar w:fldCharType="end"/>
      </w:r>
    </w:p>
    <w:p w:rsidR="000F63E8" w:rsidRDefault="000F63E8" w:rsidP="000F63E8"/>
    <w:p w:rsidR="000F63E8" w:rsidRDefault="000F63E8" w:rsidP="000F63E8">
      <w:pPr>
        <w:pStyle w:val="EntradandiceAuto"/>
      </w:pPr>
      <w:r>
        <w:t>Sección Cuarta. Auto 138/1985, de 27 de febrero de 1985. Acordando la inadmisión a trámite del recurso de amparo 832/1984</w:t>
      </w:r>
      <w:r>
        <w:tab/>
      </w:r>
      <w:r>
        <w:tab/>
      </w:r>
      <w:r>
        <w:fldChar w:fldCharType="begin"/>
      </w:r>
      <w:r>
        <w:instrText xml:space="preserve"> PAGEREF AUTO_1985_138 \h </w:instrText>
      </w:r>
      <w:r>
        <w:fldChar w:fldCharType="separate"/>
      </w:r>
      <w:r w:rsidR="00CB2978">
        <w:rPr>
          <w:noProof/>
        </w:rPr>
        <w:t>1156</w:t>
      </w:r>
      <w:r>
        <w:fldChar w:fldCharType="end"/>
      </w:r>
    </w:p>
    <w:p w:rsidR="000F63E8" w:rsidRDefault="000F63E8" w:rsidP="000F63E8"/>
    <w:p w:rsidR="000F63E8" w:rsidRDefault="000F63E8" w:rsidP="000F63E8">
      <w:pPr>
        <w:pStyle w:val="EntradandiceAuto"/>
      </w:pPr>
      <w:r>
        <w:t>Sección Tercera. Auto 139/1985, de 27 de febrero de 1985. Acordando la inadmisión a trámite del recurso de amparo 845/1984</w:t>
      </w:r>
      <w:r>
        <w:tab/>
      </w:r>
      <w:r>
        <w:tab/>
      </w:r>
      <w:r>
        <w:fldChar w:fldCharType="begin"/>
      </w:r>
      <w:r>
        <w:instrText xml:space="preserve"> PAGEREF AUTO_1985_139 \h </w:instrText>
      </w:r>
      <w:r>
        <w:fldChar w:fldCharType="separate"/>
      </w:r>
      <w:r w:rsidR="00CB2978">
        <w:rPr>
          <w:noProof/>
        </w:rPr>
        <w:t>1159</w:t>
      </w:r>
      <w:r>
        <w:fldChar w:fldCharType="end"/>
      </w:r>
    </w:p>
    <w:p w:rsidR="000F63E8" w:rsidRDefault="000F63E8" w:rsidP="000F63E8"/>
    <w:p w:rsidR="000F63E8" w:rsidRDefault="000F63E8" w:rsidP="000F63E8">
      <w:pPr>
        <w:pStyle w:val="EntradandiceAuto"/>
      </w:pPr>
      <w:r>
        <w:t>Sala Segunda. Auto 140/1985, de 27 de febrero de 1985. Acordando la suspensión de la ejecución del acto que origina el recurso de amparo 855/1984</w:t>
      </w:r>
      <w:r>
        <w:tab/>
      </w:r>
      <w:r>
        <w:tab/>
      </w:r>
      <w:r>
        <w:fldChar w:fldCharType="begin"/>
      </w:r>
      <w:r>
        <w:instrText xml:space="preserve"> PAGEREF AUTO_1985_140 \h </w:instrText>
      </w:r>
      <w:r>
        <w:fldChar w:fldCharType="separate"/>
      </w:r>
      <w:r w:rsidR="00CB2978">
        <w:rPr>
          <w:noProof/>
        </w:rPr>
        <w:t>1165</w:t>
      </w:r>
      <w:r>
        <w:fldChar w:fldCharType="end"/>
      </w:r>
    </w:p>
    <w:p w:rsidR="000F63E8" w:rsidRDefault="000F63E8" w:rsidP="000F63E8"/>
    <w:p w:rsidR="000F63E8" w:rsidRDefault="000F63E8" w:rsidP="000F63E8">
      <w:pPr>
        <w:pStyle w:val="EntradandiceAuto"/>
      </w:pPr>
      <w:r>
        <w:t>Sección Tercera. Auto 141/1985, de 27 de febrero de 1985. Acordando la inadmisión a trámite del recurso de amparo 859/1984</w:t>
      </w:r>
      <w:r>
        <w:tab/>
      </w:r>
      <w:r>
        <w:tab/>
      </w:r>
      <w:r>
        <w:fldChar w:fldCharType="begin"/>
      </w:r>
      <w:r>
        <w:instrText xml:space="preserve"> PAGEREF AUTO_1985_141 \h </w:instrText>
      </w:r>
      <w:r>
        <w:fldChar w:fldCharType="separate"/>
      </w:r>
      <w:r w:rsidR="00CB2978">
        <w:rPr>
          <w:noProof/>
        </w:rPr>
        <w:t>1167</w:t>
      </w:r>
      <w:r>
        <w:fldChar w:fldCharType="end"/>
      </w:r>
    </w:p>
    <w:p w:rsidR="000F63E8" w:rsidRDefault="000F63E8" w:rsidP="000F63E8"/>
    <w:p w:rsidR="000F63E8" w:rsidRDefault="000F63E8" w:rsidP="000F63E8">
      <w:pPr>
        <w:pStyle w:val="EntradandiceAuto"/>
      </w:pPr>
      <w:r>
        <w:t>Sección Cuarta. Auto 142/1985, de 27 de febrero de 1985. Acordando la inadmisión a trámite del recurso de amparo 861/1984</w:t>
      </w:r>
      <w:r>
        <w:tab/>
      </w:r>
      <w:r>
        <w:tab/>
      </w:r>
      <w:r>
        <w:fldChar w:fldCharType="begin"/>
      </w:r>
      <w:r>
        <w:instrText xml:space="preserve"> PAGEREF AUTO_1985_142 \h </w:instrText>
      </w:r>
      <w:r>
        <w:fldChar w:fldCharType="separate"/>
      </w:r>
      <w:r w:rsidR="00CB2978">
        <w:rPr>
          <w:noProof/>
        </w:rPr>
        <w:t>1171</w:t>
      </w:r>
      <w:r>
        <w:fldChar w:fldCharType="end"/>
      </w:r>
    </w:p>
    <w:p w:rsidR="000F63E8" w:rsidRDefault="000F63E8" w:rsidP="000F63E8"/>
    <w:p w:rsidR="000F63E8" w:rsidRDefault="000F63E8" w:rsidP="000F63E8">
      <w:pPr>
        <w:pStyle w:val="EntradandiceAuto"/>
      </w:pPr>
      <w:r>
        <w:t>Sección Tercera. Auto 143/1985, de 27 de febrero de 1985. Acordando la inadmisión a trámite del recurso de amparo 862/1984</w:t>
      </w:r>
      <w:r>
        <w:tab/>
      </w:r>
      <w:r>
        <w:tab/>
      </w:r>
      <w:r>
        <w:fldChar w:fldCharType="begin"/>
      </w:r>
      <w:r>
        <w:instrText xml:space="preserve"> PAGEREF AUTO_1985_143 \h </w:instrText>
      </w:r>
      <w:r>
        <w:fldChar w:fldCharType="separate"/>
      </w:r>
      <w:r w:rsidR="00CB2978">
        <w:rPr>
          <w:noProof/>
        </w:rPr>
        <w:t>1175</w:t>
      </w:r>
      <w:r>
        <w:fldChar w:fldCharType="end"/>
      </w:r>
    </w:p>
    <w:p w:rsidR="000F63E8" w:rsidRDefault="000F63E8" w:rsidP="000F63E8"/>
    <w:p w:rsidR="000F63E8" w:rsidRDefault="000F63E8" w:rsidP="000F63E8">
      <w:pPr>
        <w:pStyle w:val="EntradandiceAuto"/>
      </w:pPr>
      <w:r>
        <w:t>Sección Primera. Auto 144/1985, de 27 de febrero de 1985. Acordando la inadmisión a trámite del recurso de amparo 874/1984</w:t>
      </w:r>
      <w:r>
        <w:tab/>
      </w:r>
      <w:r>
        <w:tab/>
      </w:r>
      <w:r>
        <w:fldChar w:fldCharType="begin"/>
      </w:r>
      <w:r>
        <w:instrText xml:space="preserve"> PAGEREF AUTO_1985_144 \h </w:instrText>
      </w:r>
      <w:r>
        <w:fldChar w:fldCharType="separate"/>
      </w:r>
      <w:r w:rsidR="00CB2978">
        <w:rPr>
          <w:noProof/>
        </w:rPr>
        <w:t>1179</w:t>
      </w:r>
      <w:r>
        <w:fldChar w:fldCharType="end"/>
      </w:r>
    </w:p>
    <w:p w:rsidR="000F63E8" w:rsidRDefault="000F63E8" w:rsidP="000F63E8"/>
    <w:p w:rsidR="000F63E8" w:rsidRDefault="000F63E8" w:rsidP="000F63E8">
      <w:pPr>
        <w:pStyle w:val="EntradandiceAuto"/>
      </w:pPr>
      <w:r>
        <w:t>Sección Cuarta. Auto 145/1985, de 27 de febrero de 1985. Acordando la inadmisión a trámite del recurso de amparo 884/1984</w:t>
      </w:r>
      <w:r>
        <w:tab/>
      </w:r>
      <w:r>
        <w:tab/>
      </w:r>
      <w:r>
        <w:fldChar w:fldCharType="begin"/>
      </w:r>
      <w:r>
        <w:instrText xml:space="preserve"> PAGEREF AUTO_1985_145 \h </w:instrText>
      </w:r>
      <w:r>
        <w:fldChar w:fldCharType="separate"/>
      </w:r>
      <w:r w:rsidR="00CB2978">
        <w:rPr>
          <w:noProof/>
        </w:rPr>
        <w:t>1184</w:t>
      </w:r>
      <w:r>
        <w:fldChar w:fldCharType="end"/>
      </w:r>
    </w:p>
    <w:p w:rsidR="000F63E8" w:rsidRDefault="000F63E8" w:rsidP="000F63E8"/>
    <w:p w:rsidR="000F63E8" w:rsidRDefault="000F63E8" w:rsidP="000F63E8">
      <w:pPr>
        <w:pStyle w:val="EntradandiceAuto"/>
      </w:pPr>
      <w:r>
        <w:t>Sección Cuarta. Auto 146/1985, de 27 de febrero de 1985. Acordando la inadmisión a trámite del recurso de amparo 31/1985</w:t>
      </w:r>
      <w:r>
        <w:tab/>
      </w:r>
      <w:r>
        <w:tab/>
      </w:r>
      <w:r>
        <w:fldChar w:fldCharType="begin"/>
      </w:r>
      <w:r>
        <w:instrText xml:space="preserve"> PAGEREF AUTO_1985_146 \h </w:instrText>
      </w:r>
      <w:r>
        <w:fldChar w:fldCharType="separate"/>
      </w:r>
      <w:r w:rsidR="00CB2978">
        <w:rPr>
          <w:noProof/>
        </w:rPr>
        <w:t>1190</w:t>
      </w:r>
      <w:r>
        <w:fldChar w:fldCharType="end"/>
      </w:r>
    </w:p>
    <w:p w:rsidR="000F63E8" w:rsidRDefault="000F63E8" w:rsidP="000F63E8"/>
    <w:p w:rsidR="000F63E8" w:rsidRDefault="000F63E8" w:rsidP="000F63E8">
      <w:pPr>
        <w:pStyle w:val="EntradandiceAuto"/>
      </w:pPr>
      <w:r>
        <w:t>Sala Primera. Auto 147/1985, de 27 de febrero de 1985. Acordando la acumulación de los recursos de amparo 49 y 108/1985</w:t>
      </w:r>
      <w:r>
        <w:tab/>
      </w:r>
      <w:r>
        <w:tab/>
      </w:r>
      <w:r>
        <w:fldChar w:fldCharType="begin"/>
      </w:r>
      <w:r>
        <w:instrText xml:space="preserve"> PAGEREF AUTO_1985_147 \h </w:instrText>
      </w:r>
      <w:r>
        <w:fldChar w:fldCharType="separate"/>
      </w:r>
      <w:r w:rsidR="00CB2978">
        <w:rPr>
          <w:noProof/>
        </w:rPr>
        <w:t>1194</w:t>
      </w:r>
      <w:r>
        <w:fldChar w:fldCharType="end"/>
      </w:r>
    </w:p>
    <w:p w:rsidR="000F63E8" w:rsidRDefault="000F63E8" w:rsidP="000F63E8"/>
    <w:p w:rsidR="000F63E8" w:rsidRDefault="000F63E8" w:rsidP="000F63E8">
      <w:pPr>
        <w:pStyle w:val="EntradandiceAuto"/>
      </w:pPr>
      <w:r>
        <w:t>Pleno. Auto 148/1985, de 28 de febrero de 1985. Acordando la acumulación de las cuestiones de inconstitucionalidad 492, 665 y 909/1984</w:t>
      </w:r>
      <w:r>
        <w:tab/>
      </w:r>
      <w:r>
        <w:tab/>
      </w:r>
      <w:r>
        <w:fldChar w:fldCharType="begin"/>
      </w:r>
      <w:r>
        <w:instrText xml:space="preserve"> PAGEREF AUTO_1985_148 \h </w:instrText>
      </w:r>
      <w:r>
        <w:fldChar w:fldCharType="separate"/>
      </w:r>
      <w:r w:rsidR="00CB2978">
        <w:rPr>
          <w:noProof/>
        </w:rPr>
        <w:t>1195</w:t>
      </w:r>
      <w:r>
        <w:fldChar w:fldCharType="end"/>
      </w:r>
    </w:p>
    <w:p w:rsidR="000F63E8" w:rsidRDefault="000F63E8" w:rsidP="000F63E8"/>
    <w:p w:rsidR="000F63E8" w:rsidRDefault="000F63E8" w:rsidP="000F63E8">
      <w:pPr>
        <w:pStyle w:val="EntradandiceAuto"/>
      </w:pPr>
      <w:r>
        <w:t>Pleno. Auto 149/1985, de 28 de febrero de 1985. Acordando la acumulación de las cuestiones de inconstitucionalidad 865/1984 y 41/1985</w:t>
      </w:r>
      <w:r>
        <w:tab/>
      </w:r>
      <w:r>
        <w:tab/>
      </w:r>
      <w:r>
        <w:fldChar w:fldCharType="begin"/>
      </w:r>
      <w:r>
        <w:instrText xml:space="preserve"> PAGEREF AUTO_1985_149 \h </w:instrText>
      </w:r>
      <w:r>
        <w:fldChar w:fldCharType="separate"/>
      </w:r>
      <w:r w:rsidR="00CB2978">
        <w:rPr>
          <w:noProof/>
        </w:rPr>
        <w:t>1197</w:t>
      </w:r>
      <w:r>
        <w:fldChar w:fldCharType="end"/>
      </w:r>
    </w:p>
    <w:p w:rsidR="000F63E8" w:rsidRDefault="000F63E8" w:rsidP="000F63E8"/>
    <w:p w:rsidR="000F63E8" w:rsidRDefault="000F63E8" w:rsidP="000F63E8">
      <w:pPr>
        <w:pStyle w:val="EntradandiceAuto"/>
      </w:pPr>
      <w:r>
        <w:t>Sección Primera. Auto 150/1985, de 6 de marzo de 1985. Acordando la inadmisión a trámite del recurso de amparo 605/1984</w:t>
      </w:r>
      <w:r>
        <w:tab/>
      </w:r>
      <w:r>
        <w:tab/>
      </w:r>
      <w:r>
        <w:fldChar w:fldCharType="begin"/>
      </w:r>
      <w:r>
        <w:instrText xml:space="preserve"> PAGEREF AUTO_1985_150 \h </w:instrText>
      </w:r>
      <w:r>
        <w:fldChar w:fldCharType="separate"/>
      </w:r>
      <w:r w:rsidR="00CB2978">
        <w:rPr>
          <w:noProof/>
        </w:rPr>
        <w:t>1199</w:t>
      </w:r>
      <w:r>
        <w:fldChar w:fldCharType="end"/>
      </w:r>
    </w:p>
    <w:p w:rsidR="000F63E8" w:rsidRDefault="000F63E8" w:rsidP="000F63E8"/>
    <w:p w:rsidR="000F63E8" w:rsidRDefault="000F63E8" w:rsidP="000F63E8">
      <w:pPr>
        <w:pStyle w:val="EntradandiceAuto"/>
      </w:pPr>
      <w:r>
        <w:t>Sección Primera. Auto 151/1985, de 6 de marzo de 1985. Ratificando errata material en el Auto 15/1985, dictado en el recurso de amparo 716/1984</w:t>
      </w:r>
      <w:r>
        <w:tab/>
      </w:r>
      <w:r>
        <w:tab/>
      </w:r>
      <w:r>
        <w:fldChar w:fldCharType="begin"/>
      </w:r>
      <w:r>
        <w:instrText xml:space="preserve"> PAGEREF AUTO_1985_151 \h </w:instrText>
      </w:r>
      <w:r>
        <w:fldChar w:fldCharType="separate"/>
      </w:r>
      <w:r w:rsidR="00CB2978">
        <w:rPr>
          <w:noProof/>
        </w:rPr>
        <w:t>1205</w:t>
      </w:r>
      <w:r>
        <w:fldChar w:fldCharType="end"/>
      </w:r>
    </w:p>
    <w:p w:rsidR="000F63E8" w:rsidRDefault="000F63E8" w:rsidP="000F63E8"/>
    <w:p w:rsidR="000F63E8" w:rsidRDefault="000F63E8" w:rsidP="000F63E8">
      <w:pPr>
        <w:pStyle w:val="EntradandiceAuto"/>
      </w:pPr>
      <w:r>
        <w:t>Sección Cuarta. Auto 152/1985, de 6 de marzo de 1985. Acordando la inadmisión a trámite del recurso de amparo 826/1984</w:t>
      </w:r>
      <w:r>
        <w:tab/>
      </w:r>
      <w:r>
        <w:tab/>
      </w:r>
      <w:r>
        <w:fldChar w:fldCharType="begin"/>
      </w:r>
      <w:r>
        <w:instrText xml:space="preserve"> PAGEREF AUTO_1985_152 \h </w:instrText>
      </w:r>
      <w:r>
        <w:fldChar w:fldCharType="separate"/>
      </w:r>
      <w:r w:rsidR="00CB2978">
        <w:rPr>
          <w:noProof/>
        </w:rPr>
        <w:t>1207</w:t>
      </w:r>
      <w:r>
        <w:fldChar w:fldCharType="end"/>
      </w:r>
    </w:p>
    <w:p w:rsidR="000F63E8" w:rsidRDefault="000F63E8" w:rsidP="000F63E8"/>
    <w:p w:rsidR="000F63E8" w:rsidRDefault="000F63E8" w:rsidP="000F63E8">
      <w:pPr>
        <w:pStyle w:val="EntradandiceAuto"/>
      </w:pPr>
      <w:r>
        <w:t>Sección Primera. Auto 153/1985, de 6 de marzo de 1985. Acordando la inadmisión a trámite del recurso de amparo 829/1984</w:t>
      </w:r>
      <w:r>
        <w:tab/>
      </w:r>
      <w:r>
        <w:tab/>
      </w:r>
      <w:r>
        <w:fldChar w:fldCharType="begin"/>
      </w:r>
      <w:r>
        <w:instrText xml:space="preserve"> PAGEREF AUTO_1985_153 \h </w:instrText>
      </w:r>
      <w:r>
        <w:fldChar w:fldCharType="separate"/>
      </w:r>
      <w:r w:rsidR="00CB2978">
        <w:rPr>
          <w:noProof/>
        </w:rPr>
        <w:t>1212</w:t>
      </w:r>
      <w:r>
        <w:fldChar w:fldCharType="end"/>
      </w:r>
    </w:p>
    <w:p w:rsidR="000F63E8" w:rsidRDefault="000F63E8" w:rsidP="000F63E8"/>
    <w:p w:rsidR="000F63E8" w:rsidRDefault="000F63E8" w:rsidP="000F63E8">
      <w:pPr>
        <w:pStyle w:val="EntradandiceAuto"/>
      </w:pPr>
      <w:r>
        <w:t>Sección Tercera. Auto 154/1985, de 6 de marzo de 1985. Acordando haber lugar al desistimiento del actor en el recurso de amparo 834/1984</w:t>
      </w:r>
      <w:r>
        <w:tab/>
      </w:r>
      <w:r>
        <w:tab/>
      </w:r>
      <w:r>
        <w:fldChar w:fldCharType="begin"/>
      </w:r>
      <w:r>
        <w:instrText xml:space="preserve"> PAGEREF AUTO_1985_154 \h </w:instrText>
      </w:r>
      <w:r>
        <w:fldChar w:fldCharType="separate"/>
      </w:r>
      <w:r w:rsidR="00CB2978">
        <w:rPr>
          <w:noProof/>
        </w:rPr>
        <w:t>1215</w:t>
      </w:r>
      <w:r>
        <w:fldChar w:fldCharType="end"/>
      </w:r>
    </w:p>
    <w:p w:rsidR="000F63E8" w:rsidRDefault="000F63E8" w:rsidP="000F63E8"/>
    <w:p w:rsidR="000F63E8" w:rsidRDefault="000F63E8" w:rsidP="000F63E8">
      <w:pPr>
        <w:pStyle w:val="EntradandiceAuto"/>
      </w:pPr>
      <w:r>
        <w:lastRenderedPageBreak/>
        <w:t>Sección Segunda. Auto 155/1985, de 6 de marzo de 1985. Acordando la inadmisión a trámite del recurso de amparo 837/1984</w:t>
      </w:r>
      <w:r>
        <w:tab/>
      </w:r>
      <w:r>
        <w:tab/>
      </w:r>
      <w:r>
        <w:fldChar w:fldCharType="begin"/>
      </w:r>
      <w:r>
        <w:instrText xml:space="preserve"> PAGEREF AUTO_1985_155 \h </w:instrText>
      </w:r>
      <w:r>
        <w:fldChar w:fldCharType="separate"/>
      </w:r>
      <w:r w:rsidR="00CB2978">
        <w:rPr>
          <w:noProof/>
        </w:rPr>
        <w:t>1217</w:t>
      </w:r>
      <w:r>
        <w:fldChar w:fldCharType="end"/>
      </w:r>
    </w:p>
    <w:p w:rsidR="000F63E8" w:rsidRDefault="000F63E8" w:rsidP="000F63E8"/>
    <w:p w:rsidR="000F63E8" w:rsidRDefault="000F63E8" w:rsidP="000F63E8">
      <w:pPr>
        <w:pStyle w:val="EntradandiceAuto"/>
      </w:pPr>
      <w:r>
        <w:t>Sección Cuarta. Auto 156/1985, de 6 de marzo de 1985. Acordando la inadmisión a trámite del recurso de amparo 849/1984</w:t>
      </w:r>
      <w:r>
        <w:tab/>
      </w:r>
      <w:r>
        <w:tab/>
      </w:r>
      <w:r>
        <w:fldChar w:fldCharType="begin"/>
      </w:r>
      <w:r>
        <w:instrText xml:space="preserve"> PAGEREF AUTO_1985_156 \h </w:instrText>
      </w:r>
      <w:r>
        <w:fldChar w:fldCharType="separate"/>
      </w:r>
      <w:r w:rsidR="00CB2978">
        <w:rPr>
          <w:noProof/>
        </w:rPr>
        <w:t>1221</w:t>
      </w:r>
      <w:r>
        <w:fldChar w:fldCharType="end"/>
      </w:r>
    </w:p>
    <w:p w:rsidR="000F63E8" w:rsidRDefault="000F63E8" w:rsidP="000F63E8"/>
    <w:p w:rsidR="000F63E8" w:rsidRDefault="000F63E8" w:rsidP="000F63E8">
      <w:pPr>
        <w:pStyle w:val="EntradandiceAuto"/>
      </w:pPr>
      <w:r>
        <w:t>Sección Tercera. Auto 157/1985, de 6 de marzo de 1985. Acordando la inadmisión a trámite del recurso de amparo 851/1984</w:t>
      </w:r>
      <w:r>
        <w:tab/>
      </w:r>
      <w:r>
        <w:tab/>
      </w:r>
      <w:r>
        <w:fldChar w:fldCharType="begin"/>
      </w:r>
      <w:r>
        <w:instrText xml:space="preserve"> PAGEREF AUTO_1985_157 \h </w:instrText>
      </w:r>
      <w:r>
        <w:fldChar w:fldCharType="separate"/>
      </w:r>
      <w:r w:rsidR="00CB2978">
        <w:rPr>
          <w:noProof/>
        </w:rPr>
        <w:t>1224</w:t>
      </w:r>
      <w:r>
        <w:fldChar w:fldCharType="end"/>
      </w:r>
    </w:p>
    <w:p w:rsidR="000F63E8" w:rsidRDefault="000F63E8" w:rsidP="000F63E8"/>
    <w:p w:rsidR="000F63E8" w:rsidRDefault="000F63E8" w:rsidP="000F63E8">
      <w:pPr>
        <w:pStyle w:val="EntradandiceAuto"/>
      </w:pPr>
      <w:r>
        <w:t>Sección Tercera. Auto 158/1985, de 6 de marzo de 1985. Acordando la inadmisión a trámite del recurso de amparo 853/1984</w:t>
      </w:r>
      <w:r>
        <w:tab/>
      </w:r>
      <w:r>
        <w:tab/>
      </w:r>
      <w:r>
        <w:fldChar w:fldCharType="begin"/>
      </w:r>
      <w:r>
        <w:instrText xml:space="preserve"> PAGEREF AUTO_1985_158 \h </w:instrText>
      </w:r>
      <w:r>
        <w:fldChar w:fldCharType="separate"/>
      </w:r>
      <w:r w:rsidR="00CB2978">
        <w:rPr>
          <w:noProof/>
        </w:rPr>
        <w:t>1227</w:t>
      </w:r>
      <w:r>
        <w:fldChar w:fldCharType="end"/>
      </w:r>
    </w:p>
    <w:p w:rsidR="000F63E8" w:rsidRDefault="000F63E8" w:rsidP="000F63E8"/>
    <w:p w:rsidR="000F63E8" w:rsidRDefault="000F63E8" w:rsidP="000F63E8">
      <w:pPr>
        <w:pStyle w:val="EntradandiceAuto"/>
      </w:pPr>
      <w:r>
        <w:t>Sección Primera. Auto 159/1985, de 6 de marzo de 1985. Acordando la inadmisión a trámite del recurso de amparo 854/1984</w:t>
      </w:r>
      <w:r>
        <w:tab/>
      </w:r>
      <w:r>
        <w:tab/>
      </w:r>
      <w:r>
        <w:fldChar w:fldCharType="begin"/>
      </w:r>
      <w:r>
        <w:instrText xml:space="preserve"> PAGEREF AUTO_1985_159 \h </w:instrText>
      </w:r>
      <w:r>
        <w:fldChar w:fldCharType="separate"/>
      </w:r>
      <w:r w:rsidR="00CB2978">
        <w:rPr>
          <w:noProof/>
        </w:rPr>
        <w:t>1228</w:t>
      </w:r>
      <w:r>
        <w:fldChar w:fldCharType="end"/>
      </w:r>
    </w:p>
    <w:p w:rsidR="000F63E8" w:rsidRDefault="000F63E8" w:rsidP="000F63E8"/>
    <w:p w:rsidR="000F63E8" w:rsidRDefault="000F63E8" w:rsidP="000F63E8">
      <w:pPr>
        <w:pStyle w:val="EntradandiceAuto"/>
      </w:pPr>
      <w:r>
        <w:t>Sección Tercera. Auto 160/1985, de 6 de marzo de 1985. Acordando la inadmisión a trámite del recurso de amparo 879/1984</w:t>
      </w:r>
      <w:r>
        <w:tab/>
      </w:r>
      <w:r>
        <w:tab/>
      </w:r>
      <w:r>
        <w:fldChar w:fldCharType="begin"/>
      </w:r>
      <w:r>
        <w:instrText xml:space="preserve"> PAGEREF AUTO_1985_160 \h </w:instrText>
      </w:r>
      <w:r>
        <w:fldChar w:fldCharType="separate"/>
      </w:r>
      <w:r w:rsidR="00CB2978">
        <w:rPr>
          <w:noProof/>
        </w:rPr>
        <w:t>1231</w:t>
      </w:r>
      <w:r>
        <w:fldChar w:fldCharType="end"/>
      </w:r>
    </w:p>
    <w:p w:rsidR="000F63E8" w:rsidRDefault="000F63E8" w:rsidP="000F63E8"/>
    <w:p w:rsidR="000F63E8" w:rsidRDefault="000F63E8" w:rsidP="000F63E8">
      <w:pPr>
        <w:pStyle w:val="EntradandiceAuto"/>
      </w:pPr>
      <w:r>
        <w:t>Sección Cuarta. Auto 161/1985, de 6 de marzo de 1985. Acordando la inadmisión a trámite del recurso de amparo 881/1984</w:t>
      </w:r>
      <w:r>
        <w:tab/>
      </w:r>
      <w:r>
        <w:tab/>
      </w:r>
      <w:r>
        <w:fldChar w:fldCharType="begin"/>
      </w:r>
      <w:r>
        <w:instrText xml:space="preserve"> PAGEREF AUTO_1985_161 \h </w:instrText>
      </w:r>
      <w:r>
        <w:fldChar w:fldCharType="separate"/>
      </w:r>
      <w:r w:rsidR="00CB2978">
        <w:rPr>
          <w:noProof/>
        </w:rPr>
        <w:t>1234</w:t>
      </w:r>
      <w:r>
        <w:fldChar w:fldCharType="end"/>
      </w:r>
    </w:p>
    <w:p w:rsidR="000F63E8" w:rsidRDefault="000F63E8" w:rsidP="000F63E8"/>
    <w:p w:rsidR="000F63E8" w:rsidRDefault="000F63E8" w:rsidP="000F63E8">
      <w:pPr>
        <w:pStyle w:val="EntradandiceAuto"/>
      </w:pPr>
      <w:r>
        <w:t>Sección Segunda. Auto 162/1985, de 6 de marzo de 1985. Acordando la inadmisión a trámite del recurso de amparo 882/1984</w:t>
      </w:r>
      <w:r>
        <w:tab/>
      </w:r>
      <w:r>
        <w:tab/>
      </w:r>
      <w:r>
        <w:fldChar w:fldCharType="begin"/>
      </w:r>
      <w:r>
        <w:instrText xml:space="preserve"> PAGEREF AUTO_1985_162 \h </w:instrText>
      </w:r>
      <w:r>
        <w:fldChar w:fldCharType="separate"/>
      </w:r>
      <w:r w:rsidR="00CB2978">
        <w:rPr>
          <w:noProof/>
        </w:rPr>
        <w:t>1238</w:t>
      </w:r>
      <w:r>
        <w:fldChar w:fldCharType="end"/>
      </w:r>
    </w:p>
    <w:p w:rsidR="000F63E8" w:rsidRDefault="000F63E8" w:rsidP="000F63E8"/>
    <w:p w:rsidR="000F63E8" w:rsidRDefault="000F63E8" w:rsidP="000F63E8">
      <w:pPr>
        <w:pStyle w:val="EntradandiceAuto"/>
      </w:pPr>
      <w:r>
        <w:t>Sección Cuarta. Auto 163/1985, de 6 de marzo de 1985. Acordando la inadmisión a trámite del recurso de amparo 896/1984</w:t>
      </w:r>
      <w:r>
        <w:tab/>
      </w:r>
      <w:r>
        <w:tab/>
      </w:r>
      <w:r>
        <w:fldChar w:fldCharType="begin"/>
      </w:r>
      <w:r>
        <w:instrText xml:space="preserve"> PAGEREF AUTO_1985_163 \h </w:instrText>
      </w:r>
      <w:r>
        <w:fldChar w:fldCharType="separate"/>
      </w:r>
      <w:r w:rsidR="00CB2978">
        <w:rPr>
          <w:noProof/>
        </w:rPr>
        <w:t>1242</w:t>
      </w:r>
      <w:r>
        <w:fldChar w:fldCharType="end"/>
      </w:r>
    </w:p>
    <w:p w:rsidR="000F63E8" w:rsidRDefault="000F63E8" w:rsidP="000F63E8"/>
    <w:p w:rsidR="000F63E8" w:rsidRDefault="000F63E8" w:rsidP="000F63E8">
      <w:pPr>
        <w:pStyle w:val="EntradandiceAuto"/>
      </w:pPr>
      <w:r>
        <w:t>Sección Cuarta. Auto 164/1985, de 6 de marzo de 1985. Acordando la inadmisión a trámite del recurso de amparo 898/1984</w:t>
      </w:r>
      <w:r>
        <w:tab/>
      </w:r>
      <w:r>
        <w:tab/>
      </w:r>
      <w:r>
        <w:fldChar w:fldCharType="begin"/>
      </w:r>
      <w:r>
        <w:instrText xml:space="preserve"> PAGEREF AUTO_1985_164 \h </w:instrText>
      </w:r>
      <w:r>
        <w:fldChar w:fldCharType="separate"/>
      </w:r>
      <w:r w:rsidR="00CB2978">
        <w:rPr>
          <w:noProof/>
        </w:rPr>
        <w:t>1246</w:t>
      </w:r>
      <w:r>
        <w:fldChar w:fldCharType="end"/>
      </w:r>
    </w:p>
    <w:p w:rsidR="000F63E8" w:rsidRDefault="000F63E8" w:rsidP="000F63E8"/>
    <w:p w:rsidR="000F63E8" w:rsidRDefault="000F63E8" w:rsidP="000F63E8">
      <w:pPr>
        <w:pStyle w:val="EntradandiceAuto"/>
      </w:pPr>
      <w:r>
        <w:t>Sección Segunda. Auto 165/1985, de 6 de marzo de 1985. Acordando la inadmisión a trámite del recurso de amparo 901/1984</w:t>
      </w:r>
      <w:r>
        <w:tab/>
      </w:r>
      <w:r>
        <w:tab/>
      </w:r>
      <w:r>
        <w:fldChar w:fldCharType="begin"/>
      </w:r>
      <w:r>
        <w:instrText xml:space="preserve"> PAGEREF AUTO_1985_165 \h </w:instrText>
      </w:r>
      <w:r>
        <w:fldChar w:fldCharType="separate"/>
      </w:r>
      <w:r w:rsidR="00CB2978">
        <w:rPr>
          <w:noProof/>
        </w:rPr>
        <w:t>1250</w:t>
      </w:r>
      <w:r>
        <w:fldChar w:fldCharType="end"/>
      </w:r>
    </w:p>
    <w:p w:rsidR="000F63E8" w:rsidRDefault="000F63E8" w:rsidP="000F63E8"/>
    <w:p w:rsidR="000F63E8" w:rsidRDefault="000F63E8" w:rsidP="000F63E8">
      <w:pPr>
        <w:pStyle w:val="EntradandiceAuto"/>
      </w:pPr>
      <w:r>
        <w:t>Sección Tercera. Auto 166/1985, de 6 de marzo de 1985. Acordando la inadmisión a trámite del recurso de amparo 902/1984</w:t>
      </w:r>
      <w:r>
        <w:tab/>
      </w:r>
      <w:r>
        <w:tab/>
      </w:r>
      <w:r>
        <w:fldChar w:fldCharType="begin"/>
      </w:r>
      <w:r>
        <w:instrText xml:space="preserve"> PAGEREF AUTO_1985_166 \h </w:instrText>
      </w:r>
      <w:r>
        <w:fldChar w:fldCharType="separate"/>
      </w:r>
      <w:r w:rsidR="00CB2978">
        <w:rPr>
          <w:noProof/>
        </w:rPr>
        <w:t>1254</w:t>
      </w:r>
      <w:r>
        <w:fldChar w:fldCharType="end"/>
      </w:r>
    </w:p>
    <w:p w:rsidR="000F63E8" w:rsidRDefault="000F63E8" w:rsidP="000F63E8"/>
    <w:p w:rsidR="000F63E8" w:rsidRDefault="000F63E8" w:rsidP="000F63E8">
      <w:pPr>
        <w:pStyle w:val="EntradandiceAuto"/>
      </w:pPr>
      <w:r>
        <w:t>Sección Segunda. Auto 167/1985, de 6 de marzo de 1985. Acordando la inadmisión a trámite del recurso de amparo 904/1984</w:t>
      </w:r>
      <w:r>
        <w:tab/>
      </w:r>
      <w:r>
        <w:tab/>
      </w:r>
      <w:r>
        <w:fldChar w:fldCharType="begin"/>
      </w:r>
      <w:r>
        <w:instrText xml:space="preserve"> PAGEREF AUTO_1985_167 \h </w:instrText>
      </w:r>
      <w:r>
        <w:fldChar w:fldCharType="separate"/>
      </w:r>
      <w:r w:rsidR="00CB2978">
        <w:rPr>
          <w:noProof/>
        </w:rPr>
        <w:t>1258</w:t>
      </w:r>
      <w:r>
        <w:fldChar w:fldCharType="end"/>
      </w:r>
    </w:p>
    <w:p w:rsidR="000F63E8" w:rsidRDefault="000F63E8" w:rsidP="000F63E8"/>
    <w:p w:rsidR="000F63E8" w:rsidRDefault="000F63E8" w:rsidP="000F63E8">
      <w:pPr>
        <w:pStyle w:val="EntradandiceAuto"/>
      </w:pPr>
      <w:r>
        <w:t>Sección Cuarta. Auto 168/1985, de 6 de marzo de 1985. Acordando la inadmisión a trámite del recurso de amparo 905/1984</w:t>
      </w:r>
      <w:r>
        <w:tab/>
      </w:r>
      <w:r>
        <w:tab/>
      </w:r>
      <w:r>
        <w:fldChar w:fldCharType="begin"/>
      </w:r>
      <w:r>
        <w:instrText xml:space="preserve"> PAGEREF AUTO_1985_168 \h </w:instrText>
      </w:r>
      <w:r>
        <w:fldChar w:fldCharType="separate"/>
      </w:r>
      <w:r w:rsidR="00CB2978">
        <w:rPr>
          <w:noProof/>
        </w:rPr>
        <w:t>1262</w:t>
      </w:r>
      <w:r>
        <w:fldChar w:fldCharType="end"/>
      </w:r>
    </w:p>
    <w:p w:rsidR="000F63E8" w:rsidRDefault="000F63E8" w:rsidP="000F63E8"/>
    <w:p w:rsidR="000F63E8" w:rsidRDefault="000F63E8" w:rsidP="000F63E8">
      <w:pPr>
        <w:pStyle w:val="EntradandiceAuto"/>
      </w:pPr>
      <w:r>
        <w:t>Sección Tercera. Auto 169/1985, de 6 de marzo de 1985. Acordando la inadmisión a trámite del recurso de amparo 916/1984</w:t>
      </w:r>
      <w:r>
        <w:tab/>
      </w:r>
      <w:r>
        <w:tab/>
      </w:r>
      <w:r>
        <w:fldChar w:fldCharType="begin"/>
      </w:r>
      <w:r>
        <w:instrText xml:space="preserve"> PAGEREF AUTO_1985_169 \h </w:instrText>
      </w:r>
      <w:r>
        <w:fldChar w:fldCharType="separate"/>
      </w:r>
      <w:r w:rsidR="00CB2978">
        <w:rPr>
          <w:noProof/>
        </w:rPr>
        <w:t>1267</w:t>
      </w:r>
      <w:r>
        <w:fldChar w:fldCharType="end"/>
      </w:r>
    </w:p>
    <w:p w:rsidR="000F63E8" w:rsidRDefault="000F63E8" w:rsidP="000F63E8"/>
    <w:p w:rsidR="000F63E8" w:rsidRDefault="000F63E8" w:rsidP="000F63E8">
      <w:pPr>
        <w:pStyle w:val="EntradandiceAuto"/>
      </w:pPr>
      <w:r>
        <w:t>Sección Tercera. Auto 170/1985, de 6 de marzo de 1985. Acordando la inadmisión a trámite del recurso de amparo 1/1985</w:t>
      </w:r>
      <w:r>
        <w:tab/>
      </w:r>
      <w:r>
        <w:tab/>
      </w:r>
      <w:r>
        <w:fldChar w:fldCharType="begin"/>
      </w:r>
      <w:r>
        <w:instrText xml:space="preserve"> PAGEREF AUTO_1985_170 \h </w:instrText>
      </w:r>
      <w:r>
        <w:fldChar w:fldCharType="separate"/>
      </w:r>
      <w:r w:rsidR="00CB2978">
        <w:rPr>
          <w:noProof/>
        </w:rPr>
        <w:t>1273</w:t>
      </w:r>
      <w:r>
        <w:fldChar w:fldCharType="end"/>
      </w:r>
    </w:p>
    <w:p w:rsidR="000F63E8" w:rsidRDefault="000F63E8" w:rsidP="000F63E8"/>
    <w:p w:rsidR="000F63E8" w:rsidRDefault="000F63E8" w:rsidP="000F63E8">
      <w:pPr>
        <w:pStyle w:val="EntradandiceAuto"/>
      </w:pPr>
      <w:r>
        <w:t>Sección Segunda. Auto 171/1985, de 6 de marzo de 1985. Acordando la inadmisión a trámite del recurso de amparo 4/1985</w:t>
      </w:r>
      <w:r>
        <w:tab/>
      </w:r>
      <w:r>
        <w:tab/>
      </w:r>
      <w:r>
        <w:fldChar w:fldCharType="begin"/>
      </w:r>
      <w:r>
        <w:instrText xml:space="preserve"> PAGEREF AUTO_1985_171 \h </w:instrText>
      </w:r>
      <w:r>
        <w:fldChar w:fldCharType="separate"/>
      </w:r>
      <w:r w:rsidR="00CB2978">
        <w:rPr>
          <w:noProof/>
        </w:rPr>
        <w:t>1277</w:t>
      </w:r>
      <w:r>
        <w:fldChar w:fldCharType="end"/>
      </w:r>
    </w:p>
    <w:p w:rsidR="000F63E8" w:rsidRDefault="000F63E8" w:rsidP="000F63E8"/>
    <w:p w:rsidR="000F63E8" w:rsidRDefault="000F63E8" w:rsidP="000F63E8">
      <w:pPr>
        <w:pStyle w:val="EntradandiceAuto"/>
      </w:pPr>
      <w:r>
        <w:t>Sala Segunda. Auto 172/1985, de 6 de marzo de 1985. Acordando la suspensión de la ejecución del acto que origina el recurso de amparo 20/1985</w:t>
      </w:r>
      <w:r>
        <w:tab/>
      </w:r>
      <w:r>
        <w:tab/>
      </w:r>
      <w:r>
        <w:fldChar w:fldCharType="begin"/>
      </w:r>
      <w:r>
        <w:instrText xml:space="preserve"> PAGEREF AUTO_1985_172 \h </w:instrText>
      </w:r>
      <w:r>
        <w:fldChar w:fldCharType="separate"/>
      </w:r>
      <w:r w:rsidR="00CB2978">
        <w:rPr>
          <w:noProof/>
        </w:rPr>
        <w:t>1280</w:t>
      </w:r>
      <w:r>
        <w:fldChar w:fldCharType="end"/>
      </w:r>
    </w:p>
    <w:p w:rsidR="000F63E8" w:rsidRDefault="000F63E8" w:rsidP="000F63E8"/>
    <w:p w:rsidR="000F63E8" w:rsidRDefault="000F63E8" w:rsidP="000F63E8">
      <w:pPr>
        <w:pStyle w:val="EntradandiceAuto"/>
      </w:pPr>
      <w:r>
        <w:t>Sección Cuarta. Auto 173/1985, de 6 de marzo de 1985. Acordando haber lugar al desistimiento del actor en el recurso de amparo 25/1985</w:t>
      </w:r>
      <w:r>
        <w:tab/>
      </w:r>
      <w:r>
        <w:tab/>
      </w:r>
      <w:r>
        <w:fldChar w:fldCharType="begin"/>
      </w:r>
      <w:r>
        <w:instrText xml:space="preserve"> PAGEREF AUTO_1985_173 \h </w:instrText>
      </w:r>
      <w:r>
        <w:fldChar w:fldCharType="separate"/>
      </w:r>
      <w:r w:rsidR="00CB2978">
        <w:rPr>
          <w:noProof/>
        </w:rPr>
        <w:t>1282</w:t>
      </w:r>
      <w:r>
        <w:fldChar w:fldCharType="end"/>
      </w:r>
    </w:p>
    <w:p w:rsidR="000F63E8" w:rsidRDefault="000F63E8" w:rsidP="000F63E8"/>
    <w:p w:rsidR="000F63E8" w:rsidRDefault="000F63E8" w:rsidP="000F63E8">
      <w:pPr>
        <w:pStyle w:val="EntradandiceAuto"/>
      </w:pPr>
      <w:r>
        <w:t>Pleno. Auto 174/1985, de 7 de marzo de 1985. Ratificando y levantando, según los casos, la suspensión, previamente acordada, de diversas Resoluciones del Departamento de Sanidad y Seguridad Social de la Generalidad de Cataluña, en el conflicto positivo de competencia 699/1984</w:t>
      </w:r>
      <w:r>
        <w:tab/>
      </w:r>
      <w:r>
        <w:tab/>
      </w:r>
      <w:r>
        <w:fldChar w:fldCharType="begin"/>
      </w:r>
      <w:r>
        <w:instrText xml:space="preserve"> PAGEREF AUTO_1985_174 \h </w:instrText>
      </w:r>
      <w:r>
        <w:fldChar w:fldCharType="separate"/>
      </w:r>
      <w:r w:rsidR="00CB2978">
        <w:rPr>
          <w:noProof/>
        </w:rPr>
        <w:t>1284</w:t>
      </w:r>
      <w:r>
        <w:fldChar w:fldCharType="end"/>
      </w:r>
    </w:p>
    <w:p w:rsidR="000F63E8" w:rsidRDefault="000F63E8" w:rsidP="000F63E8"/>
    <w:p w:rsidR="000F63E8" w:rsidRDefault="000F63E8" w:rsidP="000F63E8">
      <w:pPr>
        <w:pStyle w:val="EntradandiceAuto"/>
      </w:pPr>
      <w:r>
        <w:t>Pleno. Auto 175/1985, de 7 de marzo de 1985. Ratificando la suspensión, previamente acordada, del art. 15.5 de la Ley 7/1984, de la Generalidad Valenciana, en el recurso de inconstitucionalidad 701/1984</w:t>
      </w:r>
      <w:r>
        <w:tab/>
      </w:r>
      <w:r>
        <w:tab/>
      </w:r>
      <w:r>
        <w:fldChar w:fldCharType="begin"/>
      </w:r>
      <w:r>
        <w:instrText xml:space="preserve"> PAGEREF AUTO_1985_175 \h </w:instrText>
      </w:r>
      <w:r>
        <w:fldChar w:fldCharType="separate"/>
      </w:r>
      <w:r w:rsidR="00CB2978">
        <w:rPr>
          <w:noProof/>
        </w:rPr>
        <w:t>1287</w:t>
      </w:r>
      <w:r>
        <w:fldChar w:fldCharType="end"/>
      </w:r>
    </w:p>
    <w:p w:rsidR="000F63E8" w:rsidRDefault="000F63E8" w:rsidP="000F63E8"/>
    <w:p w:rsidR="000F63E8" w:rsidRDefault="000F63E8" w:rsidP="000F63E8">
      <w:pPr>
        <w:pStyle w:val="EntradandiceAuto"/>
      </w:pPr>
      <w:r>
        <w:t>Pleno. Auto 176/1985, de 7 de marzo de 1985. Acordando la acumulación de las cuestiones de inconstitucionalidad 437 y 604/1984, 65 y 70/1985</w:t>
      </w:r>
      <w:r>
        <w:tab/>
      </w:r>
      <w:r>
        <w:tab/>
      </w:r>
      <w:r>
        <w:fldChar w:fldCharType="begin"/>
      </w:r>
      <w:r>
        <w:instrText xml:space="preserve"> PAGEREF AUTO_1985_176 \h </w:instrText>
      </w:r>
      <w:r>
        <w:fldChar w:fldCharType="separate"/>
      </w:r>
      <w:r w:rsidR="00CB2978">
        <w:rPr>
          <w:noProof/>
        </w:rPr>
        <w:t>1290</w:t>
      </w:r>
      <w:r>
        <w:fldChar w:fldCharType="end"/>
      </w:r>
    </w:p>
    <w:p w:rsidR="000F63E8" w:rsidRDefault="000F63E8" w:rsidP="000F63E8"/>
    <w:p w:rsidR="000F63E8" w:rsidRDefault="000F63E8" w:rsidP="000F63E8">
      <w:pPr>
        <w:pStyle w:val="EntradandiceAuto"/>
      </w:pPr>
      <w:r>
        <w:t>Sección Segunda. Auto 177/1985, de 13 de marzo de 1985. Acordando la inadmisión a trámite del recurso de amparo 696/1983</w:t>
      </w:r>
      <w:r>
        <w:tab/>
      </w:r>
      <w:r>
        <w:tab/>
      </w:r>
      <w:r>
        <w:fldChar w:fldCharType="begin"/>
      </w:r>
      <w:r>
        <w:instrText xml:space="preserve"> PAGEREF AUTO_1985_177 \h </w:instrText>
      </w:r>
      <w:r>
        <w:fldChar w:fldCharType="separate"/>
      </w:r>
      <w:r w:rsidR="00CB2978">
        <w:rPr>
          <w:noProof/>
        </w:rPr>
        <w:t>1293</w:t>
      </w:r>
      <w:r>
        <w:fldChar w:fldCharType="end"/>
      </w:r>
    </w:p>
    <w:p w:rsidR="000F63E8" w:rsidRDefault="000F63E8" w:rsidP="000F63E8"/>
    <w:p w:rsidR="000F63E8" w:rsidRDefault="000F63E8" w:rsidP="000F63E8">
      <w:pPr>
        <w:pStyle w:val="EntradandiceAuto"/>
      </w:pPr>
      <w:r>
        <w:t>Sección Primera. Auto 178/1985, de 13 de marzo de 1985. Acordando la inadmisión a trámite del recurso de amparo 801/1983</w:t>
      </w:r>
      <w:r>
        <w:tab/>
      </w:r>
      <w:r>
        <w:tab/>
      </w:r>
      <w:r>
        <w:fldChar w:fldCharType="begin"/>
      </w:r>
      <w:r>
        <w:instrText xml:space="preserve"> PAGEREF AUTO_1985_178 \h </w:instrText>
      </w:r>
      <w:r>
        <w:fldChar w:fldCharType="separate"/>
      </w:r>
      <w:r w:rsidR="00CB2978">
        <w:rPr>
          <w:noProof/>
        </w:rPr>
        <w:t>1300</w:t>
      </w:r>
      <w:r>
        <w:fldChar w:fldCharType="end"/>
      </w:r>
    </w:p>
    <w:p w:rsidR="000F63E8" w:rsidRDefault="000F63E8" w:rsidP="000F63E8"/>
    <w:p w:rsidR="000F63E8" w:rsidRDefault="000F63E8" w:rsidP="000F63E8">
      <w:pPr>
        <w:pStyle w:val="EntradandiceAuto"/>
      </w:pPr>
      <w:r>
        <w:lastRenderedPageBreak/>
        <w:t>Sección Cuarta. Auto 179/1985, de 13 de marzo de 1985. Acordando la inadmisión a trámite del recurso de amparo 647/1984</w:t>
      </w:r>
      <w:r>
        <w:tab/>
      </w:r>
      <w:r>
        <w:tab/>
      </w:r>
      <w:r>
        <w:fldChar w:fldCharType="begin"/>
      </w:r>
      <w:r>
        <w:instrText xml:space="preserve"> PAGEREF AUTO_1985_179 \h </w:instrText>
      </w:r>
      <w:r>
        <w:fldChar w:fldCharType="separate"/>
      </w:r>
      <w:r w:rsidR="00CB2978">
        <w:rPr>
          <w:noProof/>
        </w:rPr>
        <w:t>1304</w:t>
      </w:r>
      <w:r>
        <w:fldChar w:fldCharType="end"/>
      </w:r>
    </w:p>
    <w:p w:rsidR="000F63E8" w:rsidRDefault="000F63E8" w:rsidP="000F63E8"/>
    <w:p w:rsidR="000F63E8" w:rsidRDefault="000F63E8" w:rsidP="000F63E8">
      <w:pPr>
        <w:pStyle w:val="EntradandiceAuto"/>
      </w:pPr>
      <w:r>
        <w:t>Sección Segunda. Auto 180/1985, de 13 de marzo de 1985. Acordando la inadmisión a trámite del recurso de amparo 733/1984</w:t>
      </w:r>
      <w:r>
        <w:tab/>
      </w:r>
      <w:r>
        <w:tab/>
      </w:r>
      <w:r>
        <w:fldChar w:fldCharType="begin"/>
      </w:r>
      <w:r>
        <w:instrText xml:space="preserve"> PAGEREF AUTO_1985_180 \h </w:instrText>
      </w:r>
      <w:r>
        <w:fldChar w:fldCharType="separate"/>
      </w:r>
      <w:r w:rsidR="00CB2978">
        <w:rPr>
          <w:noProof/>
        </w:rPr>
        <w:t>1309</w:t>
      </w:r>
      <w:r>
        <w:fldChar w:fldCharType="end"/>
      </w:r>
    </w:p>
    <w:p w:rsidR="000F63E8" w:rsidRDefault="000F63E8" w:rsidP="000F63E8"/>
    <w:p w:rsidR="000F63E8" w:rsidRDefault="000F63E8" w:rsidP="000F63E8">
      <w:pPr>
        <w:pStyle w:val="EntradandiceAuto"/>
      </w:pPr>
      <w:r>
        <w:t>Sala Primera. Auto 181/1985, de 13 de marzo de 1985. Levantando la suspensión, previamente acordada, de la ejecución del acto que origina el recurso de amparo 778/1984</w:t>
      </w:r>
      <w:r>
        <w:tab/>
      </w:r>
      <w:r>
        <w:tab/>
      </w:r>
      <w:r>
        <w:fldChar w:fldCharType="begin"/>
      </w:r>
      <w:r>
        <w:instrText xml:space="preserve"> PAGEREF AUTO_1985_181 \h </w:instrText>
      </w:r>
      <w:r>
        <w:fldChar w:fldCharType="separate"/>
      </w:r>
      <w:r w:rsidR="00CB2978">
        <w:rPr>
          <w:noProof/>
        </w:rPr>
        <w:t>1312</w:t>
      </w:r>
      <w:r>
        <w:fldChar w:fldCharType="end"/>
      </w:r>
    </w:p>
    <w:p w:rsidR="000F63E8" w:rsidRDefault="000F63E8" w:rsidP="000F63E8"/>
    <w:p w:rsidR="000F63E8" w:rsidRDefault="000F63E8" w:rsidP="000F63E8">
      <w:pPr>
        <w:pStyle w:val="EntradandiceAuto"/>
      </w:pPr>
      <w:r>
        <w:t>Sección Primera. Auto 182/1985, de 13 de marzo de 1985. Acordando la inadmisión a trámite del recurso de amparo 795/1984</w:t>
      </w:r>
      <w:r>
        <w:tab/>
      </w:r>
      <w:r>
        <w:tab/>
      </w:r>
      <w:r>
        <w:fldChar w:fldCharType="begin"/>
      </w:r>
      <w:r>
        <w:instrText xml:space="preserve"> PAGEREF AUTO_1985_182 \h </w:instrText>
      </w:r>
      <w:r>
        <w:fldChar w:fldCharType="separate"/>
      </w:r>
      <w:r w:rsidR="00CB2978">
        <w:rPr>
          <w:noProof/>
        </w:rPr>
        <w:t>1316</w:t>
      </w:r>
      <w:r>
        <w:fldChar w:fldCharType="end"/>
      </w:r>
    </w:p>
    <w:p w:rsidR="000F63E8" w:rsidRDefault="000F63E8" w:rsidP="000F63E8"/>
    <w:p w:rsidR="000F63E8" w:rsidRDefault="000F63E8" w:rsidP="000F63E8">
      <w:pPr>
        <w:pStyle w:val="EntradandiceAuto"/>
      </w:pPr>
      <w:r>
        <w:t>Sala Primera. Auto 183/1985, de 13 de marzo de 1985. Acordando la suspensión de la ejecución del acto que origina el recurso de amparo 846/1984</w:t>
      </w:r>
      <w:r>
        <w:tab/>
      </w:r>
      <w:r>
        <w:tab/>
      </w:r>
      <w:r>
        <w:fldChar w:fldCharType="begin"/>
      </w:r>
      <w:r>
        <w:instrText xml:space="preserve"> PAGEREF AUTO_1985_183 \h </w:instrText>
      </w:r>
      <w:r>
        <w:fldChar w:fldCharType="separate"/>
      </w:r>
      <w:r w:rsidR="00CB2978">
        <w:rPr>
          <w:noProof/>
        </w:rPr>
        <w:t>1320</w:t>
      </w:r>
      <w:r>
        <w:fldChar w:fldCharType="end"/>
      </w:r>
    </w:p>
    <w:p w:rsidR="000F63E8" w:rsidRDefault="000F63E8" w:rsidP="000F63E8"/>
    <w:p w:rsidR="000F63E8" w:rsidRDefault="000F63E8" w:rsidP="000F63E8">
      <w:pPr>
        <w:pStyle w:val="EntradandiceAuto"/>
      </w:pPr>
      <w:r>
        <w:t>Sección Segunda. Auto 184/1985, de 13 de marzo de 1985. Acordando la inadmisión a trámite del recurso de amparo 852/1984</w:t>
      </w:r>
      <w:r>
        <w:tab/>
      </w:r>
      <w:r>
        <w:tab/>
      </w:r>
      <w:r>
        <w:fldChar w:fldCharType="begin"/>
      </w:r>
      <w:r>
        <w:instrText xml:space="preserve"> PAGEREF AUTO_1985_184 \h </w:instrText>
      </w:r>
      <w:r>
        <w:fldChar w:fldCharType="separate"/>
      </w:r>
      <w:r w:rsidR="00CB2978">
        <w:rPr>
          <w:noProof/>
        </w:rPr>
        <w:t>1323</w:t>
      </w:r>
      <w:r>
        <w:fldChar w:fldCharType="end"/>
      </w:r>
    </w:p>
    <w:p w:rsidR="000F63E8" w:rsidRDefault="000F63E8" w:rsidP="000F63E8"/>
    <w:p w:rsidR="000F63E8" w:rsidRDefault="000F63E8" w:rsidP="000F63E8">
      <w:pPr>
        <w:pStyle w:val="EntradandiceAuto"/>
      </w:pPr>
      <w:r>
        <w:t>Sección Cuarta. Auto 185/1985, de 13 de marzo de 1985. Acordando la inadmisión a trámite del recurso de amparo 857/1984</w:t>
      </w:r>
      <w:r>
        <w:tab/>
      </w:r>
      <w:r>
        <w:tab/>
      </w:r>
      <w:r>
        <w:fldChar w:fldCharType="begin"/>
      </w:r>
      <w:r>
        <w:instrText xml:space="preserve"> PAGEREF AUTO_1985_185 \h </w:instrText>
      </w:r>
      <w:r>
        <w:fldChar w:fldCharType="separate"/>
      </w:r>
      <w:r w:rsidR="00CB2978">
        <w:rPr>
          <w:noProof/>
        </w:rPr>
        <w:t>1326</w:t>
      </w:r>
      <w:r>
        <w:fldChar w:fldCharType="end"/>
      </w:r>
    </w:p>
    <w:p w:rsidR="000F63E8" w:rsidRDefault="000F63E8" w:rsidP="000F63E8"/>
    <w:p w:rsidR="000F63E8" w:rsidRDefault="000F63E8" w:rsidP="000F63E8">
      <w:pPr>
        <w:pStyle w:val="EntradandiceAuto"/>
      </w:pPr>
      <w:r>
        <w:t>Sección Cuarta. Auto 186/1985, de 13 de marzo de 1985. Acordando la inadmisión a trámite del recurso de amparo 870/1984</w:t>
      </w:r>
      <w:r>
        <w:tab/>
      </w:r>
      <w:r>
        <w:tab/>
      </w:r>
      <w:r>
        <w:fldChar w:fldCharType="begin"/>
      </w:r>
      <w:r>
        <w:instrText xml:space="preserve"> PAGEREF AUTO_1985_186 \h </w:instrText>
      </w:r>
      <w:r>
        <w:fldChar w:fldCharType="separate"/>
      </w:r>
      <w:r w:rsidR="00CB2978">
        <w:rPr>
          <w:noProof/>
        </w:rPr>
        <w:t>1331</w:t>
      </w:r>
      <w:r>
        <w:fldChar w:fldCharType="end"/>
      </w:r>
    </w:p>
    <w:p w:rsidR="000F63E8" w:rsidRDefault="000F63E8" w:rsidP="000F63E8"/>
    <w:p w:rsidR="000F63E8" w:rsidRDefault="000F63E8" w:rsidP="000F63E8">
      <w:pPr>
        <w:pStyle w:val="EntradandiceAuto"/>
      </w:pPr>
      <w:r>
        <w:t>Sección Segunda. Auto 187/1985, de 13 de marzo de 1985. Acordando la inadmisión a trámite del recurso de amparo 876/1984</w:t>
      </w:r>
      <w:r>
        <w:tab/>
      </w:r>
      <w:r>
        <w:tab/>
      </w:r>
      <w:r>
        <w:fldChar w:fldCharType="begin"/>
      </w:r>
      <w:r>
        <w:instrText xml:space="preserve"> PAGEREF AUTO_1985_187 \h </w:instrText>
      </w:r>
      <w:r>
        <w:fldChar w:fldCharType="separate"/>
      </w:r>
      <w:r w:rsidR="00CB2978">
        <w:rPr>
          <w:noProof/>
        </w:rPr>
        <w:t>1337</w:t>
      </w:r>
      <w:r>
        <w:fldChar w:fldCharType="end"/>
      </w:r>
    </w:p>
    <w:p w:rsidR="000F63E8" w:rsidRDefault="000F63E8" w:rsidP="000F63E8"/>
    <w:p w:rsidR="000F63E8" w:rsidRDefault="000F63E8" w:rsidP="000F63E8">
      <w:pPr>
        <w:pStyle w:val="EntradandiceAuto"/>
      </w:pPr>
      <w:r>
        <w:t>Sección Tercera. Auto 188/1985, de 13 de marzo de 1985. Acordando la inadmisión a trámite del recurso de amparo 887/1984</w:t>
      </w:r>
      <w:r>
        <w:tab/>
      </w:r>
      <w:r>
        <w:tab/>
      </w:r>
      <w:r>
        <w:fldChar w:fldCharType="begin"/>
      </w:r>
      <w:r>
        <w:instrText xml:space="preserve"> PAGEREF AUTO_1985_188 \h </w:instrText>
      </w:r>
      <w:r>
        <w:fldChar w:fldCharType="separate"/>
      </w:r>
      <w:r w:rsidR="00CB2978">
        <w:rPr>
          <w:noProof/>
        </w:rPr>
        <w:t>1343</w:t>
      </w:r>
      <w:r>
        <w:fldChar w:fldCharType="end"/>
      </w:r>
    </w:p>
    <w:p w:rsidR="000F63E8" w:rsidRDefault="000F63E8" w:rsidP="000F63E8"/>
    <w:p w:rsidR="000F63E8" w:rsidRDefault="000F63E8" w:rsidP="000F63E8">
      <w:pPr>
        <w:pStyle w:val="EntradandiceAuto"/>
      </w:pPr>
      <w:r>
        <w:t>Sección Cuarta. Auto 189/1985, de 13 de marzo de 1985. Acordando la inadmisión a trámite del recurso de amparo 892/1984</w:t>
      </w:r>
      <w:r>
        <w:tab/>
      </w:r>
      <w:r>
        <w:tab/>
      </w:r>
      <w:r>
        <w:fldChar w:fldCharType="begin"/>
      </w:r>
      <w:r>
        <w:instrText xml:space="preserve"> PAGEREF AUTO_1985_189 \h </w:instrText>
      </w:r>
      <w:r>
        <w:fldChar w:fldCharType="separate"/>
      </w:r>
      <w:r w:rsidR="00CB2978">
        <w:rPr>
          <w:noProof/>
        </w:rPr>
        <w:t>1348</w:t>
      </w:r>
      <w:r>
        <w:fldChar w:fldCharType="end"/>
      </w:r>
    </w:p>
    <w:p w:rsidR="000F63E8" w:rsidRDefault="000F63E8" w:rsidP="000F63E8"/>
    <w:p w:rsidR="000F63E8" w:rsidRDefault="000F63E8" w:rsidP="000F63E8">
      <w:pPr>
        <w:pStyle w:val="EntradandiceAuto"/>
      </w:pPr>
      <w:r>
        <w:t>Sección Tercera. Auto 190/1985, de 13 de marzo de 1985. Acordando la inadmisión a trámite del recurso de amparo 894/1984</w:t>
      </w:r>
      <w:r>
        <w:tab/>
      </w:r>
      <w:r>
        <w:tab/>
      </w:r>
      <w:r>
        <w:fldChar w:fldCharType="begin"/>
      </w:r>
      <w:r>
        <w:instrText xml:space="preserve"> PAGEREF AUTO_1985_190 \h </w:instrText>
      </w:r>
      <w:r>
        <w:fldChar w:fldCharType="separate"/>
      </w:r>
      <w:r w:rsidR="00CB2978">
        <w:rPr>
          <w:noProof/>
        </w:rPr>
        <w:t>1350</w:t>
      </w:r>
      <w:r>
        <w:fldChar w:fldCharType="end"/>
      </w:r>
    </w:p>
    <w:p w:rsidR="000F63E8" w:rsidRDefault="000F63E8" w:rsidP="000F63E8"/>
    <w:p w:rsidR="000F63E8" w:rsidRDefault="000F63E8" w:rsidP="000F63E8">
      <w:pPr>
        <w:pStyle w:val="EntradandiceAuto"/>
      </w:pPr>
      <w:r>
        <w:lastRenderedPageBreak/>
        <w:t>Sección Segunda. Auto 191/1985, de 13 de marzo de 1985. Acordando la inadmisión a trámite del recurso de amparo 895/1984</w:t>
      </w:r>
      <w:r>
        <w:tab/>
      </w:r>
      <w:r>
        <w:tab/>
      </w:r>
      <w:r>
        <w:fldChar w:fldCharType="begin"/>
      </w:r>
      <w:r>
        <w:instrText xml:space="preserve"> PAGEREF AUTO_1985_191 \h </w:instrText>
      </w:r>
      <w:r>
        <w:fldChar w:fldCharType="separate"/>
      </w:r>
      <w:r w:rsidR="00CB2978">
        <w:rPr>
          <w:noProof/>
        </w:rPr>
        <w:t>1355</w:t>
      </w:r>
      <w:r>
        <w:fldChar w:fldCharType="end"/>
      </w:r>
    </w:p>
    <w:p w:rsidR="000F63E8" w:rsidRDefault="000F63E8" w:rsidP="000F63E8"/>
    <w:p w:rsidR="000F63E8" w:rsidRDefault="000F63E8" w:rsidP="000F63E8">
      <w:pPr>
        <w:pStyle w:val="EntradandiceAuto"/>
      </w:pPr>
      <w:r>
        <w:t>Sección Cuarta. Auto 192/1985, de 13 de marzo de 1985. Acordando la inadmisión a trámite del recurso de amparo 910/1984</w:t>
      </w:r>
      <w:r>
        <w:tab/>
      </w:r>
      <w:r>
        <w:tab/>
      </w:r>
      <w:r>
        <w:fldChar w:fldCharType="begin"/>
      </w:r>
      <w:r>
        <w:instrText xml:space="preserve"> PAGEREF AUTO_1985_192 \h </w:instrText>
      </w:r>
      <w:r>
        <w:fldChar w:fldCharType="separate"/>
      </w:r>
      <w:r w:rsidR="00CB2978">
        <w:rPr>
          <w:noProof/>
        </w:rPr>
        <w:t>1361</w:t>
      </w:r>
      <w:r>
        <w:fldChar w:fldCharType="end"/>
      </w:r>
    </w:p>
    <w:p w:rsidR="000F63E8" w:rsidRDefault="000F63E8" w:rsidP="000F63E8"/>
    <w:p w:rsidR="000F63E8" w:rsidRDefault="000F63E8" w:rsidP="000F63E8">
      <w:pPr>
        <w:pStyle w:val="EntradandiceAuto"/>
      </w:pPr>
      <w:r>
        <w:t>Sección Tercera. Auto 193/1985, de 13 de marzo de 1985. Acordando la inadmisión a trámite del recurso de amparo 914/1984</w:t>
      </w:r>
      <w:r>
        <w:tab/>
      </w:r>
      <w:r>
        <w:tab/>
      </w:r>
      <w:r>
        <w:fldChar w:fldCharType="begin"/>
      </w:r>
      <w:r>
        <w:instrText xml:space="preserve"> PAGEREF AUTO_1985_193 \h </w:instrText>
      </w:r>
      <w:r>
        <w:fldChar w:fldCharType="separate"/>
      </w:r>
      <w:r w:rsidR="00CB2978">
        <w:rPr>
          <w:noProof/>
        </w:rPr>
        <w:t>1364</w:t>
      </w:r>
      <w:r>
        <w:fldChar w:fldCharType="end"/>
      </w:r>
    </w:p>
    <w:p w:rsidR="000F63E8" w:rsidRDefault="000F63E8" w:rsidP="000F63E8"/>
    <w:p w:rsidR="000F63E8" w:rsidRDefault="000F63E8" w:rsidP="000F63E8">
      <w:pPr>
        <w:pStyle w:val="EntradandiceAuto"/>
      </w:pPr>
      <w:r>
        <w:t>Sección Cuarta. Auto 194/1985, de 13 de marzo de 1985. Acordando la inadmisión a trámite del recurso de amparo 918/1984</w:t>
      </w:r>
      <w:r>
        <w:tab/>
      </w:r>
      <w:r>
        <w:tab/>
      </w:r>
      <w:r>
        <w:fldChar w:fldCharType="begin"/>
      </w:r>
      <w:r>
        <w:instrText xml:space="preserve"> PAGEREF AUTO_1985_194 \h </w:instrText>
      </w:r>
      <w:r>
        <w:fldChar w:fldCharType="separate"/>
      </w:r>
      <w:r w:rsidR="00CB2978">
        <w:rPr>
          <w:noProof/>
        </w:rPr>
        <w:t>1367</w:t>
      </w:r>
      <w:r>
        <w:fldChar w:fldCharType="end"/>
      </w:r>
    </w:p>
    <w:p w:rsidR="000F63E8" w:rsidRDefault="000F63E8" w:rsidP="000F63E8"/>
    <w:p w:rsidR="000F63E8" w:rsidRDefault="000F63E8" w:rsidP="000F63E8">
      <w:pPr>
        <w:pStyle w:val="EntradandiceAuto"/>
      </w:pPr>
      <w:r>
        <w:t>Sección Cuarta. Auto 195/1985, de 13 de marzo de 1985. Acordando la inadmisión a trámite del recurso de amparo 5/1985</w:t>
      </w:r>
      <w:r>
        <w:tab/>
      </w:r>
      <w:r>
        <w:tab/>
      </w:r>
      <w:r>
        <w:fldChar w:fldCharType="begin"/>
      </w:r>
      <w:r>
        <w:instrText xml:space="preserve"> PAGEREF AUTO_1985_195 \h </w:instrText>
      </w:r>
      <w:r>
        <w:fldChar w:fldCharType="separate"/>
      </w:r>
      <w:r w:rsidR="00CB2978">
        <w:rPr>
          <w:noProof/>
        </w:rPr>
        <w:t>1370</w:t>
      </w:r>
      <w:r>
        <w:fldChar w:fldCharType="end"/>
      </w:r>
    </w:p>
    <w:p w:rsidR="000F63E8" w:rsidRDefault="000F63E8" w:rsidP="000F63E8"/>
    <w:p w:rsidR="000F63E8" w:rsidRDefault="000F63E8" w:rsidP="000F63E8">
      <w:pPr>
        <w:pStyle w:val="EntradandiceAuto"/>
      </w:pPr>
      <w:r>
        <w:t>Sección Segunda. Auto 196/1985, de 13 de marzo de 1985. Acordando la inadmisión a trámite de los recursos de amparo 49 y 108/1985 (acumulados)</w:t>
      </w:r>
      <w:r>
        <w:tab/>
      </w:r>
      <w:r>
        <w:tab/>
      </w:r>
      <w:r>
        <w:fldChar w:fldCharType="begin"/>
      </w:r>
      <w:r>
        <w:instrText xml:space="preserve"> PAGEREF AUTO_1985_196 \h </w:instrText>
      </w:r>
      <w:r>
        <w:fldChar w:fldCharType="separate"/>
      </w:r>
      <w:r w:rsidR="00CB2978">
        <w:rPr>
          <w:noProof/>
        </w:rPr>
        <w:t>1373</w:t>
      </w:r>
      <w:r>
        <w:fldChar w:fldCharType="end"/>
      </w:r>
    </w:p>
    <w:p w:rsidR="000F63E8" w:rsidRDefault="000F63E8" w:rsidP="000F63E8"/>
    <w:p w:rsidR="000F63E8" w:rsidRDefault="000F63E8" w:rsidP="000F63E8">
      <w:pPr>
        <w:pStyle w:val="EntradandiceAuto"/>
      </w:pPr>
      <w:r>
        <w:t>Sala Segunda. Auto 197/1985, de 13 de marzo de 1985. Acordando la suspensión de la ejecución del acto que origina el recurso de amparo 56/1985</w:t>
      </w:r>
      <w:r>
        <w:tab/>
      </w:r>
      <w:r>
        <w:tab/>
      </w:r>
      <w:r>
        <w:fldChar w:fldCharType="begin"/>
      </w:r>
      <w:r>
        <w:instrText xml:space="preserve"> PAGEREF AUTO_1985_197 \h </w:instrText>
      </w:r>
      <w:r>
        <w:fldChar w:fldCharType="separate"/>
      </w:r>
      <w:r w:rsidR="00CB2978">
        <w:rPr>
          <w:noProof/>
        </w:rPr>
        <w:t>1382</w:t>
      </w:r>
      <w:r>
        <w:fldChar w:fldCharType="end"/>
      </w:r>
    </w:p>
    <w:p w:rsidR="000F63E8" w:rsidRDefault="000F63E8" w:rsidP="000F63E8"/>
    <w:p w:rsidR="000F63E8" w:rsidRDefault="000F63E8" w:rsidP="000F63E8">
      <w:pPr>
        <w:pStyle w:val="EntradandiceAuto"/>
      </w:pPr>
      <w:r>
        <w:t>Sección Tercera. Auto 198/1985, de 13 de marzo de 1985. Acordando la inadmisión a trámite del recurso de amparo 58/1985</w:t>
      </w:r>
      <w:r>
        <w:tab/>
      </w:r>
      <w:r>
        <w:tab/>
      </w:r>
      <w:r>
        <w:fldChar w:fldCharType="begin"/>
      </w:r>
      <w:r>
        <w:instrText xml:space="preserve"> PAGEREF AUTO_1985_198 \h </w:instrText>
      </w:r>
      <w:r>
        <w:fldChar w:fldCharType="separate"/>
      </w:r>
      <w:r w:rsidR="00CB2978">
        <w:rPr>
          <w:noProof/>
        </w:rPr>
        <w:t>1385</w:t>
      </w:r>
      <w:r>
        <w:fldChar w:fldCharType="end"/>
      </w:r>
    </w:p>
    <w:p w:rsidR="000F63E8" w:rsidRDefault="000F63E8" w:rsidP="000F63E8"/>
    <w:p w:rsidR="000F63E8" w:rsidRDefault="000F63E8" w:rsidP="000F63E8">
      <w:pPr>
        <w:pStyle w:val="EntradandiceAuto"/>
      </w:pPr>
      <w:r>
        <w:t>Pleno. Auto 199/1985, de 14 de marzo de 1985. Acordando la acumulación de los conflictos positivos de competencia 838, 839, 840 y 841/1984</w:t>
      </w:r>
      <w:r>
        <w:tab/>
      </w:r>
      <w:r>
        <w:tab/>
      </w:r>
      <w:r>
        <w:fldChar w:fldCharType="begin"/>
      </w:r>
      <w:r>
        <w:instrText xml:space="preserve"> PAGEREF AUTO_1985_199 \h </w:instrText>
      </w:r>
      <w:r>
        <w:fldChar w:fldCharType="separate"/>
      </w:r>
      <w:r w:rsidR="00CB2978">
        <w:rPr>
          <w:noProof/>
        </w:rPr>
        <w:t>1390</w:t>
      </w:r>
      <w:r>
        <w:fldChar w:fldCharType="end"/>
      </w:r>
    </w:p>
    <w:p w:rsidR="000F63E8" w:rsidRDefault="000F63E8" w:rsidP="000F63E8"/>
    <w:p w:rsidR="000F63E8" w:rsidRDefault="000F63E8" w:rsidP="000F63E8">
      <w:pPr>
        <w:pStyle w:val="EntradandiceAuto"/>
      </w:pPr>
      <w:r>
        <w:t>Pleno. Auto 200/1985, de 14 de marzo de 1985. Denegando la solicitud de recibimiento a prueba en el conflicto positivo de competencia 883/1984</w:t>
      </w:r>
      <w:r>
        <w:tab/>
      </w:r>
      <w:r>
        <w:tab/>
      </w:r>
      <w:r>
        <w:fldChar w:fldCharType="begin"/>
      </w:r>
      <w:r>
        <w:instrText xml:space="preserve"> PAGEREF AUTO_1985_200 \h </w:instrText>
      </w:r>
      <w:r>
        <w:fldChar w:fldCharType="separate"/>
      </w:r>
      <w:r w:rsidR="00CB2978">
        <w:rPr>
          <w:noProof/>
        </w:rPr>
        <w:t>1393</w:t>
      </w:r>
      <w:r>
        <w:fldChar w:fldCharType="end"/>
      </w:r>
    </w:p>
    <w:p w:rsidR="000F63E8" w:rsidRDefault="000F63E8" w:rsidP="000F63E8"/>
    <w:p w:rsidR="000F63E8" w:rsidRDefault="000F63E8" w:rsidP="000F63E8">
      <w:pPr>
        <w:pStyle w:val="EntradandiceAuto"/>
      </w:pPr>
      <w:r>
        <w:t>Pleno. Auto 201/1985, de 14 de marzo de 1985. Acordando la acumulación de los conflictos positivos de competencia 652 y 923/1984</w:t>
      </w:r>
      <w:r>
        <w:tab/>
      </w:r>
      <w:r>
        <w:tab/>
      </w:r>
      <w:r>
        <w:fldChar w:fldCharType="begin"/>
      </w:r>
      <w:r>
        <w:instrText xml:space="preserve"> PAGEREF AUTO_1985_201 \h </w:instrText>
      </w:r>
      <w:r>
        <w:fldChar w:fldCharType="separate"/>
      </w:r>
      <w:r w:rsidR="00CB2978">
        <w:rPr>
          <w:noProof/>
        </w:rPr>
        <w:t>1395</w:t>
      </w:r>
      <w:r>
        <w:fldChar w:fldCharType="end"/>
      </w:r>
    </w:p>
    <w:p w:rsidR="000F63E8" w:rsidRDefault="000F63E8" w:rsidP="000F63E8"/>
    <w:p w:rsidR="000F63E8" w:rsidRDefault="000F63E8" w:rsidP="000F63E8">
      <w:pPr>
        <w:pStyle w:val="EntradandiceAuto"/>
      </w:pPr>
      <w:r>
        <w:t>Sección Segunda. Auto 202/1985, de 20 de marzo de 1985. Acordando la inadmisión a trámite del recurso de amparo 805/1983</w:t>
      </w:r>
      <w:r>
        <w:tab/>
      </w:r>
      <w:r>
        <w:tab/>
      </w:r>
      <w:r>
        <w:fldChar w:fldCharType="begin"/>
      </w:r>
      <w:r>
        <w:instrText xml:space="preserve"> PAGEREF AUTO_1985_202 \h </w:instrText>
      </w:r>
      <w:r>
        <w:fldChar w:fldCharType="separate"/>
      </w:r>
      <w:r w:rsidR="00CB2978">
        <w:rPr>
          <w:noProof/>
        </w:rPr>
        <w:t>1398</w:t>
      </w:r>
      <w:r>
        <w:fldChar w:fldCharType="end"/>
      </w:r>
    </w:p>
    <w:p w:rsidR="000F63E8" w:rsidRDefault="000F63E8" w:rsidP="000F63E8"/>
    <w:p w:rsidR="000F63E8" w:rsidRDefault="000F63E8" w:rsidP="000F63E8">
      <w:pPr>
        <w:pStyle w:val="EntradandiceAuto"/>
      </w:pPr>
      <w:r>
        <w:t>Sección Primera. Auto 203/1985, de 20 de marzo de 1985. Acordando la inadmisión a trámite del recurso de amparo 479/1984</w:t>
      </w:r>
      <w:r>
        <w:tab/>
      </w:r>
      <w:r>
        <w:tab/>
      </w:r>
      <w:r>
        <w:fldChar w:fldCharType="begin"/>
      </w:r>
      <w:r>
        <w:instrText xml:space="preserve"> PAGEREF AUTO_1985_203 \h </w:instrText>
      </w:r>
      <w:r>
        <w:fldChar w:fldCharType="separate"/>
      </w:r>
      <w:r w:rsidR="00CB2978">
        <w:rPr>
          <w:noProof/>
        </w:rPr>
        <w:t>1402</w:t>
      </w:r>
      <w:r>
        <w:fldChar w:fldCharType="end"/>
      </w:r>
    </w:p>
    <w:p w:rsidR="000F63E8" w:rsidRDefault="000F63E8" w:rsidP="000F63E8"/>
    <w:p w:rsidR="000F63E8" w:rsidRDefault="000F63E8" w:rsidP="000F63E8">
      <w:pPr>
        <w:pStyle w:val="EntradandiceAuto"/>
      </w:pPr>
      <w:r>
        <w:t>Sección Cuarta. Auto 204/1985, de 20 de marzo de 1985. Acordando la inadmisión a trámite del recurso de amparo 843/1984</w:t>
      </w:r>
      <w:r>
        <w:tab/>
      </w:r>
      <w:r>
        <w:tab/>
      </w:r>
      <w:r>
        <w:fldChar w:fldCharType="begin"/>
      </w:r>
      <w:r>
        <w:instrText xml:space="preserve"> PAGEREF AUTO_1985_204 \h </w:instrText>
      </w:r>
      <w:r>
        <w:fldChar w:fldCharType="separate"/>
      </w:r>
      <w:r w:rsidR="00CB2978">
        <w:rPr>
          <w:noProof/>
        </w:rPr>
        <w:t>1406</w:t>
      </w:r>
      <w:r>
        <w:fldChar w:fldCharType="end"/>
      </w:r>
    </w:p>
    <w:p w:rsidR="000F63E8" w:rsidRDefault="000F63E8" w:rsidP="000F63E8"/>
    <w:p w:rsidR="000F63E8" w:rsidRDefault="000F63E8" w:rsidP="000F63E8">
      <w:pPr>
        <w:pStyle w:val="EntradandiceAuto"/>
      </w:pPr>
      <w:r>
        <w:t>Sección Cuarta. Auto 205/1985, de 20 de marzo de 1985. Acordando la inadmisión a trámite del recurso de amparo 868/1984</w:t>
      </w:r>
      <w:r>
        <w:tab/>
      </w:r>
      <w:r>
        <w:tab/>
      </w:r>
      <w:r>
        <w:fldChar w:fldCharType="begin"/>
      </w:r>
      <w:r>
        <w:instrText xml:space="preserve"> PAGEREF AUTO_1985_205 \h </w:instrText>
      </w:r>
      <w:r>
        <w:fldChar w:fldCharType="separate"/>
      </w:r>
      <w:r w:rsidR="00CB2978">
        <w:rPr>
          <w:noProof/>
        </w:rPr>
        <w:t>1410</w:t>
      </w:r>
      <w:r>
        <w:fldChar w:fldCharType="end"/>
      </w:r>
    </w:p>
    <w:p w:rsidR="000F63E8" w:rsidRDefault="000F63E8" w:rsidP="000F63E8"/>
    <w:p w:rsidR="000F63E8" w:rsidRDefault="000F63E8" w:rsidP="000F63E8">
      <w:pPr>
        <w:pStyle w:val="EntradandiceAuto"/>
      </w:pPr>
      <w:r>
        <w:t>Sección Tercera. Auto 206/1985, de 20 de marzo de 1985. Acordando la inadmisión a trámite del recurso de amparo 899/1984</w:t>
      </w:r>
      <w:r>
        <w:tab/>
      </w:r>
      <w:r>
        <w:tab/>
      </w:r>
      <w:r>
        <w:fldChar w:fldCharType="begin"/>
      </w:r>
      <w:r>
        <w:instrText xml:space="preserve"> PAGEREF AUTO_1985_206 \h </w:instrText>
      </w:r>
      <w:r>
        <w:fldChar w:fldCharType="separate"/>
      </w:r>
      <w:r w:rsidR="00CB2978">
        <w:rPr>
          <w:noProof/>
        </w:rPr>
        <w:t>1414</w:t>
      </w:r>
      <w:r>
        <w:fldChar w:fldCharType="end"/>
      </w:r>
    </w:p>
    <w:p w:rsidR="000F63E8" w:rsidRDefault="000F63E8" w:rsidP="000F63E8"/>
    <w:p w:rsidR="000F63E8" w:rsidRDefault="000F63E8" w:rsidP="000F63E8">
      <w:pPr>
        <w:pStyle w:val="EntradandiceAuto"/>
      </w:pPr>
      <w:r>
        <w:t>Sección Cuarta. Auto 207/1985, de 20 de marzo de 1985. Acordando la inadmisión a trámite del recurso de amparo 922/1984</w:t>
      </w:r>
      <w:r>
        <w:tab/>
      </w:r>
      <w:r>
        <w:tab/>
      </w:r>
      <w:r>
        <w:fldChar w:fldCharType="begin"/>
      </w:r>
      <w:r>
        <w:instrText xml:space="preserve"> PAGEREF AUTO_1985_207 \h </w:instrText>
      </w:r>
      <w:r>
        <w:fldChar w:fldCharType="separate"/>
      </w:r>
      <w:r w:rsidR="00CB2978">
        <w:rPr>
          <w:noProof/>
        </w:rPr>
        <w:t>1418</w:t>
      </w:r>
      <w:r>
        <w:fldChar w:fldCharType="end"/>
      </w:r>
    </w:p>
    <w:p w:rsidR="000F63E8" w:rsidRDefault="000F63E8" w:rsidP="000F63E8"/>
    <w:p w:rsidR="000F63E8" w:rsidRDefault="000F63E8" w:rsidP="000F63E8">
      <w:pPr>
        <w:pStyle w:val="EntradandiceAuto"/>
      </w:pPr>
      <w:r>
        <w:t>Sección Tercera. Auto 208/1985, de 20 de marzo de 1985. Acordando la inadmisión a trámite del recurso de amparo 7/1985</w:t>
      </w:r>
      <w:r>
        <w:tab/>
      </w:r>
      <w:r>
        <w:tab/>
      </w:r>
      <w:r>
        <w:fldChar w:fldCharType="begin"/>
      </w:r>
      <w:r>
        <w:instrText xml:space="preserve"> PAGEREF AUTO_1985_208 \h </w:instrText>
      </w:r>
      <w:r>
        <w:fldChar w:fldCharType="separate"/>
      </w:r>
      <w:r w:rsidR="00CB2978">
        <w:rPr>
          <w:noProof/>
        </w:rPr>
        <w:t>1421</w:t>
      </w:r>
      <w:r>
        <w:fldChar w:fldCharType="end"/>
      </w:r>
    </w:p>
    <w:p w:rsidR="000F63E8" w:rsidRDefault="000F63E8" w:rsidP="000F63E8"/>
    <w:p w:rsidR="000F63E8" w:rsidRDefault="000F63E8" w:rsidP="000F63E8">
      <w:pPr>
        <w:pStyle w:val="EntradandiceAuto"/>
      </w:pPr>
      <w:r>
        <w:t>Sección Cuarta. Auto 209/1985, de 20 de marzo de 1985. Acordando la inadmisión a trámite del recurso de amparo 12/1985</w:t>
      </w:r>
      <w:r>
        <w:tab/>
      </w:r>
      <w:r>
        <w:tab/>
      </w:r>
      <w:r>
        <w:fldChar w:fldCharType="begin"/>
      </w:r>
      <w:r>
        <w:instrText xml:space="preserve"> PAGEREF AUTO_1985_209 \h </w:instrText>
      </w:r>
      <w:r>
        <w:fldChar w:fldCharType="separate"/>
      </w:r>
      <w:r w:rsidR="00CB2978">
        <w:rPr>
          <w:noProof/>
        </w:rPr>
        <w:t>1426</w:t>
      </w:r>
      <w:r>
        <w:fldChar w:fldCharType="end"/>
      </w:r>
    </w:p>
    <w:p w:rsidR="000F63E8" w:rsidRDefault="000F63E8" w:rsidP="000F63E8"/>
    <w:p w:rsidR="000F63E8" w:rsidRDefault="000F63E8" w:rsidP="000F63E8">
      <w:pPr>
        <w:pStyle w:val="EntradandiceAuto"/>
      </w:pPr>
      <w:r>
        <w:t>Sección Tercera. Auto 210/1985, de 20 de marzo de 1985. Acordando la inadmisión a trámite del recurso de amparo 16/1985</w:t>
      </w:r>
      <w:r>
        <w:tab/>
      </w:r>
      <w:r>
        <w:tab/>
      </w:r>
      <w:r>
        <w:fldChar w:fldCharType="begin"/>
      </w:r>
      <w:r>
        <w:instrText xml:space="preserve"> PAGEREF AUTO_1985_210 \h </w:instrText>
      </w:r>
      <w:r>
        <w:fldChar w:fldCharType="separate"/>
      </w:r>
      <w:r w:rsidR="00CB2978">
        <w:rPr>
          <w:noProof/>
        </w:rPr>
        <w:t>1431</w:t>
      </w:r>
      <w:r>
        <w:fldChar w:fldCharType="end"/>
      </w:r>
    </w:p>
    <w:p w:rsidR="000F63E8" w:rsidRDefault="000F63E8" w:rsidP="000F63E8"/>
    <w:p w:rsidR="000F63E8" w:rsidRDefault="000F63E8" w:rsidP="000F63E8">
      <w:pPr>
        <w:pStyle w:val="EntradandiceAuto"/>
      </w:pPr>
      <w:r>
        <w:t>Pleno. Auto 211/1985, de 21 de marzo de 1985. Acordando haber lugar al desistimiento del Abogado del Estado en el conflicto positivo de competencia 11/1985</w:t>
      </w:r>
      <w:r>
        <w:tab/>
      </w:r>
      <w:r>
        <w:tab/>
      </w:r>
      <w:r>
        <w:fldChar w:fldCharType="begin"/>
      </w:r>
      <w:r>
        <w:instrText xml:space="preserve"> PAGEREF AUTO_1985_211 \h </w:instrText>
      </w:r>
      <w:r>
        <w:fldChar w:fldCharType="separate"/>
      </w:r>
      <w:r w:rsidR="00CB2978">
        <w:rPr>
          <w:noProof/>
        </w:rPr>
        <w:t>1435</w:t>
      </w:r>
      <w:r>
        <w:fldChar w:fldCharType="end"/>
      </w:r>
    </w:p>
    <w:p w:rsidR="000F63E8" w:rsidRDefault="000F63E8" w:rsidP="000F63E8"/>
    <w:p w:rsidR="000F63E8" w:rsidRDefault="000F63E8" w:rsidP="000F63E8">
      <w:pPr>
        <w:pStyle w:val="EntradandiceAuto"/>
      </w:pPr>
      <w:r>
        <w:t>Sección Segunda. Auto 212/1985, de 27 de marzo de 1985. Acordando la inadmisión a trámite del recurso de amparo 703/1984</w:t>
      </w:r>
      <w:r>
        <w:tab/>
      </w:r>
      <w:r>
        <w:tab/>
      </w:r>
      <w:r>
        <w:fldChar w:fldCharType="begin"/>
      </w:r>
      <w:r>
        <w:instrText xml:space="preserve"> PAGEREF AUTO_1985_212 \h </w:instrText>
      </w:r>
      <w:r>
        <w:fldChar w:fldCharType="separate"/>
      </w:r>
      <w:r w:rsidR="00CB2978">
        <w:rPr>
          <w:noProof/>
        </w:rPr>
        <w:t>1437</w:t>
      </w:r>
      <w:r>
        <w:fldChar w:fldCharType="end"/>
      </w:r>
    </w:p>
    <w:p w:rsidR="000F63E8" w:rsidRDefault="000F63E8" w:rsidP="000F63E8"/>
    <w:p w:rsidR="000F63E8" w:rsidRDefault="000F63E8" w:rsidP="000F63E8">
      <w:pPr>
        <w:pStyle w:val="EntradandiceAuto"/>
      </w:pPr>
      <w:r>
        <w:t>Sección Segunda. Auto 213/1985, de 27 de marzo de 1985. Acordando el archivo de las actuaciones en el procedimiento 811/1984</w:t>
      </w:r>
      <w:r>
        <w:tab/>
      </w:r>
      <w:r>
        <w:tab/>
      </w:r>
      <w:r>
        <w:fldChar w:fldCharType="begin"/>
      </w:r>
      <w:r>
        <w:instrText xml:space="preserve"> PAGEREF AUTO_1985_213 \h </w:instrText>
      </w:r>
      <w:r>
        <w:fldChar w:fldCharType="separate"/>
      </w:r>
      <w:r w:rsidR="00CB2978">
        <w:rPr>
          <w:noProof/>
        </w:rPr>
        <w:t>1441</w:t>
      </w:r>
      <w:r>
        <w:fldChar w:fldCharType="end"/>
      </w:r>
    </w:p>
    <w:p w:rsidR="000F63E8" w:rsidRDefault="000F63E8" w:rsidP="000F63E8"/>
    <w:p w:rsidR="000F63E8" w:rsidRDefault="000F63E8" w:rsidP="000F63E8">
      <w:pPr>
        <w:pStyle w:val="EntradandiceAuto"/>
      </w:pPr>
      <w:r>
        <w:t>Sección Segunda. Auto 214/1985, de 27 de marzo de 1985. Acordando la inadmisión a trámite del recurso de amparo 815/1984</w:t>
      </w:r>
      <w:r>
        <w:tab/>
      </w:r>
      <w:r>
        <w:tab/>
      </w:r>
      <w:r>
        <w:fldChar w:fldCharType="begin"/>
      </w:r>
      <w:r>
        <w:instrText xml:space="preserve"> PAGEREF AUTO_1985_214 \h </w:instrText>
      </w:r>
      <w:r>
        <w:fldChar w:fldCharType="separate"/>
      </w:r>
      <w:r w:rsidR="00CB2978">
        <w:rPr>
          <w:noProof/>
        </w:rPr>
        <w:t>1445</w:t>
      </w:r>
      <w:r>
        <w:fldChar w:fldCharType="end"/>
      </w:r>
    </w:p>
    <w:p w:rsidR="000F63E8" w:rsidRDefault="000F63E8" w:rsidP="000F63E8"/>
    <w:p w:rsidR="000F63E8" w:rsidRDefault="000F63E8" w:rsidP="000F63E8">
      <w:pPr>
        <w:pStyle w:val="EntradandiceAuto"/>
      </w:pPr>
      <w:r>
        <w:t>Sección Cuarta. Auto 215/1985, de 27 de marzo de 1985. Acordando haber lugar al desistimiento del actor en el recurso de amparo 836/1984</w:t>
      </w:r>
      <w:r>
        <w:tab/>
      </w:r>
      <w:r>
        <w:tab/>
      </w:r>
      <w:r>
        <w:fldChar w:fldCharType="begin"/>
      </w:r>
      <w:r>
        <w:instrText xml:space="preserve"> PAGEREF AUTO_1985_215 \h </w:instrText>
      </w:r>
      <w:r>
        <w:fldChar w:fldCharType="separate"/>
      </w:r>
      <w:r w:rsidR="00CB2978">
        <w:rPr>
          <w:noProof/>
        </w:rPr>
        <w:t>1448</w:t>
      </w:r>
      <w:r>
        <w:fldChar w:fldCharType="end"/>
      </w:r>
    </w:p>
    <w:p w:rsidR="000F63E8" w:rsidRDefault="000F63E8" w:rsidP="000F63E8"/>
    <w:p w:rsidR="000F63E8" w:rsidRDefault="000F63E8" w:rsidP="000F63E8">
      <w:pPr>
        <w:pStyle w:val="EntradandiceAuto"/>
      </w:pPr>
      <w:r>
        <w:lastRenderedPageBreak/>
        <w:t>Sección Cuarta. Auto 216/1985, de 27 de marzo de 1985. Acordando la inadmisión a trámite del recurso de amparo 912/1984</w:t>
      </w:r>
      <w:r>
        <w:tab/>
      </w:r>
      <w:r>
        <w:tab/>
      </w:r>
      <w:r>
        <w:fldChar w:fldCharType="begin"/>
      </w:r>
      <w:r>
        <w:instrText xml:space="preserve"> PAGEREF AUTO_1985_216 \h </w:instrText>
      </w:r>
      <w:r>
        <w:fldChar w:fldCharType="separate"/>
      </w:r>
      <w:r w:rsidR="00CB2978">
        <w:rPr>
          <w:noProof/>
        </w:rPr>
        <w:t>1450</w:t>
      </w:r>
      <w:r>
        <w:fldChar w:fldCharType="end"/>
      </w:r>
    </w:p>
    <w:p w:rsidR="000F63E8" w:rsidRDefault="000F63E8" w:rsidP="000F63E8"/>
    <w:p w:rsidR="000F63E8" w:rsidRDefault="000F63E8" w:rsidP="000F63E8">
      <w:pPr>
        <w:pStyle w:val="EntradandiceAuto"/>
      </w:pPr>
      <w:r>
        <w:t>Sección Segunda. Auto 217/1985, de 27 de marzo de 1985. Acordando la inadmisión a trámite del recurso de amparo 919/1984</w:t>
      </w:r>
      <w:r>
        <w:tab/>
      </w:r>
      <w:r>
        <w:tab/>
      </w:r>
      <w:r>
        <w:fldChar w:fldCharType="begin"/>
      </w:r>
      <w:r>
        <w:instrText xml:space="preserve"> PAGEREF AUTO_1985_217 \h </w:instrText>
      </w:r>
      <w:r>
        <w:fldChar w:fldCharType="separate"/>
      </w:r>
      <w:r w:rsidR="00CB2978">
        <w:rPr>
          <w:noProof/>
        </w:rPr>
        <w:t>1454</w:t>
      </w:r>
      <w:r>
        <w:fldChar w:fldCharType="end"/>
      </w:r>
    </w:p>
    <w:p w:rsidR="000F63E8" w:rsidRDefault="000F63E8" w:rsidP="000F63E8"/>
    <w:p w:rsidR="000F63E8" w:rsidRDefault="000F63E8" w:rsidP="000F63E8">
      <w:pPr>
        <w:pStyle w:val="EntradandiceAuto"/>
      </w:pPr>
      <w:r>
        <w:t>Sección Tercera. Auto 218/1985, de 27 de marzo de 1985. Acordando la inadmisión a trámite del recurso de amparo 920/1984</w:t>
      </w:r>
      <w:r>
        <w:tab/>
      </w:r>
      <w:r>
        <w:tab/>
      </w:r>
      <w:r>
        <w:fldChar w:fldCharType="begin"/>
      </w:r>
      <w:r>
        <w:instrText xml:space="preserve"> PAGEREF AUTO_1985_218 \h </w:instrText>
      </w:r>
      <w:r>
        <w:fldChar w:fldCharType="separate"/>
      </w:r>
      <w:r w:rsidR="00CB2978">
        <w:rPr>
          <w:noProof/>
        </w:rPr>
        <w:t>1458</w:t>
      </w:r>
      <w:r>
        <w:fldChar w:fldCharType="end"/>
      </w:r>
    </w:p>
    <w:p w:rsidR="000F63E8" w:rsidRDefault="000F63E8" w:rsidP="000F63E8"/>
    <w:p w:rsidR="000F63E8" w:rsidRDefault="000F63E8" w:rsidP="000F63E8">
      <w:pPr>
        <w:pStyle w:val="EntradandiceAuto"/>
      </w:pPr>
      <w:r>
        <w:t>Sección Segunda. Auto 219/1985, de 27 de marzo de 1985. Acordando la inadmisión a trámite del recurso de amparo 15/1985</w:t>
      </w:r>
      <w:r>
        <w:tab/>
      </w:r>
      <w:r>
        <w:tab/>
      </w:r>
      <w:r>
        <w:fldChar w:fldCharType="begin"/>
      </w:r>
      <w:r>
        <w:instrText xml:space="preserve"> PAGEREF AUTO_1985_219 \h </w:instrText>
      </w:r>
      <w:r>
        <w:fldChar w:fldCharType="separate"/>
      </w:r>
      <w:r w:rsidR="00CB2978">
        <w:rPr>
          <w:noProof/>
        </w:rPr>
        <w:t>1463</w:t>
      </w:r>
      <w:r>
        <w:fldChar w:fldCharType="end"/>
      </w:r>
    </w:p>
    <w:p w:rsidR="000F63E8" w:rsidRDefault="000F63E8" w:rsidP="000F63E8"/>
    <w:p w:rsidR="000F63E8" w:rsidRDefault="000F63E8" w:rsidP="000F63E8">
      <w:pPr>
        <w:pStyle w:val="EntradandiceAuto"/>
      </w:pPr>
      <w:r>
        <w:t>Sección Cuarta. Auto 220/1985, de 27 de marzo de 1985. Acordando la inadmisión a trámite del recurso de amparo 22/1985</w:t>
      </w:r>
      <w:r>
        <w:tab/>
      </w:r>
      <w:r>
        <w:tab/>
      </w:r>
      <w:r>
        <w:fldChar w:fldCharType="begin"/>
      </w:r>
      <w:r>
        <w:instrText xml:space="preserve"> PAGEREF AUTO_1985_220 \h </w:instrText>
      </w:r>
      <w:r>
        <w:fldChar w:fldCharType="separate"/>
      </w:r>
      <w:r w:rsidR="00CB2978">
        <w:rPr>
          <w:noProof/>
        </w:rPr>
        <w:t>1467</w:t>
      </w:r>
      <w:r>
        <w:fldChar w:fldCharType="end"/>
      </w:r>
    </w:p>
    <w:p w:rsidR="000F63E8" w:rsidRDefault="000F63E8" w:rsidP="000F63E8"/>
    <w:p w:rsidR="000F63E8" w:rsidRDefault="000F63E8" w:rsidP="000F63E8">
      <w:pPr>
        <w:pStyle w:val="EntradandiceAuto"/>
      </w:pPr>
      <w:r>
        <w:t>Sección Cuarta. Auto 221/1985, de 27 de marzo de 1985. Acordando la inadmisión a trámite del recurso de amparo 36/1985</w:t>
      </w:r>
      <w:r>
        <w:tab/>
      </w:r>
      <w:r>
        <w:tab/>
      </w:r>
      <w:r>
        <w:fldChar w:fldCharType="begin"/>
      </w:r>
      <w:r>
        <w:instrText xml:space="preserve"> PAGEREF AUTO_1985_221 \h </w:instrText>
      </w:r>
      <w:r>
        <w:fldChar w:fldCharType="separate"/>
      </w:r>
      <w:r w:rsidR="00CB2978">
        <w:rPr>
          <w:noProof/>
        </w:rPr>
        <w:t>1469</w:t>
      </w:r>
      <w:r>
        <w:fldChar w:fldCharType="end"/>
      </w:r>
    </w:p>
    <w:p w:rsidR="000F63E8" w:rsidRDefault="000F63E8" w:rsidP="000F63E8"/>
    <w:p w:rsidR="000F63E8" w:rsidRDefault="000F63E8" w:rsidP="000F63E8">
      <w:pPr>
        <w:pStyle w:val="EntradandiceAuto"/>
      </w:pPr>
      <w:r>
        <w:t>Sección Segunda. Auto 222/1985, de 27 de marzo de 1985. Acordando la inadmisión a trámite del recurso de amparo 37/1985</w:t>
      </w:r>
      <w:r>
        <w:tab/>
      </w:r>
      <w:r>
        <w:tab/>
      </w:r>
      <w:r>
        <w:fldChar w:fldCharType="begin"/>
      </w:r>
      <w:r>
        <w:instrText xml:space="preserve"> PAGEREF AUTO_1985_222 \h </w:instrText>
      </w:r>
      <w:r>
        <w:fldChar w:fldCharType="separate"/>
      </w:r>
      <w:r w:rsidR="00CB2978">
        <w:rPr>
          <w:noProof/>
        </w:rPr>
        <w:t>1473</w:t>
      </w:r>
      <w:r>
        <w:fldChar w:fldCharType="end"/>
      </w:r>
    </w:p>
    <w:p w:rsidR="000F63E8" w:rsidRDefault="000F63E8" w:rsidP="000F63E8"/>
    <w:p w:rsidR="000F63E8" w:rsidRDefault="000F63E8" w:rsidP="000F63E8">
      <w:pPr>
        <w:pStyle w:val="EntradandiceAuto"/>
      </w:pPr>
      <w:r>
        <w:t>Sección Cuarta. Auto 223/1985, de 27 de marzo de 1985. Acordando la inadmisión a trámite del recurso de amparo 38/1985</w:t>
      </w:r>
      <w:r>
        <w:tab/>
      </w:r>
      <w:r>
        <w:tab/>
      </w:r>
      <w:r>
        <w:fldChar w:fldCharType="begin"/>
      </w:r>
      <w:r>
        <w:instrText xml:space="preserve"> PAGEREF AUTO_1985_223 \h </w:instrText>
      </w:r>
      <w:r>
        <w:fldChar w:fldCharType="separate"/>
      </w:r>
      <w:r w:rsidR="00CB2978">
        <w:rPr>
          <w:noProof/>
        </w:rPr>
        <w:t>1479</w:t>
      </w:r>
      <w:r>
        <w:fldChar w:fldCharType="end"/>
      </w:r>
    </w:p>
    <w:p w:rsidR="000F63E8" w:rsidRDefault="000F63E8" w:rsidP="000F63E8"/>
    <w:p w:rsidR="000F63E8" w:rsidRDefault="000F63E8" w:rsidP="000F63E8">
      <w:pPr>
        <w:pStyle w:val="EntradandiceAuto"/>
      </w:pPr>
      <w:r>
        <w:t>Sección Tercera. Auto 224/1985, de 27 de marzo de 1985. Acordando la inadmisión a trámite del recurso de amparo 40/1985</w:t>
      </w:r>
      <w:r>
        <w:tab/>
      </w:r>
      <w:r>
        <w:tab/>
      </w:r>
      <w:r>
        <w:fldChar w:fldCharType="begin"/>
      </w:r>
      <w:r>
        <w:instrText xml:space="preserve"> PAGEREF AUTO_1985_224 \h </w:instrText>
      </w:r>
      <w:r>
        <w:fldChar w:fldCharType="separate"/>
      </w:r>
      <w:r w:rsidR="00CB2978">
        <w:rPr>
          <w:noProof/>
        </w:rPr>
        <w:t>1486</w:t>
      </w:r>
      <w:r>
        <w:fldChar w:fldCharType="end"/>
      </w:r>
    </w:p>
    <w:p w:rsidR="000F63E8" w:rsidRDefault="000F63E8" w:rsidP="000F63E8"/>
    <w:p w:rsidR="000F63E8" w:rsidRDefault="000F63E8" w:rsidP="000F63E8">
      <w:pPr>
        <w:pStyle w:val="EntradandiceAuto"/>
      </w:pPr>
      <w:r>
        <w:t>Sección Cuarta. Auto 225/1985, de 27 de marzo de 1985. Acordando la inadmisión a trámite del recurso de amparo 44/1985</w:t>
      </w:r>
      <w:r>
        <w:tab/>
      </w:r>
      <w:r>
        <w:tab/>
      </w:r>
      <w:r>
        <w:fldChar w:fldCharType="begin"/>
      </w:r>
      <w:r>
        <w:instrText xml:space="preserve"> PAGEREF AUTO_1985_225 \h </w:instrText>
      </w:r>
      <w:r>
        <w:fldChar w:fldCharType="separate"/>
      </w:r>
      <w:r w:rsidR="00CB2978">
        <w:rPr>
          <w:noProof/>
        </w:rPr>
        <w:t>1490</w:t>
      </w:r>
      <w:r>
        <w:fldChar w:fldCharType="end"/>
      </w:r>
    </w:p>
    <w:p w:rsidR="000F63E8" w:rsidRDefault="000F63E8" w:rsidP="000F63E8"/>
    <w:p w:rsidR="000F63E8" w:rsidRDefault="000F63E8" w:rsidP="000F63E8">
      <w:pPr>
        <w:pStyle w:val="EntradandiceAuto"/>
      </w:pPr>
      <w:r>
        <w:t>Sección Tercera. Auto 226/1985, de 27 de marzo de 1985. Acordando haber lugar al desistimiento del actor en el recurso de amparo 54/1985</w:t>
      </w:r>
      <w:r>
        <w:tab/>
      </w:r>
      <w:r>
        <w:tab/>
      </w:r>
      <w:r>
        <w:fldChar w:fldCharType="begin"/>
      </w:r>
      <w:r>
        <w:instrText xml:space="preserve"> PAGEREF AUTO_1985_226 \h </w:instrText>
      </w:r>
      <w:r>
        <w:fldChar w:fldCharType="separate"/>
      </w:r>
      <w:r w:rsidR="00CB2978">
        <w:rPr>
          <w:noProof/>
        </w:rPr>
        <w:t>1493</w:t>
      </w:r>
      <w:r>
        <w:fldChar w:fldCharType="end"/>
      </w:r>
    </w:p>
    <w:p w:rsidR="000F63E8" w:rsidRDefault="000F63E8" w:rsidP="000F63E8"/>
    <w:p w:rsidR="000F63E8" w:rsidRDefault="000F63E8" w:rsidP="000F63E8">
      <w:pPr>
        <w:pStyle w:val="EntradandiceAuto"/>
      </w:pPr>
      <w:r>
        <w:t>Sección Cuarta. Auto 227/1985, de 27 de marzo de 1985. Acordando la inadmisión a trámite del recurso de amparo 73/1985</w:t>
      </w:r>
      <w:r>
        <w:tab/>
      </w:r>
      <w:r>
        <w:tab/>
      </w:r>
      <w:r>
        <w:fldChar w:fldCharType="begin"/>
      </w:r>
      <w:r>
        <w:instrText xml:space="preserve"> PAGEREF AUTO_1985_227 \h </w:instrText>
      </w:r>
      <w:r>
        <w:fldChar w:fldCharType="separate"/>
      </w:r>
      <w:r w:rsidR="00CB2978">
        <w:rPr>
          <w:noProof/>
        </w:rPr>
        <w:t>1496</w:t>
      </w:r>
      <w:r>
        <w:fldChar w:fldCharType="end"/>
      </w:r>
    </w:p>
    <w:p w:rsidR="000F63E8" w:rsidRDefault="000F63E8" w:rsidP="000F63E8"/>
    <w:p w:rsidR="000F63E8" w:rsidRDefault="000F63E8" w:rsidP="000F63E8">
      <w:pPr>
        <w:pStyle w:val="EntradandiceAuto"/>
      </w:pPr>
      <w:r>
        <w:t>Sección Cuarta. Auto 228/1985, de 27 de marzo de 1985. Acordando la inadmisión a trámite del recurso de amparo 79/1985</w:t>
      </w:r>
      <w:r>
        <w:tab/>
      </w:r>
      <w:r>
        <w:tab/>
      </w:r>
      <w:r>
        <w:fldChar w:fldCharType="begin"/>
      </w:r>
      <w:r>
        <w:instrText xml:space="preserve"> PAGEREF AUTO_1985_228 \h </w:instrText>
      </w:r>
      <w:r>
        <w:fldChar w:fldCharType="separate"/>
      </w:r>
      <w:r w:rsidR="00CB2978">
        <w:rPr>
          <w:noProof/>
        </w:rPr>
        <w:t>1499</w:t>
      </w:r>
      <w:r>
        <w:fldChar w:fldCharType="end"/>
      </w:r>
    </w:p>
    <w:p w:rsidR="000F63E8" w:rsidRDefault="000F63E8" w:rsidP="000F63E8"/>
    <w:p w:rsidR="000F63E8" w:rsidRDefault="000F63E8" w:rsidP="000F63E8">
      <w:pPr>
        <w:pStyle w:val="EntradandiceAuto"/>
      </w:pPr>
      <w:r>
        <w:t>Sección Cuarta. Auto 229/1985, de 27 de marzo de 1985. Acordando la inadmisión a trámite del recurso de amparo 80/1985</w:t>
      </w:r>
      <w:r>
        <w:tab/>
      </w:r>
      <w:r>
        <w:tab/>
      </w:r>
      <w:r>
        <w:fldChar w:fldCharType="begin"/>
      </w:r>
      <w:r>
        <w:instrText xml:space="preserve"> PAGEREF AUTO_1985_229 \h </w:instrText>
      </w:r>
      <w:r>
        <w:fldChar w:fldCharType="separate"/>
      </w:r>
      <w:r w:rsidR="00CB2978">
        <w:rPr>
          <w:noProof/>
        </w:rPr>
        <w:t>1505</w:t>
      </w:r>
      <w:r>
        <w:fldChar w:fldCharType="end"/>
      </w:r>
    </w:p>
    <w:p w:rsidR="000F63E8" w:rsidRDefault="000F63E8" w:rsidP="000F63E8"/>
    <w:p w:rsidR="000F63E8" w:rsidRDefault="000F63E8" w:rsidP="000F63E8">
      <w:pPr>
        <w:pStyle w:val="EntradandiceAuto"/>
      </w:pPr>
      <w:r>
        <w:t>Pleno. Auto 230/1985, de 28 de marzo de 1985. Denegando la solicitud de recibimiento a prueba en el conflicto positivo de competencia 724/1984</w:t>
      </w:r>
      <w:r>
        <w:tab/>
      </w:r>
      <w:r>
        <w:tab/>
      </w:r>
      <w:r>
        <w:fldChar w:fldCharType="begin"/>
      </w:r>
      <w:r>
        <w:instrText xml:space="preserve"> PAGEREF AUTO_1985_230 \h </w:instrText>
      </w:r>
      <w:r>
        <w:fldChar w:fldCharType="separate"/>
      </w:r>
      <w:r w:rsidR="00CB2978">
        <w:rPr>
          <w:noProof/>
        </w:rPr>
        <w:t>1506</w:t>
      </w:r>
      <w:r>
        <w:fldChar w:fldCharType="end"/>
      </w:r>
    </w:p>
    <w:p w:rsidR="000F63E8" w:rsidRDefault="000F63E8" w:rsidP="000F63E8"/>
    <w:p w:rsidR="000F63E8" w:rsidRDefault="000F63E8" w:rsidP="000F63E8">
      <w:pPr>
        <w:pStyle w:val="EntradandiceAuto"/>
      </w:pPr>
      <w:r>
        <w:t>Pleno. Auto 231/1985, de 28 de marzo de 1985. Denegando la suspensión solicitada por el Gobierno de la Resolución de 10 de febrero de 1984, de la Dirección General de Industria y Minas, del Departamento de Industria y Energía del Consejo Ejecutivo de la Generalidad de Cataluña, en el conflicto positivo de competencia 724/1984</w:t>
      </w:r>
      <w:r>
        <w:tab/>
      </w:r>
      <w:r>
        <w:tab/>
      </w:r>
      <w:r>
        <w:fldChar w:fldCharType="begin"/>
      </w:r>
      <w:r>
        <w:instrText xml:space="preserve"> PAGEREF AUTO_1985_231 \h </w:instrText>
      </w:r>
      <w:r>
        <w:fldChar w:fldCharType="separate"/>
      </w:r>
      <w:r w:rsidR="00CB2978">
        <w:rPr>
          <w:noProof/>
        </w:rPr>
        <w:t>1509</w:t>
      </w:r>
      <w:r>
        <w:fldChar w:fldCharType="end"/>
      </w:r>
    </w:p>
    <w:p w:rsidR="000F63E8" w:rsidRDefault="000F63E8" w:rsidP="000F63E8"/>
    <w:p w:rsidR="000F63E8" w:rsidRDefault="000F63E8" w:rsidP="000F63E8">
      <w:pPr>
        <w:pStyle w:val="EntradandiceAuto"/>
      </w:pPr>
      <w:r>
        <w:t>Pleno. Auto 232/1985, de 28 de marzo de 1985. Acordando haber lugar al desistimiento del Abogado del Estado en el conflicto positivo de competencia 35/1985</w:t>
      </w:r>
      <w:r>
        <w:tab/>
      </w:r>
      <w:r>
        <w:tab/>
      </w:r>
      <w:r>
        <w:fldChar w:fldCharType="begin"/>
      </w:r>
      <w:r>
        <w:instrText xml:space="preserve"> PAGEREF AUTO_1985_232 \h </w:instrText>
      </w:r>
      <w:r>
        <w:fldChar w:fldCharType="separate"/>
      </w:r>
      <w:r w:rsidR="00CB2978">
        <w:rPr>
          <w:noProof/>
        </w:rPr>
        <w:t>1512</w:t>
      </w:r>
      <w:r>
        <w:fldChar w:fldCharType="end"/>
      </w:r>
    </w:p>
    <w:p w:rsidR="000F63E8" w:rsidRDefault="000F63E8" w:rsidP="000F63E8"/>
    <w:p w:rsidR="000F63E8" w:rsidRDefault="000F63E8" w:rsidP="000F63E8">
      <w:pPr>
        <w:pStyle w:val="EntradandiceAuto"/>
      </w:pPr>
      <w:r>
        <w:t>Sección Primera. Auto 233/1985, de 10 de abril de 1985. Acordando la inadmisión a trámite del recurso de amparo 572/1984</w:t>
      </w:r>
      <w:r>
        <w:tab/>
      </w:r>
      <w:r>
        <w:tab/>
      </w:r>
      <w:r>
        <w:fldChar w:fldCharType="begin"/>
      </w:r>
      <w:r>
        <w:instrText xml:space="preserve"> PAGEREF AUTO_1985_233 \h </w:instrText>
      </w:r>
      <w:r>
        <w:fldChar w:fldCharType="separate"/>
      </w:r>
      <w:r w:rsidR="00CB2978">
        <w:rPr>
          <w:noProof/>
        </w:rPr>
        <w:t>1514</w:t>
      </w:r>
      <w:r>
        <w:fldChar w:fldCharType="end"/>
      </w:r>
    </w:p>
    <w:p w:rsidR="000F63E8" w:rsidRDefault="000F63E8" w:rsidP="000F63E8"/>
    <w:p w:rsidR="000F63E8" w:rsidRDefault="000F63E8" w:rsidP="000F63E8">
      <w:pPr>
        <w:pStyle w:val="EntradandiceAuto"/>
      </w:pPr>
      <w:r>
        <w:t>Sección Tercera. Auto 234/1985, de 10 de abril de 1985. Acordando la inadmisión a trámite del recurso de amparo 756/1984</w:t>
      </w:r>
      <w:r>
        <w:tab/>
      </w:r>
      <w:r>
        <w:tab/>
      </w:r>
      <w:r>
        <w:fldChar w:fldCharType="begin"/>
      </w:r>
      <w:r>
        <w:instrText xml:space="preserve"> PAGEREF AUTO_1985_234 \h </w:instrText>
      </w:r>
      <w:r>
        <w:fldChar w:fldCharType="separate"/>
      </w:r>
      <w:r w:rsidR="00CB2978">
        <w:rPr>
          <w:noProof/>
        </w:rPr>
        <w:t>1518</w:t>
      </w:r>
      <w:r>
        <w:fldChar w:fldCharType="end"/>
      </w:r>
    </w:p>
    <w:p w:rsidR="000F63E8" w:rsidRDefault="000F63E8" w:rsidP="000F63E8"/>
    <w:p w:rsidR="000F63E8" w:rsidRDefault="000F63E8" w:rsidP="000F63E8">
      <w:pPr>
        <w:pStyle w:val="EntradandiceAuto"/>
      </w:pPr>
      <w:r>
        <w:t>Sección Tercera. Auto 235/1985, de 10 de abril de 1985. Acordando la inadmisión a trámite del recurso de amparo 33/1985</w:t>
      </w:r>
      <w:r>
        <w:tab/>
      </w:r>
      <w:r>
        <w:tab/>
      </w:r>
      <w:r>
        <w:fldChar w:fldCharType="begin"/>
      </w:r>
      <w:r>
        <w:instrText xml:space="preserve"> PAGEREF AUTO_1985_235 \h </w:instrText>
      </w:r>
      <w:r>
        <w:fldChar w:fldCharType="separate"/>
      </w:r>
      <w:r w:rsidR="00CB2978">
        <w:rPr>
          <w:noProof/>
        </w:rPr>
        <w:t>1522</w:t>
      </w:r>
      <w:r>
        <w:fldChar w:fldCharType="end"/>
      </w:r>
    </w:p>
    <w:p w:rsidR="000F63E8" w:rsidRDefault="000F63E8" w:rsidP="000F63E8"/>
    <w:p w:rsidR="000F63E8" w:rsidRDefault="000F63E8" w:rsidP="000F63E8">
      <w:pPr>
        <w:pStyle w:val="EntradandiceAuto"/>
      </w:pPr>
      <w:r>
        <w:t>Sección Segunda. Auto 236/1985, de 10 de abril de 1985. Acordando la inadmisión a trámite del recurso de amparo 43/1985</w:t>
      </w:r>
      <w:r>
        <w:tab/>
      </w:r>
      <w:r>
        <w:tab/>
      </w:r>
      <w:r>
        <w:fldChar w:fldCharType="begin"/>
      </w:r>
      <w:r>
        <w:instrText xml:space="preserve"> PAGEREF AUTO_1985_236 \h </w:instrText>
      </w:r>
      <w:r>
        <w:fldChar w:fldCharType="separate"/>
      </w:r>
      <w:r w:rsidR="00CB2978">
        <w:rPr>
          <w:noProof/>
        </w:rPr>
        <w:t>1525</w:t>
      </w:r>
      <w:r>
        <w:fldChar w:fldCharType="end"/>
      </w:r>
    </w:p>
    <w:p w:rsidR="000F63E8" w:rsidRDefault="000F63E8" w:rsidP="000F63E8"/>
    <w:p w:rsidR="000F63E8" w:rsidRDefault="000F63E8" w:rsidP="000F63E8">
      <w:pPr>
        <w:pStyle w:val="EntradandiceAuto"/>
      </w:pPr>
      <w:r>
        <w:t>Sección Cuarta. Auto 237/1985, de 10 de abril de 1985. Acordando la inadmisión a trámite del recurso de amparo 64/1985</w:t>
      </w:r>
      <w:r>
        <w:tab/>
      </w:r>
      <w:r>
        <w:tab/>
      </w:r>
      <w:r>
        <w:fldChar w:fldCharType="begin"/>
      </w:r>
      <w:r>
        <w:instrText xml:space="preserve"> PAGEREF AUTO_1985_237 \h </w:instrText>
      </w:r>
      <w:r>
        <w:fldChar w:fldCharType="separate"/>
      </w:r>
      <w:r w:rsidR="00CB2978">
        <w:rPr>
          <w:noProof/>
        </w:rPr>
        <w:t>1529</w:t>
      </w:r>
      <w:r>
        <w:fldChar w:fldCharType="end"/>
      </w:r>
    </w:p>
    <w:p w:rsidR="000F63E8" w:rsidRDefault="000F63E8" w:rsidP="000F63E8"/>
    <w:p w:rsidR="000F63E8" w:rsidRDefault="000F63E8" w:rsidP="000F63E8">
      <w:pPr>
        <w:pStyle w:val="EntradandiceAuto"/>
      </w:pPr>
      <w:r>
        <w:t>Sección Tercera. Auto 238/1985, de 10 de abril de 1985. Acordando la inadmisión a trámite del recurso de amparo 71/1985</w:t>
      </w:r>
      <w:r>
        <w:tab/>
      </w:r>
      <w:r>
        <w:tab/>
      </w:r>
      <w:r>
        <w:fldChar w:fldCharType="begin"/>
      </w:r>
      <w:r>
        <w:instrText xml:space="preserve"> PAGEREF AUTO_1985_238 \h </w:instrText>
      </w:r>
      <w:r>
        <w:fldChar w:fldCharType="separate"/>
      </w:r>
      <w:r w:rsidR="00CB2978">
        <w:rPr>
          <w:noProof/>
        </w:rPr>
        <w:t>1533</w:t>
      </w:r>
      <w:r>
        <w:fldChar w:fldCharType="end"/>
      </w:r>
    </w:p>
    <w:p w:rsidR="000F63E8" w:rsidRDefault="000F63E8" w:rsidP="000F63E8"/>
    <w:p w:rsidR="000F63E8" w:rsidRDefault="000F63E8" w:rsidP="000F63E8">
      <w:pPr>
        <w:pStyle w:val="EntradandiceAuto"/>
      </w:pPr>
      <w:r>
        <w:t>Pleno. Auto 239/1985, de 11 de abril de 1985. Levantando parcialmente la suspensión, previamente acordada, de la Orden de 30 de abril de 1984, de la Consejería de Agricultura, Pesca y Alimentación de la Junta de Galicia, en el conflicto positivo de competencia 723/1984</w:t>
      </w:r>
      <w:r>
        <w:tab/>
      </w:r>
      <w:r>
        <w:tab/>
      </w:r>
      <w:r>
        <w:fldChar w:fldCharType="begin"/>
      </w:r>
      <w:r>
        <w:instrText xml:space="preserve"> PAGEREF AUTO_1985_239 \h </w:instrText>
      </w:r>
      <w:r>
        <w:fldChar w:fldCharType="separate"/>
      </w:r>
      <w:r w:rsidR="00CB2978">
        <w:rPr>
          <w:noProof/>
        </w:rPr>
        <w:t>1538</w:t>
      </w:r>
      <w:r>
        <w:fldChar w:fldCharType="end"/>
      </w:r>
    </w:p>
    <w:p w:rsidR="000F63E8" w:rsidRDefault="000F63E8" w:rsidP="000F63E8"/>
    <w:p w:rsidR="000F63E8" w:rsidRDefault="000F63E8" w:rsidP="000F63E8">
      <w:pPr>
        <w:pStyle w:val="EntradandiceAuto"/>
      </w:pPr>
      <w:r>
        <w:t>Sección Segunda. Auto 240/1985, de 17 de abril de 1985. Acordando la inadmisión a trámite del recurso de amparo 300/1984</w:t>
      </w:r>
      <w:r>
        <w:tab/>
      </w:r>
      <w:r>
        <w:tab/>
      </w:r>
      <w:r>
        <w:fldChar w:fldCharType="begin"/>
      </w:r>
      <w:r>
        <w:instrText xml:space="preserve"> PAGEREF AUTO_1985_240 \h </w:instrText>
      </w:r>
      <w:r>
        <w:fldChar w:fldCharType="separate"/>
      </w:r>
      <w:r w:rsidR="00CB2978">
        <w:rPr>
          <w:noProof/>
        </w:rPr>
        <w:t>1541</w:t>
      </w:r>
      <w:r>
        <w:fldChar w:fldCharType="end"/>
      </w:r>
    </w:p>
    <w:p w:rsidR="000F63E8" w:rsidRDefault="000F63E8" w:rsidP="000F63E8"/>
    <w:p w:rsidR="000F63E8" w:rsidRDefault="000F63E8" w:rsidP="000F63E8">
      <w:pPr>
        <w:pStyle w:val="EntradandiceAuto"/>
      </w:pPr>
      <w:r>
        <w:t>Sección Cuarta. Auto 241/1985, de 17 de abril de 1985. Acordando la inadmisión a trámite del recurso de amparo 499/1984</w:t>
      </w:r>
      <w:r>
        <w:tab/>
      </w:r>
      <w:r>
        <w:tab/>
      </w:r>
      <w:r>
        <w:fldChar w:fldCharType="begin"/>
      </w:r>
      <w:r>
        <w:instrText xml:space="preserve"> PAGEREF AUTO_1985_241 \h </w:instrText>
      </w:r>
      <w:r>
        <w:fldChar w:fldCharType="separate"/>
      </w:r>
      <w:r w:rsidR="00CB2978">
        <w:rPr>
          <w:noProof/>
        </w:rPr>
        <w:t>1548</w:t>
      </w:r>
      <w:r>
        <w:fldChar w:fldCharType="end"/>
      </w:r>
    </w:p>
    <w:p w:rsidR="000F63E8" w:rsidRDefault="000F63E8" w:rsidP="000F63E8"/>
    <w:p w:rsidR="000F63E8" w:rsidRDefault="000F63E8" w:rsidP="000F63E8">
      <w:pPr>
        <w:pStyle w:val="EntradandiceAuto"/>
      </w:pPr>
      <w:r>
        <w:t>Sección Segunda. Auto 242/1985, de 17 de abril de 1985. Acordando la inadmisión a trámite del recurso de amparo 799/1984</w:t>
      </w:r>
      <w:r>
        <w:tab/>
      </w:r>
      <w:r>
        <w:tab/>
      </w:r>
      <w:r>
        <w:fldChar w:fldCharType="begin"/>
      </w:r>
      <w:r>
        <w:instrText xml:space="preserve"> PAGEREF AUTO_1985_242 \h </w:instrText>
      </w:r>
      <w:r>
        <w:fldChar w:fldCharType="separate"/>
      </w:r>
      <w:r w:rsidR="00CB2978">
        <w:rPr>
          <w:noProof/>
        </w:rPr>
        <w:t>1551</w:t>
      </w:r>
      <w:r>
        <w:fldChar w:fldCharType="end"/>
      </w:r>
    </w:p>
    <w:p w:rsidR="000F63E8" w:rsidRDefault="000F63E8" w:rsidP="000F63E8"/>
    <w:p w:rsidR="000F63E8" w:rsidRDefault="000F63E8" w:rsidP="000F63E8">
      <w:pPr>
        <w:pStyle w:val="EntradandiceAuto"/>
      </w:pPr>
      <w:r>
        <w:t>Sección Primera. Auto 243/1985, de 17 de abril de 1985. Acordando la inadmisión a trámite del recurso de amparo 897/1984</w:t>
      </w:r>
      <w:r>
        <w:tab/>
      </w:r>
      <w:r>
        <w:tab/>
      </w:r>
      <w:r>
        <w:fldChar w:fldCharType="begin"/>
      </w:r>
      <w:r>
        <w:instrText xml:space="preserve"> PAGEREF AUTO_1985_243 \h </w:instrText>
      </w:r>
      <w:r>
        <w:fldChar w:fldCharType="separate"/>
      </w:r>
      <w:r w:rsidR="00CB2978">
        <w:rPr>
          <w:noProof/>
        </w:rPr>
        <w:t>1556</w:t>
      </w:r>
      <w:r>
        <w:fldChar w:fldCharType="end"/>
      </w:r>
    </w:p>
    <w:p w:rsidR="000F63E8" w:rsidRDefault="000F63E8" w:rsidP="000F63E8"/>
    <w:p w:rsidR="000F63E8" w:rsidRDefault="000F63E8" w:rsidP="000F63E8">
      <w:pPr>
        <w:pStyle w:val="EntradandiceAuto"/>
      </w:pPr>
      <w:r>
        <w:t>Sección Cuarta. Auto 244/1985, de 17 de abril de 1985. Acordando la inadmisión a trámite del recurso de amparo 9/1985</w:t>
      </w:r>
      <w:r>
        <w:tab/>
      </w:r>
      <w:r>
        <w:tab/>
      </w:r>
      <w:r>
        <w:fldChar w:fldCharType="begin"/>
      </w:r>
      <w:r>
        <w:instrText xml:space="preserve"> PAGEREF AUTO_1985_244 \h </w:instrText>
      </w:r>
      <w:r>
        <w:fldChar w:fldCharType="separate"/>
      </w:r>
      <w:r w:rsidR="00CB2978">
        <w:rPr>
          <w:noProof/>
        </w:rPr>
        <w:t>1560</w:t>
      </w:r>
      <w:r>
        <w:fldChar w:fldCharType="end"/>
      </w:r>
    </w:p>
    <w:p w:rsidR="000F63E8" w:rsidRDefault="000F63E8" w:rsidP="000F63E8"/>
    <w:p w:rsidR="000F63E8" w:rsidRDefault="000F63E8" w:rsidP="000F63E8">
      <w:pPr>
        <w:pStyle w:val="EntradandiceAuto"/>
      </w:pPr>
      <w:r>
        <w:t>Sección Segunda. Auto 245/1985, de 17 de abril de 1985. Acordando la inadmisión a trámite del recurso de amparo 26/1985</w:t>
      </w:r>
      <w:r>
        <w:tab/>
      </w:r>
      <w:r>
        <w:tab/>
      </w:r>
      <w:r>
        <w:fldChar w:fldCharType="begin"/>
      </w:r>
      <w:r>
        <w:instrText xml:space="preserve"> PAGEREF AUTO_1985_245 \h </w:instrText>
      </w:r>
      <w:r>
        <w:fldChar w:fldCharType="separate"/>
      </w:r>
      <w:r w:rsidR="00CB2978">
        <w:rPr>
          <w:noProof/>
        </w:rPr>
        <w:t>1563</w:t>
      </w:r>
      <w:r>
        <w:fldChar w:fldCharType="end"/>
      </w:r>
    </w:p>
    <w:p w:rsidR="000F63E8" w:rsidRDefault="000F63E8" w:rsidP="000F63E8"/>
    <w:p w:rsidR="000F63E8" w:rsidRDefault="000F63E8" w:rsidP="000F63E8">
      <w:pPr>
        <w:pStyle w:val="EntradandiceAuto"/>
      </w:pPr>
      <w:r>
        <w:t>Sección Tercera. Auto 246/1985, de 17 de abril de 1985. Acordando la inadmisión a trámite del recurso de amparo 42/1985</w:t>
      </w:r>
      <w:r>
        <w:tab/>
      </w:r>
      <w:r>
        <w:tab/>
      </w:r>
      <w:r>
        <w:fldChar w:fldCharType="begin"/>
      </w:r>
      <w:r>
        <w:instrText xml:space="preserve"> PAGEREF AUTO_1985_246 \h </w:instrText>
      </w:r>
      <w:r>
        <w:fldChar w:fldCharType="separate"/>
      </w:r>
      <w:r w:rsidR="00CB2978">
        <w:rPr>
          <w:noProof/>
        </w:rPr>
        <w:t>1567</w:t>
      </w:r>
      <w:r>
        <w:fldChar w:fldCharType="end"/>
      </w:r>
    </w:p>
    <w:p w:rsidR="000F63E8" w:rsidRDefault="000F63E8" w:rsidP="000F63E8"/>
    <w:p w:rsidR="000F63E8" w:rsidRDefault="000F63E8" w:rsidP="000F63E8">
      <w:pPr>
        <w:pStyle w:val="EntradandiceAuto"/>
      </w:pPr>
      <w:r>
        <w:t>Sección Tercera. Auto 247/1985, de 17 de abril de 1985. Acordando la inadmisión a trámite del recurso de amparo 52/1985</w:t>
      </w:r>
      <w:r>
        <w:tab/>
      </w:r>
      <w:r>
        <w:tab/>
      </w:r>
      <w:r>
        <w:fldChar w:fldCharType="begin"/>
      </w:r>
      <w:r>
        <w:instrText xml:space="preserve"> PAGEREF AUTO_1985_247 \h </w:instrText>
      </w:r>
      <w:r>
        <w:fldChar w:fldCharType="separate"/>
      </w:r>
      <w:r w:rsidR="00CB2978">
        <w:rPr>
          <w:noProof/>
        </w:rPr>
        <w:t>1571</w:t>
      </w:r>
      <w:r>
        <w:fldChar w:fldCharType="end"/>
      </w:r>
    </w:p>
    <w:p w:rsidR="000F63E8" w:rsidRDefault="000F63E8" w:rsidP="000F63E8"/>
    <w:p w:rsidR="000F63E8" w:rsidRDefault="000F63E8" w:rsidP="000F63E8">
      <w:pPr>
        <w:pStyle w:val="EntradandiceAuto"/>
      </w:pPr>
      <w:r>
        <w:t>Sección Tercera. Auto 248/1985, de 17 de abril de 1985. Acordando la inadmisión a trámite del recurso de amparo 67/1985</w:t>
      </w:r>
      <w:r>
        <w:tab/>
      </w:r>
      <w:r>
        <w:tab/>
      </w:r>
      <w:r>
        <w:fldChar w:fldCharType="begin"/>
      </w:r>
      <w:r>
        <w:instrText xml:space="preserve"> PAGEREF AUTO_1985_248 \h </w:instrText>
      </w:r>
      <w:r>
        <w:fldChar w:fldCharType="separate"/>
      </w:r>
      <w:r w:rsidR="00CB2978">
        <w:rPr>
          <w:noProof/>
        </w:rPr>
        <w:t>1575</w:t>
      </w:r>
      <w:r>
        <w:fldChar w:fldCharType="end"/>
      </w:r>
    </w:p>
    <w:p w:rsidR="000F63E8" w:rsidRDefault="000F63E8" w:rsidP="000F63E8"/>
    <w:p w:rsidR="000F63E8" w:rsidRDefault="000F63E8" w:rsidP="000F63E8">
      <w:pPr>
        <w:pStyle w:val="EntradandiceAuto"/>
      </w:pPr>
      <w:r>
        <w:t>Sección Segunda. Auto 249/1985, de 17 de abril de 1985. Acordando la inadmisión a trámite del recurso de amparo 78/1985</w:t>
      </w:r>
      <w:r>
        <w:tab/>
      </w:r>
      <w:r>
        <w:tab/>
      </w:r>
      <w:r>
        <w:fldChar w:fldCharType="begin"/>
      </w:r>
      <w:r>
        <w:instrText xml:space="preserve"> PAGEREF AUTO_1985_249 \h </w:instrText>
      </w:r>
      <w:r>
        <w:fldChar w:fldCharType="separate"/>
      </w:r>
      <w:r w:rsidR="00CB2978">
        <w:rPr>
          <w:noProof/>
        </w:rPr>
        <w:t>1579</w:t>
      </w:r>
      <w:r>
        <w:fldChar w:fldCharType="end"/>
      </w:r>
    </w:p>
    <w:p w:rsidR="000F63E8" w:rsidRDefault="000F63E8" w:rsidP="000F63E8"/>
    <w:p w:rsidR="000F63E8" w:rsidRDefault="000F63E8" w:rsidP="000F63E8">
      <w:pPr>
        <w:pStyle w:val="EntradandiceAuto"/>
      </w:pPr>
      <w:r>
        <w:t>Sección Tercera. Auto 250/1985, de 17 de abril de 1985. Acordando la inadmisión a trámite del recurso de amparo 84/1985</w:t>
      </w:r>
      <w:r>
        <w:tab/>
      </w:r>
      <w:r>
        <w:tab/>
      </w:r>
      <w:r>
        <w:fldChar w:fldCharType="begin"/>
      </w:r>
      <w:r>
        <w:instrText xml:space="preserve"> PAGEREF AUTO_1985_250 \h </w:instrText>
      </w:r>
      <w:r>
        <w:fldChar w:fldCharType="separate"/>
      </w:r>
      <w:r w:rsidR="00CB2978">
        <w:rPr>
          <w:noProof/>
        </w:rPr>
        <w:t>1585</w:t>
      </w:r>
      <w:r>
        <w:fldChar w:fldCharType="end"/>
      </w:r>
    </w:p>
    <w:p w:rsidR="000F63E8" w:rsidRDefault="000F63E8" w:rsidP="000F63E8"/>
    <w:p w:rsidR="000F63E8" w:rsidRDefault="000F63E8" w:rsidP="000F63E8">
      <w:pPr>
        <w:pStyle w:val="EntradandiceAuto"/>
      </w:pPr>
      <w:r>
        <w:t>Sala Primera. Auto 251/1985, de 17 de abril de 1985. Denegando la suspensión de la ejecución del acto que origina el recurso de amparo 98/1985</w:t>
      </w:r>
      <w:r>
        <w:tab/>
      </w:r>
      <w:r>
        <w:tab/>
      </w:r>
      <w:r>
        <w:fldChar w:fldCharType="begin"/>
      </w:r>
      <w:r>
        <w:instrText xml:space="preserve"> PAGEREF AUTO_1985_251 \h </w:instrText>
      </w:r>
      <w:r>
        <w:fldChar w:fldCharType="separate"/>
      </w:r>
      <w:r w:rsidR="00CB2978">
        <w:rPr>
          <w:noProof/>
        </w:rPr>
        <w:t>1588</w:t>
      </w:r>
      <w:r>
        <w:fldChar w:fldCharType="end"/>
      </w:r>
    </w:p>
    <w:p w:rsidR="000F63E8" w:rsidRDefault="000F63E8" w:rsidP="000F63E8"/>
    <w:p w:rsidR="000F63E8" w:rsidRDefault="000F63E8" w:rsidP="000F63E8">
      <w:pPr>
        <w:pStyle w:val="EntradandiceAuto"/>
      </w:pPr>
      <w:r>
        <w:lastRenderedPageBreak/>
        <w:t>Sección Cuarta. Auto 252/1985, de 17 de abril de 1985. Acordando la inadmisión a trámite del recurso de amparo 99/1985</w:t>
      </w:r>
      <w:r>
        <w:tab/>
      </w:r>
      <w:r>
        <w:tab/>
      </w:r>
      <w:r>
        <w:fldChar w:fldCharType="begin"/>
      </w:r>
      <w:r>
        <w:instrText xml:space="preserve"> PAGEREF AUTO_1985_252 \h </w:instrText>
      </w:r>
      <w:r>
        <w:fldChar w:fldCharType="separate"/>
      </w:r>
      <w:r w:rsidR="00CB2978">
        <w:rPr>
          <w:noProof/>
        </w:rPr>
        <w:t>1590</w:t>
      </w:r>
      <w:r>
        <w:fldChar w:fldCharType="end"/>
      </w:r>
    </w:p>
    <w:p w:rsidR="000F63E8" w:rsidRDefault="000F63E8" w:rsidP="000F63E8"/>
    <w:p w:rsidR="000F63E8" w:rsidRDefault="000F63E8" w:rsidP="000F63E8">
      <w:pPr>
        <w:pStyle w:val="EntradandiceAuto"/>
      </w:pPr>
      <w:r>
        <w:t>Sección Tercera. Auto 253/1985, de 17 de abril de 1985. Acordando la inadmisión a trámite del recurso de amparo 102/1985</w:t>
      </w:r>
      <w:r>
        <w:tab/>
      </w:r>
      <w:r>
        <w:tab/>
      </w:r>
      <w:r>
        <w:fldChar w:fldCharType="begin"/>
      </w:r>
      <w:r>
        <w:instrText xml:space="preserve"> PAGEREF AUTO_1985_253 \h </w:instrText>
      </w:r>
      <w:r>
        <w:fldChar w:fldCharType="separate"/>
      </w:r>
      <w:r w:rsidR="00CB2978">
        <w:rPr>
          <w:noProof/>
        </w:rPr>
        <w:t>1594</w:t>
      </w:r>
      <w:r>
        <w:fldChar w:fldCharType="end"/>
      </w:r>
    </w:p>
    <w:p w:rsidR="000F63E8" w:rsidRDefault="000F63E8" w:rsidP="000F63E8"/>
    <w:p w:rsidR="000F63E8" w:rsidRDefault="000F63E8" w:rsidP="000F63E8">
      <w:pPr>
        <w:pStyle w:val="EntradandiceAuto"/>
      </w:pPr>
      <w:r>
        <w:t>Sección Tercera. Auto 254/1985, de 17 de abril de 1985. Acordando la inadmisión a trámite del recurso de amparo 115/1985</w:t>
      </w:r>
      <w:r>
        <w:tab/>
      </w:r>
      <w:r>
        <w:tab/>
      </w:r>
      <w:r>
        <w:fldChar w:fldCharType="begin"/>
      </w:r>
      <w:r>
        <w:instrText xml:space="preserve"> PAGEREF AUTO_1985_254 \h </w:instrText>
      </w:r>
      <w:r>
        <w:fldChar w:fldCharType="separate"/>
      </w:r>
      <w:r w:rsidR="00CB2978">
        <w:rPr>
          <w:noProof/>
        </w:rPr>
        <w:t>1598</w:t>
      </w:r>
      <w:r>
        <w:fldChar w:fldCharType="end"/>
      </w:r>
    </w:p>
    <w:p w:rsidR="000F63E8" w:rsidRDefault="000F63E8" w:rsidP="000F63E8"/>
    <w:p w:rsidR="000F63E8" w:rsidRDefault="000F63E8" w:rsidP="000F63E8">
      <w:pPr>
        <w:pStyle w:val="EntradandiceAuto"/>
      </w:pPr>
      <w:r>
        <w:t>Sección Segunda. Auto 255/1985, de 17 de abril de 1985. Acordando el archivo de las actuaciones en el procedimiento 118/1985</w:t>
      </w:r>
      <w:r>
        <w:tab/>
      </w:r>
      <w:r>
        <w:tab/>
      </w:r>
      <w:r>
        <w:fldChar w:fldCharType="begin"/>
      </w:r>
      <w:r>
        <w:instrText xml:space="preserve"> PAGEREF AUTO_1985_255 \h </w:instrText>
      </w:r>
      <w:r>
        <w:fldChar w:fldCharType="separate"/>
      </w:r>
      <w:r w:rsidR="00CB2978">
        <w:rPr>
          <w:noProof/>
        </w:rPr>
        <w:t>1602</w:t>
      </w:r>
      <w:r>
        <w:fldChar w:fldCharType="end"/>
      </w:r>
    </w:p>
    <w:p w:rsidR="000F63E8" w:rsidRDefault="000F63E8" w:rsidP="000F63E8"/>
    <w:p w:rsidR="000F63E8" w:rsidRDefault="000F63E8" w:rsidP="000F63E8">
      <w:pPr>
        <w:pStyle w:val="EntradandiceAuto"/>
      </w:pPr>
      <w:r>
        <w:t>Sección Cuarta. Auto 256/1985, de 17 de abril de 1985. Acordando la inadmisión a trámite del recurso de amparo 134/1985</w:t>
      </w:r>
      <w:r>
        <w:tab/>
      </w:r>
      <w:r>
        <w:tab/>
      </w:r>
      <w:r>
        <w:fldChar w:fldCharType="begin"/>
      </w:r>
      <w:r>
        <w:instrText xml:space="preserve"> PAGEREF AUTO_1985_256 \h </w:instrText>
      </w:r>
      <w:r>
        <w:fldChar w:fldCharType="separate"/>
      </w:r>
      <w:r w:rsidR="00CB2978">
        <w:rPr>
          <w:noProof/>
        </w:rPr>
        <w:t>1606</w:t>
      </w:r>
      <w:r>
        <w:fldChar w:fldCharType="end"/>
      </w:r>
    </w:p>
    <w:p w:rsidR="000F63E8" w:rsidRDefault="000F63E8" w:rsidP="000F63E8"/>
    <w:p w:rsidR="000F63E8" w:rsidRDefault="000F63E8" w:rsidP="000F63E8">
      <w:pPr>
        <w:pStyle w:val="EntradandiceAuto"/>
      </w:pPr>
      <w:r>
        <w:t>Sección Segunda. Auto 257/1985, de 17 de abril de 1985. Acordando la inadmisión a trámite del recurso de amparo 139/1985</w:t>
      </w:r>
      <w:r>
        <w:tab/>
      </w:r>
      <w:r>
        <w:tab/>
      </w:r>
      <w:r>
        <w:fldChar w:fldCharType="begin"/>
      </w:r>
      <w:r>
        <w:instrText xml:space="preserve"> PAGEREF AUTO_1985_257 \h </w:instrText>
      </w:r>
      <w:r>
        <w:fldChar w:fldCharType="separate"/>
      </w:r>
      <w:r w:rsidR="00CB2978">
        <w:rPr>
          <w:noProof/>
        </w:rPr>
        <w:t>1611</w:t>
      </w:r>
      <w:r>
        <w:fldChar w:fldCharType="end"/>
      </w:r>
    </w:p>
    <w:p w:rsidR="000F63E8" w:rsidRDefault="000F63E8" w:rsidP="000F63E8"/>
    <w:p w:rsidR="000F63E8" w:rsidRDefault="000F63E8" w:rsidP="000F63E8">
      <w:pPr>
        <w:pStyle w:val="EntradandiceAuto"/>
      </w:pPr>
      <w:r>
        <w:t>Sección Cuarta. Auto 258/1985, de 24 de abril de 1985. Acordando haber lugar al desistimiento de los actores en los recursos de amparo 513, 559 y 560/1983 (acumulados)</w:t>
      </w:r>
      <w:r>
        <w:tab/>
      </w:r>
      <w:r>
        <w:tab/>
      </w:r>
      <w:r>
        <w:fldChar w:fldCharType="begin"/>
      </w:r>
      <w:r>
        <w:instrText xml:space="preserve"> PAGEREF AUTO_1985_258 \h </w:instrText>
      </w:r>
      <w:r>
        <w:fldChar w:fldCharType="separate"/>
      </w:r>
      <w:r w:rsidR="00CB2978">
        <w:rPr>
          <w:noProof/>
        </w:rPr>
        <w:t>1616</w:t>
      </w:r>
      <w:r>
        <w:fldChar w:fldCharType="end"/>
      </w:r>
    </w:p>
    <w:p w:rsidR="000F63E8" w:rsidRDefault="000F63E8" w:rsidP="000F63E8"/>
    <w:p w:rsidR="000F63E8" w:rsidRDefault="000F63E8" w:rsidP="000F63E8">
      <w:pPr>
        <w:pStyle w:val="EntradandiceAuto"/>
      </w:pPr>
      <w:r>
        <w:t>Sección Primera. Auto 259/1985, de 24 de abril de 1985. Acordando la inadmisión a trámite del recurso de amparo 161/1984</w:t>
      </w:r>
      <w:r>
        <w:tab/>
      </w:r>
      <w:r>
        <w:tab/>
      </w:r>
      <w:r>
        <w:fldChar w:fldCharType="begin"/>
      </w:r>
      <w:r>
        <w:instrText xml:space="preserve"> PAGEREF AUTO_1985_259 \h </w:instrText>
      </w:r>
      <w:r>
        <w:fldChar w:fldCharType="separate"/>
      </w:r>
      <w:r w:rsidR="00CB2978">
        <w:rPr>
          <w:noProof/>
        </w:rPr>
        <w:t>1618</w:t>
      </w:r>
      <w:r>
        <w:fldChar w:fldCharType="end"/>
      </w:r>
    </w:p>
    <w:p w:rsidR="000F63E8" w:rsidRDefault="000F63E8" w:rsidP="000F63E8"/>
    <w:p w:rsidR="000F63E8" w:rsidRDefault="000F63E8" w:rsidP="000F63E8">
      <w:pPr>
        <w:pStyle w:val="EntradandiceAuto"/>
      </w:pPr>
      <w:r>
        <w:t>Sección Primera. Auto 260/1985, de 24 de abril de 1985. Acordando el archivo de las actuaciones en el procedimiento 239/1984</w:t>
      </w:r>
      <w:r>
        <w:tab/>
      </w:r>
      <w:r>
        <w:tab/>
      </w:r>
      <w:r>
        <w:fldChar w:fldCharType="begin"/>
      </w:r>
      <w:r>
        <w:instrText xml:space="preserve"> PAGEREF AUTO_1985_260 \h </w:instrText>
      </w:r>
      <w:r>
        <w:fldChar w:fldCharType="separate"/>
      </w:r>
      <w:r w:rsidR="00CB2978">
        <w:rPr>
          <w:noProof/>
        </w:rPr>
        <w:t>1623</w:t>
      </w:r>
      <w:r>
        <w:fldChar w:fldCharType="end"/>
      </w:r>
    </w:p>
    <w:p w:rsidR="000F63E8" w:rsidRDefault="000F63E8" w:rsidP="000F63E8"/>
    <w:p w:rsidR="000F63E8" w:rsidRDefault="000F63E8" w:rsidP="000F63E8">
      <w:pPr>
        <w:pStyle w:val="EntradandiceAuto"/>
      </w:pPr>
      <w:r>
        <w:t>Sección Segunda. Auto 261/1985, de 24 de abril de 1985. Acordando la inadmisión a trámite del recurso de amparo 541/1984</w:t>
      </w:r>
      <w:r>
        <w:tab/>
      </w:r>
      <w:r>
        <w:tab/>
      </w:r>
      <w:r>
        <w:fldChar w:fldCharType="begin"/>
      </w:r>
      <w:r>
        <w:instrText xml:space="preserve"> PAGEREF AUTO_1985_261 \h </w:instrText>
      </w:r>
      <w:r>
        <w:fldChar w:fldCharType="separate"/>
      </w:r>
      <w:r w:rsidR="00CB2978">
        <w:rPr>
          <w:noProof/>
        </w:rPr>
        <w:t>1626</w:t>
      </w:r>
      <w:r>
        <w:fldChar w:fldCharType="end"/>
      </w:r>
    </w:p>
    <w:p w:rsidR="000F63E8" w:rsidRDefault="000F63E8" w:rsidP="000F63E8"/>
    <w:p w:rsidR="000F63E8" w:rsidRDefault="000F63E8" w:rsidP="000F63E8">
      <w:pPr>
        <w:pStyle w:val="EntradandiceAuto"/>
      </w:pPr>
      <w:r>
        <w:t>Sección Segunda. Auto 262/1985, de 24 de abril de 1985. Acordando el archivo de las actuaciones en el procedimiento 636/1984</w:t>
      </w:r>
      <w:r>
        <w:tab/>
      </w:r>
      <w:r>
        <w:tab/>
      </w:r>
      <w:r>
        <w:fldChar w:fldCharType="begin"/>
      </w:r>
      <w:r>
        <w:instrText xml:space="preserve"> PAGEREF AUTO_1985_262 \h </w:instrText>
      </w:r>
      <w:r>
        <w:fldChar w:fldCharType="separate"/>
      </w:r>
      <w:r w:rsidR="00CB2978">
        <w:rPr>
          <w:noProof/>
        </w:rPr>
        <w:t>1630</w:t>
      </w:r>
      <w:r>
        <w:fldChar w:fldCharType="end"/>
      </w:r>
    </w:p>
    <w:p w:rsidR="000F63E8" w:rsidRDefault="000F63E8" w:rsidP="000F63E8"/>
    <w:p w:rsidR="000F63E8" w:rsidRDefault="000F63E8" w:rsidP="000F63E8">
      <w:pPr>
        <w:pStyle w:val="EntradandiceAuto"/>
      </w:pPr>
      <w:r>
        <w:t>Sección Primera. Auto 263/1985, de 24 de abril de 1985. Acordando el archivo de las actuaciones en el procedimiento 668/1984</w:t>
      </w:r>
      <w:r>
        <w:tab/>
      </w:r>
      <w:r>
        <w:tab/>
      </w:r>
      <w:r>
        <w:fldChar w:fldCharType="begin"/>
      </w:r>
      <w:r>
        <w:instrText xml:space="preserve"> PAGEREF AUTO_1985_263 \h </w:instrText>
      </w:r>
      <w:r>
        <w:fldChar w:fldCharType="separate"/>
      </w:r>
      <w:r w:rsidR="00CB2978">
        <w:rPr>
          <w:noProof/>
        </w:rPr>
        <w:t>1631</w:t>
      </w:r>
      <w:r>
        <w:fldChar w:fldCharType="end"/>
      </w:r>
    </w:p>
    <w:p w:rsidR="000F63E8" w:rsidRDefault="000F63E8" w:rsidP="000F63E8"/>
    <w:p w:rsidR="000F63E8" w:rsidRDefault="000F63E8" w:rsidP="000F63E8">
      <w:pPr>
        <w:pStyle w:val="EntradandiceAuto"/>
      </w:pPr>
      <w:r>
        <w:lastRenderedPageBreak/>
        <w:t>Sección Segunda. Auto 264/1985, de 24 de abril de 1985. Acordando la inadmisión a trámite del recurso de amparo 831/1984</w:t>
      </w:r>
      <w:r>
        <w:tab/>
      </w:r>
      <w:r>
        <w:tab/>
      </w:r>
      <w:r>
        <w:fldChar w:fldCharType="begin"/>
      </w:r>
      <w:r>
        <w:instrText xml:space="preserve"> PAGEREF AUTO_1985_264 \h </w:instrText>
      </w:r>
      <w:r>
        <w:fldChar w:fldCharType="separate"/>
      </w:r>
      <w:r w:rsidR="00CB2978">
        <w:rPr>
          <w:noProof/>
        </w:rPr>
        <w:t>1632</w:t>
      </w:r>
      <w:r>
        <w:fldChar w:fldCharType="end"/>
      </w:r>
    </w:p>
    <w:p w:rsidR="000F63E8" w:rsidRDefault="000F63E8" w:rsidP="000F63E8"/>
    <w:p w:rsidR="000F63E8" w:rsidRDefault="000F63E8" w:rsidP="000F63E8">
      <w:pPr>
        <w:pStyle w:val="EntradandiceAuto"/>
      </w:pPr>
      <w:r>
        <w:t>Sección Segunda. Auto 265/1985, de 24 de abril de 1985. Acordando la inadmisión a trámite del recurso de amparo 856/1984</w:t>
      </w:r>
      <w:r>
        <w:tab/>
      </w:r>
      <w:r>
        <w:tab/>
      </w:r>
      <w:r>
        <w:fldChar w:fldCharType="begin"/>
      </w:r>
      <w:r>
        <w:instrText xml:space="preserve"> PAGEREF AUTO_1985_265 \h </w:instrText>
      </w:r>
      <w:r>
        <w:fldChar w:fldCharType="separate"/>
      </w:r>
      <w:r w:rsidR="00CB2978">
        <w:rPr>
          <w:noProof/>
        </w:rPr>
        <w:t>1638</w:t>
      </w:r>
      <w:r>
        <w:fldChar w:fldCharType="end"/>
      </w:r>
    </w:p>
    <w:p w:rsidR="000F63E8" w:rsidRDefault="000F63E8" w:rsidP="000F63E8"/>
    <w:p w:rsidR="000F63E8" w:rsidRDefault="000F63E8" w:rsidP="000F63E8">
      <w:pPr>
        <w:pStyle w:val="EntradandiceAuto"/>
      </w:pPr>
      <w:r>
        <w:t>Sección Primera. Auto 266/1985, de 24 de abril de 1985. Acordando la admisión a trámite del recurso de amparo 867/1984</w:t>
      </w:r>
      <w:r>
        <w:tab/>
      </w:r>
      <w:r>
        <w:tab/>
      </w:r>
      <w:r>
        <w:fldChar w:fldCharType="begin"/>
      </w:r>
      <w:r>
        <w:instrText xml:space="preserve"> PAGEREF AUTO_1985_266 \h </w:instrText>
      </w:r>
      <w:r>
        <w:fldChar w:fldCharType="separate"/>
      </w:r>
      <w:r w:rsidR="00CB2978">
        <w:rPr>
          <w:noProof/>
        </w:rPr>
        <w:t>1644</w:t>
      </w:r>
      <w:r>
        <w:fldChar w:fldCharType="end"/>
      </w:r>
    </w:p>
    <w:p w:rsidR="000F63E8" w:rsidRDefault="000F63E8" w:rsidP="000F63E8"/>
    <w:p w:rsidR="000F63E8" w:rsidRDefault="000F63E8" w:rsidP="000F63E8">
      <w:pPr>
        <w:pStyle w:val="EntradandiceAuto"/>
      </w:pPr>
      <w:r>
        <w:t>Sección Segunda. Auto 267/1985, de 24 de abril de 1985. Acordando la inadmisión a trámite del recurso de amparo 869/1984</w:t>
      </w:r>
      <w:r>
        <w:tab/>
      </w:r>
      <w:r>
        <w:tab/>
      </w:r>
      <w:r>
        <w:fldChar w:fldCharType="begin"/>
      </w:r>
      <w:r>
        <w:instrText xml:space="preserve"> PAGEREF AUTO_1985_267 \h </w:instrText>
      </w:r>
      <w:r>
        <w:fldChar w:fldCharType="separate"/>
      </w:r>
      <w:r w:rsidR="00CB2978">
        <w:rPr>
          <w:noProof/>
        </w:rPr>
        <w:t>1647</w:t>
      </w:r>
      <w:r>
        <w:fldChar w:fldCharType="end"/>
      </w:r>
    </w:p>
    <w:p w:rsidR="000F63E8" w:rsidRDefault="000F63E8" w:rsidP="000F63E8"/>
    <w:p w:rsidR="000F63E8" w:rsidRDefault="000F63E8" w:rsidP="000F63E8">
      <w:pPr>
        <w:pStyle w:val="EntradandiceAuto"/>
      </w:pPr>
      <w:r>
        <w:t>Sección Segunda. Auto 268/1985, de 24 de abril de 1985. Acordando la inadmisión a trámite del recurso de amparo 880/1984</w:t>
      </w:r>
      <w:r>
        <w:tab/>
      </w:r>
      <w:r>
        <w:tab/>
      </w:r>
      <w:r>
        <w:fldChar w:fldCharType="begin"/>
      </w:r>
      <w:r>
        <w:instrText xml:space="preserve"> PAGEREF AUTO_1985_268 \h </w:instrText>
      </w:r>
      <w:r>
        <w:fldChar w:fldCharType="separate"/>
      </w:r>
      <w:r w:rsidR="00CB2978">
        <w:rPr>
          <w:noProof/>
        </w:rPr>
        <w:t>1654</w:t>
      </w:r>
      <w:r>
        <w:fldChar w:fldCharType="end"/>
      </w:r>
    </w:p>
    <w:p w:rsidR="000F63E8" w:rsidRDefault="000F63E8" w:rsidP="000F63E8"/>
    <w:p w:rsidR="000F63E8" w:rsidRDefault="000F63E8" w:rsidP="000F63E8">
      <w:pPr>
        <w:pStyle w:val="EntradandiceAuto"/>
      </w:pPr>
      <w:r>
        <w:t>Sección Segunda. Auto 269/1985, de 24 de abril de 1985. Acordando la inadmisión a trámite del recurso de amparo 906/1984</w:t>
      </w:r>
      <w:r>
        <w:tab/>
      </w:r>
      <w:r>
        <w:tab/>
      </w:r>
      <w:r>
        <w:fldChar w:fldCharType="begin"/>
      </w:r>
      <w:r>
        <w:instrText xml:space="preserve"> PAGEREF AUTO_1985_269 \h </w:instrText>
      </w:r>
      <w:r>
        <w:fldChar w:fldCharType="separate"/>
      </w:r>
      <w:r w:rsidR="00CB2978">
        <w:rPr>
          <w:noProof/>
        </w:rPr>
        <w:t>1660</w:t>
      </w:r>
      <w:r>
        <w:fldChar w:fldCharType="end"/>
      </w:r>
    </w:p>
    <w:p w:rsidR="000F63E8" w:rsidRDefault="000F63E8" w:rsidP="000F63E8"/>
    <w:p w:rsidR="000F63E8" w:rsidRDefault="000F63E8" w:rsidP="000F63E8">
      <w:pPr>
        <w:pStyle w:val="EntradandiceAuto"/>
      </w:pPr>
      <w:r>
        <w:t>Sección Segunda. Auto 270/1985, de 24 de abril de 1985. Acordando la inadmisión a trámite del recurso de amparo 917/1984</w:t>
      </w:r>
      <w:r>
        <w:tab/>
      </w:r>
      <w:r>
        <w:tab/>
      </w:r>
      <w:r>
        <w:fldChar w:fldCharType="begin"/>
      </w:r>
      <w:r>
        <w:instrText xml:space="preserve"> PAGEREF AUTO_1985_270 \h </w:instrText>
      </w:r>
      <w:r>
        <w:fldChar w:fldCharType="separate"/>
      </w:r>
      <w:r w:rsidR="00CB2978">
        <w:rPr>
          <w:noProof/>
        </w:rPr>
        <w:t>1663</w:t>
      </w:r>
      <w:r>
        <w:fldChar w:fldCharType="end"/>
      </w:r>
    </w:p>
    <w:p w:rsidR="000F63E8" w:rsidRDefault="000F63E8" w:rsidP="000F63E8"/>
    <w:p w:rsidR="000F63E8" w:rsidRDefault="000F63E8" w:rsidP="000F63E8">
      <w:pPr>
        <w:pStyle w:val="EntradandiceAuto"/>
      </w:pPr>
      <w:r>
        <w:t>Sección Segunda. Auto 271/1985, de 24 de abril de 1985. Acordando la inadmisión a trámite del recurso de amparo 924/1984</w:t>
      </w:r>
      <w:r>
        <w:tab/>
      </w:r>
      <w:r>
        <w:tab/>
      </w:r>
      <w:r>
        <w:fldChar w:fldCharType="begin"/>
      </w:r>
      <w:r>
        <w:instrText xml:space="preserve"> PAGEREF AUTO_1985_271 \h </w:instrText>
      </w:r>
      <w:r>
        <w:fldChar w:fldCharType="separate"/>
      </w:r>
      <w:r w:rsidR="00CB2978">
        <w:rPr>
          <w:noProof/>
        </w:rPr>
        <w:t>1668</w:t>
      </w:r>
      <w:r>
        <w:fldChar w:fldCharType="end"/>
      </w:r>
    </w:p>
    <w:p w:rsidR="000F63E8" w:rsidRDefault="000F63E8" w:rsidP="000F63E8"/>
    <w:p w:rsidR="000F63E8" w:rsidRDefault="000F63E8" w:rsidP="000F63E8">
      <w:pPr>
        <w:pStyle w:val="EntradandiceAuto"/>
      </w:pPr>
      <w:r>
        <w:t>Sección Segunda. Auto 272/1985, de 24 de abril de 1985. Acordando la inadmisión a trámite del recurso de amparo 2/1985</w:t>
      </w:r>
      <w:r>
        <w:tab/>
      </w:r>
      <w:r>
        <w:tab/>
      </w:r>
      <w:r>
        <w:fldChar w:fldCharType="begin"/>
      </w:r>
      <w:r>
        <w:instrText xml:space="preserve"> PAGEREF AUTO_1985_272 \h </w:instrText>
      </w:r>
      <w:r>
        <w:fldChar w:fldCharType="separate"/>
      </w:r>
      <w:r w:rsidR="00CB2978">
        <w:rPr>
          <w:noProof/>
        </w:rPr>
        <w:t>1671</w:t>
      </w:r>
      <w:r>
        <w:fldChar w:fldCharType="end"/>
      </w:r>
    </w:p>
    <w:p w:rsidR="000F63E8" w:rsidRDefault="000F63E8" w:rsidP="000F63E8"/>
    <w:p w:rsidR="000F63E8" w:rsidRDefault="000F63E8" w:rsidP="000F63E8">
      <w:pPr>
        <w:pStyle w:val="EntradandiceAuto"/>
      </w:pPr>
      <w:r>
        <w:t>Sección Segunda. Auto 273/1985, de 24 de abril de 1985. Acordando la inadmisión a trámite del recurso de amparo 23/1985</w:t>
      </w:r>
      <w:r>
        <w:tab/>
      </w:r>
      <w:r>
        <w:tab/>
      </w:r>
      <w:r>
        <w:fldChar w:fldCharType="begin"/>
      </w:r>
      <w:r>
        <w:instrText xml:space="preserve"> PAGEREF AUTO_1985_273 \h </w:instrText>
      </w:r>
      <w:r>
        <w:fldChar w:fldCharType="separate"/>
      </w:r>
      <w:r w:rsidR="00CB2978">
        <w:rPr>
          <w:noProof/>
        </w:rPr>
        <w:t>1678</w:t>
      </w:r>
      <w:r>
        <w:fldChar w:fldCharType="end"/>
      </w:r>
    </w:p>
    <w:p w:rsidR="000F63E8" w:rsidRDefault="000F63E8" w:rsidP="000F63E8"/>
    <w:p w:rsidR="000F63E8" w:rsidRDefault="000F63E8" w:rsidP="000F63E8">
      <w:pPr>
        <w:pStyle w:val="EntradandiceAuto"/>
      </w:pPr>
      <w:r>
        <w:t>Sección Segunda. Auto 274/1985, de 24 de abril de 1985. Acordando el archivo de las actuaciones en el procedimiento 34/1985</w:t>
      </w:r>
      <w:r>
        <w:tab/>
      </w:r>
      <w:r>
        <w:tab/>
      </w:r>
      <w:r>
        <w:fldChar w:fldCharType="begin"/>
      </w:r>
      <w:r>
        <w:instrText xml:space="preserve"> PAGEREF AUTO_1985_274 \h </w:instrText>
      </w:r>
      <w:r>
        <w:fldChar w:fldCharType="separate"/>
      </w:r>
      <w:r w:rsidR="00CB2978">
        <w:rPr>
          <w:noProof/>
        </w:rPr>
        <w:t>1683</w:t>
      </w:r>
      <w:r>
        <w:fldChar w:fldCharType="end"/>
      </w:r>
    </w:p>
    <w:p w:rsidR="000F63E8" w:rsidRDefault="000F63E8" w:rsidP="000F63E8"/>
    <w:p w:rsidR="000F63E8" w:rsidRDefault="000F63E8" w:rsidP="000F63E8">
      <w:pPr>
        <w:pStyle w:val="EntradandiceAuto"/>
      </w:pPr>
      <w:r>
        <w:t>Sección Segunda. Auto 275/1985, de 24 de abril de 1985. Acordando la inadmisión a trámite del recurso de amparo 105/1985</w:t>
      </w:r>
      <w:r>
        <w:tab/>
      </w:r>
      <w:r>
        <w:tab/>
      </w:r>
      <w:r>
        <w:fldChar w:fldCharType="begin"/>
      </w:r>
      <w:r>
        <w:instrText xml:space="preserve"> PAGEREF AUTO_1985_275 \h </w:instrText>
      </w:r>
      <w:r>
        <w:fldChar w:fldCharType="separate"/>
      </w:r>
      <w:r w:rsidR="00CB2978">
        <w:rPr>
          <w:noProof/>
        </w:rPr>
        <w:t>1685</w:t>
      </w:r>
      <w:r>
        <w:fldChar w:fldCharType="end"/>
      </w:r>
    </w:p>
    <w:p w:rsidR="000F63E8" w:rsidRDefault="000F63E8" w:rsidP="000F63E8"/>
    <w:p w:rsidR="000F63E8" w:rsidRDefault="000F63E8" w:rsidP="000F63E8">
      <w:pPr>
        <w:pStyle w:val="EntradandiceAuto"/>
      </w:pPr>
      <w:r>
        <w:t>Sección Cuarta. Auto 276/1985, de 24 de abril de 1985. Acordando la inadmisión a trámite del recurso de amparo 106/1985</w:t>
      </w:r>
      <w:r>
        <w:tab/>
      </w:r>
      <w:r>
        <w:tab/>
      </w:r>
      <w:r>
        <w:fldChar w:fldCharType="begin"/>
      </w:r>
      <w:r>
        <w:instrText xml:space="preserve"> PAGEREF AUTO_1985_276 \h </w:instrText>
      </w:r>
      <w:r>
        <w:fldChar w:fldCharType="separate"/>
      </w:r>
      <w:r w:rsidR="00CB2978">
        <w:rPr>
          <w:noProof/>
        </w:rPr>
        <w:t>1689</w:t>
      </w:r>
      <w:r>
        <w:fldChar w:fldCharType="end"/>
      </w:r>
    </w:p>
    <w:p w:rsidR="000F63E8" w:rsidRDefault="000F63E8" w:rsidP="000F63E8"/>
    <w:p w:rsidR="000F63E8" w:rsidRDefault="000F63E8" w:rsidP="000F63E8">
      <w:pPr>
        <w:pStyle w:val="EntradandiceAuto"/>
      </w:pPr>
      <w:r>
        <w:t>Sala Primera. Auto 277/1985, de 24 de abril de 1985. Acordando la suspensión de la ejecución del acto que origina el recurso de amparo 116/1985</w:t>
      </w:r>
      <w:r>
        <w:tab/>
      </w:r>
      <w:r>
        <w:tab/>
      </w:r>
      <w:r>
        <w:fldChar w:fldCharType="begin"/>
      </w:r>
      <w:r>
        <w:instrText xml:space="preserve"> PAGEREF AUTO_1985_277 \h </w:instrText>
      </w:r>
      <w:r>
        <w:fldChar w:fldCharType="separate"/>
      </w:r>
      <w:r w:rsidR="00CB2978">
        <w:rPr>
          <w:noProof/>
        </w:rPr>
        <w:t>1691</w:t>
      </w:r>
      <w:r>
        <w:fldChar w:fldCharType="end"/>
      </w:r>
    </w:p>
    <w:p w:rsidR="000F63E8" w:rsidRDefault="000F63E8" w:rsidP="000F63E8"/>
    <w:p w:rsidR="000F63E8" w:rsidRDefault="000F63E8" w:rsidP="000F63E8">
      <w:pPr>
        <w:pStyle w:val="EntradandiceAuto"/>
      </w:pPr>
      <w:r>
        <w:t>Sección Cuarta. Auto 278/1985, de 24 de abril de 1985. Acordando la inadmisión a trámite del recurso de amparo 119/1985</w:t>
      </w:r>
      <w:r>
        <w:tab/>
      </w:r>
      <w:r>
        <w:tab/>
      </w:r>
      <w:r>
        <w:fldChar w:fldCharType="begin"/>
      </w:r>
      <w:r>
        <w:instrText xml:space="preserve"> PAGEREF AUTO_1985_278 \h </w:instrText>
      </w:r>
      <w:r>
        <w:fldChar w:fldCharType="separate"/>
      </w:r>
      <w:r w:rsidR="00CB2978">
        <w:rPr>
          <w:noProof/>
        </w:rPr>
        <w:t>1696</w:t>
      </w:r>
      <w:r>
        <w:fldChar w:fldCharType="end"/>
      </w:r>
    </w:p>
    <w:p w:rsidR="000F63E8" w:rsidRDefault="000F63E8" w:rsidP="000F63E8"/>
    <w:p w:rsidR="000F63E8" w:rsidRDefault="000F63E8" w:rsidP="000F63E8">
      <w:pPr>
        <w:pStyle w:val="EntradandiceAuto"/>
      </w:pPr>
      <w:r>
        <w:t>Sección Primera. Auto 279/1985, de 24 de abril de 1985. Acordando la inadmisión a trámite del recurso de amparo 120/1985</w:t>
      </w:r>
      <w:r>
        <w:tab/>
      </w:r>
      <w:r>
        <w:tab/>
      </w:r>
      <w:r>
        <w:fldChar w:fldCharType="begin"/>
      </w:r>
      <w:r>
        <w:instrText xml:space="preserve"> PAGEREF AUTO_1985_279 \h </w:instrText>
      </w:r>
      <w:r>
        <w:fldChar w:fldCharType="separate"/>
      </w:r>
      <w:r w:rsidR="00CB2978">
        <w:rPr>
          <w:noProof/>
        </w:rPr>
        <w:t>1701</w:t>
      </w:r>
      <w:r>
        <w:fldChar w:fldCharType="end"/>
      </w:r>
    </w:p>
    <w:p w:rsidR="000F63E8" w:rsidRDefault="000F63E8" w:rsidP="000F63E8"/>
    <w:p w:rsidR="000F63E8" w:rsidRDefault="000F63E8" w:rsidP="000F63E8">
      <w:pPr>
        <w:pStyle w:val="EntradandiceAuto"/>
      </w:pPr>
      <w:r>
        <w:t>Sección Cuarta. Auto 280/1985, de 24 de abril de 1985. Acordando la inadmisión a trámite del recurso de amparo 153/1985</w:t>
      </w:r>
      <w:r>
        <w:tab/>
      </w:r>
      <w:r>
        <w:tab/>
      </w:r>
      <w:r>
        <w:fldChar w:fldCharType="begin"/>
      </w:r>
      <w:r>
        <w:instrText xml:space="preserve"> PAGEREF AUTO_1985_280 \h </w:instrText>
      </w:r>
      <w:r>
        <w:fldChar w:fldCharType="separate"/>
      </w:r>
      <w:r w:rsidR="00CB2978">
        <w:rPr>
          <w:noProof/>
        </w:rPr>
        <w:t>1704</w:t>
      </w:r>
      <w:r>
        <w:fldChar w:fldCharType="end"/>
      </w:r>
    </w:p>
    <w:p w:rsidR="000F63E8" w:rsidRDefault="000F63E8" w:rsidP="000F63E8"/>
    <w:p w:rsidR="000F63E8" w:rsidRDefault="000F63E8" w:rsidP="000F63E8">
      <w:pPr>
        <w:pStyle w:val="EntradandiceAuto"/>
      </w:pPr>
      <w:r>
        <w:t>Sección Segunda. Auto 281/1985, de 24 de abril de 1985. Acordando el archivo de las actuaciones en el procedimiento 191/1985</w:t>
      </w:r>
      <w:r>
        <w:tab/>
      </w:r>
      <w:r>
        <w:tab/>
      </w:r>
      <w:r>
        <w:fldChar w:fldCharType="begin"/>
      </w:r>
      <w:r>
        <w:instrText xml:space="preserve"> PAGEREF AUTO_1985_281 \h </w:instrText>
      </w:r>
      <w:r>
        <w:fldChar w:fldCharType="separate"/>
      </w:r>
      <w:r w:rsidR="00CB2978">
        <w:rPr>
          <w:noProof/>
        </w:rPr>
        <w:t>1708</w:t>
      </w:r>
      <w:r>
        <w:fldChar w:fldCharType="end"/>
      </w:r>
    </w:p>
    <w:p w:rsidR="000F63E8" w:rsidRDefault="000F63E8" w:rsidP="000F63E8"/>
    <w:p w:rsidR="000F63E8" w:rsidRDefault="000F63E8" w:rsidP="000F63E8">
      <w:pPr>
        <w:pStyle w:val="EntradandiceAuto"/>
      </w:pPr>
      <w:r>
        <w:t>Pleno. Auto 282/1985, de 30 de abril de 1985. Ratificando la suspensión previamente acordada, del art. 2 k) del Decreto 240/1984, del Gobierno Vasco, en el conflicto positivo de competencia 777/1984</w:t>
      </w:r>
      <w:r>
        <w:tab/>
      </w:r>
      <w:r>
        <w:tab/>
      </w:r>
      <w:r>
        <w:fldChar w:fldCharType="begin"/>
      </w:r>
      <w:r>
        <w:instrText xml:space="preserve"> PAGEREF AUTO_1985_282 \h </w:instrText>
      </w:r>
      <w:r>
        <w:fldChar w:fldCharType="separate"/>
      </w:r>
      <w:r w:rsidR="00CB2978">
        <w:rPr>
          <w:noProof/>
        </w:rPr>
        <w:t>1710</w:t>
      </w:r>
      <w:r>
        <w:fldChar w:fldCharType="end"/>
      </w:r>
    </w:p>
    <w:p w:rsidR="000F63E8" w:rsidRDefault="000F63E8" w:rsidP="000F63E8"/>
    <w:p w:rsidR="000F63E8" w:rsidRDefault="000F63E8" w:rsidP="000F63E8">
      <w:pPr>
        <w:pStyle w:val="EntradandiceAuto"/>
      </w:pPr>
      <w:r>
        <w:t>Pleno. Auto 283/1985, de 30 de abril de 1985. Levantando la suspensión, previamente acordada, del art. 3, párrafo 2.º, del Decreto 587/1984, de la Comunidad Autónoma de Canarias, en el conflicto positivo de competencia 842/1984</w:t>
      </w:r>
      <w:r>
        <w:tab/>
      </w:r>
      <w:r>
        <w:tab/>
      </w:r>
      <w:r>
        <w:fldChar w:fldCharType="begin"/>
      </w:r>
      <w:r>
        <w:instrText xml:space="preserve"> PAGEREF AUTO_1985_283 \h </w:instrText>
      </w:r>
      <w:r>
        <w:fldChar w:fldCharType="separate"/>
      </w:r>
      <w:r w:rsidR="00CB2978">
        <w:rPr>
          <w:noProof/>
        </w:rPr>
        <w:t>1712</w:t>
      </w:r>
      <w:r>
        <w:fldChar w:fldCharType="end"/>
      </w:r>
    </w:p>
    <w:p w:rsidR="000F63E8" w:rsidRDefault="000F63E8" w:rsidP="000F63E8"/>
    <w:p w:rsidR="000F63E8" w:rsidRDefault="000F63E8" w:rsidP="000F63E8">
      <w:pPr>
        <w:pStyle w:val="EntradandiceAuto"/>
      </w:pPr>
      <w:r>
        <w:t>Pleno. Auto 284/1985, de 30 de abril de 1985. Denegando la suspensión, solicitada por la Comunidad Autónoma de Galicia, de la Resolución de 26 de noviembre de 1984, de la Dirección General de Industrias Siderometalúrgicas y Navales, del Ministerio de Industria y Energía, en el conflicto positivo de competencia 209/1985</w:t>
      </w:r>
      <w:r>
        <w:tab/>
      </w:r>
      <w:r>
        <w:tab/>
      </w:r>
      <w:r>
        <w:fldChar w:fldCharType="begin"/>
      </w:r>
      <w:r>
        <w:instrText xml:space="preserve"> PAGEREF AUTO_1985_284 \h </w:instrText>
      </w:r>
      <w:r>
        <w:fldChar w:fldCharType="separate"/>
      </w:r>
      <w:r w:rsidR="00CB2978">
        <w:rPr>
          <w:noProof/>
        </w:rPr>
        <w:t>1715</w:t>
      </w:r>
      <w:r>
        <w:fldChar w:fldCharType="end"/>
      </w:r>
    </w:p>
    <w:p w:rsidR="000F63E8" w:rsidRDefault="000F63E8">
      <w:r>
        <w:br w:type="page"/>
      </w:r>
    </w:p>
    <w:p w:rsidR="000F63E8" w:rsidRDefault="000F63E8" w:rsidP="001C705E"/>
    <w:p w:rsidR="000F63E8" w:rsidRDefault="000F63E8" w:rsidP="001C705E"/>
    <w:p w:rsidR="001C705E" w:rsidRDefault="001C705E" w:rsidP="001C705E"/>
    <w:p w:rsidR="001C705E" w:rsidRDefault="001C705E" w:rsidP="001C705E"/>
    <w:p w:rsidR="001C705E" w:rsidRDefault="001C705E" w:rsidP="001C705E"/>
    <w:p w:rsidR="001C705E" w:rsidRDefault="001C705E" w:rsidP="001C705E"/>
    <w:p w:rsidR="001C705E" w:rsidRDefault="001C705E" w:rsidP="001C705E"/>
    <w:p w:rsidR="001C705E" w:rsidRDefault="001C705E" w:rsidP="001C705E"/>
    <w:p w:rsidR="001C705E" w:rsidRDefault="001C705E" w:rsidP="001C705E">
      <w:pPr>
        <w:pStyle w:val="CabeceraApartado"/>
      </w:pPr>
      <w:r>
        <w:t>SENTENCIAS</w:t>
      </w:r>
    </w:p>
    <w:p w:rsidR="001C705E" w:rsidRDefault="001C705E">
      <w:pPr>
        <w:rPr>
          <w:rFonts w:ascii="Times New Roman" w:eastAsia="Times New Roman" w:hAnsi="Times New Roman" w:cs="Times New Roman"/>
          <w:sz w:val="48"/>
          <w:szCs w:val="24"/>
          <w:lang w:eastAsia="es-ES"/>
        </w:rPr>
      </w:pPr>
      <w:r>
        <w:br w:type="page"/>
      </w:r>
    </w:p>
    <w:p w:rsidR="001C705E" w:rsidRDefault="001C705E" w:rsidP="001C705E">
      <w:pPr>
        <w:pStyle w:val="TtuloResolucin"/>
      </w:pPr>
      <w:bookmarkStart w:id="4" w:name="SENTENCIA_1985_1"/>
      <w:r>
        <w:lastRenderedPageBreak/>
        <w:t>SENTENCIA 1/1985, de 9 de enero de 1985</w:t>
      </w:r>
    </w:p>
    <w:bookmarkEnd w:id="4"/>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ECLI:ES:TC:1985:1</w:t>
      </w:r>
    </w:p>
    <w:p w:rsidR="001C705E" w:rsidRDefault="001C705E" w:rsidP="001C705E">
      <w:pPr>
        <w:pStyle w:val="SntesisDescriptiva"/>
      </w:pPr>
    </w:p>
    <w:p w:rsidR="001C705E" w:rsidRDefault="001C705E" w:rsidP="001C705E">
      <w:pPr>
        <w:pStyle w:val="SntesisDescriptiva"/>
      </w:pPr>
      <w:r>
        <w:t>Recurso de amparo 806/1983. Deber procesal de investigación del Juez de instrucción en supuesto de denuncia de hechos violatorios de derechos fundamentales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No habiendo propuesta de diligencias instructorias por el Ministerio Fiscal o por la parte acusadora, podrá decirse que la actuación «ex officio» del Juez no fue completa o exhaustiva; pero, si los denunciantes fueron admitidos como «partes», no podrá afirmarse que se haya desconocido el derecho de todo ciudadano y, en particular, del perjudicado por el delito, a promover la instrucción o el derecho a la prueba. </w:t>
      </w:r>
    </w:p>
    <w:p w:rsidR="001C705E" w:rsidRDefault="001C705E" w:rsidP="001C705E">
      <w:pPr>
        <w:pStyle w:val="Extracto"/>
      </w:pPr>
    </w:p>
    <w:p w:rsidR="001C705E" w:rsidRDefault="001C705E" w:rsidP="001C705E">
      <w:pPr>
        <w:pStyle w:val="Extracto"/>
      </w:pPr>
      <w:r>
        <w:t>2.</w:t>
      </w:r>
      <w:r>
        <w:tab/>
        <w:t xml:space="preserve">El Juez tiene, en la instrucción, una indeclinable función, en los términos que establecen los preceptos que organizan el sumario, y que no puede dejar de ejercer, aunque el Ministerio Fiscal y las partes tengan la carga de instar lo procedente a los efectos instructorios. </w:t>
      </w:r>
    </w:p>
    <w:p w:rsidR="001C705E" w:rsidRDefault="001C705E" w:rsidP="001C705E">
      <w:pPr>
        <w:pStyle w:val="Extracto"/>
      </w:pPr>
    </w:p>
    <w:p w:rsidR="001C705E" w:rsidRDefault="001C705E" w:rsidP="001C705E">
      <w:pPr>
        <w:pStyle w:val="Extracto"/>
      </w:pPr>
      <w:r>
        <w:t>3.</w:t>
      </w:r>
      <w:r>
        <w:tab/>
        <w:t xml:space="preserve">No vulnera el art. 24.1 de la C.E. la resolución de archivo de las actuaciones si el Juez de Instrucción realizó diligencias que consideró suficientes y no le fueron propuestas otras por los que ejercieron la acusación. </w:t>
      </w:r>
    </w:p>
    <w:p w:rsidR="001C705E" w:rsidRDefault="001C705E" w:rsidP="001C705E">
      <w:pPr>
        <w:pStyle w:val="Extracto"/>
      </w:pPr>
    </w:p>
    <w:p w:rsidR="001C705E" w:rsidRDefault="001C705E" w:rsidP="001C705E">
      <w:pPr>
        <w:pStyle w:val="Extracto"/>
      </w:pPr>
      <w:r>
        <w:t>4.</w:t>
      </w:r>
      <w:r>
        <w:tab/>
        <w:t xml:space="preserve">Declarados unos hechos concretos ante el Juez de Instrucción, referentes a la violación del domicilio del demandante, la falta de toda instrucción al respecto priva al perjudicado de una garantía procesal constitucionalizada en el art. 24. 1, pues su derecho a la protección penal frente a una supuesta violación de domicilio no ha obtenido la tutela jurisdiccional. Tal garantía procesal penal comprende no sólo el derecho a promover y a participar en la causa, sino también a que el Juez de Instrucción, de oficio, realice la investigación que el caso requiera. </w:t>
      </w:r>
    </w:p>
    <w:p w:rsidR="001C705E" w:rsidRDefault="001C705E" w:rsidP="001C705E">
      <w:pPr>
        <w:pStyle w:val="Extracto"/>
      </w:pPr>
    </w:p>
    <w:p w:rsidR="001C705E" w:rsidRDefault="001C705E" w:rsidP="001C705E">
      <w:pPr>
        <w:pStyle w:val="Extracto"/>
      </w:pPr>
      <w:r>
        <w:t>5.</w:t>
      </w:r>
      <w:r>
        <w:tab/>
        <w:t xml:space="preserve">Esta garantía adquiere extremada relevancia cuando se trata de la protección de los derechos o libertades fundamentales, respecto de los cuales nada es trivial o inimportante.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lastRenderedPageBreak/>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promovido por doña María Dolores Gutiérrez de Frutos y doña María Luisa Ortuño Martínez, representadas por la Procuradora doña Rosina Montes Agustí y dirigidas por Letrado, contra Auto de la Audiencia Provincial de Madrid, Sección Segunda, de fecha 6 de octubre de 1983, recaído en apelación contra Auto del Juzgado de Instrucción número 4, también de Madrid, de fecha 9 de mayo de 1983, en diligencias previas penales, habiendo actuado el Ministerio Fiscal y siendo Ponente el Presidente de la Sala, don Jerónimo Arozamena Sierra, quien expresa el parecer de la misma.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La Procuradora doña Rosina Montes Agustí, en nombre de doña María Dolores Gutiérrez de Frutos y doña María Luisa Ortuño Martínez, interpuso el presente recurso de amparo el día 5 de diciembre de 1985, dirigiéndolo contra el Auto de la Audiencia Provincial, Sección Segunda, de Madrid, que confirmó el del Juzgado de Instrucción núm. 4, también de Madrid, de 18 de junio de 1983, recaído en diligencias previas y aquél en recurso de apelación. </w:t>
      </w:r>
    </w:p>
    <w:p w:rsidR="001C705E" w:rsidRDefault="001C705E" w:rsidP="001C705E">
      <w:pPr>
        <w:pStyle w:val="TextoNormal"/>
      </w:pPr>
      <w:r>
        <w:t xml:space="preserve">Como hechos de interés, según lo que resulta de las actuaciones, se expresan los siguientes: </w:t>
      </w:r>
    </w:p>
    <w:p w:rsidR="001C705E" w:rsidRDefault="001C705E" w:rsidP="001C705E">
      <w:pPr>
        <w:pStyle w:val="TextoNormal"/>
      </w:pPr>
      <w:r>
        <w:t xml:space="preserve">A) Doña María Dolores Gutiérrez de Frutos y doña María Luisa Ortuño Martínez denunciaron ante el Juzgado de Guardia, por si fueran constitutivos de delito, que el día 6 de abril la Policía acordonó el barrio del Pilar y registraron numerosas viviendas; y en algunos casos, ante la negativa de los moradores a que se efectuaran los registros, se les comunicaba que o bien no era necesario mandamiento judicial o que se obtendría este mandamiento en plazo de minutos; y que según fuentes periodistas hay indicios de que los mandamientos se otorgaron en blanco. </w:t>
      </w:r>
    </w:p>
    <w:p w:rsidR="001C705E" w:rsidRDefault="001C705E" w:rsidP="001C705E">
      <w:pPr>
        <w:pStyle w:val="TextoNormal"/>
      </w:pPr>
      <w:r>
        <w:t xml:space="preserve">B) Ratificadas las denunciantes y ampliado por una de ellas (la señora Gutiérrez de Frutos) que en su domicilio, estando sólo unos menores, entraron unos Policías y registraron la vivienda, y que también entraron en otro donde sólo estaban unos albañiles realizando reparaciones, y una vez personadas por medio de Procurador, con poder al efecto, e incorporada como única actuación un informe de la Jefatura Superior de Policía, se dispuso el archivo de las diligencias. Contra el Auto de archivo interpusieron las recurrentes recurso de reforma y, subsidiariamente, de apelación, y desestimado aquél, y elevadas las actuaciones a la Audiencia Provincial, ésta, por Auto del 6 de octubre de 1983, desestimó la apelación y confirmó en todas sus partes la resolución recurrida. </w:t>
      </w:r>
    </w:p>
    <w:p w:rsidR="001C705E" w:rsidRDefault="001C705E" w:rsidP="001C705E">
      <w:pPr>
        <w:pStyle w:val="TextoNormal"/>
      </w:pPr>
      <w:r>
        <w:t>Alegan las recurrentes que con tales resoluciones se ha violado el art. 24.1 de la C.E., por cuanto se les han privado de los medios para la tutela efectiva de los derechos e intereses legítimos, señalando que estos intereses y derechos son el reconocido en el art. 18.1 y 2 de la Constitución (en lo sucesivo C.E.) en cuanto a su domicilio; el general de la intimidad y domicilio de todos los ciudadanos; y el de los menores, hijos de una de las recu</w:t>
      </w:r>
      <w:r>
        <w:lastRenderedPageBreak/>
        <w:t xml:space="preserve">rrentes. Consideran que los hechos denunciados eran constitutivos de delito y que, respecto de los mismos, no se ha efectuado una investigación o diligencias requeridas. </w:t>
      </w:r>
    </w:p>
    <w:p w:rsidR="001C705E" w:rsidRDefault="001C705E" w:rsidP="001C705E">
      <w:pPr>
        <w:pStyle w:val="TextoNormal"/>
      </w:pPr>
      <w:r>
        <w:t>Solicitan que se anulen los Autos de 6 de octubre de 1983 de la Audiencia Provincial de Madrid y el de archivo dictado por el Juez de Instrucción y se repongan las actuaciones procesales penales al «momento en que se conculcaron los derechos constitucionales que se denuncian».</w:t>
      </w:r>
    </w:p>
    <w:p w:rsidR="001C705E" w:rsidRDefault="001C705E" w:rsidP="001C705E">
      <w:pPr>
        <w:pStyle w:val="TextoNormal"/>
      </w:pPr>
    </w:p>
    <w:p w:rsidR="001C705E" w:rsidRDefault="001C705E" w:rsidP="001C705E">
      <w:pPr>
        <w:pStyle w:val="TextoNormal"/>
      </w:pPr>
      <w:r w:rsidRPr="001C705E">
        <w:rPr>
          <w:rStyle w:val="NumeroAFNegritaCaracter"/>
        </w:rPr>
        <w:t>2</w:t>
      </w:r>
      <w:r>
        <w:t>. Después de una fase de admisión, en la que pusieron de manifiesto las posibles causas del art. 51.1 b), en relación con el art. 49.2 b), y del art. 50.2 b), y en la que el Ministerio Fiscal entendió que debía declararse la inadmisión del recurso y las actoras subsanaron la omisión del art. 49.2 b), y formularon alegaciones sobre la otra causa, la Sección admitió el recurso el 22 de febrero de 1984 y dio cumplimiento a lo que disponen los arts. 51 y 52, dando vista de las actuaciones a las recurrentes, que ratificaron la demanda, y al Ministerio Fiscal, que presentó sus alegaciones, quedando así concluidas y pendientes de deliberación y votación.</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El Ministerio Fiscal pidió que se desestimara el amparo, en virtud de las siguientes alegaciones: </w:t>
      </w:r>
    </w:p>
    <w:p w:rsidR="001C705E" w:rsidRDefault="001C705E" w:rsidP="001C705E">
      <w:pPr>
        <w:pStyle w:val="TextoNormal"/>
      </w:pPr>
      <w:r>
        <w:t xml:space="preserve">A) Los motivos del amparo se reducen a dos: tutela judicial efectiva (art. 24. 1) e inviolabilidad del domicilio (art. 18.1 y 2). El art. 24.1 C. E. reconoce el derecho a obtener «la tutela efectiva de los Jueces y Tribunales», pero no el derecho a obtener una resolución favorable, comporta, en síntesis, el acceso al proceso, las dos instancias, y que no se excluya el conocimiento de las pretensiones en razón de su fundamento obtenido, en definitiva, de los órganos judiciales una resolución fundada y motivada. </w:t>
      </w:r>
    </w:p>
    <w:p w:rsidR="001C705E" w:rsidRDefault="001C705E" w:rsidP="001C705E">
      <w:pPr>
        <w:pStyle w:val="TextoNormal"/>
      </w:pPr>
      <w:r>
        <w:t xml:space="preserve">B) Parecen convenientes o tal vez imprescindibles unas reflexiones en triple dirección: la misión de las fuerzas de seguridad del Estado, las circunstancias de lugar y tiempo de los hechos y una exégesis sucinta de nuestro derecho positivo vigente, sobre la protección al domicilio y sus limitaciones. La misión de las fuerzas y cuerpos de la seguridad del Estado es proteger los derechos y libertades y garantizar la seguridad ciudadana. La acción terrorista es la más radical negación de las libertades y la actuación policial, en lucha contra ella, su defensa, en necesaria respuesta, tanto más en un caso como el cuestionado en que se trataba nada menos que rescatar a una persona secuestrada, cuya vida corría evidente peligro, y descubrir y detener a los terroristas. No se pretende decir que en esas circunstancias las autoridades gubernativas, pese a su gran responsabilidad y el dramatismo del momento, pudieran actuar arbitrariamente, pero tampoco puede desconocerse en lo humano la fortísima tensión emocional que vivía la sociedad entera, y en primera línea los policías, que tenían que restablecer el grave quebranto de la acción terrorista en la conciencia y en la seguridad ciudadanas. </w:t>
      </w:r>
    </w:p>
    <w:p w:rsidR="001C705E" w:rsidRDefault="001C705E" w:rsidP="001C705E">
      <w:pPr>
        <w:pStyle w:val="TextoNormal"/>
      </w:pPr>
      <w:r>
        <w:t xml:space="preserve">C) Las recurrentes alegan, además, agravio a los derechos fundamentales consagrados en los núms. 1 y 2 del art. 18 C.E., pero la invocación del derecho a la intimidad o es retórica, o está implícita en la inviolabilidad del domicilio, que también alegan y principalmente, por lo que incurren en petición de principio: se viola la intimidad personal y familiar porque no se respeta el domicilio, o porque se viola el domicilio, no se respeta la intimidad personal y familiar. Si el supuesto agravio fuera constitutivo de delito, el de la intimidad estaría solapado en el de la inviolabilidad domiciliaria, y los dos de alguna manera limitados. Como dice la Sentencia de 12 de junio de 1984 de este Tribunal (RA 336/1983), «las garantías de los derechos fundamentales tiene en la Ley 62/1978, de 26 de diciembre, una triple dimensión, correspondiendo a la civil el carácter de ordinaria y plena para el </w:t>
      </w:r>
      <w:r>
        <w:lastRenderedPageBreak/>
        <w:t xml:space="preserve">conocimiento de las reclamaciones que se formulan respecto a las lesiones en las que el autor tenga la condición de particular. En el presente caso, por el contrario, el recurrente optó por formular querella, y en ello limitó las posibilidades de la tutela judicial otorgable». Bastaría esta reflexión para anticipar el fracaso de lo que se pretende en el amparo, se detiene a continuación, en el comentario del núm. 2 del art. 18. </w:t>
      </w:r>
    </w:p>
    <w:p w:rsidR="001C705E" w:rsidRDefault="001C705E" w:rsidP="001C705E">
      <w:pPr>
        <w:pStyle w:val="TextoNormal"/>
      </w:pPr>
      <w:r>
        <w:t xml:space="preserve">D) El Auto de la Audiencia confirmando el de archivo dictado por el Juzgado por estimar que los hechos no son constitutivos de delito, no vulneró el art. 24. 1 de C.E. Las recurrentes tuvieron acceso al proceso, incoado a consecuencia de su denuncia y la garantía de la segunda instancia, como exige el art. 14.5 del Pacto de Nueva York de 1966, y obtuvieron resolución judicial razonada y fundada en derecho. Los órganos judiciales, en suma, actuaron conforme a su cometido constitucional, valorando si los hechos eran o no constitutivos de delito y llegando a una conclusión negativa, lo que parece inobjetable. Queda, como es inevitable, la discrepancia con el resultado, lo que no es base suficiente, en una sociedad democrática, para impetrar un amparo constitucional. Así lo resolvieron dos sentencias recientes de este Tribunal: la de 30 de julio de 1983 (RA 300/1982) y la de 12 de junio de 1984 (RA 336/1983), dictadas ambas en supuestos semejantes al que aquí se contempla de doble instancia penal y terminación por archivo. </w:t>
      </w:r>
    </w:p>
    <w:p w:rsidR="001C705E" w:rsidRDefault="001C705E" w:rsidP="001C705E">
      <w:pPr>
        <w:pStyle w:val="TextoNormal"/>
      </w:pPr>
      <w:r>
        <w:t>E) Finalmente subraya la inactividad de las recurrentes en un momento decisivo para sus pretensiones de que se practicaran nuevas diligencias de prueba. Al interponer recurso de reforma y apelación subsidiaria contra el Auto del Juzgado que acordó el archivo, se refirieron, en efecto, a la necesidad de practicar determinadas diligencias, para lo cual, precisamente, se pedía su revocación. Sin embargo, en contra de la exigencia terminante del art. 784 L.E.Cr. impuesta a todos los que intervienen en el procedimiento de urgencia de abreviar la tramitación de las causas y de los recursos «mediante una ininterrumpida y rápida actividad procesal» las recurrentes incurrieron en completa pasividad, sólo a ellas imputable, como se lee en el Resultando segundo del Auto de la Audiencia, que es justamente el impugnado en amparo. Dice así mencionado Resultando: «Que previa formación del correspondiente rollo, de Sala para la sustanciación del recurso referido, se confirió el traslado prevenido en el art. 787 de la Ley de Enjuiciamiento Criminal, a las partes, por término común de seis días, transcurriendo dicho plazo sin que por las mismas se hayan presentado escrito alguno de alegaciones».</w:t>
      </w:r>
    </w:p>
    <w:p w:rsidR="001C705E" w:rsidRDefault="001C705E" w:rsidP="001C705E">
      <w:pPr>
        <w:pStyle w:val="TextoNormal"/>
      </w:pPr>
    </w:p>
    <w:p w:rsidR="001C705E" w:rsidRDefault="001C705E" w:rsidP="001C705E">
      <w:pPr>
        <w:pStyle w:val="TextoNormal"/>
      </w:pPr>
      <w:r w:rsidRPr="001C705E">
        <w:rPr>
          <w:rStyle w:val="NumeroAFNegritaCaracter"/>
        </w:rPr>
        <w:t>4</w:t>
      </w:r>
      <w:r>
        <w:t>. Se señaló el presente recurso, por providencia de 17 de octubre último, para deliberación, fijándose el día 12 de diciembre de 1984.</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Para definir en su verdadero significado constitucional el objeto del recurso de amparo del que ahora estamos conociendo, importa señalar, ante todo, que no son los derechos a la inviolabilidad del domicilio (art. 18.2 C.E.)  y del derecho a la intimidad personal (art. 18.1 C.E.)  los que se reputan violados por las resoluciones judiciales -de la jurisdicción penal- contra las que se ha dirigido el recurso. La demanda ha podido inducir a la idea de que el razonamiento de las demandantes se construía entendiendo que se han violado los preceptos constitucionales mencionados y, además, el art. 24.1 en cuanto no se proporcionó por la jurisdicción penal -en la hipótesis del demandante- la garantía procesal penal que los indicados derechos tienen en el ordenamiento procesal, y a esta línea argumental atiende in extenso el análisis que hace el Ministerio Fiscal, respondiendo a lo que </w:t>
      </w:r>
      <w:r>
        <w:lastRenderedPageBreak/>
        <w:t>considera una fundamentación de la demanda montada sobre los alegatos de la violación del art. 18.1 y 2 y del art. 24.1. Si en la posición del Ministerio Fiscal fue razonable examinar el recurso desde estos dos aspectos y estudiar los derechos de inviolabilidad del domicilio y del derecho a la intimidad, aquí no es necesario hacerlo, pues su consideración -en este texto judicial- no viene demandada por exigencias de la congruencia, y además sería prematura, ya que no es el enjuiciamiento de si los indicados derechos han sido vulnerados, y la relevancia penal de esta violación, lo que bien entendido es objeto del presente proceso, sino el derecho al proceso o, en otros términos, el derecho instrumental o reaccional que garantiza -en el caso, desde la vertiente penal la defensa o protección de derechos fundamentales. Podrá decirse que las resoluciones judiciales son o no conforme a derecho, y aun que incurren en la violación constitucional del art.  24.1 (sobre esto trataremos más adelante), pero no que atentan de modo directo a los derechos reconocidos en el art. 18.</w:t>
      </w:r>
    </w:p>
    <w:p w:rsidR="001C705E" w:rsidRDefault="001C705E" w:rsidP="001C705E">
      <w:pPr>
        <w:pStyle w:val="TextoNormal"/>
      </w:pPr>
    </w:p>
    <w:p w:rsidR="001C705E" w:rsidRDefault="001C705E" w:rsidP="001C705E">
      <w:pPr>
        <w:pStyle w:val="TextoNormal"/>
      </w:pPr>
      <w:r w:rsidRPr="001C705E">
        <w:rPr>
          <w:rStyle w:val="NumeroAFNegritaCaracter"/>
        </w:rPr>
        <w:t>2</w:t>
      </w:r>
      <w:r>
        <w:t>. Bien entendido, en el caso planteado lo que se reprocha por los demandantes al Juez de Instrucción y a la Audiencia Provincial es haber dispuesto y confirmado ésta la conclusión mediante la decisión de ««archivo»», de la instrucción abreviada, que como fase preliminar común a todos los tipos procesales de urgencia, introdujo en la L.E.Cr. la Ley de 8 de abril de 1967.  No se cuestiona, pues, el derecho a promover que con amplitud subjetiva tiene sus reglas en la L.E.Cr. (sobre todo, arts. 101 y 110), y tampoco el derecho a participar, en posición acusatoria, en la instrucción, ni propiamente que se hayan denegado investigaciones o pruebas expresa y formalmente pedidas; lo que se reprocha es que el Juez de Instrucción no ha practicado las diligencias esenciales encaminadas a determinar la naturaleza y circunstancias del hecho y las personas que en él hayan participado, y que haya decidido el archivo sólo procedente cuando, practicadas las indicadas diligencias, se diera el primero de los supuestos de la regla primera del art. 789 de la L.E.Cr. Desde el momento que las primero denunciantes y luego personadas en la «instrucción» que la L.E.Cr. llama «diligencias previas» fueron admitidas como «partes», pudieron entrar a participar en las actuaciones y, dentro de esta participación, pedir las investigaciones o pruebas que considera adecuadas a los fines de la instrucción y, en su caso, de la inculpación de la hasta entonces -en la hipótesis de la realidad de los hechos- incertam personam. Si dejamos de lado (de momento) lo que parece indicarse en el escrito de recurso de reforma (apartado cuarto) acerca de las diligencias que hubieran debido practicarse, no ha habido por el Ministerio Fiscal y por la parte acusadora propuesta -y petición, al respecto- de diligencias instructorias, por lo que podrá decirse que la actuación ex officio del Juez no fue completa o exhaustiva, y aun podrá decirse que fue insuficiente, mas no que se haya desconocido el derecho de todo ciudadano (en el caso del art. 101) y, en particular del perjudicado por el delito (art. 110), a promover la instrucción, o el derecho a participar en esta instrucción, o el derecho a la prueba en el sentido que hay que dar a este concepto en la instrucción. Si bien es verdad que la investigación y persecución de los delitos no se abandona -con excepciones y particularidades que no son del caso- a la iniciativa de los particulares, y que en la instrucción tiene el Juez una indeclinable función en los términos que dicen los preceptos que organizan el sumario, y, en el caso, el art. 789 L.E.Cr., en cuanto a la instrucción abreviada que son las diligencias previas, también lo es que las partes tienen una participación en la actividad instructora y la Ley les confiere una posición activa en orden a aportar los medios tendentes a la inculpación o a la exculpación. En toda instrucción sumarial, y desde luego en las diligencias previas, el Juez tiene unas facultades que no puede dejar de ejercer; lo que ocurre es que el Ministerio Fiscal y las par</w:t>
      </w:r>
      <w:r>
        <w:lastRenderedPageBreak/>
        <w:t>tes -en lo que ahora importa,  las acusadoras- tienen la carga de instar lo procedente a los efectos instructorios, y en su caso preparación de la inculpación.</w:t>
      </w:r>
    </w:p>
    <w:p w:rsidR="001C705E" w:rsidRDefault="001C705E" w:rsidP="001C705E">
      <w:pPr>
        <w:pStyle w:val="TextoNormal"/>
      </w:pPr>
    </w:p>
    <w:p w:rsidR="001C705E" w:rsidRDefault="001C705E" w:rsidP="001C705E">
      <w:pPr>
        <w:pStyle w:val="TextoNormal"/>
      </w:pPr>
      <w:r w:rsidRPr="001C705E">
        <w:rPr>
          <w:rStyle w:val="NumeroAFNegritaCaracter"/>
        </w:rPr>
        <w:t>3</w:t>
      </w:r>
      <w:r>
        <w:t>. Si el previo procedimiento penal no hubiera tenido otro contenido que el dirigido a depurar la genérica -y ambigua- denuncia referida a la actuación policial en la operación a que se alude en los antecedentes, ninguna objeción podría hacerse desde una valoración constitucional a las resoluciones recurridas. Ni a esta actuación se extiende la legitimación del art. 110 de la L.E.Cr., que es la utilizada por las recurrentes, ni desde el ejercicio de la acción popular, si este hubiera sido el propósito de aquéllas, podría denunciarse en los términos que se hace la violación del art. 24.1 de la C.E.  Por lo demás, el Juez de Instrucción realizó en este punto las diligencias que consideró suficientes (declaraciones de las denunciantes e informe policial) y ninguna le fueron propuestas por los acusadores -Ministerio Fiscal o partes-, ni las que pudieran entenderse aludidas en el recurso de reforma, han sido en momento alguno (tampoco en la reforma) propuestas debidamente; y, por lo demás, han recibido una respuesta en la resolución recurrida. Lo que ocurre es que una de las demandantes -la señora Gutiérrez Frutos- en la declaración que prestó ante el Juez de Instrucción, y no en la denuncia ni en la personación en el procedimiento, relató un hecho que en su estimación personal podría constituir un delito contra la inviolabilidad del domicilio, en cuanto, manifiesta la parte, se realizó una entrada en su domicilio sin las prescripciones que establecen los arts. 545 y 546 de la L.E.Cr. Este es un planteamiento distinto del que resulta del reproche que los demandantes hacen a la operación policial -sin apoyo razonable alguno, por lo demás- pues se contrae este planteamiento a la protección penal de un derecho fundamental (el de inviolabilidad de domicilio) que una de las demandantes considera que no ha recibido la tutela jurisdiccional efectiva. A este particular, vamos a referirnos ahora.</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Podría decirse que los derechos procesales del ofendido (perjudicado en la dicción del art.  110 de la L.E.Cr.), esto es, del que se considera sujeto pasivo de un delito contra la inviolabilidad del domicilio, quedaron satisfechos desde el momento en que se le admitió como parte y ninguna petición en forma de práctica de diligencias propias ha realizado en la abreviada instrucción que dice el art. 789 L.E.Cr., sin que, por otra parte, en la investigación ex officio tenga otra participación que la conferida por su posición de parte acusadora. Como perjudicado, tenía un derecho a promover, o el de participar en un procedimiento abierto, y en él instar la práctica de diligencias, intervenir en cada uno de los actos en que se manifiesta la acusación, etc., y en cuanto ejercitando la acción penal, se mostró parte en la actuaciones, pasando de la limitada posición de denunciante a la de parte actora, ninguna objeción es dable oponer desde este punto de vista. Sin embargo, el caso no es aquí el de una instrucción que desde la posición acusadora se considere críticamente insuficiente; el caso es que denunciándose unos hechos concretos, pues este valor debe darse a lo que por primera vez se dice en la declaración de una de las demandantes, de que su domicilio ha sido violado y que no consta se cumpliera lo que previene la L.E.Cr. (arts. 545 y 546), sobre este hecho no se ha realizado ninguna investigación y las autoridades judiciales no aluden a él, pues ni se menciona en el Auto de archivo ni en el de reforma, ni en el de apelación, de modo que respecto del mismo (otra cosa es lo que en las resoluciones consideran respecto al contenido de la denuncia inicial) no es que se acuse una investigación insuficiente, es que no hay diligencia alguna. La L.E.Cr. (el art. 269 en cuanto a la denuncia; el art. 313 en cuanto a la querella) faculta al Juez para rechazar la investigación cuando el hecho no revistiere carácter de delito y, por el contrario, aquel artículo, o el art. </w:t>
      </w:r>
      <w:r>
        <w:lastRenderedPageBreak/>
        <w:t>312 disponen que se abra la instrucción en otro caso, y los preceptos que organizan el sumario y la instrucción abreviada que son las llamadas «diligencias previas», atribuyen al Juez un deber procesal de instrucción.  Respecto a la indicada denuncia de la entrada en el domicilio de una de las demandantes de amparo, persona comparecida como parte en las diligencias, ninguna diligencia aparece practicada, contraviniéndose con ello las indicadas reglas. La cuestión es si la infracción de las reglas de la instrucción comportan una violación del derecho al proceso debido, que pertenece no sólo a los inculpados, pues también los perjudicados por el delito ostentan este derecho constitucional.  Cierto que la perjudicada por el supuesto delito, y no la otra demandante de amparo, ostenta ese derecho; y cierto también que la perjudicada no ha actuado diligentemente en las actuaciones previas, pues, no ha coadyuvado a la instrucción proponiendo diligencias o aportando, en su caso, pruebas. La falta de toda instrucción priva a la perjudicada de una garantía procesal constitucionalizada en el art.  24.1, pues su derecho (el derecho a la protección penal frente a una supuesta violación del domicilio) no ha obtenido la tutela jurisdiccional, ya que ninguna instrucción se ha realizado para depurar la verdad -y trascendencia, en su caso- acerca de la entrada en su domicilio quebrantando lo que previenen los preceptos antes citados de la L.E.Cr. Si la garantía procesal penal comprende, en todo caso, el derecho a promover, y el de participar en la causa, pero también el que el Juez de Instrucción realice la investigación que el caso requiera, y esto cualquiera que sea el delito público objeto de la instrucción, la garantía adquiere una extremada relevancia cuando se trata de la protección de los derechos o libertades fundamentales, respecto de los cuales nada es trivial o inimportante. Sólo realizada la instrucción y depurada la verdad, y trascendencia penal de los hechos, podrá decirse que el derecho que constitucionaliza el art. 24.1 -como derecho reaccional, en el caso, al servicio del derecho que proclama el art.  18.2- queda satisfecho.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Otorgar parcialmente el amparo solicitado por doña María Dolores Gutiérrez de Frutos, y, en su virtud:</w:t>
      </w:r>
    </w:p>
    <w:p w:rsidR="001C705E" w:rsidRDefault="001C705E" w:rsidP="001C705E">
      <w:pPr>
        <w:pStyle w:val="TextoNormal"/>
      </w:pPr>
      <w:r>
        <w:t>A) Reconocer el derecho de la señora Gutiérrez de Frutos a la tutela judicial efectiva, y, en consecuencia, a que su denuncia, efectuada en las diligencias previas núm. 2.017/1983, del Juzgado de Instrucción núm. 4 de Madrid, de que su domicilio había sido violado el 6 de abril de 1983, y en las que se mostró como parte perjudicada, se investigue practicando las diligencias que el Juez de Instrucción estime procedentes, hasta la resolución pertinente según lo dispuesto en el art. 789 de la Ley de Enjuiciamiento Criminal.</w:t>
      </w:r>
    </w:p>
    <w:p w:rsidR="001C705E" w:rsidRDefault="001C705E" w:rsidP="001C705E">
      <w:pPr>
        <w:pStyle w:val="TextoNormal"/>
      </w:pPr>
      <w:r>
        <w:t>B) Declarar que las resoluciones judiciales de 9 y 25 de mayo de 1983, y las que confirman estas resoluciones en los recursos de queja y apelación, no son ajustadas a derecho, y por tanto nulas, en cuanto dispusieron el archivo de las diligencias previas sin investigar la concreta denuncia efectuada por la señora Gutiérrez de Frutos en su declaración del 7 de abril de 1983 respecto a la entrada en su domicilio.</w:t>
      </w:r>
    </w:p>
    <w:p w:rsidR="001C705E" w:rsidRDefault="001C705E" w:rsidP="001C705E">
      <w:pPr>
        <w:pStyle w:val="TextoNormal"/>
      </w:pPr>
      <w:r>
        <w:t>C) Restablecer el derecho de la recurrente a que se practique la indicada instrucción.</w:t>
      </w:r>
    </w:p>
    <w:p w:rsidR="001C705E" w:rsidRDefault="001C705E" w:rsidP="001C705E">
      <w:pPr>
        <w:pStyle w:val="TextoNormal"/>
      </w:pPr>
      <w:r>
        <w:lastRenderedPageBreak/>
        <w:t>2. Denegar el amparo solicitado por la señora Ortuño Martínez y por la señora Gutiérrez de Frutos, en todo lo demás.</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nueve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 w:name="SENTENCIA_1985_2"/>
      <w:r>
        <w:lastRenderedPageBreak/>
        <w:t>SENTENCIA 2/1985, de 10 de enero de 1985</w:t>
      </w:r>
    </w:p>
    <w:bookmarkEnd w:id="5"/>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ECLI:ES:TC:1985:2</w:t>
      </w:r>
    </w:p>
    <w:p w:rsidR="001C705E" w:rsidRDefault="001C705E" w:rsidP="001C705E">
      <w:pPr>
        <w:pStyle w:val="SntesisDescriptiva"/>
      </w:pPr>
    </w:p>
    <w:p w:rsidR="001C705E" w:rsidRDefault="001C705E" w:rsidP="001C705E">
      <w:pPr>
        <w:pStyle w:val="SntesisDescriptiva"/>
      </w:pPr>
      <w:r>
        <w:t>Recurso de amparo 314/1984. Emplazamiento personal de quienes pueden comparecer como demandados en el procedimiento contencioso-administrativo.  Conocimiento oportuno del proceso por parte del recurrente</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simple cumplimiento del art. 64.1 de la Ley Reguladora de la Jurisdicción Contencioso-Administrativa, y la presunción de conocimiento que de él podría derivarse, no permite prescindir del necesario emplazamiento formal de los legitimados como demandados o coadyuvantes en un proceso contencioso-administrativo. </w:t>
      </w:r>
    </w:p>
    <w:p w:rsidR="001C705E" w:rsidRDefault="001C705E" w:rsidP="001C705E">
      <w:pPr>
        <w:pStyle w:val="Extracto"/>
      </w:pPr>
    </w:p>
    <w:p w:rsidR="001C705E" w:rsidRDefault="001C705E" w:rsidP="001C705E">
      <w:pPr>
        <w:pStyle w:val="Extracto"/>
      </w:pPr>
      <w:r>
        <w:t>2.</w:t>
      </w:r>
      <w:r>
        <w:tab/>
        <w:t xml:space="preserve">La necesidad de emplazamiento personal de los legitimados como demandados o coadyuvantes en un proceso contencioso-administrativo se funda en la exigencia constitucional de no padecer la indefensión que puede surgir por el desconocimiento del recurso, pese al anuncio en el «Boletín Oficial del Estado». </w:t>
      </w:r>
    </w:p>
    <w:p w:rsidR="001C705E" w:rsidRDefault="001C705E" w:rsidP="001C705E">
      <w:pPr>
        <w:pStyle w:val="Extracto"/>
      </w:pPr>
    </w:p>
    <w:p w:rsidR="001C705E" w:rsidRDefault="001C705E" w:rsidP="001C705E">
      <w:pPr>
        <w:pStyle w:val="Extracto"/>
      </w:pPr>
      <w:r>
        <w:t>3.</w:t>
      </w:r>
      <w:r>
        <w:tab/>
        <w:t xml:space="preserve">Cuando existe plena certeza de que los afectados por el acto administrativo impugnado tuvieron conocimiento oportuno del proceso contencioso-administrativo, de modo tal que hubieran podido comparecer y ser oídos en él, la pretensión de amparo por falta de emplazamiento personal no puede prosperar, puesto que en esos casos no ha existido indefensión alguna.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314/1984, interpuesto por el Procurador de los Tribunales don Jesús Alfaro Matos, asistido del Abogado don Jaime Sartorius Bermúdez de Castro, en nombre y representación de doña María Victoria Bermúdez de Castro Sánchez de Toca, don Alonso Coello de Portugal Mendaro, don Jaime, doña María Victoria, doña </w:t>
      </w:r>
      <w:r>
        <w:lastRenderedPageBreak/>
        <w:t xml:space="preserve">Carmen, doña María Lourdes y doña Isabel Elena Sartorius Bermúdez de Castro, contra las Sentencias de 4 de noviembre de 1981 de la Sala Quinta del Tribunal Supremo y la que hubiere dictado la Sala de lo Contencioso-Administrativo de la Audiencia Territorial de Madrid en la misma reclamación, así como contra el Decreto de 22 de marzo de 1984 de la Gerencia Municipal de Urbanismo de Madrid. </w:t>
      </w:r>
    </w:p>
    <w:p w:rsidR="001C705E" w:rsidRDefault="001C705E" w:rsidP="001C705E">
      <w:pPr>
        <w:pStyle w:val="TextoNormal"/>
      </w:pPr>
      <w:r>
        <w:t>Han sido parte, como demandados, la Administración General, representada y defendida por el Abogado del Estado, y el Procurador don Juan Corujo López-Villamil en representación de don Gumersindo Jiménez García, bajo la dirección del Abogado don Rafael Alcalá Marqués. Ha intervenido el Ministerio Fiscal. Ha sido Ponente el Magistrado don Luis Díez-Picazo y Ponce de León,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Al término de un expediente de edificación forzosa de un inmueble propiedad de los referidos demandantes de amparo, sito en Madrid, avenida Ciudad de Barcelona, núm. 43 (37 antiguo), el Jurado Provincial de Expropiación de Madrid fijó la cantidad que en concepto de indemnización debían aquéllos abonar a don Gumersindo Jiménez García, arrendatario de un local de negocio dedicado a almacén de lanas y ubicado en dicho inmueble, como compensación por los perjuicios derivados del desalojo forzoso del mismo (2.100.000 pesetas). Aunque el arrendatario interpuso recurso de reposición contra el acuerdo del Jurado de 1978, éste lo desestimó con fecha 7 de febrero de 1979, por lo que el 20 de octubre del mismo año los ahora demandantes abonaron la citada cantidad al arrendatario, previo desalojo por éste del local arrendado. </w:t>
      </w:r>
    </w:p>
    <w:p w:rsidR="001C705E" w:rsidRDefault="001C705E" w:rsidP="001C705E">
      <w:pPr>
        <w:pStyle w:val="TextoNormal"/>
      </w:pPr>
      <w:r>
        <w:t xml:space="preserve">Los demandantes de amparo exponen que a partir de ese momento no volvieron a tener noticia alguna del asunto hasta que el día 5 de abril de 1984 recibieron un escrito de la Gerencia Municipal de Urbanismo del Ayuntamiento de Madrid en el que se les comunicaba que la Sala Quinta del Tribunal Supremo había dictado Sentencia en 4 de noviembre de 1981 aumentando a la suma de 2.675.646 pesetas la indemnización a abonar al arrendatario del local de negocio a que antes se ha hecho referencia por parte de los propietarios del inmueble. </w:t>
      </w:r>
    </w:p>
    <w:p w:rsidR="001C705E" w:rsidRDefault="001C705E" w:rsidP="001C705E">
      <w:pPr>
        <w:pStyle w:val="TextoNormal"/>
      </w:pPr>
      <w:r>
        <w:t xml:space="preserve">Por escrito presentado en este Tribunal el 2 de mayo de 1984, la señora Bermúdez de Castro y los otros seis demandantes indicados en el encabezamiento de esta Sentencia interpusieron recurso de amparo contra las mencionadas Sentencias y el oficio aludido de la Gerencia Municipal de Urbanismo. En su demanda solicitan de este Tribunal que anule las resoluciones impugnadas y ordene que se retrotraigan las actuaciones procesales al momento inmediato posterior al de interposición del recurso contencioso-administrativo, a fin de que aquéllos sean emplazados personalmente y conforme a Derecho para que puedan defender sus legítimos intereses. </w:t>
      </w:r>
    </w:p>
    <w:p w:rsidR="001C705E" w:rsidRDefault="001C705E" w:rsidP="001C705E">
      <w:pPr>
        <w:pStyle w:val="TextoNormal"/>
      </w:pPr>
      <w:r>
        <w:t>Los recurrentes, tras exponer que no han sido emplazados en el referido proceso contencioso-administrativo, pese a que su domicilio estaba plenamente acreditado en el expediente administrativo, entienden que las resoluciones recurridas han infringido el art. 24 de la Constitución, en la medida en que, sin haber podido litigar en defensa de sus intereses, debido a la omisión del referido emplazamiento, han sido condenados a abonar una cantidad superior en 575.646 pesetas a la que pagaron en su día al arrendatario desalojado del inmueble de su propiedad. A tal efecto invocan la doctrina de este Tribunal relativa al emplazamiento personal y directo de los interesados en el procedimiento contencioso-</w:t>
      </w:r>
      <w:r>
        <w:lastRenderedPageBreak/>
        <w:t>administrativo cuando se den las circunstancias de identificación de los mismos, circunstancias que entienden concurrían en su caso.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Por providencia de 13 de junio de 1984 se admitió a trámite el recurso, recabándose las actuaciones de la Audiencia Territorial y del Tribunal Supremo; recibidas las cuales y personados los demandados, Abogado del Estado y don Gumersindo Jiménez García, por providencia de 26 de septiembre se pusieron de manifiesto las referidas actuaciones a las partes y al Ministerio Fiscal por plazo de veinte días para que formulasen sus alegaciones escritas conforme al art. 52.1 de la Ley Orgánica de este Tribunal. </w:t>
      </w:r>
    </w:p>
    <w:p w:rsidR="001C705E" w:rsidRDefault="001C705E" w:rsidP="001C705E">
      <w:pPr>
        <w:pStyle w:val="TextoNormal"/>
      </w:pPr>
      <w:r>
        <w:t>En este trámite la representación de los recurrentes ha formulado una alegación única, reiterando sustancialmente la fundamentación de la demanda de amparo.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En el mismo trámite el Abogado del Estado hace referencia a la reiterada doctrina de este Tribunal relativa al art. 64 de la Ley Reguladora de la Jurisdicción Contencioso-Administrativa, articulando los requisitos que dicha jurisprudencia contiene para la prosperabilidad del amparo por este motivo: 1. que el solicitante de amparo sea titular de derechos o intereses legítimos derivados o afectados por el acto impugnado en vía contencioso-administrativa; siendo éstos los que como codemandados o coadyuvantes pueden comparecer en el proceso [arts. 29.1 b) y 30.1 de la indicada Ley de la Jurisdicción Contencioso-Administrativa]. En el presente caso el Abogado del Estado constata que los recurrentes ostentaban un derecho derivado del acto impugnado en vía contencioso-administrativa; 2. que el solicitante de amparo sea susceptible de identificación, lo que también sucede en este caso; 3. no consta que los ahora recurrentes tuvieran un conocimiento suficiente y fehaciente del proceso contencioso de referencia (Sentencia del Tribunal Constitucional núm. 102/1983, de 18 de noviembre). </w:t>
      </w:r>
    </w:p>
    <w:p w:rsidR="001C705E" w:rsidRDefault="001C705E" w:rsidP="001C705E">
      <w:pPr>
        <w:pStyle w:val="TextoNormal"/>
      </w:pPr>
      <w:r>
        <w:t>En conclusión, manifiesta que no se opone a la estimación del amparo. Sin perjuicio de ello, entiende que una decisión estimatoria del mismo no es incompatible con lo prevenido en el art. 127.2 de la Ley Reguladora de la Jurisdicción Contencioso-Administrativa, debiendo así declararlo este Tribunal.</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La representación del codemandado expone en su escrito de alegaciones que los demandantes tuvieron conocimiento y se dieron por notificados de la existencia del recurso contencioso-administrativo referido, no sólo por la publicación en el «Boletín Oficial del Estado», sino también en razón a que los hoy recurrentes, con sus propios actos, ponen en evidencia y acreditan que en 7 de mayo de 1979, según acta notarial de manifestaciones, formalizada en dicha fecha por el Notario de Madrid don Manuel Ramos Armero, núm. 2.994 de su protocolo de 1979, que acompaña por copia simple a este escrito de oposición al recurso de amparo -reconocida su existencia por la contraparte en el documento núm. 6 que acompaña a su recurso (y que maliciosamente, dice la representación del codemandado, no presenta y silencia)- tenía conocimiento de la existencia del recurso pendiente al hacer constar, en la parte expositiva de dicha escritura pública, literalmente lo siguiente: «Que siendo el interés de ambas partes el cumplimiento de la resolución dictada por el Jurado Provincial de Expropiación y sin perjuicio de la mayor cantidad que pudieran fijar los Tribunales, de mutuo acuerdo y voluntariamente tienen convenido...», y la estipulación primera de dicho convenio dice, literalmente, así: «El pago de la indemnización por perjuicios de toda clase acordada por el Jurado Provincial de Expropiación, de 2.100.000 pesetas, se hará efectiva por los propietarios de la finca, doña María Victoria Bermúdez de </w:t>
      </w:r>
      <w:r>
        <w:lastRenderedPageBreak/>
        <w:t xml:space="preserve">Castro y don Alvaro y don Alonso Coello de Portugal, al titular del local dedicado a almacén de lanas antes del día 30 de septiembre del presente año de 1979, sin perjuicio de los intereses legales que le correspondan con arreglo al art. 56 de la Ley de Expropiación Forzosa, que se abonarán en el momento en que se resuelvan los recursos pendientes» y, asimismo, al final de la estipulación se lee: «... y sin perjuicio del justiprecio definitivo que pudieran fijar los Tribunales». </w:t>
      </w:r>
    </w:p>
    <w:p w:rsidR="001C705E" w:rsidRDefault="001C705E" w:rsidP="001C705E">
      <w:pPr>
        <w:pStyle w:val="TextoNormal"/>
      </w:pPr>
      <w:r>
        <w:t xml:space="preserve">En consecuencia -sigue exponiendo el codemandado-, si en 14 de marzo de 1979 aparece acreditado ya en las actuaciones contencioso-administrativas, ante la Sala Tercera de lo Contencioso-Administrativo de la Audiencia Territorial de Madrid, la existencia de recurso contencioso-administrativo -de que denuncia la contraparte un defecto concurrente en la notificación del emplazamiento-, y en 7 de mayo de 1979 -fecha de la citada escritura pública de acta de manifestaciones- la contraparte reconoce expresa, fehaciente y explícitamente el conocimiento de la existencia del recurso contencioso-administrativo pendiente, cuya nulidad de actuaciones hoy pretende, dándose por notificada y enterada, ya que por propia manifestación expresa de los hoy recurrentes éstos se dan por enterados y admiten que existe el recurso pendiente ante los Tribunales; no existe, por tanto, indefensión. </w:t>
      </w:r>
    </w:p>
    <w:p w:rsidR="001C705E" w:rsidRDefault="001C705E" w:rsidP="001C705E">
      <w:pPr>
        <w:pStyle w:val="TextoNormal"/>
      </w:pPr>
      <w:r>
        <w:t xml:space="preserve">La representación del codemandado expone que nada tiene que objetar a la doctrina de este Tribunal invocada por los recurrentes; sólo que la misma no es aplicable al presente caso. La jurisprudencia de este Tribunal se dirige a la realización de una tutela jurisdiccional efectiva, excluyendo la presunción de conocimiento de las notificaciones del art. 64 de la Ley de la Jurisdicción de lo Contencioso-Administrativo, pero no puede tutelar ni tutela situaciones como la que hoy nos ocupa, en que hay conocimiento fehaciente, por parte de los recurrentes, de la existencia del recurso pendiente ante los Tribunales. </w:t>
      </w:r>
    </w:p>
    <w:p w:rsidR="001C705E" w:rsidRDefault="001C705E" w:rsidP="001C705E">
      <w:pPr>
        <w:pStyle w:val="TextoNormal"/>
      </w:pPr>
      <w:r>
        <w:t xml:space="preserve">Lo que persigue el art. 24 de la Constitución es destruir la ritualización del art. 64 de la Ley Jurisdiccional Contencioso-Administrativa -presunción de conocimiento por el anuncio en el «Boletín Oficial del Estado» de la existencia de un recurso-, por la tutela efectiva, pero no pretende la notificación personal, prescindiendo del conocimiento fehaciente de la existencia del recurso, expresamente manifestado por los hoy recurrentes en la escritura pública de acta de manifestaciones acompañadas al escrito de alegaciones. </w:t>
      </w:r>
    </w:p>
    <w:p w:rsidR="001C705E" w:rsidRDefault="001C705E" w:rsidP="001C705E">
      <w:pPr>
        <w:pStyle w:val="TextoNormal"/>
      </w:pPr>
      <w:r>
        <w:t xml:space="preserve">El párrafo tercero del art. 79 de la Ley de Procedimiento Administrativo establece sustancialmente la convalidación de la notificación hecha prescindiendo de la observancia de sus requisitos, cuando el interesado, con sus actos, pone de manifiesto que, no obstante el defecto concurrente en la notificación, se da por notificado, cuestión meramente de facto que no tiene nada que ver con el acierto o desacierto en el medio que se utilice para combatir el acto defectuosamente notificado. </w:t>
      </w:r>
    </w:p>
    <w:p w:rsidR="001C705E" w:rsidRDefault="001C705E" w:rsidP="001C705E">
      <w:pPr>
        <w:pStyle w:val="TextoNormal"/>
      </w:pPr>
      <w:r>
        <w:t>Estimar el presente recurso de amparo sería tanto como volver a ritualizar la notificación personal, prescindiendo de la tutela efectiva, que implica el conocimiento de la existencia del recurso y fondo del mismo. Aquí -concluye el codemandado- no hay indefensión, la parte recurrente pudo defenderse y, en consecuencia, no merece el amparo que solicita, y sí ser condenada en costas por sus manifiestas temeridad y mala fe procesales.</w:t>
      </w:r>
    </w:p>
    <w:p w:rsidR="001C705E" w:rsidRDefault="001C705E" w:rsidP="001C705E">
      <w:pPr>
        <w:pStyle w:val="TextoNormal"/>
      </w:pPr>
    </w:p>
    <w:p w:rsidR="001C705E" w:rsidRDefault="001C705E" w:rsidP="001C705E">
      <w:pPr>
        <w:pStyle w:val="TextoNormal"/>
      </w:pPr>
      <w:r w:rsidRPr="001C705E">
        <w:rPr>
          <w:rStyle w:val="NumeroAFNegritaCaracter"/>
        </w:rPr>
        <w:t>5</w:t>
      </w:r>
      <w:r>
        <w:t>. En el mismo trámite del art. 50 de la Ley Orgánica de este Tribunal, el Ministerio Fiscal manifiesta en su escrito de alegaciones que, habiendo quedado acreditado que los actores no fueron emplazados directamente en el proceso instado ante la Audiencia, en el que se impugnaba el acuerdo del Jurado Provincial de Expropiación referente a un edificio de su propiedad, sino que se efectuó la publicación de la interposición del recurso en el «Boletín Oficial» de la provincia conforme a lo establecido en el art. 60 de la Ley Regula</w:t>
      </w:r>
      <w:r>
        <w:lastRenderedPageBreak/>
        <w:t>dora de la Jurisdicción Contencioso-Administrativa, cuando estaban identificados y tenían la consideración de partes demandadas conforme al art. 29.1 b) de esta Ley, pues su derecho se veía afectado por el acto impugnado, procede otorgar el amparo por haberse violado el derecho a la tutela judicial declarado en la Constitución, según es doctrina repetida de este Tribunal desde la Sentencia 9/1981 hasta la más reciente 19/1984 y otras muchas intermedias, según la cual el emplazamiento edictal que disponen los arts. 60 y 64 LJCA no es forma apta para desarrollar el principio de contradicción propio de una contienda judicial.</w:t>
      </w:r>
    </w:p>
    <w:p w:rsidR="001C705E" w:rsidRDefault="001C705E" w:rsidP="001C705E">
      <w:pPr>
        <w:pStyle w:val="TextoNormal"/>
      </w:pPr>
    </w:p>
    <w:p w:rsidR="001C705E" w:rsidRDefault="001C705E" w:rsidP="001C705E">
      <w:pPr>
        <w:pStyle w:val="TextoNormal"/>
      </w:pPr>
      <w:r w:rsidRPr="001C705E">
        <w:rPr>
          <w:rStyle w:val="NumeroAFNegritaCaracter"/>
        </w:rPr>
        <w:t>6</w:t>
      </w:r>
      <w:r>
        <w:t>. Por otrosí de la demanda de amparo se pidió la suspensión de la ejecución de las resoluciones impugnadas, formándose la correspondiente pieza separada y sustanciándose el incidente, en que fueron oídas las partes y resolviéndose por Auto de 31 de octubre de 1984 acceder a la suspensión, si bien condicionada a la constitución de garantía suficiente para cubrir la suma de 863.469 pesetas, sin que tal garantía se haya constituido al dictarse la presente Sentencia.</w:t>
      </w:r>
    </w:p>
    <w:p w:rsidR="001C705E" w:rsidRDefault="001C705E" w:rsidP="001C705E">
      <w:pPr>
        <w:pStyle w:val="TextoNormal"/>
      </w:pPr>
    </w:p>
    <w:p w:rsidR="001C705E" w:rsidRDefault="001C705E" w:rsidP="001C705E">
      <w:pPr>
        <w:pStyle w:val="TextoNormal"/>
      </w:pPr>
      <w:r w:rsidRPr="001C705E">
        <w:rPr>
          <w:rStyle w:val="NumeroAFNegritaCaracter"/>
        </w:rPr>
        <w:t>7</w:t>
      </w:r>
      <w:r>
        <w:t>. Por providencia de 19 de diciembre de 1984 se señaló para deliberación y votación del recurso el día 9 de enero de 1985.</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Este Tribunal ha establecido una clara doctrina respecto a la necesidad de emplazamiento personal de los legitimados como demandados o como coadyuvantes en un proceso contencioso-administrativo y a la consiguiente insuficiencia del anuncio de la interposición del recurso en el «Boletín Oficial del Estado» a tales efectos, por considerar que del art. 24.1 de la Constitución se deriva esa interpretación como necesaria para impedir la indefensión. El Tribunal ha querido así que el simple cumplimiento del art. 64.1 de la Ley Reguladora de la Jurisdicción Contencioso-Administrativa y la presunción de conocimiento que de él podría derivarse cedan ante una exigencia constitucional: la de no padecer la indefensión que puede surgir por el desconocimiento del recurso, pese al citado anuncio. Ahora bien, hemos dicho también (Sentencia de 12 de diciembre de 1983 en recurso de amparo 337/1983 y Auto de 26 de julio de 1984, así como la muy reciente, y casi idéntica a la actual, Sentencia de esta Sala de 7 de diciembre de 1984, en recurso de amparo 846/1983) que, cuando existe plena certeza de que los afectados por el acto administrativo impugnado tuvieron conocimiento oportuno del proceso contencioso-administrativo de modo tal que hubieran podido comparecer y ser oídos en él, la pretensión de amparo por falta de emplazamiento personal no puede prosperar, puesto que en tales casos no ha existido indefensión alguna.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De los hechos recogidos en el antecedente de esta Sentencia, aportados a este proceso por una parte y no contradichos por nadie, hechos reflejados en documento autorizado por Notario, se desprende sin género de dudas que los ahora recurrentes conocieron en momento oportuno la existencia de un proceso contencioso-administrativo en el que pudieron ser parte y respecto al cual dicen ahora haber padecido indefensión, pues en la fecha de la escritura (7 de mayo de 1979) no sólo se sometieron al justiprecio definitivo «que pudiera fijar los Tribunales», sino que se obligaron a pagar la indemnización fijada </w:t>
      </w:r>
      <w:r>
        <w:lastRenderedPageBreak/>
        <w:t>por el Jurado Provincial de Expropiación en una fecha determinada sin perjuicio de los intereses legales... que se abonarán en el momento en que se resuelvan los recursos pendientes». Es claro que a 7 de mayo de 1979 era ya un «recurso pendiente» el contencioso-administrativo cuya existencia aparece acreditada a 14 de marzo de 1979. De todo ello, y del silencio de los recurrentes en amparo, que nada alegan en contrario, es lógico inferir el conocimiento del recurso respecto al cual piden amparo por indefensión. La simple aplicación a esta premisa fáctica del razonamiento general antes expuesto produce como conclusión forzosa la denegación del amparo por evidente inexistencia de la denunciada indefensión.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 por doña María Victoria Bermúdez de Castro Sánchez de Toca, don Alonso Coello de Portugal Mendaro, don Jaime, doña María Victoria, doña Carmen, doña María Lourdes y doña Isabel Elena Sartorius Bermúdez de Castro, sin que, en consecuencia, sea necesario pronunciamiento alguno sobre la suspensión solicitada.</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diez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6" w:name="SENTENCIA_1985_3"/>
      <w:r>
        <w:lastRenderedPageBreak/>
        <w:t>SENTENCIA 3/1985, de 11 de enero de 1985</w:t>
      </w:r>
    </w:p>
    <w:bookmarkEnd w:id="6"/>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ECLI:ES:TC:1985:3</w:t>
      </w:r>
    </w:p>
    <w:p w:rsidR="001C705E" w:rsidRDefault="001C705E" w:rsidP="001C705E">
      <w:pPr>
        <w:pStyle w:val="SntesisDescriptiva"/>
      </w:pPr>
    </w:p>
    <w:p w:rsidR="001C705E" w:rsidRDefault="001C705E" w:rsidP="001C705E">
      <w:pPr>
        <w:pStyle w:val="SntesisDescriptiva"/>
      </w:pPr>
      <w:r>
        <w:t>Recurso de amparo 315/1984. Emplazamiento personal de quienes pueden comparecer como demandados en el procedimiento contencioso-administrativo.  Conocimiento oportuno del proceso por parte del recurrente</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Se reitera doctrina de la STC 2/1985, de 10 de enero.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315/1984, interpuesto por el Procurador de los Tribunales don Jesús Alfaro Matos, asistido del Abogado don Jaime Sartorius Bermúdez de Castro, en nombre y representación de doña María Victoria Bermúdez de Castro Sánchez de Toca, don Alonso Coello de Portugal Mendaro, don Jaime, doña María Victoria, doña Carmen, doña María Lourdes y doña Isabel Elena Sartorius Bermúdez de Castro, contra las Sentencias de 18 de febrero de 1983 de la Sala Quinta del Tribunal Supremo y la que hubiere dictado la Sala de lo Contencioso-Administrativo de la Audiencia Territorial de Madrid en la misma reclamación, así como contra el Decreto de 22 de marzo de 1984 de la Gerencia Municipal de Urbanismo de Madrid. </w:t>
      </w:r>
    </w:p>
    <w:p w:rsidR="001C705E" w:rsidRDefault="001C705E" w:rsidP="001C705E">
      <w:pPr>
        <w:pStyle w:val="TextoNormal"/>
      </w:pPr>
      <w:r>
        <w:t>Han sido parte, como demandados, la Administración General, representada y defendida por el Abogado del Estado, y el Procurador don Juan Corujo López-Villamil, en representación de doña María y don Pablo Martínez Biosca, bajo la dirección del Abogado don Rafael Alcalá Marqués. Ha intervenido el Ministerio Fiscal. Ha sido Ponente el Magistrado don Francisco Tomás y Valiente, quien expresa el parecer de la Sala.</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Al término de un expediente de edificación forzosa de un inmueble propiedad de los referidos demandantes de amparo sito en Madrid, avenida Ciudad de Barcelona, núm. 43 (37 antiguo), el Jurado Provincial de Expropiación de Madrid, por resolución de 3 de noviembre de 1978, fijó la cantidad que en concepto de indemnización debían aquéllos abonar a doña María y don Pablo Martínez Biosca, arrendatarios de un local de negocio dedicado a fábrica y despacho de pan, ubicado en dicho inmueble, como compensación por los perjuicios derivados del desalojo forzoso del mismo (9.030.000 pesetas). Aunque los arrendatarios interpusieron recurso de reposición contra el acuerdo del Jurado, éste lo desestimó con fecha 7 de febrero de 1979, por lo que el 29 de septiembre del mismo año los ahora demandantes abonaron la citada cantidad a los arrendatarios, previo desalojo por éstos del local arrendado. </w:t>
      </w:r>
    </w:p>
    <w:p w:rsidR="001C705E" w:rsidRDefault="001C705E" w:rsidP="001C705E">
      <w:pPr>
        <w:pStyle w:val="TextoNormal"/>
      </w:pPr>
      <w:r>
        <w:t xml:space="preserve">Los demandantes de amparo exponen que, a partir de ese momento, no volvieron a tener noticia alguna de asunto hasta que el día 5 de abril de 1984 recibieron un escrito de la Gerencia Municipal de Urbanismo del Ayuntamiento de Madrid, en el que se les comunicaba que la Sala Quinta del Tribunal Supremo había dictado Sentencia en 18 de febrero de 1983, aumentando a la suma de 10.801.875 pesetas la indemnización a abonar a los arrendatarios del local de negocio a que antes se ha hecho referencia por parte de los propietarios del inmueble. </w:t>
      </w:r>
    </w:p>
    <w:p w:rsidR="001C705E" w:rsidRDefault="001C705E" w:rsidP="001C705E">
      <w:pPr>
        <w:pStyle w:val="TextoNormal"/>
      </w:pPr>
      <w:r>
        <w:t xml:space="preserve">Por escrito presentado en este Tribunal el 2 de mayo de 1984, la señora Bermúdez de Castro y los otros seis demandantes indicados en el encabezamiento de esta Sentencia interpusieron recurso de amparo contra las mencionadas Sentencias y el oficio aludido de la Gerencia Municipal de Urbanismo. En su demanda solicitan de este Tribunal que anule las resoluciones impugnadas y ordene que se retrotraigan las actuaciones procesales al momento inmediato posterior al de interposición del recurso contencioso-administrativo, a fin de que aquéllos sean emplazados personalmente y conforme a Derecho para que puedan defender sus legítimos intereses. </w:t>
      </w:r>
    </w:p>
    <w:p w:rsidR="001C705E" w:rsidRDefault="001C705E" w:rsidP="001C705E">
      <w:pPr>
        <w:pStyle w:val="TextoNormal"/>
      </w:pPr>
      <w:r>
        <w:t>Los recurrentes, tras exponer que no han sido emplazados en el referido proceso contencioso-administrativo, pese a que su domicilio estaba plenamente acreditado en el expediente administrativo, entienden que las resoluciones recurridas han infringido el art. 24 de la Constitucion, en la medida en que, sin haber podido litigar en defensa de sus intereses, debido a la omisión del referido emplazamiento, han sido condenados a abonar una cantidad superior en 1.771.875 pesetas a la que pagaron en su día a los arrendatarios desalojados del inmueble de su propiedad. A tal efecto invocan la doctrina de este Tribunal relativa al emplazamiento personal y directo de los interesados en el procedimiento contencioso-administrativo cuando se den las circunstancias de identificación de los mismos, circunstancias que entienden concurrían en su caso.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Por providencia de 13 de junio de 1984 se admitió a trámite el recurso, recabándose las actuaciones de la Audiencia Territorial y del Tribunal Supremo; recibidas las cuales y personados los demandados, Abogado del Estado y doña María y don Pablo Martínez Biosca, por providencia de 26 de septiembre se pusieron de manifiesto las referidas actuaciones a las partes y al Ministerio Fiscal, por plazo de veinte días, para que formulasen sus alegaciones escritas conforme al art. 52.1 de la Ley Orgánica de este Tribunal. </w:t>
      </w:r>
    </w:p>
    <w:p w:rsidR="001C705E" w:rsidRDefault="001C705E" w:rsidP="001C705E">
      <w:pPr>
        <w:pStyle w:val="TextoNormal"/>
      </w:pPr>
      <w:r>
        <w:t>En este trámite, la representación de los recurrentes ha formulado una alegación única reiterando sustancialmente la fundamentación de la demanda de amparo.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En el mismo trámite, el Abogado del Estado hace referencia a la reiterada doctrina de este Tribunal relativa al art. 64 de la Ley Reguladora de la Jurisdicción Contencioso-Administrativa (LRJCA), articulando los requisitos que dicha jurisprudencia contiene para la prosperabilidad del amparo por este motivo: 1. que el solicitante de amparo sea titular de derechos o intereses legítimos derivados o afectados por el acto impugnado en vía contencioso-administrativa; siendo éstos los que, como codemandados o coadyuvantes, pueden comparecer en el proceso [arts. 29.1 b) y 30.1 de la LRJCA]; en el presente caso, el Abogado del Estado constata que los recurrentes ostentaban un derecho derivado del acto impugnado en vía contencioso-administrativa; 2. , que el solicitante de amparo sea susceptible de identificación, lo que también sucede en este caso; 3. , no consta que los ahora recurrentes tuvieran un conocimiento suficiente y fehaciente del proceso contencioso de referencia (STC 102/1983, de 18 de noviembre). </w:t>
      </w:r>
    </w:p>
    <w:p w:rsidR="001C705E" w:rsidRDefault="001C705E" w:rsidP="001C705E">
      <w:pPr>
        <w:pStyle w:val="TextoNormal"/>
      </w:pPr>
      <w:r>
        <w:t>En conclusión, manifiesta que no se opone a la estimación del amparo. Sin perjuicio de ello, entiende que una decisión estimatoria del mismo no es incompatible con lo prevenido en el art. 127.2 de la LRJCA, debiendo así declararlo este Tribunal.</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La representación de los codemandados expone en su escrito de alegaciones que los demandantes tuvieron conocimiento, y se dieron por notificados, de la existencia del recurso contencioso-administrativo referido no sólo por la publicación en el «Boletín Oficial del Estado», sino también en razón a que los hoy recurrentes, con sus propios actos, ponen en evidencia y acreditan que en 7 de mayo de 1979, según acta notarial de manifestaciones, formalizada en dicha fecha por el Notario de Madrid don Manuel Ramos Armero, núm. 2.995 de su protocolo de 1979, que acompaña por copia simple a este escrito de oposición al recurso de amparo -reconocida su existencia por la contraparte en el documento núm. 6 que acompaña a su recurso (y que, dice la representación de los codemandados, maliciosamente no presenta y silencia)- tenían conocimiento de la existencia del recurso pendiente, al hacer constar, en la parte expositiva de dicha escritura pública, literalmente, lo siguiente: «Que siendo el interés de ambas partes el cumplimiento de la resolución dictada por el Jurado Provincial de Expropiación, y sin perjuicio de la mayor cantidad que pudieran fijar los Tribunales, de mutuo acuerdo y voluntariamente, tienen convenido...»; y la estipulación primera de dicho convenio dice, literalmente, así: «El pago de la indemnización por perjuicios de toda clase acordada por el Jurado Provincial de Expropiación, de nueve millones treinta mil pesetas, se hará efectiva por los propietarios de la finca doña María Victoria Bermúdez de Castro y don Alvaro y don Alonso Coello de Portugal, al titular de fábrica y despacho de pan, antes del día 30 de septiembre del presente año 1979, sin perjuicios de los intereses legales que le correspondan con arreglo al art. 56 de la Ley de Expropiación Forzosa, que se abonarán en el momento en que seresuelvan los recursos pendientes», y asimismo, al final de la estipulación tercera, se lee: «... y sin perjuicio del justiprecio definitivo que pudieran fijar los Tribunales». </w:t>
      </w:r>
    </w:p>
    <w:p w:rsidR="001C705E" w:rsidRDefault="001C705E" w:rsidP="001C705E">
      <w:pPr>
        <w:pStyle w:val="TextoNormal"/>
      </w:pPr>
      <w:r>
        <w:t xml:space="preserve">En consecuencia, si en 14 de marzo de 1979 aparece acreditado ya, en las actuaciones contencioso-administrativas, ante la Sala Tercera de lo Contencioso-Administrativo de la Audiencia Territorial de Madrid, la existencia del recurso contencioso-administrativo -de que denuncia la contraparte un defecto concurrente en la notificación del emplazamiento, y en 7 de mayo de 1979 fecha de la citada escritura pública de acta de manifestaciones- la contraparte reconoce expresa, fehaciente y explícitamente el conocimiento de la existencia del recurso contencioso-administrativo pendiente, cuya nulidad de actuaciones hoy pretende, dándose por notificada y enterada, ya que, por propia manifestación expresa de los </w:t>
      </w:r>
      <w:r>
        <w:lastRenderedPageBreak/>
        <w:t xml:space="preserve">hoy recurrentes, éstos se dan por enterados y admiten que existe el recurso pendiente ante los Tribunales; no existe, por tanto, indefensión. </w:t>
      </w:r>
    </w:p>
    <w:p w:rsidR="001C705E" w:rsidRDefault="001C705E" w:rsidP="001C705E">
      <w:pPr>
        <w:pStyle w:val="TextoNormal"/>
      </w:pPr>
      <w:r>
        <w:t xml:space="preserve">La representación de los codemandados expone que nada tiene que objetar a la doctrina de este Tribunal invocada por los recurrentes; sólo que la misma no es aplicable al presente caso. La jurisprudencia de este Tribunal se dirige a la realización de una tutela jurisdiccional efectiva excluyendo la presunción de conocimiento de las notificaciones del art. 64 de la Ley de la Jurisdicción de lo Contencioso-Administrativo, pero no puede tutelar ni tutela situaciones como la que hoy nos ocupa, en que hay conocimiento fehaciente, por parte de los recurrentes, de la existencia del recurso pendiente ante los Tribunales. </w:t>
      </w:r>
    </w:p>
    <w:p w:rsidR="001C705E" w:rsidRDefault="001C705E" w:rsidP="001C705E">
      <w:pPr>
        <w:pStyle w:val="TextoNormal"/>
      </w:pPr>
      <w:r>
        <w:t xml:space="preserve">Lo que persigue el art. 24 de la Constitución es destruir la ritualización del art. 64 de la Ley Jurisdiccional Contencioso-Administrativa -presunción de conocimiento por el anuncio en el «Boletín Oficial del Estado» de la existencia de un recurso-, por la tutela efectiva, pero no pretende la notificación personal, prescindiendo del conocimiento fehaciente de la existencia del recurso, expresamente manifestado por los hoy recurrentes en la escritura pública de acta de manifestaciones acompañada al escrito de alegaciones. </w:t>
      </w:r>
    </w:p>
    <w:p w:rsidR="001C705E" w:rsidRDefault="001C705E" w:rsidP="001C705E">
      <w:pPr>
        <w:pStyle w:val="TextoNormal"/>
      </w:pPr>
      <w:r>
        <w:t xml:space="preserve">El párrafo 3. del art. 79 de la Ley de Procedimiento Administrativo establece sustancialmente la convalidación de la notificación hecha prescindiendo de la observancia de sus requisitos, cuando el interesado, con sus actos, pone de manifiesto que, no obstante el defecto concurrente en la notificación, se da por notificado, cuestión meramente de facto que no tiene nada que ver con el acierto o desacierto en el medio que se utilice, para combatir el acto defectuosamente notificado. </w:t>
      </w:r>
    </w:p>
    <w:p w:rsidR="001C705E" w:rsidRDefault="001C705E" w:rsidP="001C705E">
      <w:pPr>
        <w:pStyle w:val="TextoNormal"/>
      </w:pPr>
      <w:r>
        <w:t>Estimar el presente recurso de amparo sería tanto como volver a ritualizar la notificación personal prescindiendo de la tutela efectiva, que implica el conocimiento de la existencia del recurso y fondo del mismo. Aquí, concluye la representación de los codemandados, no hay indefensión, la parte recurrente pudo defenderse, y, en consecuencia, no merece el amparo que solicita, y sí ser condenada en costas por sus manifiestas temeridad y mala fe procesales.</w:t>
      </w:r>
    </w:p>
    <w:p w:rsidR="001C705E" w:rsidRDefault="001C705E" w:rsidP="001C705E">
      <w:pPr>
        <w:pStyle w:val="TextoNormal"/>
      </w:pPr>
    </w:p>
    <w:p w:rsidR="001C705E" w:rsidRDefault="001C705E" w:rsidP="001C705E">
      <w:pPr>
        <w:pStyle w:val="TextoNormal"/>
      </w:pPr>
      <w:r w:rsidRPr="001C705E">
        <w:rPr>
          <w:rStyle w:val="NumeroAFNegritaCaracter"/>
        </w:rPr>
        <w:t>5</w:t>
      </w:r>
      <w:r>
        <w:t>. En el mismo trámite del art. 50 de la Ley Orgánica de este Tribunal, el Ministerio Fiscal manifiesta en su escrito de alegaciones que, habiendo quedado acreditado que los actores no fueron emplazados directamente en el proceso instado ante la Audiencia, en el que se impugnaba el acuerdo del Jurado Provincial de Expropiación referente a un edificio de su propiedad, sino que se efectuó la publicación de la interposición del recurso en el «Boletín Oficial» de la provincia conforme a lo establecido en el art. 60 de la Ley Reguladora de la Jurisdicción Contencioso-Administrativa, cuando estaban identificados y tenían la consideración de partes demandadas conforme al art. 29.1 b) de esta Ley, pues su derecho se veía afectado por el acto impugnado, procede otorgar el amparo por haberse violado el derecho a la tutela judicial declarado en la Constitución, según es doctrina repetida de este Tribunal desde la Sentencia 9/1981 hasta la más reciente 19/1984 y otras muchas intermedias, según la cual el emplazamiento edictal que disponen los arts. 60 y 64 LRJCA no es forma apta para desarrollar el principio de contradicción propio de una contienda judicial.</w:t>
      </w:r>
    </w:p>
    <w:p w:rsidR="001C705E" w:rsidRDefault="001C705E" w:rsidP="001C705E">
      <w:pPr>
        <w:pStyle w:val="TextoNormal"/>
      </w:pPr>
    </w:p>
    <w:p w:rsidR="001C705E" w:rsidRDefault="001C705E" w:rsidP="001C705E">
      <w:pPr>
        <w:pStyle w:val="TextoNormal"/>
      </w:pPr>
      <w:r w:rsidRPr="001C705E">
        <w:rPr>
          <w:rStyle w:val="NumeroAFNegritaCaracter"/>
        </w:rPr>
        <w:t>6</w:t>
      </w:r>
      <w:r>
        <w:t>. Por otrosí de la demanda de amparo se pidió la suspensión de la ejecución de las resoluciones impugnadas, formándose la correspondiente pieza separada y sustanciándose el incidente, en que fueron oídas las partes; resolviéndose por Auto de 31 de octubre de 1984 acceder a la suspensión pedida, si bien condicionada a la constitución de garantía suficien</w:t>
      </w:r>
      <w:r>
        <w:lastRenderedPageBreak/>
        <w:t>te para cubrir la suma de 2.657.812 pesetas, sin que tal garantía se haya constituido al dictarse la presente Sentencia.</w:t>
      </w:r>
    </w:p>
    <w:p w:rsidR="001C705E" w:rsidRDefault="001C705E" w:rsidP="001C705E">
      <w:pPr>
        <w:pStyle w:val="TextoNormal"/>
      </w:pPr>
    </w:p>
    <w:p w:rsidR="001C705E" w:rsidRDefault="001C705E" w:rsidP="001C705E">
      <w:pPr>
        <w:pStyle w:val="TextoNormal"/>
      </w:pPr>
      <w:r w:rsidRPr="001C705E">
        <w:rPr>
          <w:rStyle w:val="NumeroAFNegritaCaracter"/>
        </w:rPr>
        <w:t>7</w:t>
      </w:r>
      <w:r>
        <w:t>. Por providencia de 19 de diciembre de 1984 se señaló para deliberación y votación del recurso el día 9 de enero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Este Tribunal ha establecido una clara doctrina respecto a la necesidad de emplazamiento personal de los legitimados como demandados o como coadyuvantes en un proceso contencioso-administrativo y a la consiguiente insuficiencia del anuncio de la interposición del recurso en el «Boletín Oficial del Estado» a tales efectos, por considerar que del art. 24.1 de la C.E. se deriva esa interpretación como necesaria para impedir la indefensión. El Tribunal ha querido así que el simple cumplimiento del art. 64.1 LJCA y la presunción de conocimiento que de él podría derivarse cedan ante una exigencia constitucional: la de no padecer la indefensión que puede surgir por el desconocimiento del recurso, pese al citado anuncio. Ahora bien, hemos dicho también (Sentencia de 12 de diciembre de 1983 en RA 337/1983 y Auto de 26 de julio de 1984, así como la muy reciente y casi idéntica a la actual, Sentencia de esta Sala de 7 de diciembre de 1984 en RA 846/1983) que cuando existe plena certeza de que los afectados por el acto administrativo impugnado tuvieron conocimiento oportuno del proceso contencioso-administrativo de modo tal que hubieran podido comparecer y ser oídos en él, la pretensión de amparo por falta de emplazamiento personal no puede prosperar, puesto que en tales casos no ha existido indefensión alguna.</w:t>
      </w:r>
    </w:p>
    <w:p w:rsidR="001C705E" w:rsidRDefault="001C705E" w:rsidP="001C705E">
      <w:pPr>
        <w:pStyle w:val="TextoNormal"/>
      </w:pPr>
    </w:p>
    <w:p w:rsidR="001C705E" w:rsidRDefault="001C705E" w:rsidP="001C705E">
      <w:pPr>
        <w:pStyle w:val="TextoNormal"/>
      </w:pPr>
      <w:r w:rsidRPr="001C705E">
        <w:rPr>
          <w:rStyle w:val="NumeroAFNegritaCaracter"/>
        </w:rPr>
        <w:t>2</w:t>
      </w:r>
      <w:r>
        <w:t>. De los hechos recogidos en el antecedente 4 de esta sentencia, aportados a este proceso por una parte y no contradichos por nadie, hechos reflejados en documento autorizado por Notario, se desprende sin género de dudas que los ahora recurrentes conocieron en momento oportuno la existencia de un proceso contencioso-administrativo en el que pudieron ser parte y respecto al cual dicen ahora haber padecido indefensión, pues en la fecha de la escritura (7 de mayo de 1979) no sólo se sometieron al justiprecio definitivo «que pudieran fijar los Tribunales», sino que se obligaron a pagar la indemnización fijada por el Jurado Provincial de Expropiación en una fecha determinada, sin perjuicio de los intereses legales... que se abonarán en el momento en que se resuelvan los «recursos pendientes». Es claro que a 7 de mayo de 1979 era ya un «recurso pendiente» el contencioso-administrativo cuya existencia aparece acreditada a 14 de marzo de 1979. De todo ello, y del silencio de los recurrentes en amparo, que nada alegan en contrario, es lógico inferir el conocimiento del recurso respecto al cual piden amparo por indefensión.</w:t>
      </w:r>
    </w:p>
    <w:p w:rsidR="001C705E" w:rsidRDefault="001C705E" w:rsidP="001C705E">
      <w:pPr>
        <w:pStyle w:val="TextoNormal"/>
      </w:pPr>
      <w:r>
        <w:t>La simple aplicación a esta premisa fáctica del razonamiento general antes expuesto produce como conclusión forzosa la denegación del amparo por evidente inexistencia de la denunciada indefensión.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 por doña María Victoria Bermúdez de Castro Sánchez de Toca, don Alonso Coello de Portugal Mendaro, don Jaime, doña María Victoria, doña Carmen, doña María Lourdes y doña Isabel Elena Sartorius Bermúdez de Castro, sin que, en consecuencia, sea necesario pronunciamiento alguno sobre la suspensión solicitada.</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once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7" w:name="SENTENCIA_1985_4"/>
      <w:r>
        <w:lastRenderedPageBreak/>
        <w:t>SENTENCIA 4/1985, de 18 de enero de 1985</w:t>
      </w:r>
    </w:p>
    <w:bookmarkEnd w:id="7"/>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ECLI:ES:TC:1985:4</w:t>
      </w:r>
    </w:p>
    <w:p w:rsidR="001C705E" w:rsidRDefault="001C705E" w:rsidP="001C705E">
      <w:pPr>
        <w:pStyle w:val="SntesisDescriptiva"/>
      </w:pPr>
    </w:p>
    <w:p w:rsidR="001C705E" w:rsidRDefault="001C705E" w:rsidP="001C705E">
      <w:pPr>
        <w:pStyle w:val="SntesisDescriptiva"/>
      </w:pPr>
      <w:r>
        <w:t>Recurso de amparo 734/1983. Legitimación en procedimiento de ejecución de Sentencia contencioso- administrativa de parte interesada que no fue litigante en el proceso principal</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Debe tenerse por acreditado el cumplimiento del art. 44.1 de la LOTC y, en consecuencia, por respetado el carácter subsidiario del amparo, si el demandante simplemente ha flexibilizado su pretensión inicial sin haber variado sucesivamente la misma. </w:t>
      </w:r>
    </w:p>
    <w:p w:rsidR="001C705E" w:rsidRDefault="001C705E" w:rsidP="001C705E">
      <w:pPr>
        <w:pStyle w:val="Extracto"/>
      </w:pPr>
    </w:p>
    <w:p w:rsidR="001C705E" w:rsidRDefault="001C705E" w:rsidP="001C705E">
      <w:pPr>
        <w:pStyle w:val="Extracto"/>
      </w:pPr>
      <w:r>
        <w:t>2.</w:t>
      </w:r>
      <w:r>
        <w:tab/>
        <w:t xml:space="preserve">Vulnera el derecho a obtener una tutela judicial efectiva la resolución judicial que ha denegado al recurrente la posibilidad de comparecer como parte en un proceso en el que no cabe duda que se ventilan cuestiones que afectan a la esfera de sus derechos e intereses legítimos. </w:t>
      </w:r>
    </w:p>
    <w:p w:rsidR="001C705E" w:rsidRDefault="001C705E" w:rsidP="001C705E">
      <w:pPr>
        <w:pStyle w:val="Extracto"/>
      </w:pPr>
    </w:p>
    <w:p w:rsidR="001C705E" w:rsidRDefault="001C705E" w:rsidP="001C705E">
      <w:pPr>
        <w:pStyle w:val="Extracto"/>
      </w:pPr>
      <w:r>
        <w:t>3.</w:t>
      </w:r>
      <w:r>
        <w:tab/>
        <w:t xml:space="preserve">La legalidad ordinaria ha de ser interpretada de conformidad con la Constitución y en el sentido más favorable para la efectividad del derecho fundamental. </w:t>
      </w:r>
    </w:p>
    <w:p w:rsidR="001C705E" w:rsidRDefault="001C705E" w:rsidP="001C705E">
      <w:pPr>
        <w:pStyle w:val="Extracto"/>
      </w:pPr>
    </w:p>
    <w:p w:rsidR="001C705E" w:rsidRDefault="001C705E" w:rsidP="001C705E">
      <w:pPr>
        <w:pStyle w:val="Extracto"/>
      </w:pPr>
      <w:r>
        <w:t>4.</w:t>
      </w:r>
      <w:r>
        <w:tab/>
        <w:t xml:space="preserve">El derecho consagrado en el art. 24.1 de la C.E. habilita a comparecer como parte en el proceso de ejecución aunque no se haya sido litigante en el proceso principal, siempre que no hayan podido serlo en éste y aleguen un derecho o interés legítimo y personal que pueda verse afectado por la ejecución que se trate de llevar a cabo. </w:t>
      </w:r>
    </w:p>
    <w:p w:rsidR="001C705E" w:rsidRDefault="001C705E" w:rsidP="001C705E">
      <w:pPr>
        <w:pStyle w:val="Extracto"/>
      </w:pPr>
    </w:p>
    <w:p w:rsidR="001C705E" w:rsidRDefault="001C705E" w:rsidP="001C705E">
      <w:pPr>
        <w:pStyle w:val="Extracto"/>
      </w:pPr>
      <w:r>
        <w:t>5.</w:t>
      </w:r>
      <w:r>
        <w:tab/>
        <w:t xml:space="preserve">La indefensión es el supuesto extremo de vulneración del derecho a la tutela judicial efectiva, razón por la cual no es preciso que aquélla se produzca para que el Tribunal Constitucional pueda reconocer la violación de ésta y estimar el recurso de amparo. </w:t>
      </w:r>
    </w:p>
    <w:p w:rsidR="001C705E" w:rsidRDefault="001C705E" w:rsidP="001C705E">
      <w:pPr>
        <w:pStyle w:val="Extracto"/>
      </w:pPr>
    </w:p>
    <w:p w:rsidR="001C705E" w:rsidRDefault="001C705E" w:rsidP="001C705E">
      <w:pPr>
        <w:pStyle w:val="Extracto"/>
      </w:pPr>
      <w:r>
        <w:t>6.</w:t>
      </w:r>
      <w:r>
        <w:tab/>
        <w:t xml:space="preserve">El derecho a la tutela judicial efectiva del art. 24.1 de la C.E. no contiene sólo una prohibición respecto de la indefensión, sino también un mandato positivo en orden a la tutela efectiva que ha de aplicarse al interpretar la legalidad ordinaria de acuerdo con la Constitución.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lastRenderedPageBreak/>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734/1983, promovido por don Antonio Piñero Duarte, doña María Angeles Usategui Martín, don Cesáreo Solán González, don José Cilleruelo Lozares y doña Elena Laiseca Villapún, don Miguel Sánchez Plaza y doña María del Carmen Moreno López, don Jesús Angoitra Albizu y doña Florinda Pascual Rodríguez, don Andrés Escuza Ugarte y doña Concepción Zubiaux Arbaizagoitia, don Esteban García Díez y doña Ana María Campo Molinuevo, don José San Miguel Garrido y doña María del Carmen Figueras Santo, don Luis María Ortueta Ortueta y doña Rosa María Barrenengoa Torres, don Jesús Martín López de Prado y doña Felicitas Anguizar Cuadra, don José María Rupérez Berezo y doña Natividad de la Serena Pérez, don Ignacio Escubi Basaldua y doña María Begoña Ugarte Echenagorria, don Luis Antonio Llanos Gallo, doña Balbina Cantera Orive y don Pedro Argote Briñas y doña Blanca Guisasola Lizarazu, todos representados por el Procurador don Luis Pulgar Arroyo y asistidos por el Letrado don Ricardo Zarauz Eiguezábal, contra las resoluciones de la Sala de lo Contencioso-Administrativo de la Audiencia Territorial de Bilbao que declararon no haber lugar a la personación de los recurrentes en un proceso de ejecución de sentencia firme. En dicho procedimiento han comparecido el Ministerio Fiscal y el Abogado del Estado y ha sido Ponente el Magistrado don Manuel Díez de Velasco Vallejo,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Por Sentencia de la Sala de lo Contencioso-Administrativo de la Audiencia Territorial de Bilbao de 2 de junio de 1981 se declaró la nulidad de una licencia de edificación otorgada en su día por el Ayuntamiento de Amurrio (Alava) al señor Arana Ibarreche, licencia bajo cuya cobertura legal se construyó un edificio en los números 2 y 4 de la calle Mendiko, de dicha población, cuyas viviendas, plazas de garaje y locales comerciales fueron posteriormente vendidos a terceros. En dicha Sentencia se ordenó, igualmente, la demolición del edificio citado en todo aquello que no fuera legalizable. </w:t>
      </w:r>
    </w:p>
    <w:p w:rsidR="001C705E" w:rsidRDefault="001C705E" w:rsidP="001C705E">
      <w:pPr>
        <w:pStyle w:val="TextoNormal"/>
      </w:pPr>
      <w:r>
        <w:t xml:space="preserve">Firme la Sentencia, al no haber sido recurrida por ninguna de las partes, y en trámite de ejecución de la misma, comparecen ante la Sala, por escrito de 11 de julio de 1983, los ahora demandantes de amparo, solicitando se les tenga por personados y parte demandada principal (no coadyuvante) en el proceso núm. 173/1980, por entender que el proceso que se sigue afecta directa y sustancialmente al derecho de propiedad del que eran titulares, ya porque se limitaba su contenido o algunas de sus facultades (uso y disfrute), ya porque, incluso, ponía en peligro su subsistencia. </w:t>
      </w:r>
    </w:p>
    <w:p w:rsidR="001C705E" w:rsidRDefault="001C705E" w:rsidP="001C705E">
      <w:pPr>
        <w:pStyle w:val="TextoNormal"/>
      </w:pPr>
      <w:r>
        <w:t xml:space="preserve">La Sala, mediante providencia de 20 de julio de 1983, declaró no haber lugar a la personación solicitada por entender que el señor Piñero Duarte y los otros, que justificaban la titularidad de los elementos citados del edificio mediante certificaciones registrales fundadas en escrituras de septiembre de 1981, no acreditaban que pudieran ser parte demandada de acuerdo con el art. 29.1 a) de la Ley de Jurisdicción Contencioso-Administrativa (LJ), pues ningún derecho deriva para ellos del acto impugnado -que se había recurrido el 22 de </w:t>
      </w:r>
      <w:r>
        <w:lastRenderedPageBreak/>
        <w:t xml:space="preserve">abril de 1980- ni justificaban que al dictarse la sentencia -el 2 de junio de 1981- fueran afectados por la misma. </w:t>
      </w:r>
    </w:p>
    <w:p w:rsidR="001C705E" w:rsidRDefault="001C705E" w:rsidP="001C705E">
      <w:pPr>
        <w:pStyle w:val="TextoNormal"/>
      </w:pPr>
      <w:r>
        <w:t xml:space="preserve">Contra la citada resolución interpusieron los ahora solicitantes de amparo recurso de súplica pidiendo la reposición de la providencia y, en consecuencia, la admisión de la personación de los mismos en la condición en su día solicitada de parte demandada principal; subsidiariamente, en la condición de parte coadyuvante, parte adherida, o cualquier otra figura que, en definitiva les asegure la posibilidad de dejarse oír y de intervenir en el proceso de ejecución de sentencia de que se trata, bajo la condición o status de parte. </w:t>
      </w:r>
    </w:p>
    <w:p w:rsidR="001C705E" w:rsidRDefault="001C705E" w:rsidP="001C705E">
      <w:pPr>
        <w:pStyle w:val="TextoNormal"/>
      </w:pPr>
      <w:r>
        <w:t>Por Auto de 3 de octubre de 1983 la propia Sala declaró no haber lugar al referido recurso, confirmando la anterior resolución y desestimando también, con base en el mismo fundamento, la petición subsidiaria aludida.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Por escrito presentado en el Juzgado de Guardia de los de Madrid el 4 de noviembre de 1983 y entrado en este TC al día siguiente, el señor Piñero Duarte y 14 más interponen recurso de amparo contra las dos resoluciones judiciales mencionadas de 20 de julio de 1983 y 3 de octubre del mismo año. </w:t>
      </w:r>
    </w:p>
    <w:p w:rsidR="001C705E" w:rsidRDefault="001C705E" w:rsidP="001C705E">
      <w:pPr>
        <w:pStyle w:val="TextoNormal"/>
      </w:pPr>
      <w:r>
        <w:t xml:space="preserve">Los demandantes solicitan de este TC la declaración de que las resoluciones impugnadas han violado el derecho fundamental reconocido en el art. 24.1 de la Constitución Española (C.E.) y, en consecuencia, adopte las medidas precisas para preservar o restablecer su derecho, de modo que quede asegurada, en definitiva, su presencia como parte en el proceso de que se trata. </w:t>
      </w:r>
    </w:p>
    <w:p w:rsidR="001C705E" w:rsidRDefault="001C705E" w:rsidP="001C705E">
      <w:pPr>
        <w:pStyle w:val="TextoNormal"/>
      </w:pPr>
      <w:r>
        <w:t>Solicitan, asimismo, mediante otrosí la suspensión de la ejecución de cualesquiera medidas que pudieran adoptarse por la Sala de lo Contencioso-Administrativo de la Audiencia Territorial de Bilbao en el proceso de ejecución de la Sentencia de 2 de julio de 1981 que pudieren afectar a los derechos o intereses legítimos de los ahora demandantes.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Los recurrentes consideran, por lo que respecta a la pretensión principal, que: a) Los argumentos ofrecidos por las resoluciones impugnadas, que condicionan y modulan el ejercicio del derecho de los recurrentes a consideraciones de índole temporal, deben estimarse irrelevantes y no operativos, simple resultado de una inercia en el mantenimiento de un estrecho concepto de la legitimación procesal, que hoy resulta inadmisible a la luz de los planteamientos constitucionales; b) La Sala de lo Contencioso no tiene en cuenta la distinción existente entre proceso principal y proceso de ejecución de sentencia, procesos que, no obstante su ligazón evidente, son fenómenos relativamente autónomos, con objetos distintos, en cuyo devenir pueden producirse hechos nuevos extraprocesales que afecten a la entidad y titularidad de los derechos en juego, hechos nuevos que deben tener un encaje correcto en la realidad procesal por medio de los correspondientes cambios o innovaciones en cuanto a las personas que puedan personarse, con carácter de parte, en el proceso, y c) No tiene justificación la postura de la Sala en cuanto a la «congelación» de la legitimación referida al momento de iniciación del proceso o al de la fecha de emanación de la sentencia declarada firme. </w:t>
      </w:r>
    </w:p>
    <w:p w:rsidR="001C705E" w:rsidRDefault="001C705E" w:rsidP="001C705E">
      <w:pPr>
        <w:pStyle w:val="TextoNormal"/>
      </w:pPr>
      <w:r>
        <w:t>Por lo que respecta a la petición de suspensión, los demandantes la fundan en la consideración de que, caso de prosperar el presente recurso de amparo, habría de producirse una clara nulidad de actuaciones en cuantas medidas procesales pudieran ser adoptadas por la Audiencia de Bilbao que afectarían a los derechos e intereses de aquéllos.</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4</w:t>
      </w:r>
      <w:r>
        <w:t>. Por providencia de 23 de noviembre de 1983 la Sección Segunda de esta Sala acordó admitir a trámite la demanda de amparo formulada por don Antonio Piñero Duarte y otros, sin perjuicio de lo que resultase de los antecedentes y por personado y parte, en nombre y representación de los mismos, el Procurador don Luis Pulgar Arroyo, así como a tenor de lo dispuesto en el art. 51 de la Ley Orgánica del Tribunal Constitucional (LOTC) requerir a la Sala de lo Contencioso-Administrativo de la Audiencia Territorial de Bilbao para que remitiera las actuaciones relativas al recurso núm. 173/1980 y emplazase a quienes hubieren sido parte en el mencionado procedimiento, con excepción de los recurrentes, para que comparecieran en este proceso constitucional.</w:t>
      </w:r>
    </w:p>
    <w:p w:rsidR="001C705E" w:rsidRDefault="001C705E" w:rsidP="001C705E">
      <w:pPr>
        <w:pStyle w:val="TextoNormal"/>
      </w:pPr>
    </w:p>
    <w:p w:rsidR="001C705E" w:rsidRDefault="001C705E" w:rsidP="001C705E">
      <w:pPr>
        <w:pStyle w:val="TextoNormal"/>
      </w:pPr>
      <w:r w:rsidRPr="001C705E">
        <w:rPr>
          <w:rStyle w:val="NumeroAFNegritaCaracter"/>
        </w:rPr>
        <w:t>5</w:t>
      </w:r>
      <w:r>
        <w:t>. Por providencia de 11 de enero de 1984 la misma Sección acordó tener por recibidas las actuaciones remitidas por la Sala de lo Contencioso-Administrativo de la Audiencia Territorial de Bilbao y, a tenor de lo dispuesto en el art. 52 de la LOTC, a conceder un plazo común de veinte días al Ministerio Fiscal, al Abogado del Estado y a los solicitantes del amparo, para que dentro de dicho término presentaran las correspondientes alegaciones.</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El Ministerio Fiscal en su escrito de alegaciones interesa de este TC que declare no haber lugar a otorgar el amparo solicitado por no haberse acreditado lesión del derecho fundamental invocado. </w:t>
      </w:r>
    </w:p>
    <w:p w:rsidR="001C705E" w:rsidRDefault="001C705E" w:rsidP="001C705E">
      <w:pPr>
        <w:pStyle w:val="TextoNormal"/>
      </w:pPr>
      <w:r>
        <w:t xml:space="preserve">Tras señalar que los recurrentes han ido cambiando el alcance de su petición de personación en el proceso contencioso-administrativo, desde la de parte principal en el proceso declarativo, en el escrito inicial, hasta la de coadyuvante o adherida en el proceso de ejecución subsiguiente, en el escrito de súplica y ahora en el recurso de amparo, el Ministerio Fiscal apoya su pretensión en los siguientes argumentos, que puedan resumirse así: </w:t>
      </w:r>
    </w:p>
    <w:p w:rsidR="001C705E" w:rsidRDefault="001C705E" w:rsidP="001C705E">
      <w:pPr>
        <w:pStyle w:val="TextoNormal"/>
      </w:pPr>
      <w:r>
        <w:t xml:space="preserve">a) Las decisiones de la Audiencia de Bilbao son técnicamente inobjetables, ya que si los recurrentes no fueron parte en el proceso, porque tanto cuando se inició como durante su tramitación y al fallarse no tenían ninguna relación con el objeto del mismo, ni del acto impugnado se derivaban entonces derechos en su favor, como exige el art. 29.1 a) de la LJ para poder ser considerado como parte demandada y ni siquiera interés directo en su mantenimiento, de que habla el art. 30 para poder ser coadyuvante. Por ello no podían personarse más tarde, por la elemental razón temporal de que adquirieron los pisos y locales del inmueble afectado con fecha posterior. </w:t>
      </w:r>
    </w:p>
    <w:p w:rsidR="001C705E" w:rsidRDefault="001C705E" w:rsidP="001C705E">
      <w:pPr>
        <w:pStyle w:val="TextoNormal"/>
      </w:pPr>
      <w:r>
        <w:t xml:space="preserve">b) No es posible minimizar esta explicación de índole cronológica, como hacen los demandantes, pues la única y probablemente ineludible razón de su exclusión es cabalmente que durante la tramitación del procedimiento no tenían ningún vínculo con lo que era su objeto y sólo cuando ya estaba definitivamente concluso, sin posibilidad de nuevo conocimiento ni de alegaciones o intervención en aquello a que se contraía -demolición de un inmueble o de parte de él por irregularmente edificado-, adquieren la titularidad de los pisos y locales, sin que pueda sostenerse entonces que adquieren retroactivamente una legitimación que les permita ser parte con la cualidad procesal que ello otorga. </w:t>
      </w:r>
    </w:p>
    <w:p w:rsidR="001C705E" w:rsidRDefault="001C705E" w:rsidP="001C705E">
      <w:pPr>
        <w:pStyle w:val="TextoNormal"/>
      </w:pPr>
      <w:r>
        <w:t xml:space="preserve">c) Es técnicamente precaria la alegación en la demanda de que hay que distinguir entre los procesos declarativos y los ejecutivos, o el principal y el de ejecución de la sentencia, afirmando que son «fenómenos relativamente autónomos, con objeto distinto». La distinción entre proceso de cognición o de conocimiento y proceso de ejecución es una construcción doctrinal que tiene su punto de partida en la pretensión formulada ante el órgano judicial. </w:t>
      </w:r>
    </w:p>
    <w:p w:rsidR="001C705E" w:rsidRDefault="001C705E" w:rsidP="001C705E">
      <w:pPr>
        <w:pStyle w:val="TextoNormal"/>
      </w:pPr>
      <w:r>
        <w:lastRenderedPageBreak/>
        <w:t xml:space="preserve">Pero esta elaboración conceptual no tiene reflejo en nuestras leyes procesales en las que la ejecución de las sentencias no es más que un momento ulterior y consiguiente de una declaración judicial, tal como sostiene la doctrina y se recoge claramente en los arts. 55 y 911 y ss. de la Ley de Enjuiciamiento Civil. En la ley básica procesal no hay autonomía funcional en la ejecución de las sentencias, sin perjuicio de la distinción doctrinal o conceptual que se quiera. Otro tanto ocurre en la Ley de Enjuiciamiento Criminal (arts. 983 y ss.), y no es distinto el tratamiento de la LJ, que es la que ahora importa, en la que tampoco se establece proceso autónomo o especial para la ejecución, sino que es un momento más del proceso seguido anteriormente (sencillamente un capítulo, el III, del título que tiene por rúbrica «procedimiento contencioso-administrativo»). </w:t>
      </w:r>
    </w:p>
    <w:p w:rsidR="001C705E" w:rsidRDefault="001C705E" w:rsidP="001C705E">
      <w:pPr>
        <w:pStyle w:val="TextoNormal"/>
      </w:pPr>
      <w:r>
        <w:t xml:space="preserve">d) Si así se construye en nuestra dogmática procesal la ejecución de la sentencia, no pueden alterarse los criterios de legitimación que se ordenan para el proceso y entender que circunstancias sobrevenidas puedan alterarla dando cabida en la mera ejecución de lo ya acordado a quienes no podían comparecer en la controversia procesal previa -en esta ocasión, por razones de tanta entidad como su falta de existencia en relación con el proceso-, ni nada pueden decir en lo que se refiere a lo controvertido y ya resuelto. Admitir otra conclusión sería tanto como vulnerar la propia estructura lógica del proceso y el principio de seguridad jurídica, hoy constitucional por el artículo 9.3 de la C.E. </w:t>
      </w:r>
    </w:p>
    <w:p w:rsidR="001C705E" w:rsidRDefault="001C705E" w:rsidP="001C705E">
      <w:pPr>
        <w:pStyle w:val="TextoNormal"/>
      </w:pPr>
      <w:r>
        <w:t xml:space="preserve">e) Es cierto que los interesados pueden verse seriamente afectados por la ejecución de una sentencia firme, pero ello no lo es en rigor y directamente por la sentencia, sino de modo mediato por una relación jurídica de fecha posterior entablada con lo que fue objeto del pleito y con quienes posiblemente fueron parte en el mismo. Corresponde, en todo caso, al ciudadano, que puede valerse de los instrumentos profesionales adecuados, buscar los medios jurídicos propios en defensa de sus intereses privados y no pretender, como en definitiva vienen a hacer en el presente caso, que se les indique cuáles puedan ser, ya que seguramente dentro de la noción constitucional de tutela judicial no entra esta función propedéutica, y </w:t>
      </w:r>
    </w:p>
    <w:p w:rsidR="001C705E" w:rsidRDefault="001C705E" w:rsidP="001C705E">
      <w:pPr>
        <w:pStyle w:val="TextoNormal"/>
      </w:pPr>
      <w:r>
        <w:t>f) Sea como fuere, es claro que el eventual perjuicio que puedan sufrir los actores no pueden solventarse en el proceso ya fallado, en el que por imperativo de la seguridad jurídica no es posible rectificar lo decidido, lo que de modo evidente ha de llevar, como ya acordara la Audiencia de Bilbao, a rechazar su pretensión de comparecer en el mismo. Todo ello, como es lógico, sin perjuicio de los derechos que pudieran ostentar frente a otras personas, por razón de los pisos y locales adquiridos, derechos que podrían hacer valer mediante las acciones pertinentes y ante los Tribunales competentes por razón de la materia.</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El Abogado del Estado solicita, igualmente, en sus alegaciones, que se dicte Sentencia denegando el amparo. El razonamiento en el que se basa podría sintetizarse de este modo: </w:t>
      </w:r>
    </w:p>
    <w:p w:rsidR="001C705E" w:rsidRDefault="001C705E" w:rsidP="001C705E">
      <w:pPr>
        <w:pStyle w:val="TextoNormal"/>
      </w:pPr>
      <w:r>
        <w:t xml:space="preserve">a) De acuerdo con la jurisprudencia de este TC sobre la extensión del derecho a la tutela judicial efectiva, lo que el art. 24.1 de la C.E. reconoce es el derecho a que, en el marco del ordenamiento jurídico sustantivo y procesal, todo titular de derechos subjetivos y de intereses legítimos pueda deducir ante el Juez competente las pretensiones procesales oportunas para la defensa y protección de las situaciones jurídico-subjetivas respectivas frente a cualquier acto o disposición que constituya una violación de las mismas. </w:t>
      </w:r>
    </w:p>
    <w:p w:rsidR="001C705E" w:rsidRDefault="001C705E" w:rsidP="001C705E">
      <w:pPr>
        <w:pStyle w:val="TextoNormal"/>
      </w:pPr>
      <w:r>
        <w:t>En consecuencia, siempre que el ordenamiento jurídico sustantivo y procesal ofrezca vías alternativas en las que puedan residenciarse por los titulares de derechos subjetivos e intereses legítimos las pretensiones encaminadas a la defensa o protección de sus situacio</w:t>
      </w:r>
      <w:r>
        <w:lastRenderedPageBreak/>
        <w:t xml:space="preserve">nes jurídico-subjetivas, no se producirá violación del derecho a la tutela judicial efectiva por la sola circunstancia de que la instancia elegida por dichas personas para hacer valer sus derechos e intereses, por no ser la adecuada, les haya denegado la tutela solicitada. </w:t>
      </w:r>
    </w:p>
    <w:p w:rsidR="001C705E" w:rsidRDefault="001C705E" w:rsidP="001C705E">
      <w:pPr>
        <w:pStyle w:val="TextoNormal"/>
      </w:pPr>
      <w:r>
        <w:t xml:space="preserve">Esta es, en definitiva, la cuestión que se ventila en el presente recurso de amparo, cuestión que es susceptible de una doble consideración. Por un lado, si la pretensión de los ahora recurrentes de que se les tuviera por personados y partes en las sucesivas incidencias de ejecución de la Sentencia recaída en el recurso contencioso-administrativo en el que no fueron parte es procedente, y, por otro lado, si existen otras vías donde puedan hacerse valer los derechos e intereses aducidos por los recurrentes. </w:t>
      </w:r>
    </w:p>
    <w:p w:rsidR="001C705E" w:rsidRDefault="001C705E" w:rsidP="001C705E">
      <w:pPr>
        <w:pStyle w:val="TextoNormal"/>
      </w:pPr>
      <w:r>
        <w:t xml:space="preserve">b) En relación con el primero de los temas planteados, existen, ciertamente, argumentos que pudieran avalar la pretensión de los recurrentes desde un punto de vista estrictamente legal, pues una cierta corriente doctrinal, apoyada en algunas Sentencias del Tribunal Supremo (de 18 de enero de 1943 y 21 de noviembre de 1957), postula una interpretación del art. 110 de la LJ posibilitadora de la intervención en la fase ejecutiva de las sentencias recaídas en recursos contencioso-administrativos no sólo de los que hubieran sido partes en el proceso, sino también de todas aquellas personas que resulten afectadas por el acto o disposición anulado, en virtud del art. 86 de la LJ si bien con referencia exclusiva a los supuestos de legitimación activa del art. 110.1 de la LJ. </w:t>
      </w:r>
    </w:p>
    <w:p w:rsidR="001C705E" w:rsidRDefault="001C705E" w:rsidP="001C705E">
      <w:pPr>
        <w:pStyle w:val="TextoNormal"/>
      </w:pPr>
      <w:r>
        <w:t xml:space="preserve">Sin embargo, el art. 31 de la LJ -también alegado por los ahora recurrentes- es interpretado por algún autor en el sentido de que para que sea aplicable es necesario que el acaecimiento que da lugar a la crisis tenga lugar dentro del proceso, una vez iniciado y antes de su terminación, siendo la sentencia el modo normal de terminación del recurso contencioso-administrativo (art. 80 y ss. de la LJ). </w:t>
      </w:r>
    </w:p>
    <w:p w:rsidR="001C705E" w:rsidRDefault="001C705E" w:rsidP="001C705E">
      <w:pPr>
        <w:pStyle w:val="TextoNormal"/>
      </w:pPr>
      <w:r>
        <w:t xml:space="preserve">En conclusión, una interpretación perfectamente correcta de las normas procesales aplicables al presente caso permite defender la improcedencia de la personación de los solicitantes del amparo, como partes en las sucesivas incidencias de la ejecución de la Sentencia de la Audiencia Territorial de Bilbao de 2 de junio de 1981, solución esta que evita una excesiva complicación de la fase de ejecución opuesta a la deseable rapidez y simplicidad de la misma. </w:t>
      </w:r>
    </w:p>
    <w:p w:rsidR="001C705E" w:rsidRDefault="001C705E" w:rsidP="001C705E">
      <w:pPr>
        <w:pStyle w:val="TextoNormal"/>
      </w:pPr>
      <w:r>
        <w:t xml:space="preserve">c) Como señala la Sentencia núm. 58/1983 de este TC, habrá que determinar en el presente caso si la interpretación llevada a cabo por la Sala de lo Contencioso-Administrativo de la Audiencia Territorial de Bilbao en las resoluciones impugnadas de los preceptos procesales aplicables, coloca a los recurrentes en una situación de indefensión, circunstancia esta que sólo se produciría en el caso de que no existieran vías alternativas en las que residenciar por aquéllos las pretensiones en defensa de sus derechos e intereses, debiendo destacarse, en fin, que de acuerdo con la sentencia núm. 120/1983 de este TC, éste «tiene que respetar y reconocer el margen de apreciación de los tribunales ordinarios en el ejercicio de su competencia, reconocido en el artículo 117.3 de la C.E., de modo que sólo en el supuesto de que tal apreciación de legalidad hubiera sido claramente irrazonada podría estimar producida la vulneración constitucional y sustituirla por un criterio más ajustado». </w:t>
      </w:r>
    </w:p>
    <w:p w:rsidR="001C705E" w:rsidRDefault="001C705E" w:rsidP="001C705E">
      <w:pPr>
        <w:pStyle w:val="TextoNormal"/>
      </w:pPr>
      <w:r>
        <w:t xml:space="preserve">d) En ejecución de la Sentencia de la Audiencia Territorial de Bilbao de 2 de junio de 1981 -arts. 103 y ss. de la LJ- el Ayuntamiento demandado procedió a la elaboración del correspondiente Estudio de Detalle en orden a determinar qué obras de las amparadas en la licencia anulada por aquélla eran susceptibles de legalización y cuáles habrían de ser, por el contrario, demolidas. Este instrumento fue reputado válido por la providencia de la Sala sentenciadora de 30 de septiembre de 1982, y fue definitivamente aprobado el 26 de octubre de 1982. No cabe ninguna duda de que es en el procedimiento administrativo tramitado para elaborar dicho Estudio donde los ahora recurrentes estaban legitimados para ser </w:t>
      </w:r>
      <w:r>
        <w:lastRenderedPageBreak/>
        <w:t xml:space="preserve">parte, como interesados en el mismo, a tenor del art. 23 de la LPA, y sin perjuicio de la aplicación, en su caso, de lo previsto en el art. 26 de la misma Ley. De otro lado, contra los actos susceptibles de impugnación recaídos en dicho procedimiento -art. 113.1 de la LPA- cabía la interposición de los recursos, administrativos y jurisdiccionales, procedentes a través de los cuales todas las cuestiones que afectaran a los derechos e intereses de los ahora recurrentes eran residenciables. Como quiera que este mismo planteamiento puede hacerse respecto de las demás medidas adoptadas por la Sala al amparo del art. 110. 1 de la LJ se llega a la conclusión de que los solicitantes del presente amparo, por el hecho de no ser admitidos como parte en las sucesivas incidencias de ejecución de la Sentencia de la Audiencia Territorial de Bilbao de 2 de junio de 1981, no fueron privados de su derecho a la tutela judicial efectiva, habida cuenta de la posibilidad de intervenir en los procedimientos administrativos tramitados para materializar las decisiones ejecutivas de la Sala sentenciadora y de impugnar las resoluciones adoptadas en los mismos, razón por la cual, al no haber incurrido las resoluciones impugnadas en violación del art. 24.1 de la C.E., procede la denegación del amparo [arts. 41.2 y 53 b) de la LOTC]. </w:t>
      </w:r>
    </w:p>
    <w:p w:rsidR="001C705E" w:rsidRDefault="001C705E" w:rsidP="001C705E">
      <w:pPr>
        <w:pStyle w:val="TextoNormal"/>
      </w:pPr>
      <w:r>
        <w:t xml:space="preserve">e) De las consideraciones expuestas se deduce que, aun cuando teóricamente no existirían obstáculos para propiciar la estimación del amparo en aras de un evidente deseo de promover la defensión, esta postura sólo se encontraría debidamente justificada si en el presente caso se produjera la indefensión alegada, circunstancia esta que, por lo antes razonado, no concurre en los recurrentes, que podrán plantear todas cuantas cuestiones se deriven de las medidas adoptadas por el órgano jurisprudencial en ejecución de la Sentencia de 2 de junio de 1981 en los correspondientes procedimientos administrativos tramitados para materializar lo ordenado por aquél, quedando sometidos los actos que se produzcan en dichos procedimientos a la fiscalización de la jurisdicción contencioso-administrativa. La estimación del amparo propiciaría, por consiguiente, una excesiva complicación de la fase de ejecución opuesta a la deseable rapidez y simplicidad de la misma, y </w:t>
      </w:r>
    </w:p>
    <w:p w:rsidR="001C705E" w:rsidRDefault="001C705E" w:rsidP="001C705E">
      <w:pPr>
        <w:pStyle w:val="TextoNormal"/>
      </w:pPr>
      <w:r>
        <w:t>f) A mayor abundamiento y reiterando lo ya apuntado, el Abogado del Estado destaca que teniendo la ejecución la finalidad de ajustar la realidad a lo decidido en el fallo, sólo son estimables, al amparo del art. 110.1 de la LJ, las pretensiones que se deduzcan ante la Sala sentenciadora en orden a la adopción de medidas concretas para promover la ejecución. Dado que en el escrito de los ahora recurrentes, que dio lugar a las resoluciones impugnadas, sólo se insta la declaración judicial de que los mismos fueran tenidos por personados y partes -como demandados o como coadyuvantes- en la fase de ejecución, al no deducirse pretensiones respecto de medidas concretas en las que se manifestara el interés legitimador de los solicitantes, la simple personación únicamente habría propiciado la complicación y entorpecimiento de la ejecución sin que sirviera para evitar una indefensión que no se produce por la posibilidad de intervención en los procedimientos administrativos dirigidos a materializar las medidas judiciales.</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Por último, la representación de los recurrentes solicita se dicte Sentencia de conformidad con lo pedido en el suplico de la demanda. Aparte de reiterar los argumentos ya expuestos en dicha demanda, insisten especialmente en estos tres puntos: a) La determinación de lo que sea o no legalizable en el edificio cuya licencia fue anulada por la Sentencia de la Audiencia de Bilbao y, en consecuencia, de lo que haya o no de demolerse, habrá de afectarles en sus derechos e intereses patrimoniales y ello habrá de hacerse mediante el pertinente proceso contradictorio, en el que ellos también deben ser oídos; b) dado que el Tribunal al que corresponde la ejecución de la Sentencia ha venido adoptando medidas </w:t>
      </w:r>
      <w:r>
        <w:lastRenderedPageBreak/>
        <w:t>cautelares que, como las órdenes de desalojo y prohibiciones de ocupar, inciden ya de una manera directa en la esfera jurídica de los recurrentes, su presencia e intervención en el proceso debe ser garantizada al efecto de poder conocer y en su caso combatir la oportunidad e incluso la adecuación de tales medidas cautelares al tenor de la Sentencia que se ejecuta; c) uno de los mandatos implícitos en el art. 24.1 de la C.E. es el que se promueva la contradicción y se asegure el derecho que todos tienen a defender sus intereses, lo cual debe referirse al concreto proceso en el que se ventilan y dilucidan las cuestiones que interesan a los particulares, ya que no tendría ningún sentido que se les obligara a permanecer impasibles ante las decisiones que pudieran adoptarse en el mismo, sin más consuelo que el de ulteriores y eventuales remedios, más ficticios que reales, en otros procesos posteriores.</w:t>
      </w:r>
    </w:p>
    <w:p w:rsidR="001C705E" w:rsidRDefault="001C705E" w:rsidP="001C705E">
      <w:pPr>
        <w:pStyle w:val="TextoNormal"/>
      </w:pPr>
    </w:p>
    <w:p w:rsidR="001C705E" w:rsidRDefault="001C705E" w:rsidP="001C705E">
      <w:pPr>
        <w:pStyle w:val="TextoNormal"/>
      </w:pPr>
      <w:r w:rsidRPr="001C705E">
        <w:rPr>
          <w:rStyle w:val="NumeroAFNegritaCaracter"/>
        </w:rPr>
        <w:t>9</w:t>
      </w:r>
      <w:r>
        <w:t>. Abierta la pertinente pieza separada de suspensión, de acuerdo con lo dispuesto en la providencia de la Sección Segunda de esta Sala de 23 de noviembre de 1983, la Sala, por Auto de 7 de diciembre siguiente, acordó: a) Suspender la ejecución de la orden de desalojo de la vivienda que ocupaba el demandante de amparo don Antonio Piñero Duarte, así como suspender la ejecución de cualquier medida que pudiera dar lugar al desalojo de las viviendas o locales que ocupasen los demás recurrentes en amparo en el edificio cuya licencia urbanística fue anulada por la Sentencia de la Sala de lo Contencioso-Administrativo de la Audiencia Territorial de Bilbao de 2 de junio de 1981, en autos del recurso núm. 173/1980, todo ello mientras no se resolviese el recurso de amparo por este TC o se revocase por el mismo la aludida suspensión, de acuerdo con lo establecido en el art. 57 de la LOTC, y b) comunicar a la Sala de lo Contencioso-Administrativo de la Audiencia Territorial de Bilbao el acuerdo anterior, así como el contenido en la Providencia de 23 de noviembre de 1983, por el que se admitió a trámite la correspondiente demanda de amparo, con objeto de que dicha Sala se abstuviese de ejecutar las órdenes cursadas sobre desalojo de las viviendas o locales ocupados por los demandantes de amparo, así como de dictar nuevas órdenes en tal sentido mientras se resolviera el presente recurso o se modificara el acuerdo de suspensión.</w:t>
      </w:r>
    </w:p>
    <w:p w:rsidR="001C705E" w:rsidRDefault="001C705E" w:rsidP="001C705E">
      <w:pPr>
        <w:pStyle w:val="TextoNormal"/>
      </w:pPr>
    </w:p>
    <w:p w:rsidR="001C705E" w:rsidRDefault="001C705E" w:rsidP="001C705E">
      <w:pPr>
        <w:pStyle w:val="TextoNormal"/>
      </w:pPr>
      <w:r w:rsidRPr="001C705E">
        <w:rPr>
          <w:rStyle w:val="NumeroAFNegritaCaracter"/>
        </w:rPr>
        <w:t>10</w:t>
      </w:r>
      <w:r>
        <w:t xml:space="preserve">. De las actuaciones remitidas por la Sala de lo Contencioso-Administrativo de la Audiencia Territorial de Bilbao se desprenden los siguientes datos que consideramos pertinentes a los efectos de la resolución del presente recurso: </w:t>
      </w:r>
    </w:p>
    <w:p w:rsidR="001C705E" w:rsidRDefault="001C705E" w:rsidP="001C705E">
      <w:pPr>
        <w:pStyle w:val="TextoNormal"/>
      </w:pPr>
      <w:r>
        <w:t xml:space="preserve">a) Por escrito presentado el 22 de abril de 1980 doña María Angeles Cuadra Aguirre y su esposo interpusieron recurso contencioso-administrativo ante la Sala correspondiente de la Audiencia Territorial de Bilbao contra los acuerdos del Ayuntamiento de Amurrio (Alava) por los que se aprobó un Estudio de Detalle y se otorgó licencia de construcción de un edificio sito en dicha población, calle Mendiko, números 2 y 4, a favor de don Domingo Arana Ibarreche, así como contra la desestimación presunta por silencio de la petición efectuada por aquéllos a la Consejería de Ordenación Territorial, Urbanismo y Medio Ambiente del Consejo General del País Vasco. </w:t>
      </w:r>
    </w:p>
    <w:p w:rsidR="001C705E" w:rsidRDefault="001C705E" w:rsidP="001C705E">
      <w:pPr>
        <w:pStyle w:val="TextoNormal"/>
      </w:pPr>
      <w:r>
        <w:t xml:space="preserve">b) Por Sentencia de 2 de junio de 1981 la citada Sala estimó en parte dicho recurso, declarando la anulación de la licencia de obras e imponiendo la obligación de demoler todo lo edificado que no fuera legalizable de conformidad con las normas que para el suelo urbano preferente establecía el Plan General de Amurrio, a la sazón vigente, y desestimando la demanda en todo lo demás. </w:t>
      </w:r>
    </w:p>
    <w:p w:rsidR="001C705E" w:rsidRDefault="001C705E" w:rsidP="001C705E">
      <w:pPr>
        <w:pStyle w:val="TextoNormal"/>
      </w:pPr>
      <w:r>
        <w:t xml:space="preserve">c) En el curso de la ejecución de la mencionada Sentencia, en la que la Sala dictó reiteradas providencias requiriendo al Ayuntamiento de Amurrio para que llevase a puro y </w:t>
      </w:r>
      <w:r>
        <w:lastRenderedPageBreak/>
        <w:t xml:space="preserve">debido efecto la misma, procediendo a efectuar el oportuno proyecto para acomodar la construcción realizada a las normas urbanísticas referidas y ejecutar a continuación las obras precisas a tal fin, así como disponiendo que se llevase a cabo el desalojo de las viviendas y locales ocupados y se impidiese la ocupación de los que estuviesen aún libres, el repetido Ayuntamiento aprobó el oportuno Estudio de Detalle, que la Sala, por providencia de 30 de septiembre de 1982, consideró «como medio adecuado para la ejecución de la Sentencia recaída» en los Autos en cuestión, «teniéndose, en consecuencia, por iniciada la misma en cuanto a la legalización de lo edificado». </w:t>
      </w:r>
    </w:p>
    <w:p w:rsidR="001C705E" w:rsidRDefault="001C705E" w:rsidP="001C705E">
      <w:pPr>
        <w:pStyle w:val="TextoNormal"/>
      </w:pPr>
      <w:r>
        <w:t>d) Estando aún pendiente de ejecución la Sentencia, comparecen ante la Sala de la Audiencia Territorial de Bilbao por escrito de 11 de julio de 1983 los ahora solicitantes de amparo, con la pretensión que ha quedado expuesta en el punto primero de los presentes Antecedentes.</w:t>
      </w:r>
    </w:p>
    <w:p w:rsidR="001C705E" w:rsidRDefault="001C705E" w:rsidP="001C705E">
      <w:pPr>
        <w:pStyle w:val="TextoNormal"/>
      </w:pPr>
    </w:p>
    <w:p w:rsidR="001C705E" w:rsidRDefault="001C705E" w:rsidP="001C705E">
      <w:pPr>
        <w:pStyle w:val="TextoNormal"/>
      </w:pPr>
      <w:r w:rsidRPr="001C705E">
        <w:rPr>
          <w:rStyle w:val="NumeroAFNegritaCaracter"/>
        </w:rPr>
        <w:t>11</w:t>
      </w:r>
      <w:r>
        <w:t>. Por providencia de 10 de enero de 1985 se señaló para deliberación y votación el día 17 de mismo mes y año.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En relación con la observación inicial que en su escrito de alegaciones hace el Ministerio Fiscal, creemos que aunque existe una cierta ambigüedad formal en el escrito de 11 de julio de 1983 que los ahora solicitantes de amparo presentaron ante la Sala de la Audiencia Territorial de Bilbao, no cabe duda que el «proceso» a que se refieren y en el que solicitan ser tenidos como «parte demandada principal», no puede ser otro que el de «ejecución» y no propiamente el declarativo del que éste trae causa.</w:t>
      </w:r>
    </w:p>
    <w:p w:rsidR="001C705E" w:rsidRDefault="001C705E" w:rsidP="001C705E">
      <w:pPr>
        <w:pStyle w:val="TextoNormal"/>
      </w:pPr>
      <w:r>
        <w:t>Es cierto que en dicho escrito solicitan, como acaba de verse, ser tenidos como «parte demandada principal», mientras que en el recurso de súplica contra la providencia de la Sala de 20 de julio de 1983, por la que se declara no haber lugar a dicha personación, solicitan lo mismo, pero subsidiariamente, para el caso de que no se admita tal pretensión, la de ser tenidos como «parte coadyuvante, parte adherida o cualquier otra figura que, en definitiva asegure la posibilidad de ... dejarse oír y de intervenir en el proceso de ejecución de sentencia de que se trata, bajo la condición o status de parte, cualquiera que sea la modalidad» que se les reconozca por la Sala.</w:t>
      </w:r>
    </w:p>
    <w:p w:rsidR="001C705E" w:rsidRDefault="001C705E" w:rsidP="001C705E">
      <w:pPr>
        <w:pStyle w:val="TextoNormal"/>
      </w:pPr>
      <w:r>
        <w:t>En el «suplico» del presente recurso de amparo la pretensión se formula aún en términos más omnicomprensivos ya que se solicita de este TC que «acuerde las medidas precisas para que se preserve o restablezca el derecho de los mismos, que aseguren, en definitiva, su presencia, como parte, en el proceso de que se trata».</w:t>
      </w:r>
    </w:p>
    <w:p w:rsidR="001C705E" w:rsidRDefault="001C705E" w:rsidP="001C705E">
      <w:pPr>
        <w:pStyle w:val="TextoNormal"/>
      </w:pPr>
      <w:r>
        <w:t>Pues bien, tanto por el contexto al que se refieren los ahora demandantes de amparo, como incluso por la expresión literalmente utilizada por ellos en el recurso de súplica contra la providencia antes mencionada, está claro, a juicio de la Sala, que lo que solicitan es que les sea reconocida su pretensión de comparecer como partes -cualquiera que sea la configuración que se adopte- en el proceso de ejecución de la Sentencia de 2 de junio de 1981, dictada por la Sala de lo Contencioso-Administrativo de la Audiencia Territorial de Bilbao.</w:t>
      </w:r>
    </w:p>
    <w:p w:rsidR="001C705E" w:rsidRDefault="001C705E" w:rsidP="001C705E">
      <w:pPr>
        <w:pStyle w:val="TextoNormal"/>
      </w:pPr>
      <w:r>
        <w:t>No puede acogerse, como parece insinuar el Ministerio Fiscal, que los solicitantes de amparo han variado sucesivamente su pretensión, ya que lo único que han hecho es flexibilizar su pretensión inicial de ser tenidos como parte principal, exclusivamente, a la de serlo de cualquier modo, sin que ello sea óbice, en opinión de la Sala, para dejar de reco</w:t>
      </w:r>
      <w:r>
        <w:lastRenderedPageBreak/>
        <w:t>nocerles que han cumplido con el requisito establecido en el art. 44.1 a) de la LOTC y respetado el carácter subsidiario del recurso de amparo constitucional.</w:t>
      </w:r>
    </w:p>
    <w:p w:rsidR="001C705E" w:rsidRDefault="001C705E" w:rsidP="001C705E">
      <w:pPr>
        <w:pStyle w:val="TextoNormal"/>
      </w:pPr>
    </w:p>
    <w:p w:rsidR="001C705E" w:rsidRDefault="001C705E" w:rsidP="001C705E">
      <w:pPr>
        <w:pStyle w:val="TextoNormal"/>
      </w:pPr>
      <w:r w:rsidRPr="001C705E">
        <w:rPr>
          <w:rStyle w:val="NumeroAFNegritaCaracter"/>
        </w:rPr>
        <w:t>2</w:t>
      </w:r>
      <w:r>
        <w:t>. Lo que los recurrentes han solicitado de la Sala de lo Contencioso-Administrativo de la Audiencia de Bilbao es ser tenidos como parte en el proceso de ejecución de una sentencia con el fin de ser oídos en dicho proceso de ejecución para hacer valer sus derechos e intereses legítimos, en cuanto propietarios de las viviendas y locales afectados por las medidas de ejecución de la mencionada Sentencia.</w:t>
      </w:r>
    </w:p>
    <w:p w:rsidR="001C705E" w:rsidRDefault="001C705E" w:rsidP="001C705E">
      <w:pPr>
        <w:pStyle w:val="TextoNormal"/>
      </w:pPr>
      <w:r>
        <w:t>A juicio de la Sala, las resoluciones impugnadas han violado el derecho de los demandantes a obtener la tutela judicial efectiva consagrada en el art. 24. 1 de la C.E. en la medida en que les ha sido denegada la posibilidad de comparecer como parte en un proceso en el que no cabe duda que se ventilan cuestiones que afectan a su esfera jurídica de «derechos e intereses legítimos». Esta afirmación se fundamenta en la doctrina reiterada de este TC en el sentido de que la legalidad ordinaria ha de ser interpretada de conformidad con la Constitución y en el sentido más favorable para la efectividad del derecho fundamental (Sentencia, entre otras, núm. 19/1983, de 14 de marzo, «Boletín Oficial del Estado» de 12 de abril, pp. 9 a 12, Suplemento al núm.  87).</w:t>
      </w:r>
    </w:p>
    <w:p w:rsidR="001C705E" w:rsidRDefault="001C705E" w:rsidP="001C705E">
      <w:pPr>
        <w:pStyle w:val="TextoNormal"/>
      </w:pPr>
      <w:r>
        <w:t>Pues bien, la propia LJ, al regular la ejecución de las sentencias de este orden jurisdiccional, legitima no sólo a las partes que han comparecido en el proceso principal -las «partes en el juicio» o «litigantes»- sino, más ampliamente, a las «partes interesadas» (art. 110. 1 de la LJ). En este sentido, una Sentencia del Tribunal Supremo de 10 de octubre de 1959 señaló que el concepto de parte interesada es más amplio que el de parte en juicio, reiterando la doctrina de las anteriores del mismo Tribunal de 18 de enero de 1943 y 21 de noviembre de 1957.</w:t>
      </w:r>
    </w:p>
    <w:p w:rsidR="001C705E" w:rsidRDefault="001C705E" w:rsidP="001C705E">
      <w:pPr>
        <w:pStyle w:val="TextoNormal"/>
      </w:pPr>
      <w:r>
        <w:t>En el asunto objeto del presente recurso de amparo parece evidente a la Sala que los señores Piñero Duarte y los otros propietarios de distintos elementos del edificio cuya licencia fue anulada por la Sala de lo Contencioso de la Audiencia Territorial de Bilbao y cuya demolición fue también dispuesta por la propia Sentencia tienen derecho a la cualidad de «parte interesada» en el proceso (de ejecución de dicha Sentencia), aunque no pueden considerarse, porque no lo fueron, «partes litigantes» en el proceso principal del que el de ejecución trae su causa.</w:t>
      </w:r>
    </w:p>
    <w:p w:rsidR="001C705E" w:rsidRDefault="001C705E" w:rsidP="001C705E">
      <w:pPr>
        <w:pStyle w:val="TextoNormal"/>
      </w:pPr>
      <w:r>
        <w:t>La Sala de la Audiencia Territorial de Bilbao, en efecto, hace equivaler «parte interesada en la ejecución» con la de «parte litigante» en el proceso principal o que pudo haber sido tal «parte litigante», posición jurídica en la que hay que entender incluidos (art. 31 de la LJ) a los causahabientes de quienes pudieron ser parte en el proceso. Pero tal simetría ni está necesariamente, como hemos visto, en la LJ, ni la requiere una adecuada inteligencia de los intereses en juego en uno y otro tipo de proceso, principal y de ejecución o, si se prefiere fases, declarativas y ejecutiva, intereses que pueden corresponder perfectamente, incluso por razones temporales, como en este caso, a personas diferentes.</w:t>
      </w:r>
    </w:p>
    <w:p w:rsidR="001C705E" w:rsidRDefault="001C705E" w:rsidP="001C705E">
      <w:pPr>
        <w:pStyle w:val="TextoNormal"/>
      </w:pPr>
      <w:r>
        <w:t xml:space="preserve">En el presente supuesto, la legitimación para comparecer en el proceso de ejecución de los ahora demandantes de amparo tiene el carácter de «sobrevenida», si se toma la perspectiva del proceso principal en el que «originariamente» no ostentaban tal cualidad procesal. Ahora bien, en este caso concreto, frente a la postura de la Sala de la Audiencia Territorial de Bilbao, cree la Sala del TC que el derecho consagrado en el art. 24. 1 de la C.E. habilita a los recurrentes a comparecer como parte en el proceso de ejecución aunque no fueran litigantes en el proceso principal, siempre que, como aquí sucede, no hayan podido serlo en éste y aleguen un derecho o interés legítimo y personal que pueda verse afectado por la ejecución que se trate de llevar a cabo. Por ello, los ahora demandantes de amparo </w:t>
      </w:r>
      <w:r>
        <w:lastRenderedPageBreak/>
        <w:t>tienen, en consecuencia, derecho a ser oídos en el proceso de ejecución al que nos hemos referido.</w:t>
      </w:r>
    </w:p>
    <w:p w:rsidR="001C705E" w:rsidRDefault="001C705E" w:rsidP="001C705E">
      <w:pPr>
        <w:pStyle w:val="TextoNormal"/>
      </w:pPr>
    </w:p>
    <w:p w:rsidR="001C705E" w:rsidRDefault="001C705E" w:rsidP="001C705E">
      <w:pPr>
        <w:pStyle w:val="TextoNormal"/>
      </w:pPr>
      <w:r w:rsidRPr="001C705E">
        <w:rPr>
          <w:rStyle w:val="NumeroAFNegritaCaracter"/>
        </w:rPr>
        <w:t>3</w:t>
      </w:r>
      <w:r>
        <w:t>. Con independencia que pueda afirmarse que la negativa de la Sala de la Audiencia Territorial de Bilbao a admitir la comparecencia como parte en el proceso de ejecución de la Sentencia de 2 de junio de 1981 a los señores Piñero Duarte y otros cause indefensión, tal negativa constituye, al menos, vulneración del derecho constitucional a la tutela judicial efectiva.</w:t>
      </w:r>
    </w:p>
    <w:p w:rsidR="001C705E" w:rsidRDefault="001C705E" w:rsidP="001C705E">
      <w:pPr>
        <w:pStyle w:val="TextoNormal"/>
      </w:pPr>
      <w:r>
        <w:t>Si la indefensión es el supuesto extremo de vulneración de este derecho, consagrado en el art. 24.1 de la C.E. no es preciso que se dé aquélla para que pueda reconocerse por este TC la violación del repetido derecho y, en consecuencia, estimarse el amparo solicitado. En este sentido, es de recordar que este TC ha reiterado que el art. 24. 1 de la C.E. no contiene sólo una prohibición respecto de la indefensión, sino también un contenido positivo en orden a la tutela efectiva, que ha de ser tenido en cuenta a la hora de aplicar el principio de interpretación de la legalidad ordinaria de conformidad con la Constitución y de interpretar la normativa vigente en el sentido más favorable para la efectividad del derecho fundamental (Sentencia núm. 19/1983, de 14 de marzo, «Boletín Oficial del Estado» de 12 de abril, pp.  9 a 12, Suplemento al núm. 87).</w:t>
      </w:r>
    </w:p>
    <w:p w:rsidR="001C705E" w:rsidRDefault="001C705E" w:rsidP="001C705E">
      <w:pPr>
        <w:pStyle w:val="TextoNormal"/>
      </w:pPr>
      <w:r>
        <w:t>En efecto, con base en el principio de interpretación más favorable al acceso jurisdiccional para la defensa de los derechos y libertades -enunciado expresamente en las Sentencias de este Tribunal núms. 20/1981, 23/1981, 14/1982, 21/1982 y 25/1983 y, en concreto, en una interpretación de la expresión «partes interesadas», del art. 110, núm. 1, de la LJ en el sentido más favorable para la efectividad del derecho a la tutela judicial efectiva, consagrado en el art. 24. 1 de la C.E., -que según la jurisprudencia de este TC contiene un mandato interpretativo del ordenamiento en tal sentido, Sentencias del TC de 18 de mayo de 1983 en Auto 362/1982 y 11 de junio de 1984 en Auto 255/1983-, lleva a la conclusión de que la Sala de lo Contencioso-Administrativo de la Audiencia Territorial de Bilbao debió admitir la comparecencia como parte en el proceso de ejecución de la representación de los señores Piñero Duarte y otros y que, al no haberlo hecho así, ha violado su derecho a la tutela judicial efectiva.</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solicitado y, en consecuencia:</w:t>
      </w:r>
    </w:p>
    <w:p w:rsidR="001C705E" w:rsidRDefault="001C705E" w:rsidP="001C705E">
      <w:pPr>
        <w:pStyle w:val="TextoNormal"/>
      </w:pPr>
      <w:r>
        <w:t>1. Anular la providencia de 20 de julio de 1983 y el Auto de 3 de octubre de 1983 de la Sala de lo Contencioso-Administrativo de la Audiencia Territorial de Bilbao, resoluciones ambas impugnadas en el presente recurso de amparo, retrotrayendo las actuaciones al momento inmediatamente anterior al de dictar dicha providencia.</w:t>
      </w:r>
    </w:p>
    <w:p w:rsidR="001C705E" w:rsidRDefault="001C705E" w:rsidP="001C705E">
      <w:pPr>
        <w:pStyle w:val="TextoNormal"/>
      </w:pPr>
      <w:r>
        <w:t xml:space="preserve">2. Reconocer a los recurrentes, que figuran nominativamente en el encabezamiento de esta Sentencia, el derecho a ser tenidos como parte en el proceso de ejecución de la Sentencia de 2 de junio de 1981 dictada por la referida Sala de la Audiencia Territorial de </w:t>
      </w:r>
      <w:r>
        <w:lastRenderedPageBreak/>
        <w:t>Bilbao, quedando restablecidos en su derecho mediante la nueva resolución que habrá de dictar la Sala mencionada.</w:t>
      </w:r>
    </w:p>
    <w:p w:rsidR="001C705E" w:rsidRDefault="001C705E" w:rsidP="001C705E">
      <w:pPr>
        <w:pStyle w:val="TextoNormal"/>
      </w:pPr>
    </w:p>
    <w:p w:rsidR="001C705E" w:rsidRDefault="001C705E" w:rsidP="001C705E">
      <w:pPr>
        <w:pStyle w:val="TextoNormal"/>
      </w:pPr>
      <w:r>
        <w:t>Publíquese en el «Boletín Oficial del Estado».</w:t>
      </w:r>
    </w:p>
    <w:p w:rsidR="001C705E" w:rsidRDefault="001C705E" w:rsidP="001C705E">
      <w:pPr>
        <w:pStyle w:val="TextoNormal"/>
      </w:pPr>
      <w:r>
        <w:t>Dada en Madrid, a dieciocho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8" w:name="SENTENCIA_1985_5"/>
      <w:r>
        <w:lastRenderedPageBreak/>
        <w:t>SENTENCIA 5/1985, de 23 de enero de 1985</w:t>
      </w:r>
    </w:p>
    <w:bookmarkEnd w:id="8"/>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ECLI:ES:TC:1985:5</w:t>
      </w:r>
    </w:p>
    <w:p w:rsidR="001C705E" w:rsidRDefault="001C705E" w:rsidP="001C705E">
      <w:pPr>
        <w:pStyle w:val="SntesisDescriptiva"/>
      </w:pPr>
    </w:p>
    <w:p w:rsidR="001C705E" w:rsidRDefault="001C705E" w:rsidP="001C705E">
      <w:pPr>
        <w:pStyle w:val="SntesisDescriptiva"/>
      </w:pPr>
      <w:r>
        <w:t>Recurso de amparo 720/1983. Dilaciones indebidas en proceso civil por inactividad judicial desde la fecha en que se declara concluso el juicio para Sentencia hasta la fecha de ésta, dictada durante la tramitación del recurso de amparo. Voto particular</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A falta de una regulación que arbitre vías judiciales que puedan satisfacer el derecho constitucional, en la línea que resulta del artículo 53.2 de la C.E. y art. 44 de la LOTC, ha de entenderse que la petición de poner fin a la paralización del proceso, invocando, a la vez, el art. 24 de la C.E., y acudiendo también al proceso de amparo en tanto la violación persistía, se han cumplido los presupuestos procesales exigidos para acudir ante el Tribunal Constitucional. </w:t>
      </w:r>
    </w:p>
    <w:p w:rsidR="001C705E" w:rsidRDefault="001C705E" w:rsidP="001C705E">
      <w:pPr>
        <w:pStyle w:val="Extracto"/>
      </w:pPr>
    </w:p>
    <w:p w:rsidR="001C705E" w:rsidRDefault="001C705E" w:rsidP="001C705E">
      <w:pPr>
        <w:pStyle w:val="Extracto"/>
      </w:pPr>
      <w:r>
        <w:t>2.</w:t>
      </w:r>
      <w:r>
        <w:tab/>
        <w:t xml:space="preserve">Aunque pueda pensarse por el contexto en el que se utiliza la expresión «proceso público sin dilaciones indebidas», que las mismas sólo se referirían al proceso penal, lo cierto es que, dentro del concepto general de la efectiva tutela judicial, las dilaciones injustificadas comportan un posible ataque a este derecho en cualquier proceso, por lo que también alcanza al proceso civil. </w:t>
      </w:r>
    </w:p>
    <w:p w:rsidR="001C705E" w:rsidRDefault="001C705E" w:rsidP="001C705E">
      <w:pPr>
        <w:pStyle w:val="Extracto"/>
      </w:pPr>
    </w:p>
    <w:p w:rsidR="001C705E" w:rsidRDefault="001C705E" w:rsidP="001C705E">
      <w:pPr>
        <w:pStyle w:val="Extracto"/>
      </w:pPr>
      <w:r>
        <w:t>3.</w:t>
      </w:r>
      <w:r>
        <w:tab/>
        <w:t xml:space="preserve">La significación de la expresión «sin dilaciones indebidas» debe entenderse según criterios o parámetros a concretizar en cada caso y puede incluir los que atienden a las singularidades de cada proceso. De acuerdo con esta premisa, debe evitarse todo traslado de las dimensiones con que se entiende el derecho a un proceso «en un tiempo razonable» sin adecuarlo a la realidad del proceso civil. </w:t>
      </w:r>
    </w:p>
    <w:p w:rsidR="001C705E" w:rsidRDefault="001C705E" w:rsidP="001C705E">
      <w:pPr>
        <w:pStyle w:val="Extracto"/>
      </w:pPr>
    </w:p>
    <w:p w:rsidR="001C705E" w:rsidRDefault="001C705E" w:rsidP="001C705E">
      <w:pPr>
        <w:pStyle w:val="Extracto"/>
      </w:pPr>
      <w:r>
        <w:t>4.</w:t>
      </w:r>
      <w:r>
        <w:tab/>
        <w:t xml:space="preserve">La Constitución Española no entiende por «dilación indebida» algo diverso de lo que dice el art. 6.1 del Convenio para la Protección de los Derechos Humanos y de las Libertades Fundamentales. </w:t>
      </w:r>
    </w:p>
    <w:p w:rsidR="001C705E" w:rsidRDefault="001C705E" w:rsidP="001C705E">
      <w:pPr>
        <w:pStyle w:val="Extracto"/>
      </w:pPr>
    </w:p>
    <w:p w:rsidR="001C705E" w:rsidRDefault="001C705E" w:rsidP="001C705E">
      <w:pPr>
        <w:pStyle w:val="Extracto"/>
      </w:pPr>
      <w:r>
        <w:t>5.</w:t>
      </w:r>
      <w:r>
        <w:tab/>
        <w:t xml:space="preserve">El art. 24.2 de la C.E. no ha constitucionalizado un derecho a los plazos, sino el derecho fundamental de toda persona a que su causa se resuelva dentro de un tiempo razonable. </w:t>
      </w:r>
    </w:p>
    <w:p w:rsidR="001C705E" w:rsidRDefault="001C705E" w:rsidP="001C705E">
      <w:pPr>
        <w:pStyle w:val="Extracto"/>
      </w:pPr>
    </w:p>
    <w:p w:rsidR="001C705E" w:rsidRDefault="001C705E" w:rsidP="001C705E">
      <w:pPr>
        <w:pStyle w:val="Extracto"/>
      </w:pPr>
      <w:r>
        <w:t>6.</w:t>
      </w:r>
      <w:r>
        <w:tab/>
        <w:t xml:space="preserve">El concepto de «proceso sin dilaciones indebidas» o de «tiempo razonable» tiene el carácter de un concepto abierto o indeterminado, que ha de ser dotado de contenido concreto en cada caso atendiendo a criterios objetivos congruentes con su enumerado genérico. </w:t>
      </w:r>
    </w:p>
    <w:p w:rsidR="001C705E" w:rsidRDefault="001C705E" w:rsidP="001C705E">
      <w:pPr>
        <w:pStyle w:val="Extracto"/>
      </w:pPr>
    </w:p>
    <w:p w:rsidR="001C705E" w:rsidRDefault="001C705E" w:rsidP="001C705E">
      <w:pPr>
        <w:pStyle w:val="Extracto"/>
      </w:pPr>
      <w:r>
        <w:t>7.</w:t>
      </w:r>
      <w:r>
        <w:tab/>
        <w:t xml:space="preserve">Las pautas elaboradas respecto del proceso penal en cuanto al concepto de «proceso sin dilaciones indebidas» no deben trasladarse literalmente a los procesos cuya materia son derechos patrimoniales. </w:t>
      </w:r>
    </w:p>
    <w:p w:rsidR="001C705E" w:rsidRDefault="001C705E" w:rsidP="001C705E">
      <w:pPr>
        <w:pStyle w:val="Extracto"/>
      </w:pPr>
    </w:p>
    <w:p w:rsidR="001C705E" w:rsidRDefault="001C705E" w:rsidP="001C705E">
      <w:pPr>
        <w:pStyle w:val="Extracto"/>
      </w:pPr>
      <w:r>
        <w:t>8.</w:t>
      </w:r>
      <w:r>
        <w:tab/>
        <w:t xml:space="preserve">La complejidad de un litigio, la conducta de los litigantes y de las autoridades y las consecuencias para las partes del litigio presuntamente demorado, las pautas y márgenes ordinarios en los tipos de proceso de que se trata, así como el estándar medio admisible para la proscripción de dilaciones, son criterios idóneos para llenar de contenido al concepto de «plazo razonable». </w:t>
      </w:r>
    </w:p>
    <w:p w:rsidR="001C705E" w:rsidRDefault="001C705E" w:rsidP="001C705E">
      <w:pPr>
        <w:pStyle w:val="Extracto"/>
      </w:pPr>
    </w:p>
    <w:p w:rsidR="001C705E" w:rsidRDefault="001C705E" w:rsidP="001C705E">
      <w:pPr>
        <w:pStyle w:val="Extracto"/>
      </w:pPr>
      <w:r>
        <w:t>9.</w:t>
      </w:r>
      <w:r>
        <w:tab/>
        <w:t xml:space="preserve">No es bastante que no se haya respetado el plazo para pronunciar Sentencia, ni siquiera el hecho de que ésta se haya dictado mucho después del vencimiento del mismo, para colegir sin más que el art. 24 de la C.E. ha sido vulnerado.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planteado por «Unión Alimentaria Sanders, Sociedad Anónima», representada por el Procurador don José Ramón Rego Rodríguez, y dirigida por el Abogado don Francisco Ramos Méndez, por inactividad del Juzgado de Primera Instancia número 9 de Barcelona, en el proceso civil de mayor cuantía número 543/1979-R, que considera vulnera el derecho al proceso sin dilaciones indebidas, y en el proceso de amparo ha comparecido como demandado el Abogado del Estado, en la representación que ostenta, y el Ministerio Fiscal, habiendo sido Ponente el Presidente de la Sala, don Jerónimo Arozamena Sierra, quien expresa el parecer de la misma.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Procurador don José Ramón Rego Rodríguez, en representación de «Unión Alimentaria Sanders, Sociedad Anónima», presentó en este Tribunal Constitucional (TC) demanda de amparo, en la que solicita: a) que en el juicio de mayor cuantía 543/1979, seguido ante el Juez de Primera Instancia número 9 de Barcelona, se ha producido una dilación indebida desde el 28 de diciembre de 1981 hasta la fecha en que se dicte Sentencia; b) que se ordene a dicho Juzgado ponga fin a dicha situación, dictando la sentencia que proceda; c) que se declare su derecho a obtener reparación de los daños y perjuicios sufridos por dicho retraso frente a la Administración Pública, incluidas las costas del presente recurso de amparo. </w:t>
      </w:r>
    </w:p>
    <w:p w:rsidR="001C705E" w:rsidRDefault="001C705E" w:rsidP="001C705E">
      <w:pPr>
        <w:pStyle w:val="TextoNormal"/>
      </w:pPr>
      <w:r>
        <w:lastRenderedPageBreak/>
        <w:t xml:space="preserve">El precepto constitucional que se denunció como vulnerado fue el art. 24.2, que garantiza el derecho a un proceso sin dilaciones indebidas, y el amparo se fundamentó en los siguientes hechos: </w:t>
      </w:r>
    </w:p>
    <w:p w:rsidR="001C705E" w:rsidRDefault="001C705E" w:rsidP="001C705E">
      <w:pPr>
        <w:pStyle w:val="TextoNormal"/>
      </w:pPr>
      <w:r>
        <w:t xml:space="preserve">A) El 2 de mayo de 1979 formuló demanda de mayor cuantía contra «Liconin, Sociedad Anónima», doña Nuria Pons Travens, que se repartió al Juzgado de Primera Instancia número 9 de Barcelona. </w:t>
      </w:r>
    </w:p>
    <w:p w:rsidR="001C705E" w:rsidRDefault="001C705E" w:rsidP="001C705E">
      <w:pPr>
        <w:pStyle w:val="TextoNormal"/>
      </w:pPr>
      <w:r>
        <w:t xml:space="preserve">B) Tras una tramitación que excede con mucho los plazos señalados en la Ley de Enjuiciamiento Civil (L.E.C.), el juicio quedó concluso para sentencia, según providencia del 28 de diciembre de 1981, quedando, desde entonces, interrumpido el curso del proceso. </w:t>
      </w:r>
    </w:p>
    <w:p w:rsidR="001C705E" w:rsidRDefault="001C705E" w:rsidP="001C705E">
      <w:pPr>
        <w:pStyle w:val="TextoNormal"/>
      </w:pPr>
      <w:r>
        <w:t>C) Mediante escrito de 10 de julio de 1983 dejó constancia ante el Juzgado de dicho retraso y denunció la violación del art. 24.2 de la Constitución (C.E.).</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demanda fue admitida a trámite el 30 de noviembre; se reclamó testimonio de las actuaciones en lo preciso; se acusó recibo por el Juzgado; comunicó que se había pronunciado la sentencia el 17 de diciembre de 1983; se remitieron las actuaciones el 5 de marzo siguiente, y se dio vista de ellas a la parte actora y al Ministerio Fiscal. </w:t>
      </w:r>
    </w:p>
    <w:p w:rsidR="001C705E" w:rsidRDefault="001C705E" w:rsidP="001C705E">
      <w:pPr>
        <w:pStyle w:val="TextoNormal"/>
      </w:pPr>
      <w:r>
        <w:t xml:space="preserve">La parte actora dijo que el hecho de que el Juzgado haya dictado sentencia no agota el contenido del amparo; para que la tutela sea efectiva debe declararse que la dilación ha sido indebida y reconocer un derecho a indemnización; se deben sentar las bases para establecer la indemnización y debe ser emplazada la Administración del Estado. </w:t>
      </w:r>
    </w:p>
    <w:p w:rsidR="001C705E" w:rsidRDefault="001C705E" w:rsidP="001C705E">
      <w:pPr>
        <w:pStyle w:val="TextoNormal"/>
      </w:pPr>
      <w:r>
        <w:t xml:space="preserve">El Ministerio Fiscal sostuvo que la demora en dictar sentencia no es por sí sola una dilación indebida, pero sí lo es desde el momento en que el Juez no determina la causa o circunstancia de esta dilación; la demanda ha quedado sin contenido o razón de ser, según resulta de otros pronunciamientos del TC (cita el Auto de 19 de enero de 1983, recurso 433/1982); aun habiendo sido lesionado un derecho fundamental, desde el momento en que en su esencia ha sido reparado, carece el amparo de contenido; ello no priva a la demandante del posible ejercicio de las acciones procedentes, según el artículo 121 C.E. </w:t>
      </w:r>
    </w:p>
    <w:p w:rsidR="001C705E" w:rsidRDefault="001C705E" w:rsidP="001C705E">
      <w:pPr>
        <w:pStyle w:val="TextoNormal"/>
      </w:pPr>
      <w:r>
        <w:t>Vistas estas alegaciones, se dispuso por providencia del 2 de mayo la continuación de las presentes actuaciones, dando intervención al Abogado del Estado y estableciendo un plazo común para alegaciones a la parte actora, al Abogado del Estado y al Ministerio Fiscal.</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En tiempo y forma se presentaron las alegaciones, diciéndose: </w:t>
      </w:r>
    </w:p>
    <w:p w:rsidR="001C705E" w:rsidRDefault="001C705E" w:rsidP="001C705E">
      <w:pPr>
        <w:pStyle w:val="TextoNormal"/>
      </w:pPr>
      <w:r>
        <w:t>A) Por la parte actora: a) el recurso de amparo se ha planteado por la dilación indebida en la tramitación de un proceso (art. 24.2 C.E.), abarcando el doble aspecto al que alude la STC 36/1984, de 14 de marzo («Boletín Oficial del Estado» de 3 de abril de 1984), tanto contra la simple inactividad cuanto por las consecuencias derivadas de la tardía producción del acto esperado; b) dictada la sentencia en el proceso civil, se ha cumplido sólo la primera de las pretensiones, quedando por dilucidar la segunda; c) la dilación es claramente indebida, y no se aduce causa alguna ni tal causa existe, pues ni la complejidad del asunto ni la conducta de los litigantes justifican la inactividad; d) existe un derecho a indemnización, que el TC está facultado para otorgar directamente, pues sólo así el amparo es efectivo, sin relegarlo a un proceso ulterior, y así procede el Tribunal Europeo de Derechos Humanos (TEDH); la condena debe extenderse tanto a los daños liquidados como a los que en el futuro puedan liquidarse; d) los daños se concretan en los intereses de un aval para obtener la medida de anotación preventiva de la demanda; las costas del presente recurso de amparo; un tanto alzado como indemnización moral; e) la audiencia de la Administración queda asegurada con la presencia del Ministerio Fiscal y del Abogado del Esta</w:t>
      </w:r>
      <w:r>
        <w:lastRenderedPageBreak/>
        <w:t xml:space="preserve">do, y concluye pidiendo una indemnización de 16.423 pesetas por el coste del aval durante la dilación; 100.000 pesetas por daños morales y las costas. </w:t>
      </w:r>
    </w:p>
    <w:p w:rsidR="001C705E" w:rsidRDefault="001C705E" w:rsidP="001C705E">
      <w:pPr>
        <w:pStyle w:val="TextoNormal"/>
      </w:pPr>
      <w:r>
        <w:t xml:space="preserve">B) Por el Ministerio Fiscal: a) que como anteriormente había dicho (antecedente segundo) en la actuación judicial, se apreciaba la existencia de dilaciones indebidas en el proceso civil desde el momento en que entre la fecha en que los autos quedaron conclusos para sentencia y aquella en la que se dictó había trascurrido un tiempo no sólo superior al que las normas señalan para dictar sentencia, sino un largo período que no resultaba justificado en la sentencia, por lo que entendía vulnerado el art. 24.2 b), que también sostuvo que la posterior decisión judicial dejaba al proceso de amparo sin contenido, y ello en base de lo resuelto por el TC (Auto de 19 de enero de 1983, recurso 433/1982), lo que se ha concretado posteriormente también por el TC (Auto de 9 de mayo de 1984, recurso 636/1983), de modo que ante situaciones idénticas la solución debe ser la misma, a no ser que se entienda que el TC debe pronunciar declaración expresa en reconocimiento de la dilación indebida a posteriores efectos; c) que como también se dijo por el Ministerio Fiscal en anterior momento procesal, la afirmación de que el actual proceso de amparo carece de contenido, no priva a la entidad demandante del ejercicio de otras acciones de reparación, tomando como punto de partida lo que ha dicho el TC (Sentencia de 14 de marzo de 1984, recurso 395/1982), añadiendo lo que sostuvo el TC (Auto de 20 de julio de 1983, recurso 402/1983) respecto al no desarrollo del art. 121 de la C.E. y demanda de responsabilidad civil contra el responsable de la dilación; d) el art. 121 C.E. no ha sido desarrollado, pero la doctrina ha postulado que se aplica al funcionamiento anormal de la Administración de Justicia los mismos mecanismos que los previstos en general, y si esto se entendiera así, el amparo no había perdido su razón de ser y la sentencia debiera producirse en sentido estimativo, de una parte, haciendo declaración de la lesión del derecho vulnerado, y, de otra, proclamando el derecho a la indemnización que se acrediten, con efectividad a través de los mecanismos que el TC declare aplicables a tenor de lo dispuesto en los arts. 87.2 y 92 de la LOTC, interesando pronunciamiento en este sentido. </w:t>
      </w:r>
    </w:p>
    <w:p w:rsidR="001C705E" w:rsidRDefault="001C705E" w:rsidP="001C705E">
      <w:pPr>
        <w:pStyle w:val="TextoNormal"/>
      </w:pPr>
      <w:r>
        <w:t>C) Por el Abogado del Estado se sostuvo: a) que ha desaparecido el objeto del presente proceso al haberse dictado la sentencia, invocando lo decidido por el TC Sentencia de 30 de junio de 1982); b) en otro caso, ha de entenderse que concurre la causa de inadmisión del art. 44.1 a) de la LOTC, pues de existir vía para exigir la responsabilidad que dice el art. 121 C.E., no puede ser otra que la prevista en el art. 40 de la Ley de Régimen Jurídico de la Administración del Estado (LRJ), que lleva a la necesidad de reclamación previa a la Administración y, eventualmente, una decisión judicial, y es que debe darse oportunidad a la Administración que conceder voluntariamente la indemnización y, en su caso, de que los tribunales decidan acerca de tal responsabilidad, y es que de lo contrario todos los retrasos podrían acudir directamente al TC operando per saltum, lo que no es admisible a su juicio; c) a continuación pasa a argumentar sobre la entidad de la dilación para el caso de que sus excepciones anteriores no fueran atendidas, y dice que no cree que la dilación producida sea de entidad suficiente como para fundar una declaración de lesión de un derecho fundamental; y para ello es guía idónea (art. 10.2 C.E.), los tratados internacionales, y lo que al respecto ha señalado el TEDH; para lo que recuerda el caso Buchholz (Sentencia de 6 de mayo de 1981), que se ocupa de los criterios de emplear para examinar el «plazo razonable» (art. 6.1 del Convenio Europeo), concepto similar a las «dilaciones indebidas», sentencia en la que se utilizan como criterios a destacar la complejidad del caso, el comportamiento del recurrente y las autoridades competentes y la imputabilidad de la lentitud al Estado, y también se utilizan como criterios que justifican al Estado la excepcional acumulación de asuntos ante los tribunales por causas coyunturales, la actitud guberna</w:t>
      </w:r>
      <w:r>
        <w:lastRenderedPageBreak/>
        <w:t>mental de acometer una reforma legislativa para resolver tal situación y la media de duración existente con carácter general; d) añade a continuación que todos estos criterios pueden ser utilizados para justificar la dilación: 1. el proceso era sumamente complejo desde un punto de vista estrictamente objetivo; 2. en los Juzgados de Barcelona se había producido en 1982 una excepcional acumulación de asuntos por encima de los topes máximos establecidos por el CGPJ, ya que a lo largo de 1982 cada uno de ellos vino a registrar un promedio de 1.800 asuntos, de los que más de 1.700 eran contenciosos; 3. para paliar esta situación se han acometido las necesarias medidas legislativas (Leyes de 31 de marzo y 21 de mayo de 1982, ésta, especifica para Barcelona), si bien los nuevos Juzgados no pudieron entrar en funcionamiento en 1983; 4. de los cuadros estadísticos de la Memoria del CGPJ y de los datos mencionados no parece que el plazo empleado sea excesivo atendiendo a las medias que resultan de los mismos en un caso extraordinariamente complejo; e) pasa a continuación a argumentar sobre las posibles consecuencias que tendrían la dilación, recoge que, según la doctrina, el art. 121 de la C.E. no es un precepto de directa aplicación (se remite a lo que dispongan las Leyes), por lo que cree el Abogado del Estado que en tanto no sea promulgada dicha Ley, no existe vía hábil para reclamar esa indemnización, pues la laguna aquí es poco menos que insalvable (se pregunta el Abogado del Estado cuáles serían las bases técnicas de la responsabilidad, los presupuestos fácticos, el plazo de prescripción y la articulación procesal), a lo que añade las observaciones siguientes: 1. de entender sea aplicable el art. 40 LRJ, existiría la causa de inadmisibilidad antes dicha, y, además, podría sostenerse que la acción habría prescrito al haber transcurrido más de un año desde el día en que pudo ejercitarse -dies a quo- hasta que se reclamó su cumplimiento -día final-; 2. de entenderse aplicable los criterios del Código Civil (CC), el retraso sólo será computable desde el requerimiento (art. 1.100), desde el cual el plazo transcurrido hasta dictar sentencia es manifiestamente razonable; alegaciones que hace con ánimo de evidenciar la insalvabilidad de la laguna legal; f) a continuación estudia las características del daño producido, en esta línea, dice que la doctrina ha sostenido que los daños han de ser de cierta entidad, o de cierta gravedad, lo que no es en el caso, pues los que se alegan (el coste de la fianza) debe ser muy reducido, de cuantía insignificante, y no se cuantifica ni se prueba; también se sostiene por la doctrina que el retraso tiene que ser relevantemente dañoso para su pretensión habida cuenta del objeto y tipo del proceso, y así debe entenderse la sentencia aducida por el demandante (STC de 14 de marzo de 1984); en el caso presente concernía a una reclamación de cantidad, a dos acciones subrogatorias, que por sí no puede decirse que resulten afectadas por el retraso, y el único daño de cuantía muy pequeña es la fianza exigida para la anotación preventiva, medida cautelar solicitada voluntariamente por el demandante, en su beneficio, y en modo alguno procesalmente necesaria o exigible.</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Una providencia del 20 de junio tuvo por presentadas las alegaciones, trasladar las copias y oír al Ministerio Fiscal y al Abogado del Estado respecto a la admisibilidad, legitimidad y eficacia de un documento presentado (carta bancaria sobre constitución de fianza y coste de la misma), a ello contestaron: </w:t>
      </w:r>
    </w:p>
    <w:p w:rsidR="001C705E" w:rsidRDefault="001C705E" w:rsidP="001C705E">
      <w:pPr>
        <w:pStyle w:val="TextoNormal"/>
      </w:pPr>
      <w:r>
        <w:t xml:space="preserve">A) El Ministerio Fiscal: a) que no estima admisible el citado documento porque no reúne los requisitos y circunstancias que dice el art. 602 L.E.C.; b) que la solicitud de fijación de indemnización debe quedar, en el supuesto de que el TC estime el amparo, para ejecución de sentencia. </w:t>
      </w:r>
    </w:p>
    <w:p w:rsidR="001C705E" w:rsidRDefault="001C705E" w:rsidP="001C705E">
      <w:pPr>
        <w:pStyle w:val="TextoNormal"/>
      </w:pPr>
      <w:r>
        <w:t xml:space="preserve">B) El Abogado del Estado: que no tiene reparo alguno a la admisibilidad del documento y a su legitimidad, pero no admite su eficacia por referirse a una concreta pretensión </w:t>
      </w:r>
      <w:r>
        <w:lastRenderedPageBreak/>
        <w:t xml:space="preserve">que no se contenía en el escrito de demanda, que debe entenderse como vehículo obligado de las pretensiones ejercitadas, ya que en la demanda se ejercita la acción propiamente dicha. </w:t>
      </w:r>
    </w:p>
    <w:p w:rsidR="001C705E" w:rsidRDefault="001C705E" w:rsidP="001C705E">
      <w:pPr>
        <w:pStyle w:val="TextoNormal"/>
      </w:pPr>
      <w:r>
        <w:t xml:space="preserve">C) El demandante presentó también escrito, aunque el traslado se hizo al Ministerio Fiscal y al Abogado del Estado a los efectos de admisibilidad, legitimidad y eficacia del documento aportado por la actora. Dijo esta parte que el documento se encuadra en lo previsto en el art. 506.1 L.E.C.; en todo caso, es legítimo acomodar el devenir el proceso a la realidad, no juzgando el principio de preclusión; si hubiese duda respecto a los daños y perjuicios, se solicita el recibimiento a prueba, extremo que también puede acordar el TC de oficio. Se hicieron también algunas alegaciones respecto al escrito del Abogado del Estado, procesalmente improcedentes, al no otorgarse trámite de réplica frente a indicadas alegaciones. </w:t>
      </w:r>
    </w:p>
    <w:p w:rsidR="001C705E" w:rsidRDefault="001C705E" w:rsidP="001C705E">
      <w:pPr>
        <w:pStyle w:val="TextoNormal"/>
      </w:pPr>
      <w:r>
        <w:t>Por providencia de 18 de julio se admitieron e incorporaron las alegaciones del Ministerio Fiscal y del Abogado del Estado, y se admitió el documento y quedaron las actuaciones pendientes para señalamiento para cuando por turno corresponda.</w:t>
      </w:r>
    </w:p>
    <w:p w:rsidR="001C705E" w:rsidRDefault="001C705E" w:rsidP="001C705E">
      <w:pPr>
        <w:pStyle w:val="TextoNormal"/>
      </w:pPr>
    </w:p>
    <w:p w:rsidR="001C705E" w:rsidRDefault="001C705E" w:rsidP="001C705E">
      <w:pPr>
        <w:pStyle w:val="TextoNormal"/>
      </w:pPr>
      <w:r w:rsidRPr="001C705E">
        <w:rPr>
          <w:rStyle w:val="NumeroAFNegritaCaracter"/>
        </w:rPr>
        <w:t>5</w:t>
      </w:r>
      <w:r>
        <w:t>. Por providencia del 19 de septiembre, la Sala señaló para la deliberación del presente asunto el día 14 de noviembre, continuando los días 12 y 19 de diciembre de 1984 y 16 de enero de 1985, en que se concluyó.</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En un principio, partiendo de la paralización de un proceso civil y de la invocación del derecho a un proceso sin dilaciones indebidas, la Sociedad actora solicitó, para el restablecimiento de su derecho, el que se pusiera fin a esa paralización, pero también que se reconociera el derecho a indemnización.  Cesada la paralización y seguido el curso del proceso civil regularmente sin producirse -en lo que se conoce- situaciones de anormalidad, se ha operado una modificación de la demanda que se concreta ahora en cuanto a los efectos reparadores, a la pretensión indemnizatoria. Con esta variante y oídas las partes y el Ministerio Fiscal, se dispuso la continuación del proceso, dejando para este momento -el de pronunciar sentencia- la cuestión suscitada, defendida por el Ministerio Fiscal, y a la que se adhirió más tarde el Abogado del Estado, de si la prosecución del proceso civil privó de contenido al amparo constitucional. Este es uno de los puntos relevantes del debate. Una consideración total de los problemas vivos nos tiene que llevar a ordenar las cuestiones analizando, en primer lugar, por razones de orden lógico, si el derecho constitucional que se invoca, es decir, el derecho a un proceso sin dilaciones indebidas que proclama el art. 24.2 de la Constitución (en lo sucesivo C.E.), se limita a los procesos de contenido penal, o si en la formulación constitucional se comprenden los procesos civiles. Sólo dando respuesta afirmativa a esta interrogante tendrá sentido analizar que hay que entender por «dilaciones indebidas» y medir con los criterios comprendidos en la indicada definición constitucional el caso del presente amparo.</w:t>
      </w:r>
    </w:p>
    <w:p w:rsidR="001C705E" w:rsidRDefault="001C705E" w:rsidP="001C705E">
      <w:pPr>
        <w:pStyle w:val="TextoNormal"/>
      </w:pPr>
      <w:r>
        <w:t>Antes, sin embargo, de entrar a analizar estas cuestiones, parece oportuno que hagamos algunas consideraciones sobre el modo en que se ha articulado en el proceso previo la invocación del derecho constitucional vulnerado. A este punto nos referimos a continuación.</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No deja de ofrecer dificultades la articulación de la reclamación en vía jurisdiccional en los casos del derecho al proceso sin dilaciones indebidas, desde la perspectiva del art. </w:t>
      </w:r>
      <w:r>
        <w:lastRenderedPageBreak/>
        <w:t>44.1 c) de la LOTC. La Sociedad demandante las ha solucionado instando que se dictara sentencia -impulsando, de este modo, el proceso- y denunciando, a la vez, que la dilación podría constituir una violación del art. 24 de la C.E. La actual regulación procesal no ofrece otras soluciones en los casos de inactividad jurisdiccional y, en general, de omisiones que pudieran tener contenido suficiente para canalizarlas por la vía del art. 44 de la LOTC, a salvo algunas modalidades aisladas de otras vías que el de denunciar la omisión, impulsando la actuación procesal debida ante el Juez o Tribunal donde se ha producido la inactividad o la omisión. Esta fue la vía que utilizó la Sociedad demandante, denuncia que efectuada a mediados del año 1983 obtuvo respuesta en 18 de diciembre de 1983; de modo que si atendiéramos a la literalidad del art. 44.1 c) de la LOTC, y desde esta literalidad interpretamos (la denuncia debe hacerse, tan pronto como una vez conocida la violación hubiere lugar para ello), la conducta de la parte, no ofrecería dificultades el llegar a la conclusión de que obtuvo satisfacción mediante la prosecución del proceso. No es ésta, sin embargo, la idea de la queja de la Sociedad demandante, pues partiendo de la vigencia rotunda del principio de impulso procesal de oficio, y, por ello, de la no necesidad de instar la actuación debida para empezar a correr, desde entonces, el tiempo que habría que calificar o no de razonable, considera que este tiempo se inicia en un momento que parece anudar al vencimiento del plazo para sentencia y concluye cuando se pronuncia la sentencia, y estima que esta dilación está incursa en la prescripción del art. 24.2 de la C.E. A falta de una regulación que arbitre vías judiciales que puedan satisfacer el derecho constitucional, en la línea que resulta del art.  53.2 de la C.E. y del art. 44 de la LOTC, ha de entenderse que mediante la petición que se hizo de que se pusiera fin a la paralización del proceso, invocando, a la vez, el art. 24, y acudiendo a este proceso de amparo en tanto la violación persistía se han cumplido los presupuestos procesales exigidos para acudir a este Tribunal. Pasamos a estudiar los puntos que anunciábamos en el fundamento primero y que son si el derecho que proclama el art. 24.2 de la Constitución se limita o no a los procesos penales, y resuelto esto en el sentido de que no se contrae a estos procesos, lo que ha de entenderse por dilaciones indebidas.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En cuanto a la primera de estas cuestiones, es obligado que recordemos aquí lo que en este punto se ha dicho por este Tribunal Constitucional (en lo sucesivo TC); es también de importancia capital traer a colación, por lo que tiene de ilustrativo, y aun de criterios interpretativos, la jurisprudencia del Tribunal Europeo de Derechos Humanos (en lo sucesivo TEDH), en torno al art. 6 de la Convención Europea (ratificada por España). Y es así, en cuanto a la doctrina constitucional propia, por el valor del precedente (una muestra de este valor, art. 13 de la LOTC), y por lo que se refiere a la doctrina del TEDH, por mandato constitucional (art. 10.2 de la C.E.). Se ha dicho por este Tribunal Constitucional, refiriéndose a un proceso contencioso-administrativo, que el «ámbito temporal en que se mueve el derecho a la tutela efectiva de los jueces y tribunales» lo viene a consagrar el párrafo número 2 del mismo art.  24 de la C.E. al hablar de un «proceso público sin dilaciones indebidas», y aunque pueda pensarse que por el contexto general en que se utiliza esta expresión sólo está dirigida en principio a regir en los procesos penales, ello no veda que dentro del concepto general de la efectiva tutela judicial deban plantearse como un posible ataque al mismo las dilaciones injustificadas que puedan acontecer en cualquier proceso» (Sentencia de 14 de julio de 1981, «Boletín Oficial del Estado» de 20 de julio). Y el criterio extensible del derecho a un proceso sin dilaciones con un carácter de generalidad, se reitera en otras Sentencias, como las de 13 de abril 1983 («Boletín Oficial del Estado» de 17 de mayo), 14 de diciembre de 1983 («Boletín Oficial del Estado» 11 de </w:t>
      </w:r>
      <w:r>
        <w:lastRenderedPageBreak/>
        <w:t>enero) y 14 de marzo de 1984 («Boletín Oficial del Estado» de 4 de abril). No ofrece duda que la doctrina jurisprudencial es inequívoca en cuanto a la constitucionalización del derecho a un proceso sin dilaciones indebidas, en todos los órdenes jurisdiccionales. La mencionada Sentencia de 13 de abril (y en las que la siguen) lo sitúa en el marco del art. 24.2 más que en el concepto genérico comprendido en el art. 24.1, cuando dice que «desde el punto de vista sociológico y práctico puede seguramente afirmarse que una justicia tardíamente concedida equivale a una falta de tutela judicial efectiva; jurídicamente, en el marco de nuestro ordenamiento, es forzoso entender que se trata de derechos distintos que siempre han de ser considerados separadamente y que, en consecuencia, también puede ser objeto de distintas violaciones».  Significa esto que el derecho a obtener justicia sin dilaciones indebidas comprende a las pretensiones -y esto desde los dos lados de la contienda- distintas de las penales. Los procesos civiles han de entenderse incluidos en la indicada garantía constitucional. Podrá sostenerse -sobre ello volveremos más adelante- que los que atiendan a las singularidades de los procesos y, en este orden, que en materia penal las exigencias son más rigurosas, pues están en entredicho valores o derechos que reclaman tratamientos preferentes. Todo el conjunto de principios penales constitucionalizados así lo avalan.</w:t>
      </w:r>
    </w:p>
    <w:p w:rsidR="001C705E" w:rsidRDefault="001C705E" w:rsidP="001C705E">
      <w:pPr>
        <w:pStyle w:val="TextoNormal"/>
      </w:pPr>
    </w:p>
    <w:p w:rsidR="001C705E" w:rsidRDefault="001C705E" w:rsidP="001C705E">
      <w:pPr>
        <w:pStyle w:val="TextoNormal"/>
      </w:pPr>
      <w:r w:rsidRPr="001C705E">
        <w:rPr>
          <w:rStyle w:val="NumeroAFNegritaCaracter"/>
        </w:rPr>
        <w:t>4</w:t>
      </w:r>
      <w:r>
        <w:t>. Como decíamos, la doctrina jurisprudencial del TEDH es de singular importancia en la materia, y así se recoge en alguna de las Sentencias del TC que antes hemos traído a colación (Sentencia de 14 de julio de 1981 o Sentencia de 14 de marzo de 1984).  La doctrina al respecto es inequívoca, dentro de las exigencias interpretativas del art. 6.1 de la Convención, en cuanto el precepto no se limita a las cuestiones penales, sino que incluye «los litigios sobre sus derechos y obligaciones de carácter civil».  La Sentencia de 6 de mayo de 1981 (caso Buchholz), y aquellas en que uno de los puntos del debate versó sobre el alcance del art. 6.1 en el inciso que hemos recogido (y cuya cita por su generalidad no es menester aquí), llevan a la indicada conclusión, sin que lo escaso de los supuestos no penales alteren la validez de la doctrina. El TEDH ha conocido, ciertamente, de casos penales, y con mayor frecuencia, de acusaciones de vulneración del derecho al proceso en un tiempo razonable, en los que el recurrente había sufrido prisión (entrando también en cuestión, el art. 5 del Convenio), y es principalmente, respecto de procesos de esta naturaleza donde ha elaborado los criterios que sirvan para concretizar, en cada caso, la indeterminación del concepto de «plazo razonable», que utiliza el texto del Convenio, y que nuestra C.E. denomina «sin dilaciones indebidas». La advertencia tiene valor, a nuestro entender, para evitar todo traslado sin adecuarlos a la realidad del proceso civil -a su misma consideración sociológica y jurídica- de los criterios nacidos para definir una de las dimensiones del derecho al proceso «en un tiempo razonable».</w:t>
      </w:r>
    </w:p>
    <w:p w:rsidR="001C705E" w:rsidRDefault="001C705E" w:rsidP="001C705E">
      <w:pPr>
        <w:pStyle w:val="TextoNormal"/>
      </w:pPr>
    </w:p>
    <w:p w:rsidR="001C705E" w:rsidRDefault="001C705E" w:rsidP="001C705E">
      <w:pPr>
        <w:pStyle w:val="TextoNormal"/>
      </w:pPr>
      <w:r w:rsidRPr="001C705E">
        <w:rPr>
          <w:rStyle w:val="NumeroAFNegritaCaracter"/>
        </w:rPr>
        <w:t>5</w:t>
      </w:r>
      <w:r>
        <w:t>. Hasta ahora hemos tratado de la primera de las interrogantes que nos planteábamos en el fundamento primero. La cuestión siguiente es qué quiere decirse bajo la expresión «sin dilaciones indebidas», utilizada en el art.  24.2, supuesto que, desde una u otra de las vertientes que hemos dicho, la dimensión temporal del proceso -también del proceso civil- ha recibido un respaldo constitucional para proscribir lo que el constituyente llama «dilaciones indebidas». Lo primero es analizar si nuestra Constitución ha introducido una definición de mayor rigor que la del texto europeo (art. 6.1 ), y en esta línea de análisis, los mismos precedentes jurisprudenciales a los que nos referido antes (las Sentencias de este TC de 14 de julio de 1981, 13 de abril de 1983 y 14 de marzo de 1984), nos llevan a la idea de que el concepto del art. 24.2 (dilaciones indebidas) no se identifica con la sola re</w:t>
      </w:r>
      <w:r>
        <w:lastRenderedPageBreak/>
        <w:t>tardación o detención, medida acudiendo a los plazos que para la realización de actos del proceso, o para el conjunto de los que integran una instancia, puedan estar establecidos en las reglas que organizan el proceso. Por dilación indebida no se está diciendo cosa distinta de lo que dice el art. 6.1 de la Convención Europea y de lo que desde la afirmación de este precepto ha señalado el TEDH. El art. 24.2 no ha constitucionalizado el derecho a los plazos; ha constitucionalizado, configurando como un derecho fundamental, con todo lo que esto significa, el derecho de toda persona a que su causa se resuelva dentro de un tiempo razonable. La extensión de la regla constitucional a los procesos de otro contenido podrá -y así es- afirmar el derecho a un proceso en tiempo razonable, pero no a que el derecho a que los plazos se cumplan, y a que las secuencias del proceso se ajusten a las dimensiones temporales definidas en las normas procesales, se haya elevado a la categoría constitucional de un derecho fundamental. Este concepto (el de proceso sin dilaciones indebidas, o en un tiempo razonable) es un concepto indeterminado o abierto que ha de ser dotado de contenido concreto en cada caso atendiendo a criterios objetivos congruentes con su enunciado genérico, como decíamos en nuestra Sentencia de 14 de marzo de 1984. A estos criterios pasamos a referirnos a continuación.</w:t>
      </w:r>
    </w:p>
    <w:p w:rsidR="001C705E" w:rsidRDefault="001C705E" w:rsidP="001C705E">
      <w:pPr>
        <w:pStyle w:val="TextoNormal"/>
      </w:pPr>
    </w:p>
    <w:p w:rsidR="001C705E" w:rsidRDefault="001C705E" w:rsidP="001C705E">
      <w:pPr>
        <w:pStyle w:val="TextoNormal"/>
      </w:pPr>
      <w:r w:rsidRPr="001C705E">
        <w:rPr>
          <w:rStyle w:val="NumeroAFNegritaCaracter"/>
        </w:rPr>
        <w:t>6</w:t>
      </w:r>
      <w:r>
        <w:t>. Como hemos dicho, es trasladable aquí por virtud de lo que dispone el art.  10.2 de la C.E. lo que atendiendo al art. 6.1 de la Convención Europea ha establecido el TEDH en cuanto a criterios a tener en cuenta para concretizar en cada caso la indeterminación del concepto utilizado en aquel precepto. La distinción de los derechos o intereses que se cuestionan en un proceso y aun la distinta significación de los que estando atribuidos a un mismo orden jurisdiccional permitan una distinta naturaleza y la misma jerarquización presente en el Título I de la C.E. llevan a que no puedan ser trasladables en su misma literalidad las pautas elaboradas respecto de procesos en materia penal a los procesos en que la materia es otra, y desde luego no lo es, a los procesos en que la materia es patrimonial. No se trata de dejar en el desamparo estos derechos y desde luego no se trata de minimizar para su defensa los instrumentos procesales que para la realización de la justicia organiza el legislador.  Se trata simplemente de que cuando se juzga en materia penal, o desde otro orden, en materia de derechos a los que el constituyente ha asignado una preferencia (es el caso de los derechos fundamentales), la idea del plazo razonable tiene otros componentes y otras exigencias. Mientras un proceso más allá de ciertos límites temporales puede generar un rechazo claro cuando se trata de «materia penal», la respuesta puede no ser la misma en el caso de otras materias, y esto porque no tiene igual incidencia la dimensión temporal del proceso en unos y otros casos.  Como hemos recordado en anteriores Sentencias, el TEDH ha elaborado unos criterios a tener en cuenta para apreciar el grado de razonabilidad de las dilaciones, criterios que en cuanto tuvieran como soporte casos referidos a materia penal (y más aún, casos en que la duración de la prisión provisional estuviera también en entredicho), no son trasladables en su misma literalidad a procesos con otros contenidos y organizados conforme a otros principios.  Queremos decir con esto que los criterios deben verse desde la realidad de la materia litigiosa. Esta es la idea que está presente en nuestra Sentencia de 14 de marzo de 1984. En ella no se trataba de materia penal y lo dependiente del proceso no era la absolución o condena de una persona sometida a un proceso de tal naturaleza; se trataba de un proceso laboral y la dilación indebida había generado consecuencias gravosas patrimoniales de importancia en una economía muy limitada. La complejidad del litigio, la conducta de los litigantes y de las autoridades y las consecuencias que del litigio presuntamente demorado se siguen para las partes son, ciertamente, criterios desde los que debe llenarse de contenido el concepto del «plazo razona</w:t>
      </w:r>
      <w:r>
        <w:lastRenderedPageBreak/>
        <w:t>ble».  Otros criterios son las pautas y márgenes ordinarios en los tipos de proceso de que se trata, o en otros términos el estándar medio admisible, para proscribir dilaciones más allá de él. A este criterio presta también destacada atención el TEDH en Sentencias, entre otras, de 6 de mayo de 1981 (caso Buchholz), en que se resolvió una queja que versaba sobre la duración de los procedimientos laborales. Con todo ello, analizamos ahora el caso del proceso «Unión Alimentaria Sanders, Sociedad Anónima».</w:t>
      </w:r>
    </w:p>
    <w:p w:rsidR="001C705E" w:rsidRDefault="001C705E" w:rsidP="001C705E">
      <w:pPr>
        <w:pStyle w:val="TextoNormal"/>
      </w:pPr>
    </w:p>
    <w:p w:rsidR="001C705E" w:rsidRDefault="001C705E" w:rsidP="001C705E">
      <w:pPr>
        <w:pStyle w:val="TextoNormal"/>
      </w:pPr>
      <w:r w:rsidRPr="001C705E">
        <w:rPr>
          <w:rStyle w:val="NumeroAFNegritaCaracter"/>
        </w:rPr>
        <w:t>7</w:t>
      </w:r>
      <w:r>
        <w:t>. De todo el planteamiento anterior se deduce que tendríamos que analizar ahora -desde la perspectiva constitucional de si se ha violado el derecho fundamental que el demandante invoca- los comportamientos procesales, el contenido y complejidad del proceso y las consecuencias que de la paralización se han seguido para el demandante de amparo. Comenzando por este último punto, aunque pudiera alguno advertir que corresponde a otro estadio del discurso por cuanto afectaría a una modalidad reparatoria del derecho lesionado, tenemos que decir, sin embargo, que sin tratar ahora de indicada dimensión de la paralización del proceso, vamos a verlo desde el ángulo de su relevancia para definir si se ha producido una dilación indebida en los términos que han quedado explicados anteriormente, pues tal incidencia compone uno de los criterios útiles para juzgar la dilación. La cuestión se enlaza con la alegación del Ministerio Fiscal y también del Abogado del Estado -aunque con posturas no coincidentes- en torno a que, rota la paralización del proceso y pronunciada sentencia, el amparo ha quedado privado de materia susceptible de amparo (tesis del Abogado del Estado) o con sólo contenido indemnizatorio (tesis del Ministerio Fiscal).</w:t>
      </w:r>
    </w:p>
    <w:p w:rsidR="001C705E" w:rsidRDefault="001C705E" w:rsidP="001C705E">
      <w:pPr>
        <w:pStyle w:val="TextoNormal"/>
      </w:pPr>
      <w:r>
        <w:t xml:space="preserve">La nota característica o sustancial del derecho que estamos analizando se encuentra, pues, en que el proceso se resuelva en un tiempo razonable. Cuando el proceso no se resuelve, si prescindimos de las hipótesis extremas en torno a la prohibición del non liquet (art. 1.7 del Código Civil) y de las tipificaciones penales en la materia (art. 357 del Código Penal), podrán las dilaciones constituir una violación del indicado derecho si son más allá de lo razonable. La cesación de la paralización del curso de un proceso podrá limitar las medidas restablecedoras del derecho a un proceso sin dilaciones indebidas al solo campo de lo indemnizatorio, si ésta fuera la reparación que la violación reclama (sobre ello volveremos más adelante), pero no transforma lo que es contrario a la norma constitucional, esto es, el dilatar el proceso más allá de lo razonable en algo carente de relevancia constitucional. Si la dilación -insistimos e encuentra en oposición con el precepto constitucional, no se desvanece la violación cuando se pone fin a tal situación de paralización. Se tratará, en tal hipótesis, de buscar los medios reparadores y, en definitiva, de lograr una respuesta a la relación entre violación del derecho y restablecimiento o, en su caso, reparación de las consecuencias de la acción u omisión de la autoridad judicial. La cuestión, sin embargo, necesita de algunas otras consideraciones, pues el Abogado del Estado y también el Ministerio Fiscal han señalado que pudiera haberse producido situaciones parejas a las de otros casos conocidos por el TC (y esto se produce, dicen, al pronunciarse sentencia en el proceso civil incurso en la dilación), que podrían justificar, según estas tesis, soluciones fundadas en la desaparición de la «materia de amparo», o desde otra vertiente, pronunciamientos de mera declaración o reconocimiento del derecho. Se menciona por el Abogado del Estado la Sentencia de 30 de junio de 1982 que, ciertamente, sostuvo que el proceso de amparo se concluye cuando se satisface la pretensión que lo justifica. Esto es así, mas lo que se cuestiona es si la satisfacción se ha producido, y en este punto tenemos que precisar que si bien este Tribunal ha inadmitido recursos basándose en que al dictarse Sentencia había desaparecido la materia de amparo (en este sentido, el Auto de 9 de mayo de 1984, </w:t>
      </w:r>
      <w:r>
        <w:lastRenderedPageBreak/>
        <w:t>citado por el Ministerio Fiscal), o denegados amparos en que el recurrente, partiendo de la idea de que se había violado el derecho a un proceso sin dilaciones indebidas, solicitaba una indemnización simbólica (es el caso de la Sentencia de 16 de junio de 1982), la oportunidad de estos antecedentes se encuentra no en inferir de ellos que cesada la dilación  desaparece la materia de amparo; se encuentra, por un lado, en la apreciación de uno de los criterios relevantes, con otros, para concretizar si el derecho ha sido violado (criterio al que aludíamos antes), y por otro lado, en si la modalidad reparatoria constituida por la indemnización es de las comprendidas en el art. 55.1 de la LOTC, y si así fuera, cómo se resuelven en el proceso de amparo el complejo de problemas ligados a una obligación indemnizatoria que se hace valer como medio de satisfacción del interés del titular del derecho fundamental violado. Estas cuestiones pertenecen a otro momento del orden lógico que debe regir la decisión del presente proceso de amparo. Vamos a referirnos al otro tema, y, en esta línea argumental, moviéndonos ahora en el análisis de los datos del proceso judicial precedente -de los datos que han sido traídos a este amparo-, pasamos a estudiar la cuestión del «plazo razonable».</w:t>
      </w:r>
    </w:p>
    <w:p w:rsidR="001C705E" w:rsidRDefault="001C705E" w:rsidP="001C705E">
      <w:pPr>
        <w:pStyle w:val="TextoNormal"/>
      </w:pPr>
    </w:p>
    <w:p w:rsidR="001C705E" w:rsidRDefault="001C705E" w:rsidP="001C705E">
      <w:pPr>
        <w:pStyle w:val="TextoNormal"/>
      </w:pPr>
      <w:r w:rsidRPr="001C705E">
        <w:rPr>
          <w:rStyle w:val="NumeroAFNegritaCaracter"/>
        </w:rPr>
        <w:t>8</w:t>
      </w:r>
      <w:r>
        <w:t>. El proceso de mayor cuantía, en el que se supone se ha quebrantado la regla de dar en tiempo razonable satisfacción a la pretensión -según el derecho que la solución del caso reclame- la dilación se concreta, y así se acusa por el demandante, en el último momento del íter procesal: en el de sentencia. Desde este punto de vista, es claro que se ha incumplido la regla procesal (el art.  678 de la L.E.C). Podrá decirse que la particularidad del Juzgado durante tiempo en situación de reserva de plaza de su titular, por así disponerlo la Ley, y desempeñado mediante fórmulas de menor estabilidad por otros Jueces, es el origen, más que los comportamientos procesales de los jurisdicentes, de una parte importante de la dilación. El art. 24 constituye, ciertamente, un compromiso para los poderes públicos, que según las áreas de sus responsabilidades, tienen en sus manos la organización del proceso, y deben orientarse en buscar y dotar soluciones que hagan normal la prestación de la justicia, revisando, si ello constituyera una rémora no remediable por otros caminos, los mecanismos actuales que hacen posibles circunstancias como la indicada del Juzgado de que se trata. El que el retraso en pronunciar sentencia tenga una causa en que, probablemente, buena parte se anuda a circunstancias ajenas al titular -o sucesivos titulares- del Juzgado, no traslada a las partes, a las que ninguna actividad entorpecedora puede serles imputable en el caso, las consecuencias que se hayan podido producir.  No es bastante, sin embargo, el que no se haya respetado el plazo para pronunciar sentencia, y aun que ésta ha tardado mucho más en producirse, para colegir, sin más, que el art. 24 de la C.E. ha sido vulnerado. Con este dato deben conjugarse otros, y entre ellos el contenido y complejidad del litigio y las consecuencias que del indicado retardo se han seguido para el demandante de amparo. En cuanto a lo primero, el caso, en opinión del Tribunal, era, desde el punto de vista jurídico, complejo y de los que, concurriendo con otras atenciones jurisdiccionales, no es inusual que justifique un mayor tiempo para su estudio y reflexión y redacción del texto judicial, aunque no podría encontrarse en este solo dato de la complejidad una explicación satisfactoria del prolongado tiempo que el asunto estuvo pendiente de sentencia.</w:t>
      </w:r>
    </w:p>
    <w:p w:rsidR="001C705E" w:rsidRDefault="001C705E" w:rsidP="001C705E">
      <w:pPr>
        <w:pStyle w:val="TextoNormal"/>
      </w:pPr>
      <w:r>
        <w:t xml:space="preserve">Después del estudio de los criterios de la complejidad del litigio y los comportamientos de las autoridades judiciales y de las partes, es pertinente examinar ahora las repercusiones que para los derechos o intereses en litigio suponía el proceso, acudiendo así a otro de los datos a valorar, y al que se ha referido en ocasiones el TEDH (caso Buchholz). Como repercusiones de la dilación, aunque desde el ángulo de la pretensión indemnizatoria, no se manifiestan otros por el demandante de amparo, que la inherente a la anotación preventiva </w:t>
      </w:r>
      <w:r>
        <w:lastRenderedPageBreak/>
        <w:t>de demanda que, para asegurar las resultas del juicio, se constituyó en el proceso civil, bajo caución dirigida a la eventual indemnización de los perjuicios que de la anotación podrían seguirse a los demandados caso de ser absueltos. Nada se ha dicho de la importancia que de modo concreto significaba el tiempo invertido en el proceso para el derecho o el interés del demandante; más bien en el mismo planteamiento del demandante, concretado a la indicada incidencia en la medida aseguradora del art. 42 de la Ley Hipotecaria, y a una indeterminada referencia a lo que llama «daños morales», permite entender que la incidencia del factor tiempo no aparece en el caso con acentuados perfiles de importancia capital. Con sólo la referencia a los gastos o coste de la caución, parece que lleva a pensar que el asunto del que conoció el Juzgado de Barcelona no reclamaba una prefencia, o que siendo más perentorios otros procesos pendientes de la decisión del Juez, bien podría posponerse temporalmente la decisión del que ha dado lugar a este amparo, concediendo referencia a otros.</w:t>
      </w:r>
    </w:p>
    <w:p w:rsidR="001C705E" w:rsidRDefault="001C705E" w:rsidP="001C705E">
      <w:pPr>
        <w:pStyle w:val="TextoNormal"/>
      </w:pPr>
      <w:r>
        <w:t>Otro de los factores a tomar en consideración es el que remite a la estimación de los standars de actuación y rendimientos normales en el servicio de justicia, según el volumen de asuntos. A este factor se refiere el Abogado del Estado cuando exponiendo la situación no sólo del Juzgado al que ha correspondido conocer del proceso al que se refiere este amparo, sino a los que en Barcelona tienen asumida la instancia procesal de los mayores cuantía -y de los otros procesos de su competencia- destaca la acumulación temporal de asuntos, y encuentra en este factor, con otros, una justificación del tiempo invertido en el proceso de que tratamos. Este es un factor que no puede desconocer este Tribunal, como tampoco ha desconocido el TEDH en casos en que ha juzgado, dentro de lo dispuesto en el art. 6.1 del Convenio Europeo, de dilaciones en procesos de distinta índole, pudiendo recordarse aquí la Sentencia en el caso Buchholz.</w:t>
      </w:r>
    </w:p>
    <w:p w:rsidR="001C705E" w:rsidRDefault="001C705E" w:rsidP="001C705E">
      <w:pPr>
        <w:pStyle w:val="TextoNormal"/>
      </w:pPr>
      <w:r>
        <w:t>Una duración de un proceso de mayor cuantía, con un contenido complejo que no presenta notas reveladoras de recabar una atención preferente a toda otra, y en una realidad litigiosa intensa ha de verse desde este conjunto de factores y atendiendo al tiempo total invertido en su tramitación. Como la violación del derecho a un proceso sin dilaciones indebidas no se identifica con la idea del incumplimiento de los plazos procesales, y tampoco necesariamente con todo supuesto de anormalidad, no son bastante estas notas que efectivamente se dan en el proceso civil de que tratamos, para afirmar que se ha vulnerado en este caso el art. 24.2 de la C.E.</w:t>
      </w:r>
    </w:p>
    <w:p w:rsidR="001C705E" w:rsidRDefault="001C705E" w:rsidP="001C705E">
      <w:pPr>
        <w:pStyle w:val="TextoNormal"/>
      </w:pPr>
      <w:r>
        <w:t>Se ha dicho por el Ministerio Fiscal que la dilación o demora en pronunciar sentencia no es por sí sola una dilación indebida, pero que sí lo es desde el momento en que el Juez no explica la causa o la circunstancia de esta dilación. Es cierto que la Sentencia, tal como dispone el art. 372 de la Ley de Enjuiciamiento Civil, consignó en el último resultando el incumplimiento del plazo, pero sin añadir razón alguna en cuanto a la dilación. No es, sin embargo, la falta de explicación de a qué obedeció esta dilación la que la convierte en indebida. La Sentencia -con mayor razón si la dilación había sido denunciada con invocación del art. 24 de la C.E.- debió incorporar una justificación que diera respuesta a algo más que el incumplimiento del plazo, esto es, a la denunciada violación del art. 24, pero la omisión de esta justificación no acarrea necesariamente la calificación indebida de la dilación, y de su subsunción en la proscripción que significa el art. 24.2. El Tribunal debe valorar las razones que se han aducido por la defensa del Estado -en el caso, el Abogado del Estado- y cuanto resulta de las actuaciones, para concluir si, desde la proclamación constitucional del derecho a un proceso sin dilaciones indebidas o en tiempo razonable, ofrecen una justificación suficiente.</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9</w:t>
      </w:r>
      <w:r>
        <w:t>. Si no hay violación del derecho a un proceso sin dilaciones indebidas -desde la dimensión constitucional, insistimos- huelga que entremos a considerar el tema del restablecimiento del derecho conculcado y, en especial, el de si la forma reparatoria imperfecta de la indemnización, al modo en que se organiza en la Convención Europea (art. 50) y ha entendido la jurisprudencia del TEDH (por ejem., en el caso «Corigliano», decidido por Sentencia del 10 de diciembre de 1982), es de las que pueden también incluirse en la previsión que hace el art. 55.1 c) de la LOTC y compatible la condena que comporta con la estructura de un proceso de amparo seguido -en los términos que dice el art. 44 de la LOTC- contra una omisión, o mejor inactividad procesal, de un Juez o Tribunal. El que para la economía del fallo no resulte, desde la consideración del ajuste a lo que la decisión reclama, obligado que abordemos el tema que hemos aludido, no va a impedir, sin embargo, que hagamos algunas consideraciones, aunque sólo sea para desvanecer equívocos respecto a la posición del Tribunal en la materia, pues a ellos se alude de algún modo cuando citando resoluciones nuestras anteriores se lleva por caminos muy distintos el tema de la reparación. La cuestión se sitúa en el marco más general de cuáles son las fórmulas sustitutivas reparatorias cuando la reintegración en el derecho constitucional violado no es posible, o no es bastante para satisfacer todas las consecuencias causalmente conectadas a la violación del derecho por razón de la cual el recurso fue planteado, pero en este marco general cobra unas modulaciones el específico caso del quebrantamiento del derecho a un proceso sin dilaciones, por cuanto sólo mediante vías reparatorias sustitutivas puede darse alguna satisfacción a una lesión causada por una dilación producida en la hipótesis común en que el «plazo razonable» sujeto a examen se sitúa en el día de la sentencia que resuelve el proceso en el que se acusa la dilación indebida. El derecho a un proceso sin dilaciones indebidas se preserva, como es innecesario decir, mediante el desarrollo de las secuencias de un proceso dentro de unos límites temporales razonables, y cuando esto no ocurre, el restablecimiento in natura no es físicamente posible. El camino no es otro que el de las fórmulas sustitutorias, y, entre ellas, las indemnizatorias, pues en otro caso se negaría toda efectividad al derecho de que tratamos. Esta es la solución que con naturalidad se aplica por el TEDH, acudiendo a lo dispuesto en el art. 50 del Convenio y la que este Tribunal Constitucional (STC de 14 de marzo de 1984) ha acogido. En esta Sentencia se dice que «la lesión del derecho a un proceso sin dilaciones indebidas genera, cuando no puede ser  remediado de otro modo, un derecho a ser indemnizado». No se vea en esta Sentencia -y en lo que ahora decimos- una ruptura con una línea jurisprudencia anterior, pues esto no es así. Y no lo es en las citas que se hacen por el Ministerio Fiscal (Autos 19 de enero de 1983, 20 de julio de 1983 y 9 de mayo de 1984) y en la Sentencia de 16 de junio de 1982, referida al derecho a un proceso sin dilaciones indebidas, pues lo que resuelven estos textos jurisdiccionales es que la responsabilidad patrimonial y el derecho indemnizatorio al respecto no se canalizan jurisdiccionalmente por la vía del amparo. El quebrantamiento del derecho a un proceso sin dilaciones indebidas es un supuesto -supuesto extremo en cuanto entraña una violación constitucional- del funcionamiento anormal de la Administración de Justicia, que dice el art. 121 de la C.E.; el retraso podrá constituir una irregularidad procesal o comprenderse en la definición constitucional de «funcionamiento anormal», o integrar un caso de violación constitucional, según los parámetros que hemos analizado en su momento. No toda dilación puede llevarse al terreno del art. 24.2 de la C.E., pero cuando alcanza la entidad subsumible en este precepto constitucional, el restablecimiento admite fórmulas indemnizatorias.</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10</w:t>
      </w:r>
      <w:r>
        <w:t>. En su momento se ha estudiado el efecto que en los derechos controvertidos en el proceso civil, o en los medios puestos procesalmente al servicio del objetivo legítimamente perseguidos, supuso el retraso; y se ha estudiado al tratar de los criterios definidores del «plazo razonable». Y decíamos que no se traían a debate otros que el coste de la caución aseguradora de la indemnización de perjuicios que pudieran derivarse de una anotación preventiva, y que se cifran en una pequeña cantidad, tanto en términos absolutos como en una consideración relativa atenta a la importancia económica de lo debatido en el proceso civil; y aún puede decirse que el día inicial para cuantiar el indicado coste se sitúa en un momento temporal que tampoco en la hipótesis de que el derecho constitucional haya sido violado sería el correcto. Desde la vertiente indemnizatoria, añade el demandante de amparo a los costes de la caución unos daños que califica de morales y que no concretan en qué han consistido y si trascienden a valores patrimoniales o tienen un carácter más estrictamente anímico, ciñéndose a cifrarlos, pero sin ofrecer una consideración acerca de la realidad de estos daños. Decimos todo esto no desde la idea de que, constatada la violación del derecho, sea relevante el quantum indemnizatorio para negar la violación. No se trata de esto. Quiere decirse -como ya argumentábamos en su momento- que también la incidencia de la dilación de los derechos en litigio es uno de los criterios a considerar al definir el «plazo razonable».</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pedido por «Unión Alimentaria Sanders, Sociedad Anónima».</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veintitrés de enero de mil novecientos ochenta y cinco.</w:t>
      </w:r>
    </w:p>
    <w:p w:rsidR="001C705E" w:rsidRDefault="001C705E" w:rsidP="001C705E">
      <w:pPr>
        <w:pStyle w:val="ParrafoNormal"/>
      </w:pPr>
    </w:p>
    <w:p w:rsidR="001C705E" w:rsidRDefault="001C705E" w:rsidP="001C705E">
      <w:pPr>
        <w:pStyle w:val="TextoNormalNegritaCentrado"/>
        <w:keepNext/>
      </w:pPr>
      <w:r>
        <w:t>Voto particular discrepante del Magistrado Excelentísimo Señor don Francisco Tomás y Valiente</w:t>
      </w:r>
    </w:p>
    <w:p w:rsidR="001C705E" w:rsidRDefault="001C705E" w:rsidP="001C705E">
      <w:pPr>
        <w:pStyle w:val="TextoNormalNegritaCentrado"/>
        <w:keepNext/>
      </w:pPr>
    </w:p>
    <w:p w:rsidR="001C705E" w:rsidRDefault="001C705E" w:rsidP="001C705E">
      <w:pPr>
        <w:pStyle w:val="TextoNormal"/>
      </w:pPr>
      <w:r>
        <w:t xml:space="preserve">Lo negativamente importante de la Sentencia contra la que me pronuncio es, a mi juicio, no sólo la desestimación del amparo sino las razones en las que aquélla se fundamenta; por eso formulo voto particular discrepante tanto respecto al fallo como a su fundamentación. Ello no significa que rechace el contenido íntegro de todos los fundamentos, sino más en concreto, sólo la parte de ellos que conduce a la desestimación. Comparto todo lo concerniente a la interpretación de que, con la petición dirigida al órgano judicial, se dio cumplimiento al requisito del 44. 1 c) de la LOTC (FJ segundo); asimismo, la apreciación de que el derecho a un proceso sin dilaciones indebidas se extiende constitucionalmente, no sólo al proceso penal, sino también a «todos los órdenes jurisdiccionales», aunque «en el proceso penal las exigencias sean más rigurosas» (FJ tercero); entiendo, también de acuerdo con la Sentencia, que el derecho en cuestión puede considerarse violado aun cuando sobre él recaiga Sentencia, cuya existencia no priva de objeto a la pretensión de </w:t>
      </w:r>
      <w:r>
        <w:lastRenderedPageBreak/>
        <w:t>amparo (tesis que defiende este proceso el Ministerio Fiscal) pues, al margen de las repercusiones, aminoradoras de los efectos reparadores, que deriven del hecho mismo de la terminación del proceso, si éste se ha dilatado «más allá de lo razonable» (como dice el FJ séptimo) o de forma indebida (como a mi juicio ha de decirse) la cesación de la paralización indebida «no transforma lo que es contrario a la norma constitucional, ..., en algo carente de relevancia constitucional» (FJ séptimo). Finalmente es cierto, como se dice en el FJ quinto que «el art. 24.2 no ha constitucionalizado el derecho a los plazos», y también lo es que este Tribunal ha sostenido con reiteración que no todo incumplimiento de normas procesales implica eo ipso violación de los derechos fundamentales del art. 24 de la C.E. Aplicando estos criterios hermenéuticos al derecho de que tratamos ha de decirse que no se incurre sin más en una «dilación» en el sentido del art. 24.2 desde el día siguiente a aquel en que el órgano del poder judicial de que se trate incumpla un determinado plazo.  Pero incumplido un plazo y denunciada al órgano judicial por la parte una dilación que dure más allá de «un tiempo razonable», debe ser el propio órgano judicial quien aporte la justificación que permita apreciar su dilación como no indebida, esto es, como justificable pese al incumplimiento de la norma procesal ordinaria reguladora del plazo en cuestión. Si la duración del incumplimiento tiene entidad suficiente para que prima facie sea considerada como constitutiva de una dilación no razonable, es decir, injustificada o indebida, la carga de la justificación corresponde al órgano de cuya dilación se queja el justiciable. La propia Ley de Enjuiciamiento Civil, en su art.  372.2 exige que se consigne en el último resultando de la Sentencia «si se han observado las prescripciones legales», y es lo cierto que el Juez del proceso hizo constar en tal lugar el incumplimiento, pero no proporcionó explicación alguna a tal anomalía. Como la parte después recurrente en amparo le hizo ver la posible «dilación indebida» en el sentido del art. 24.2 de la C.E., el órgano judicial debió, en un considerando de su Sentencia, dar razón a su juicio suficiente para justificar, con datos y razones extraídos y aplicables al caso en cuestión, la anomalía denunciada. Aunque (como dice la Sentencia en su FJ octavo) «no es sin embargo la falta de explicación de a qué obedece la dilación lo que la convierte en indebida», sí es esa carencia lo que impide considerarla como justificada si prima facie aparece como no razonable, excesiva o indebida, sin que la defensa genérica y a posteriori que aporte el Abogado del Estado pueda suplir la del órgano judicial, pues es éste quien conoce las circunstancias institucionales in concreto y las dificultades intrínsecas del caso, quien desde esa doble óptica debe aportar unas razones justificativas de lo que, sin ellas, puede considerarse como «dilación indebida», y -sobre todo- quién, siendo el causante de la aparente lesión contra un derecho fundamental, debe velar por la tutela de tal derecho a la que está obligado entre otros preceptos por los del 53.1 y 53.2 de la C.E., ofreciendo la explicación de su conducta.</w:t>
      </w:r>
    </w:p>
    <w:p w:rsidR="001C705E" w:rsidRDefault="001C705E" w:rsidP="001C705E">
      <w:pPr>
        <w:pStyle w:val="TextoNormal"/>
      </w:pPr>
      <w:r>
        <w:t xml:space="preserve">A falta de la debida justificación proporcionada por el órgano judicial, hay que comprobar ahora si la tardanza de que se le acusa es o no constitutiva de «dilación» en el sentido del art. 24. Aun aceptando como buenos los criterios mencionados en la Sentencia, quien firma este voto discrepa de la valoración resultante. La demanda de mayor cuantía se presentó el 2 de mayo de 1979 y la Sentencia se pronunció el 17 de diciembre de 1983; más de cuatro años y medio constituyen, vistos en bloque, un tiempo en principio excesivo, si valoramos, como se propone en el fundamento jurídico octavo el «tiempo total invertido en su tramitación», en especial si advertimos que el órgano judicial no nos ha proporcionado información particularmente aplicable al caso para explicar tan abusiva tardanza. A falta de una justificación ad casum tampoco vale «la estimación de los "standards" de actuación y rendimientos normales en el servicio de justicia», como se dice en el </w:t>
      </w:r>
      <w:r>
        <w:lastRenderedPageBreak/>
        <w:t>mismo fundamento, y ello porque, en primer lugar, la frecuente tardanza excesiva del «servicio de justicia» no puede reputarse como «normal», pues lo normal es lo ajustado a la norma y no lo contrario a ella, aunque sea lo más frecuente; y en segundo término porque si continuase «increscendo» el tiempo y la generalización del incumplimiento en «el rendimiento del servicio de justicia», y hubiese que tomar como regla para medir el respeto o la violación del derecho a un proceso sin dilaciones indebidas ese mismo hecho anormal, pero general, ello equivaldría a dejar vacío de su contenido esencial el derecho fundamental. Por otro lado, y es en este punto donde la violación del derecho fundamental ha sido más patente, si la duración global es de suyo excesiva y constituye una dilación indebida, la mayor parte de ese tiempo ha transcurrido desde el 28 de diciembre de 1981, fecha de la providencia declarando el juicio concluso para Sentencia, hasta la fecha de ésta, el 17 de diciembre de 1983. Es esa paralización la que de modo más claro está exigiendo una justificación ad casum y no genérica o sociológica, ofrecida por el propio órgano judicial y no extraída de valoraciones abstractas. Esa cesación tan prolongada y excesiva de toda actividad judicial constituye en el sentido del art. 24.2 C.E. una «dilación» y no un mero incumplimiento de un plazo sin trascendencia constitucional; y es una dilación «indebida» a falta de la justificación ad casum que pudo y debió aportar el titular del órgano judicial sin que la genérica y complementaria aportada por el Abogado del Estado o extraída  de consideraciones generales pueda suplir la ausencia de aquélla.</w:t>
      </w:r>
    </w:p>
    <w:p w:rsidR="001C705E" w:rsidRDefault="001C705E" w:rsidP="001C705E">
      <w:pPr>
        <w:pStyle w:val="TextoNormal"/>
      </w:pPr>
      <w:r>
        <w:t>Por todo lo expuesto, el Magistrado que discrepa entiende que la Sala debió otorgar el amparo y en este sentido votó.</w:t>
      </w:r>
    </w:p>
    <w:p w:rsidR="001C705E" w:rsidRDefault="001C705E" w:rsidP="001C705E">
      <w:pPr>
        <w:pStyle w:val="TextoNormal"/>
      </w:pPr>
      <w:r>
        <w:t>Madrid, a veinticuatro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9" w:name="SENTENCIA_1985_6"/>
      <w:r>
        <w:lastRenderedPageBreak/>
        <w:t>SENTENCIA 6/1985, de 23 de enero de 1985</w:t>
      </w:r>
    </w:p>
    <w:bookmarkEnd w:id="9"/>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ECLI:ES:TC:1985:6</w:t>
      </w:r>
    </w:p>
    <w:p w:rsidR="001C705E" w:rsidRDefault="001C705E" w:rsidP="001C705E">
      <w:pPr>
        <w:pStyle w:val="SntesisDescriptiva"/>
      </w:pPr>
    </w:p>
    <w:p w:rsidR="001C705E" w:rsidRDefault="001C705E" w:rsidP="001C705E">
      <w:pPr>
        <w:pStyle w:val="SntesisDescriptiva"/>
      </w:pPr>
      <w:r>
        <w:t>Recurso de amparo 316/1984. Emplazamiento personal de quienes pueden comparecer como demandados en el proceso contencioso-administrativo.  Conocimiento oportuno del proceso por parte del recurrente</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Se reitera doctrina de la STC 2/1985, de 10 de enero.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316/1984, interpuesto por el Procurador de los Tribunales don Jesús Alfaro Matos, asistido del Abogado don Jaime Sartorius Bermúdez de Castro, en nombre y representación de doña María Victoria Bermúdez de Castro Sánchez de Toca, don Alonso Coello de Portugal Mendaro, don Jaime, doña María Victoria, doña Carmen, doña María Lourdes y doña Isabel Elena Sartorius Bermúdez de Castro, contra las Sentencias de 2 de junio de 1982 de la Sala Quinta del Tribunal Supremo y la que hubiere dictado la Sala de lo Contencioso-Administrativo de la Audiencia Territorial de Madrid en la misma reclamación, así como contra el Decreto de 22 de marzo de 1984 de la Gerencia Municipal de Urbanismo de Madrid. </w:t>
      </w:r>
    </w:p>
    <w:p w:rsidR="001C705E" w:rsidRDefault="001C705E" w:rsidP="001C705E">
      <w:pPr>
        <w:pStyle w:val="TextoNormal"/>
      </w:pPr>
      <w:r>
        <w:t>Han sido parte, como demandados, la Administración General, representada y defendida por el Abogado del Estado, y el Procurador don Juan Corujo López-Villamil en representación de don Ubaldo Vega Gómez, bajo la dirección del Abogado don Rafael Alcalá Marqués. Ha intervenido el Ministerio Fiscal. Ha sido Ponente el Magistrado don Antonio Truyol Serra, quien expresa el parecer de la Sala.</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Al término de un expediente de edificación forzosa de un inmueble propiedad de los referidos demandantes de amparo sito en Madrid, avenida Ciudad de Barcelona, núm. 43 (37 antiguo), el Jurado Provincial de Expropiación de Madrid, por resolución de 6 de octubre de 1978, fijó la cantidad que en concepto de indemnización debían aquéllos abonar a don Ubaldo Vega Gómez, arrendatario de un local de negocio dedicado a bar y churrería, ubicado en dicho inmueble, como compensación por los perjuicios derivados del desalojo forzoso del mismo (3.675.000 pesetas). Aunque el arrendatario interpuso recurso de reposición contra el acuerdo del Jurado, éste lo desestimó con fecha 7 de febrero de 1979, por lo que el 29 de septiembre del mismo año los ahora demandantes abonaron la citada cantidad al arrendatario, previo desalojo por éste del local arrendado. </w:t>
      </w:r>
    </w:p>
    <w:p w:rsidR="001C705E" w:rsidRDefault="001C705E" w:rsidP="001C705E">
      <w:pPr>
        <w:pStyle w:val="TextoNormal"/>
      </w:pPr>
      <w:r>
        <w:t xml:space="preserve">Los demandantes de amparo exponen que, a partir de ese momento, no volvieron a tener noticia alguna del asunto hasta que el día 5 de abril de 1984 recibieron un escrito de la Gerencia Municipal de Urbanismo del Ayuntamiento de Madrid, en el que se les comunicaba que la Sala Quinta del Tribunal Supremo había dictado Sentencia el día 2 de junio de 1982, por virtud de la cual se aumentaba a la suma de 4.614.750 pesetas la indemnización a abonar al arrendatario del local de negocio a que antes se ha hecho referencia por parte de los propietarios del inmueble. </w:t>
      </w:r>
    </w:p>
    <w:p w:rsidR="001C705E" w:rsidRDefault="001C705E" w:rsidP="001C705E">
      <w:pPr>
        <w:pStyle w:val="TextoNormal"/>
      </w:pPr>
      <w:r>
        <w:t xml:space="preserve">Por escrito presentado en este Tribunal el 2 de mayo de 1984, la señora Bermúdez de Castro y los otros seis demandantes indicados en el encabezamiento de esta Sentencia interpusieron recurso de amparo contra las mencionadas Sentencias y el oficio aludido de la Gerencia Municipal de Urbanismo. En su demanda solicitan de este Tribunal que anule las resoluciones impugnadas y ordene que se retrotraigan las actuaciones procesales al momento inmediato posterior al de interposición del recurso contencioso-administrativo, a fin de que aquéllos sean emplazados personalmente y conforme a derecho para que puedan defender sus legítimos intereses. </w:t>
      </w:r>
    </w:p>
    <w:p w:rsidR="001C705E" w:rsidRDefault="001C705E" w:rsidP="001C705E">
      <w:pPr>
        <w:pStyle w:val="TextoNormal"/>
      </w:pPr>
      <w:r>
        <w:t>Los recurrentes, tras exponer que no han sido emplazados en el referido proceso contencioso-administrativo, pese a que su domicilio estaba plenamente acreditado en el expediente administrativo, entienden que las resoluciones recurridas han infringido el art. 24 de la Constitucion, en la medida en que, sin haber podido litigar en defensa de sus intereses, debido a la omisión del referido emplazamiento, han sido condenados a abonar una cantidad superior en 939.750 pesetas a la que pagaron en su día al arrendatario desalojado del inmueble de su propiedad. A tal efecto invocan la doctrina de este Tribunal relativa al emplazamiento personal y directo de los interesados en el procedimiento contencioso-administrativo cuando se den las circunstancias de identificación de los mismos, circunstancias que entienden concurrían en su caso.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Por providencia de 13 de junio de 1984 se admitió a trámite el recurso, recabándose las actuaciones de la Audiencia Territorial y del Tribunal Supremo; recibidas las cuales y personados los demandados, Abogado del Estado y don Ubaldo Vega Gómez, por providencia de 26 de septiembre se pusieron de manifiesto las referidas actuaciones a las partes y al Ministerio Fiscal, por plazo de veinte días, para que formulasen sus alegaciones escritas conforme al art. 52.1 de la Ley Orgánica de este Tribunal. </w:t>
      </w:r>
    </w:p>
    <w:p w:rsidR="001C705E" w:rsidRDefault="001C705E" w:rsidP="001C705E">
      <w:pPr>
        <w:pStyle w:val="TextoNormal"/>
      </w:pPr>
      <w:r>
        <w:t>En este trámite, la representación de los recurrentes ha formulado una alegación única reiterando sustancialmente la fundamentación de la demanda de amparo.</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3</w:t>
      </w:r>
      <w:r>
        <w:t xml:space="preserve">. En el mismo trámite, el Abogado del Estado hace referencia a la reiterada doctrina de este Tribunal relativa al art. 64 de la Ley Reguladora de la Jurisdicción Contencioso-Administrativa (LRJCA), articulando los requisitos que dicha jurisprudencia contiene para la prosperabilidad del amparo por este motivo: 1. Que el solicitante de amparo sea titular de derechos o intereses legítimos derivados o afectados por el acto impugnado en vía contencioso-administrativa, siendo éstos los que, como codemandados o coadyuvantes, pueden comparecer en el proceso [arts. 29.1 b) y 30.1 de la LRJCA]. En el presente caso, el Abogado del Estado constata que los recurrentes ostentaban un derecho derivado del acto impugnado en vía contencioso-administrativa. 2. Que el solicitante de amparo sea susceptible de identificación, lo que también sucede en este caso 3. No consta que los ahora recurrentes tuvieran un conocimiento suficiente y fehaciente del proceso contencioso de referencia (Sentencia núm. 102/1983, de 18 de noviembre). </w:t>
      </w:r>
    </w:p>
    <w:p w:rsidR="001C705E" w:rsidRDefault="001C705E" w:rsidP="001C705E">
      <w:pPr>
        <w:pStyle w:val="TextoNormal"/>
      </w:pPr>
      <w:r>
        <w:t>En conclusión, manifiesta que no se opone a la estimación del amparo. Sin perjuicio de ello, entiende que una decisión estimatoria del mismo no es incompatible con lo prevenido en el art. 127.2 de la LRJCA, debiendo así declararlo este Tribunal.</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La representación del codemandado expone en su escrito de alegaciones que los demandantes tuvieron conocimiento, y se dieron por notificados, de la existencia del recurso contencioso-administrativo referido no sólo por la publicación en el «Boletín Oficial del Estado», sino también en razón a que los hoy recurrentes, con sus propios actos, ponen en evidencia y acreditan que en 7 de mayo de 1979, según acta notarial de manifestaciones, formalizada en dicha fecha por el Notario de Madrid don Manuel Ramos Armero, núm. 2.992 de su protocolo de 1979, que acompaña por copia simple a este escrito de oposición al recurso de amparo -reconocida su existencia por la contraparte en el documento núm. 6 que acompaña a su recurso (y que maliciosamente no presenta y silencia)- tenían conocimiento de la existencia del recurso pendiente, al hacer constar, en la parte expositiva de dicha escritura pública, literalmente, lo siguiente: Que siendo el interés de ambas partes el cumplimiento de la resolución dictada por el Jurado Provincial de Expropiación, y sin perjuicio de la mayor cantidad que pudieran fijar los Tribunales, de mutuo acuerdo y voluntariamente, tienen convenido...»; y la estipulación primera de dicho convenio dice, literalmente, así: «El pago de la indemnización por perjuicios de toda clase acordada por el Jurado Provincial de Expropiación, de 3.675.000 pesetas, se hará efectiva por los propietarios de la finca doña María Victoria Bermúdez de Castro y don Alvaro y don Alonso Coello de Portugal, al titular del local dedicado a bar y churrería con vivienda, antes del día 30 de septiembre de 1979, sin perjuicio de los intereses legales que le correspondan con arreglo al art. 56 de la Ley de Expropiación Forzosa, que se abonarán en el momento en que se resuelvan los recursos pendientes», y asimismo, al final de la estipulación tercera, se lee: «... sin perjuicio del justiprecio definitivo que pudieran fijar los Tribunales». </w:t>
      </w:r>
    </w:p>
    <w:p w:rsidR="001C705E" w:rsidRDefault="001C705E" w:rsidP="001C705E">
      <w:pPr>
        <w:pStyle w:val="TextoNormal"/>
      </w:pPr>
      <w:r>
        <w:t xml:space="preserve">En consecuencia, si en 14 de marzo de 1979 aparece acreditado ya, en las actuaciones contencioso-administrativas, ante la Sala Tercera de lo Contencioso-Administrativo de la Audiencia Territorial de Madrid, la existencia del recurso contencioso-administrativo -de que denuncia la contraparte un defecto concurrente en la notificación del emplazamiento-, y en 7 de mayo de 1979 fecha de la citada escritura pública de acta de manifestaciones la contraparte reconoce expresa, fehaciente y explícitamente el conocimiento de la existencia del recurso contencioso-administrativo pendiente, cuya nulidad de actuaciones hoy pretende, dándose por notificada y enterada, ya que, por propia manifestación expresa de los hoy recurrentes, éstos se dan por enterados y admiten que existe el recurso pendiente ante los Tribunales; no existe, por tanto, indefensión. </w:t>
      </w:r>
    </w:p>
    <w:p w:rsidR="001C705E" w:rsidRDefault="001C705E" w:rsidP="001C705E">
      <w:pPr>
        <w:pStyle w:val="TextoNormal"/>
      </w:pPr>
      <w:r>
        <w:lastRenderedPageBreak/>
        <w:t xml:space="preserve">La representación del codemandado expone que nada tiene que objetar a la doctrina de este Tribunal invocada por los recurrentes; sólo que la misma no es aplicable al presente caso. La jurisprudencia de este Tribunal se dirige a la realización de una tutela jurisdiccional efectiva excluyendo la presunción de conocimiento de las notificaciones del art. 64 de la Ley de la Jurisdicción de lo Contencioso-Administrativo, pero no puede tutelar ni tutela situaciones como la que hoy nos ocupa, en que hay conocimiento fehaciente, por parte de los recurrentes, de la existencia del recurso pendiente ante los Tribunales. </w:t>
      </w:r>
    </w:p>
    <w:p w:rsidR="001C705E" w:rsidRDefault="001C705E" w:rsidP="001C705E">
      <w:pPr>
        <w:pStyle w:val="TextoNormal"/>
      </w:pPr>
      <w:r>
        <w:t xml:space="preserve">Lo que persigue el art. 24 de la Constitución es destruir la ritualización del art. 64 de la Ley Jurisdiccional Contencioso-Administrativa -presunción de conocimiento por el anuncio en el «Boletín Oficial del Estado» de la existencia de un recurso-, por la tutela efectiva, pero no pretende la notificación personal, prescindiendo del conocimiento fehaciente de la existencia del recurso, expresamente manifestado por los hoy recurrentes en la escritura pública de acta de manifestaciones acompañada al escrito de alegaciones. </w:t>
      </w:r>
    </w:p>
    <w:p w:rsidR="001C705E" w:rsidRDefault="001C705E" w:rsidP="001C705E">
      <w:pPr>
        <w:pStyle w:val="TextoNormal"/>
      </w:pPr>
      <w:r>
        <w:t xml:space="preserve">El párrafo 3. del art. 79 de la Ley de Procedimiento Administrativo establece sustancialmente la convalidación de la notificación hecha prescindiendo de la observancia de sus requisitos, cuando el interesado, con sus actos, pone de manifiesto que, no obstante el defecto concurrente en la notificación, se da por notificado, cuestión meramente de facto que no tiene nada que ver con el acierto o desacierto en el medio que se utilice, para combatir el acto defectuosamente notificado. </w:t>
      </w:r>
    </w:p>
    <w:p w:rsidR="001C705E" w:rsidRDefault="001C705E" w:rsidP="001C705E">
      <w:pPr>
        <w:pStyle w:val="TextoNormal"/>
      </w:pPr>
      <w:r>
        <w:t>Estimar el presente recurso de amparo sería tanto como volver a ritualizar la notificación personal prescindiendo de la tutela efectiva, que implica el conocimiento de la existencia del recurso y fondo del mismo. Aquí, concluye la representación del codemandado, no hay indefensión, la parte recurrente pudo defenderse, y, en consecuencia, no merece el amparo que solicita, y sí ser condenada en costas por sus manifiestas temeridad y mala fe procesales.</w:t>
      </w:r>
    </w:p>
    <w:p w:rsidR="001C705E" w:rsidRDefault="001C705E" w:rsidP="001C705E">
      <w:pPr>
        <w:pStyle w:val="TextoNormal"/>
      </w:pPr>
    </w:p>
    <w:p w:rsidR="001C705E" w:rsidRDefault="001C705E" w:rsidP="001C705E">
      <w:pPr>
        <w:pStyle w:val="TextoNormal"/>
      </w:pPr>
      <w:r w:rsidRPr="001C705E">
        <w:rPr>
          <w:rStyle w:val="NumeroAFNegritaCaracter"/>
        </w:rPr>
        <w:t>5</w:t>
      </w:r>
      <w:r>
        <w:t>. En el mismo trámite del art. 50 de la Ley Orgánica de este Tribunal, el Ministerio Fiscal manifiesta en su escrito de alegaciones que, habiendo quedado acreditado que los actores no fueron emplazados directamente en el proceso instado ante la Audiencia, en el que se impugnaba el acuerdo del Jurado Provincial de Expropiación referente a un edificio de su propiedad, sino que se efectuó la publicación de la interposición del recurso en el «Boletín Oficial» de la provincia conforme a lo establecido en el art. 60 de la Ley Reguladora de la Jurisdicción Contencioso-Administrativa, cuando estaban identificados y tenían la consideración de partes demandadas conforme al art. 29. 1 b) de esta Ley, pues su derecho se veía afectado por el acto impugnado, procede otorgar el amparo por haberse violado el derecho a la tutela judicial declarado en la Constitución, según es doctrina repetida de este Tribunal desde la Sentencia 9/1981 hasta la más reciente 19/1984 y otras muchas intermedias, según la cual el emplazamiento edictal que disponen los arts. 60 y 64 de la LRJCA no es forma apta para desarrollar el principio de contradicción propio de una contienda judicial.</w:t>
      </w:r>
    </w:p>
    <w:p w:rsidR="001C705E" w:rsidRDefault="001C705E" w:rsidP="001C705E">
      <w:pPr>
        <w:pStyle w:val="TextoNormal"/>
      </w:pPr>
    </w:p>
    <w:p w:rsidR="001C705E" w:rsidRDefault="001C705E" w:rsidP="001C705E">
      <w:pPr>
        <w:pStyle w:val="TextoNormal"/>
      </w:pPr>
      <w:r w:rsidRPr="001C705E">
        <w:rPr>
          <w:rStyle w:val="NumeroAFNegritaCaracter"/>
        </w:rPr>
        <w:t>6</w:t>
      </w:r>
      <w:r>
        <w:t>. Por otrosí de la demanda de amparo se pidió la suspensión de la ejecución de las Sentencias impugnadas, formándose la correspondiente pieza separada y sustanciándose el incidente, en que han sido oídas las partes. Por auto de 31 de octubre de 1984 se acordó acceder a la suspensión pedida, si bien condicionada a la constitución de garantía suficiente para cubrir la suma de 1.409.625 pesetas, sin que tal garantía se haya constituido al dictarse la presente Sentencia.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7</w:t>
      </w:r>
      <w:r>
        <w:t>. Por providencia de 19 de diciembre de 1984 se señaló para deliberación y votación del recurso el día 16 de enero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Este Tribunal ha establecido una clara doctrina respecto a la necesidad de emplazamiento personal de los legitimados como demandados o como coadyuvantes en un proceso contencioso-administrativo y a la consiguiente insuficiencia del anuncio de la interposición del recurso en el «Boletín Oficial del Estado» a tales efectos, por considerar que del art. 24. 1 de la C.E. se deriva esa interpretación como necesaria para impedir la indefensión. El Tribunal ha querido así que el simple cumplimiento del art. 64. 1 de la LRJCA y la presunción de conocimiento que de él podría derivarse cedan ante una exigencia constitucional: la de no padecer la indefensión que puede surgir por el desconocimiento del recurso, pese al citado anuncio. Ahora bien, hemos dicho también (Sentencia de 12 de diciembre de 1983, en RA 337/1983, y Auto de 26 de julio de 1984, así como la muy reciente y casi idéntica a la actual, Sentencia de esta Sala de 7 de diciembre de 1984, en RA 846/1983) que cuando existe plena certeza de que los afectados por el acto administrativo impugnado tuvieron conocimiento oportuno del proceso contencioso-administrativo de modo tal que hubieran podido comparecer y ser oídos en él, la pretensión de amparo por falta de emplazamiento personal no puede prosperar, puesto que en tales casos no ha existido indefensión alguna.</w:t>
      </w:r>
    </w:p>
    <w:p w:rsidR="001C705E" w:rsidRDefault="001C705E" w:rsidP="001C705E">
      <w:pPr>
        <w:pStyle w:val="TextoNormal"/>
      </w:pPr>
    </w:p>
    <w:p w:rsidR="001C705E" w:rsidRDefault="001C705E" w:rsidP="001C705E">
      <w:pPr>
        <w:pStyle w:val="TextoNormal"/>
      </w:pPr>
      <w:r w:rsidRPr="001C705E">
        <w:rPr>
          <w:rStyle w:val="NumeroAFNegritaCaracter"/>
        </w:rPr>
        <w:t>2</w:t>
      </w:r>
      <w:r>
        <w:t>. De los hechos recogidos en el antecedente cuarto de esta Sentencia, aportados a este proceso por una parte y no contradichos por nadie, hechos reflejados en documento autorizado por Notario, se desprende sin género de dudas que los ahora recurrentes conocieron en momento oportuno la existencia de un proceso contencioso-administrativo en el que pudieron ser parte y respecto al cual dicen ahora haber padecido indefensión, pues en la fecha de la escritura (7 de mayo de 1979) no sólo se sometieron al justiprecio definitivo «que pudieran fijar los Tribunales», sino que se obligaron d pagar la indemnización fijada por el Jurado Provincial de Expropiación en una fecha determinada, sin perjuicio de los intereses legales... que se abonarán en el momento en que se resuelvan los «recursos pendientes. Es claro que a 7 de mayo de 1979 era ya un «recurso pendiente» el contencioso-administrativo cuya existencia aparece acreditada a 14 de marzo de 1979. De todo ello, y del silencio de los recurrentes en amparo, que nada alegan en contrario, es lógico inferir el conocimiento del recurso respecto al cual piden amparo por indefensión.</w:t>
      </w:r>
    </w:p>
    <w:p w:rsidR="001C705E" w:rsidRDefault="001C705E" w:rsidP="001C705E">
      <w:pPr>
        <w:pStyle w:val="TextoNormal"/>
      </w:pPr>
      <w:r>
        <w:t>La simple aplicación a esta premisa fáctica del razonamiento general antes expuesto produce como conclusión forzosa la denegación del amparo por evidente inexistencia de la denunciada indefensión.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lastRenderedPageBreak/>
        <w:t>Ha decidido</w:t>
      </w:r>
    </w:p>
    <w:p w:rsidR="001C705E" w:rsidRDefault="001C705E" w:rsidP="001C705E">
      <w:pPr>
        <w:pStyle w:val="TextoNormalCentrado"/>
        <w:keepNext/>
      </w:pPr>
    </w:p>
    <w:p w:rsidR="001C705E" w:rsidRDefault="001C705E" w:rsidP="001C705E">
      <w:pPr>
        <w:pStyle w:val="TextoNormal"/>
      </w:pPr>
      <w:r>
        <w:t>Denegar el amparo solicitado por doña María Victoria Bermúdez de Castro Sánchez de Toca, don Alonso Coello de Portugal Mendaro, don Jaime, doña María Victoria, doña Carmen, doña María Lourdes y doña Isabel Elena Sartorius Bermúdez de Castro, sin que, en consecuencia, sea necesario pronunciamiento alguno sobre la suspensión solicitada.</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veintitrés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0" w:name="SENTENCIA_1985_7"/>
      <w:r>
        <w:lastRenderedPageBreak/>
        <w:t>SENTENCIA 7/1985, de 25 de enero de 1985</w:t>
      </w:r>
    </w:p>
    <w:bookmarkEnd w:id="10"/>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ECLI:ES:TC:1985:7</w:t>
      </w:r>
    </w:p>
    <w:p w:rsidR="001C705E" w:rsidRDefault="001C705E" w:rsidP="001C705E">
      <w:pPr>
        <w:pStyle w:val="SntesisDescriptiva"/>
      </w:pPr>
    </w:p>
    <w:p w:rsidR="001C705E" w:rsidRDefault="001C705E" w:rsidP="001C705E">
      <w:pPr>
        <w:pStyle w:val="SntesisDescriptiva"/>
      </w:pPr>
      <w:r>
        <w:t>Conflictos positivos de competencia 91/1982 y 96/1982 (acumulados). Promovidos respectivamente, por el Consejo Ejecutivo de la Generalidad de Cataluña y por el Gobierno Vasco contra los Reales Decretos 2.819, 2.820 y 3.217/1981, de 27 de noviembre, quedeterminan las fiestas de ámbito nacional a efectos laborales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Existe en el art. 37.2 del ET un evidente grado de indeterminación en cuanto al número total de fiestas laborales, de las que sólo se fija el número máximo; en cuanto al número total de fiestas nacionales, de las que sólo se fija el número mínimo, y en cuanto a las fiestas comunitarias, respecto de las cuales sólo se indica que han de responder a fiestas que por tradición sean propias de las Comunidades Autónomas. A este grado de indeterminación del precepto, que hace imposible su aplicación directa, hay que añadir que precisamente la inclusión del párrafo último, que atribuye a las Comunidades Autónomas la facultad de señalar las fiestas que les son propias, hace necesaria la existencia de una disposición de carácter general que garantice la uniformidad pretendida en el mencionado precepto de la Constitución en materia laboral en todo el territorio nacional y coordine los calendarios laborales de las distintas Comunidades. </w:t>
      </w:r>
    </w:p>
    <w:p w:rsidR="001C705E" w:rsidRDefault="001C705E" w:rsidP="001C705E">
      <w:pPr>
        <w:pStyle w:val="Extracto"/>
      </w:pPr>
    </w:p>
    <w:p w:rsidR="001C705E" w:rsidRDefault="001C705E" w:rsidP="001C705E">
      <w:pPr>
        <w:pStyle w:val="Extracto"/>
      </w:pPr>
      <w:r>
        <w:t>2.</w:t>
      </w:r>
      <w:r>
        <w:tab/>
        <w:t xml:space="preserve">Por lo que se refiere al Real Decreto 2819/1981, el análisis de su contenido permite concluir que no constituye un simple acto de ejecución, sino que forma parte de la legislación laboral sobre la materia, por lo que, al dictarlo, el Estado no ha invadido las competencias de ejecución de las Comunidades Autónomas vasca y catalana. En efecto, el mencionado Real Decreto no establece un concreto calendario laboral, sino un sistema a través del cual: a) Se garantiza que el ejercicio del derecho al descanso se realice en condiciones de igualdad, pues al establecer que, de las fiestas contenidas en el apartado d), se incluirán en el calendario laboral las necesarias para completar el número máximo de doce, se está garantizando el mismo número de fiestas totales en todo el territorio nacional. b) Se coordinan los calendarios laborales de las distintas Comunidades Autónomas y se minimizan los efectos negativos que sobre las relaciones económicas nacionales e intracomunitarias pueden producirse debido a la multiplicidad de fiestas comunitarias propias, lo que se lleva a cabo al limitar el número de fiestas que pueden ser sustituidas y al reducir las sustituciones a un máximo de tres. c) Se establece un equilibrio entre los distintos tipos de fiesta, dada la limitación que, en cuanto al número total, se fija expresamente en el ET. La limitación del número total de fiestas, que, a su vez, podrá variar en función de diversas circunstancias puesto que el límite se refiere al máximo, ha de afectar necesariamente no sólo al número de fiestas nacionales, sino también al de fiestas comunitarias. </w:t>
      </w:r>
    </w:p>
    <w:p w:rsidR="001C705E" w:rsidRDefault="001C705E" w:rsidP="001C705E">
      <w:pPr>
        <w:pStyle w:val="Extracto"/>
      </w:pPr>
    </w:p>
    <w:p w:rsidR="001C705E" w:rsidRDefault="001C705E" w:rsidP="001C705E">
      <w:pPr>
        <w:pStyle w:val="Extracto"/>
      </w:pPr>
      <w:r>
        <w:lastRenderedPageBreak/>
        <w:t>3.</w:t>
      </w:r>
      <w:r>
        <w:tab/>
        <w:t xml:space="preserve">El Real Decreto 2820/1981, impugnado por el Gobierno vaso, si bien establece los días inhábiles para 1982 y 1983, excluidas las fiestas locales, no puede decirse, sin embargo, que contenga el calendario laboral de dichos años para todo el territorio nacional. En realidad, sólo resulta de aplicación para aquellas Comunidades Autónomas y Entes Preautonómicos que no hagan uso de la facultad que les otorga el Real Decreto 2819/1981 y que se reproduce en el art. 2 del Decreto en cuestión. En este sentido no invade las competencias autonómicas del País Vasco. </w:t>
      </w:r>
    </w:p>
    <w:p w:rsidR="001C705E" w:rsidRDefault="001C705E" w:rsidP="001C705E">
      <w:pPr>
        <w:pStyle w:val="Extracto"/>
      </w:pPr>
    </w:p>
    <w:p w:rsidR="001C705E" w:rsidRDefault="001C705E" w:rsidP="001C705E">
      <w:pPr>
        <w:pStyle w:val="Extracto"/>
      </w:pPr>
      <w:r>
        <w:t>4.</w:t>
      </w:r>
      <w:r>
        <w:tab/>
        <w:t xml:space="preserve">El Real Decreto 3217/1981, impugnado por la Generalidad de Cataluña -que confiere carácter permanente a la consideración de 12 de octubre como fiesta laboral de ámbito nacional y establece normas para su celebración- no invade la competencia autonómica en materia laboral. </w:t>
      </w:r>
    </w:p>
    <w:p w:rsidR="001C705E" w:rsidRDefault="001C705E" w:rsidP="001C705E">
      <w:pPr>
        <w:pStyle w:val="Extracto"/>
      </w:pPr>
    </w:p>
    <w:p w:rsidR="001C705E" w:rsidRDefault="001C705E" w:rsidP="001C705E">
      <w:pPr>
        <w:pStyle w:val="Extracto"/>
      </w:pPr>
      <w:r>
        <w:t>5.</w:t>
      </w:r>
      <w:r>
        <w:tab/>
        <w:t xml:space="preserve">Finalmente, si bien en algún caso, como ha señalado este Tribunal, el rango de la norma puede resultar relevante en el planteamiento de un conflicto de competencia, en el caso que nos ocupa resulta improcedente todo pronunciamiento en este sentido, pues el hecho de que la competencia cuestionada se ejercite por uno u otro órgano concreto del Estado no afecta a la delimitación de competencias, ya que es de competencia estatal la legislación laboral, que comprende tanto las leyes como las disposiciones reglamentarias que se dicten en su desarrollo, y la competencia autonómica es una competencia de ejecución de dicha legislación.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 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los conflictos positivos de competencia acumulados números 91/1982 y 96/1982, promovidos, respectivamente, por el Consejo Ejecutivo de la Generalidad de Cataluña, representado y defendido por el Abogado don Manuel María Vicens i Matas, y por el Gobierno vasco, representado y defendido por el Abogado don José Joaquín Portuondo Herrerías, frente al Gobierno de la Nación, representado por el Abogado del Estado, en relación con los Reales Decretos 2819/1981, 2820/1981 y 3217/1981, todos ellos de 27 de noviembre, siendo Ponente la Magistrada doña Gloria Begué Cantón, quien expresa el parecer del Tribunal.</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Con fecha 20 de marzo de 1982 el Abogado don Manuel María Vicens i Matas, en nombre del Consejo Ejecutivo de la Generalidad de Cataluña, plantea conflicto positivo de competencia frente al Gobierno de la Nación, en relación con el Real Decreto 2819/1981, de 27 de noviembre y, por conexión, con el 3217/1981, de igual fecha, que determinan las fiestas de ámbito nacional a efectos laborales, y solicita de este Tribunal Constitucional declare que la titularidad de la competencia controvertida corresponde a la Generalidad de Cataluña, y anule los Reales Decretos mencionados así como cuantos actos o situaciones de hecho o de derecho se hubieren dictado o creado en ejecución o al amparo de los mismos, si se evidenciara su existencia.</w:t>
      </w:r>
    </w:p>
    <w:p w:rsidR="001C705E" w:rsidRDefault="001C705E" w:rsidP="001C705E">
      <w:pPr>
        <w:pStyle w:val="TextoNormal"/>
      </w:pPr>
    </w:p>
    <w:p w:rsidR="001C705E" w:rsidRDefault="001C705E" w:rsidP="001C705E">
      <w:pPr>
        <w:pStyle w:val="TextoNormal"/>
      </w:pPr>
      <w:r w:rsidRPr="001C705E">
        <w:rPr>
          <w:rStyle w:val="NumeroAFNegritaCaracter"/>
        </w:rPr>
        <w:t>2</w:t>
      </w:r>
      <w:r>
        <w:t>. Con la misma fecha, el Abogado don José Joaquín Portuondo Herrerías, en nombre del Gobierno vasco, promueve conflicto positivo de competencia frente al Gobierno de la Nación, en relación con los Reales Decretos 2819/1981, de 27 de noviembre, y 2820/1981, de la misma fecha, referidos, respectivamente, a la determinación de las fiestas de ámbito nacional a efectos laborales y al establecimiento del calendario laboral para los años 1982 y 1983, y solicita de este Tribunal Constitucional declare que los mencionados Reales Decretos no respetan el orden de competencias establecido en la Constitución, en el Estatuto de Autonomía y en el art. 37 del Estatuto de los Trabajadores, en cuanto limitan las competencias de fijación del calendario laboral, y que, en consecuencia, declare su nulidad.</w:t>
      </w:r>
    </w:p>
    <w:p w:rsidR="001C705E" w:rsidRDefault="001C705E" w:rsidP="001C705E">
      <w:pPr>
        <w:pStyle w:val="TextoNormal"/>
      </w:pPr>
    </w:p>
    <w:p w:rsidR="001C705E" w:rsidRDefault="001C705E" w:rsidP="001C705E">
      <w:pPr>
        <w:pStyle w:val="TextoNormal"/>
      </w:pPr>
      <w:r w:rsidRPr="001C705E">
        <w:rPr>
          <w:rStyle w:val="NumeroAFNegritaCaracter"/>
        </w:rPr>
        <w:t>3</w:t>
      </w:r>
      <w:r>
        <w:t>. Por sendas providencias de 31 de marzo de 1982, las Secciones 2.ª y 1.ª del Pleno de este Tribunal Constitucional acuerdan, respectivamente, tener por planteados los conflictos positivos de competencia promovidos por el Consejo Ejecutivo de la Generalidad de Cataluña y por el Gobierno vasco, y dar traslado de los mismos al Gobierno de la Nación para que por medio de su representación procesal aporte cuantos documentos y alegaciones estime conveniente.</w:t>
      </w:r>
    </w:p>
    <w:p w:rsidR="001C705E" w:rsidRDefault="001C705E" w:rsidP="001C705E">
      <w:pPr>
        <w:pStyle w:val="TextoNormal"/>
      </w:pPr>
    </w:p>
    <w:p w:rsidR="001C705E" w:rsidRDefault="001C705E" w:rsidP="001C705E">
      <w:pPr>
        <w:pStyle w:val="TextoNormal"/>
      </w:pPr>
      <w:r w:rsidRPr="001C705E">
        <w:rPr>
          <w:rStyle w:val="NumeroAFNegritaCaracter"/>
        </w:rPr>
        <w:t>4</w:t>
      </w:r>
      <w:r>
        <w:t>. Solicitada por el Abogado del Estado, en escrito de 16 de abril de 1982, la acumulación de ambos conflictos, registrados bajo los números 91 y 96/1982, y cumplido el trámite previsto por el art. 83 de la Ley Orgánica del Tribunal Constitucional (LOTC), el Pleno de este Tribunal, por Auto de 7 de junio de 1982, acuerda dicha acumulación y, asimismo, otorgar a la representación del Gobierno un nuevo plazo de veinte días para que formule las correspondientes alegaciones.</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El Abogado de la Generalidad fundamenta su pretensión en los siguientes términos: </w:t>
      </w:r>
    </w:p>
    <w:p w:rsidR="001C705E" w:rsidRDefault="001C705E" w:rsidP="001C705E">
      <w:pPr>
        <w:pStyle w:val="TextoNormal"/>
      </w:pPr>
      <w:r>
        <w:t xml:space="preserve">a) Las competencias de la Generalidad en lo que concierne a la elaboración del calendario anual de fiestas laborales en el territorio de Cataluña se extienden -dentro del límite anual de catorce días festivos y del respeto a las tres fiestas de ámbito nacional que expresamente señala el Estatuto de los Trabajadores (ET) y las que, eventualmente, puedan fijarse con dicho carácter por el órgano del Estado legalmente competente- a la determinación de todas aquellas que, por tradición, sean propias del territorio catalán. </w:t>
      </w:r>
    </w:p>
    <w:p w:rsidR="001C705E" w:rsidRDefault="001C705E" w:rsidP="001C705E">
      <w:pPr>
        <w:pStyle w:val="TextoNormal"/>
      </w:pPr>
      <w:r>
        <w:t xml:space="preserve">b) Las competencias del Gobierno en orden a la fijación de fiestas laborales de ámbito nacional se limitan a la posibilidad de trasladar a los lunes todas las fiestas de ámbito nacional que tengan lugar entre semana, salvo las tres que se fijan expresamente en el ET. El </w:t>
      </w:r>
      <w:r>
        <w:lastRenderedPageBreak/>
        <w:t xml:space="preserve">art. 25.2 de la Ley 16/1976, de 8 de abril, de Relaciones Laborales, confería al Gobierno la competencia para señalar dichas festividades, pero tal precepto ha sido derogado por la disposición final tercera, núm. 14, del ET, por lo que ante el silencio de éste es preciso concluir que desde la vigencia del mismo la fijación de las fiestas de ámbito nacional queda reservada a una norma con rango de ley. </w:t>
      </w:r>
    </w:p>
    <w:p w:rsidR="001C705E" w:rsidRDefault="001C705E" w:rsidP="001C705E">
      <w:pPr>
        <w:pStyle w:val="TextoNormal"/>
      </w:pPr>
      <w:r>
        <w:t xml:space="preserve">La competencia para la determinación de las fiestas laborales de ámbito nacional pertenece a las Cortes, no sólo debido a la «congelación de rango» sino también por razones de carácter material, pues se trata de una materia que no es manifestación de poderes jurídicos derivados directamente del ordenamiento, sino expresión de la propia configuración del Estado y de su poder jurídico. </w:t>
      </w:r>
    </w:p>
    <w:p w:rsidR="001C705E" w:rsidRDefault="001C705E" w:rsidP="001C705E">
      <w:pPr>
        <w:pStyle w:val="TextoNormal"/>
      </w:pPr>
      <w:r>
        <w:t xml:space="preserve">c) En virtud de lo dispuesto en el art. 11.2 del Estatuto de Cataluña, corresponde a la Comunidad Autónoma la facultad de ejecutar y aplicar la legislación laboral del Estado -y así lo reitera el art. 37.2 del Estatuto de los Trabajadores-, y la determinación concreta de los días festivos es materia que corresponde al ámbito de ejecución del mencionado art. del ET, pues con la concreción de un calendario laboral predeterminado por la Ley no se innova el ordenamiento jurídico. Por ello, al establecer en los mencionados Reales Decretos fiestas laborales de carácter nacional y reducir a tres las fiestas que pueden fijar las Comunidades Autónomas, el Gobierno incide en el ámbito competencial de la Generalidad de Cataluña, dado que impide a ésta el ejercicio de sus facultades ejecutivas para concretar, dentro de los límites del art. 37.2 del ET, los días festivos que, por tradición, les sean propios, los cuales alcanzarán un total de nueve, una vez descontadas del límite máximo de catorce las dos fiestas de carácter local y las tres de carácter nacional previstas en aquel precepto. </w:t>
      </w:r>
    </w:p>
    <w:p w:rsidR="001C705E" w:rsidRDefault="001C705E" w:rsidP="001C705E">
      <w:pPr>
        <w:pStyle w:val="TextoNormal"/>
      </w:pPr>
      <w:r>
        <w:t>d) Las normas reguladoras de las fiestas laborales impugnadas vulneran el principio de jerarquía normativa al establecer por Real Decreto lo que sólo cabe hacer por Ley (la determinación de otras fiestas de ámbito nacional). Aun cuando sea discutible que en un conflicto positivo de competencia puedan suscitarse cuestiones de esta naturaleza, en el presente caso el rango formal de las normas cuestionadas es relevante, pues su contenido incide en el ámbito competencial de la Comunidad Autónoma, siendo así que sólo el órgano constitucionalmente titular de la competencia puede, a través de una explícita formulación, incidir válidamente en dicho ámbito. Sólo las Cortes se hallan habilitadas para señalar fiestas laborales de ámbito nacional y, por ende, únicamente por Ley, nunca por Decreto, podrán ser reducidas o limitadas las competencias comunitarias en dicha materia.</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Por su parte, el Abogado del Gobierno vasco basa el planteamiento del conflicto en los siguientes razonamientos: </w:t>
      </w:r>
    </w:p>
    <w:p w:rsidR="001C705E" w:rsidRDefault="001C705E" w:rsidP="001C705E">
      <w:pPr>
        <w:pStyle w:val="TextoNormal"/>
      </w:pPr>
      <w:r>
        <w:t xml:space="preserve">a) La determinación de las fiestas laborales, que según el art. 37.2 del ET tendrán carácter retribuido y no recuperable, forma parte de la legislación laboral del Estado, cuya ejecución es competencia de la Comunidad Autónoma del País Vasco de conformidad con lo previsto en el art. 12.2 de su Estatuto de Autonomía. El ejercicio de dicha competencia no tiene más límite que el establecido en la misma Ley 8/1980 del Estatuto de los Trabajadores (art. 37.2): el respeto a las tres fiestas de ámbito nacional expresamente mencionadas y a las dos de carácter local reservadas a las autoridades locales; corresponde, pues, a la Comunidad Autónoma vasca, por disposición legal, la facultad de establecer nueve fiestas laborales siempre que por tradición le sean propias. </w:t>
      </w:r>
    </w:p>
    <w:p w:rsidR="001C705E" w:rsidRDefault="001C705E" w:rsidP="001C705E">
      <w:pPr>
        <w:pStyle w:val="TextoNormal"/>
      </w:pPr>
      <w:r>
        <w:t xml:space="preserve">b) Los Reales Decretos 2819/1981 y 2820/1981, ambos de 27 de noviembre, al permitir sólo la sustitución de tres fiestas nacionales por las propias de las Comunidades Autónomas vulneran el principio de jerarquía normativa, por cuanto a través de Reales Decretos, </w:t>
      </w:r>
      <w:r>
        <w:lastRenderedPageBreak/>
        <w:t xml:space="preserve">cuyo rango legal no es superior al de reglamentos externos, se modifica la reserva consagrada en el art. 37.2 del ET a favor de las Comunidades Autónomas. </w:t>
      </w:r>
    </w:p>
    <w:p w:rsidR="001C705E" w:rsidRDefault="001C705E" w:rsidP="001C705E">
      <w:pPr>
        <w:pStyle w:val="TextoNormal"/>
      </w:pPr>
      <w:r>
        <w:t xml:space="preserve">c) Tal conclusión no queda desvirtuada por la referencia al art. III del Acuerdo entre el Estado español y la Santa Sede sobre asuntos jurídicos, de 3 de enero de 1979, ratificado por Instrumento de 4 de diciembre del mismo año, que, para fundamentar la inclusión de las fiestas religiosas, aparece tanto en el preámbulo como en el articulado del Real Decreto 2819/1981, de 27 de noviembre. Es cierto que dicho artículo establece que de común acuerdo se determinarán las festividades religiosas, aparte de los domingos, reconocidas por el Estado como días festivos, pero la fijación del calendario contenido en los Reales Decretos impugnados no tiene su origen en un Acuerdo entre la Santa Sede y el Estado español, sino en una propuesta de la Conferencia Episcopal española, como expresamente se reconoce, y no existe en el mencionado Acuerdo disposición alguna que habilite a la Conferencia Episcopal para concertar con el Estado español los días festivos a que se refiere el citado artículo. </w:t>
      </w:r>
    </w:p>
    <w:p w:rsidR="001C705E" w:rsidRDefault="001C705E" w:rsidP="001C705E">
      <w:pPr>
        <w:pStyle w:val="TextoNormal"/>
      </w:pPr>
      <w:r>
        <w:t xml:space="preserve">Por otro lado, aunque así fuera, la técnica utilizada para modificar el calendario laboral establecido en el Estatuto de los Trabajadores es inadecuada, tanto si el Acuerdo o Tratado internacional se considera Ley del Estado, una vez ratificado y publicado, como si se le concede rango superior al de la Ley aunque inferior a la Constitución. En el primer caso habría de entenderse derogado por el art. 37.2 del ET, y en el segundo habría de aplicarse mediante Ley y no mediante Real Decreto, dado que, al afectar a una materia regulada por Ley ordinaria, así lo exige el respeto no sólo al principio de jerarquía normativa, sino también al de legalidad. </w:t>
      </w:r>
    </w:p>
    <w:p w:rsidR="001C705E" w:rsidRDefault="001C705E" w:rsidP="001C705E">
      <w:pPr>
        <w:pStyle w:val="TextoNormal"/>
      </w:pPr>
      <w:r>
        <w:t xml:space="preserve">De otra parte, si lo que se pretendía era ejecutar el Acuerdo en materia de calendario laboral, tal ejecución corresponde a la Comunidad Autónoma dentro de su ámbito territorial, tanto porque así lo dispone el art. 12.2 de su Estatuto de Autonomía como por la reserva explícita efectuada en su favor por el art. 37.2 del Estatuto de los Trabajadores. </w:t>
      </w:r>
    </w:p>
    <w:p w:rsidR="001C705E" w:rsidRDefault="001C705E" w:rsidP="001C705E">
      <w:pPr>
        <w:pStyle w:val="TextoNormal"/>
      </w:pPr>
      <w:r>
        <w:t>Finalmente, resulta sorprendente que la propuesta de la Conferencia Episcopal aparezca en el art. 1.1, dividida en dos apartados -el b) y el d)- y se reconozca a las Comunidades Autónomas facultad para sustituir por las suyas propias tres de las festividades mencionadas en el apartado d), estableciendo así una diferenciación entre las distintas festividades religiosas que no encuentra justificación alguna.</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El Abogado del Estado, en su escrito de alegaciones, manifiesta su disconformidad con la postura mantenida por las representaciones procesales de las Comunidades Autónomas catalana y vasca, en los siguientes términos: </w:t>
      </w:r>
    </w:p>
    <w:p w:rsidR="001C705E" w:rsidRDefault="001C705E" w:rsidP="001C705E">
      <w:pPr>
        <w:pStyle w:val="TextoNormal"/>
      </w:pPr>
      <w:r>
        <w:t xml:space="preserve">a) No es el conflicto positivo de competencia el cauce adecuado para plantear la cuestión de si el establecimiento de fiestas de ámbito nacional compete a las Cortes Generales o al Gobierno, pues no puede tramitarse como un conflicto de los tipificados en el art. 59.1 de la LOTC un potencial conflicto de los previstos en el núm. 3 del citado artículo, para cuya promoción existen otras reglas de legitimación en los arts. 73 y ss., de la LOTC. En los conflictos «territoriales» de competencia, a diferencia de lo que sucede con los conflictos entre órganos constitucionales del Estado, se debate la posible invasión de las competencias de un Ente territorial por otro de la misma naturaleza, siendo irrelevante que las facultades ejercitadas sean de naturaleza legislativa o administrativa. </w:t>
      </w:r>
    </w:p>
    <w:p w:rsidR="001C705E" w:rsidRDefault="001C705E" w:rsidP="001C705E">
      <w:pPr>
        <w:pStyle w:val="TextoNormal"/>
      </w:pPr>
      <w:r>
        <w:t xml:space="preserve">b) El art. 37.2 del ET no limita las fiestas de ámbito nacional a las tres que expresamente enumera en su párrafo primero, sino que reconoce implícitamente la existencia de otras, como se deduce del párrafo segundo del mencionado precepto, que autoriza al Gobierno a «trasladar a los lunes todas las fiestas de ámbito nacional que tengan lugar entre semana, </w:t>
      </w:r>
      <w:r>
        <w:lastRenderedPageBreak/>
        <w:t xml:space="preserve">salvo las expresadas en el párrafo anterior». Resulta, pues, obvio que deben existir más de tres fiestas de ámbito nacional, por lo que la interpretación dada a dicho artículo por las representaciones del Gobierno vasco y del Consejo Ejecutivo de la Generalidad de Cataluña en el sentido de que las Comunidades Autónomas pueden establecer prácticamente nueve fiestas laborales es contraria al tenor literal del precepto. </w:t>
      </w:r>
    </w:p>
    <w:p w:rsidR="001C705E" w:rsidRDefault="001C705E" w:rsidP="001C705E">
      <w:pPr>
        <w:pStyle w:val="TextoNormal"/>
      </w:pPr>
      <w:r>
        <w:t xml:space="preserve">c) Las fiestas de ámbito nacional lógicamente deben ser fijadas por algún órgano del Estado, dado que éste es el único Ente territorial competente para establecer una festividad con efectos en todo el territorio de la Nación. </w:t>
      </w:r>
    </w:p>
    <w:p w:rsidR="001C705E" w:rsidRDefault="001C705E" w:rsidP="001C705E">
      <w:pPr>
        <w:pStyle w:val="TextoNormal"/>
      </w:pPr>
      <w:r>
        <w:t xml:space="preserve">Las representaciones de ambas Comunidades Autónomas sostienen que existe en esta materia una reserva de Ley y que, por lo tanto, las disposiciones impugnadas carecen del adecuado rango. Tal interpretación del art. 37.2 del ET es inadecuada, pues el que el Estatuto de los Trabajadores establezca que en todo caso se respetarán como fiestas de ámbito nacional las tres que expresamente indica, no significa que toda la materia relativa a la fijación de las restantes fiestas quede reservada a la Ley, como del propio artículo se deduce. En efecto, el mandato contenido en él -esto es, que «en todo caso se respetarán como fiestas de ámbito nacional» las tres que se mencionan- no puede estar dirigido al legislador ya que, al ser el Estatuto de los Trabajadores una Ley ordinaria, podría modificarse en este punto y en cualquier otro por una ley posterior. Parece evidente que ese mandato se dirige al Gobierno, dando por sentado que tiene competencia para regular esta materia, sin que pueda llevar a la conclusión contraria el hecho de que haya sido derogado el art. 25 de la Ley de Relaciones Laborales, pues de la norma derogada no cabe deducir la intención del legislador. </w:t>
      </w:r>
    </w:p>
    <w:p w:rsidR="001C705E" w:rsidRDefault="001C705E" w:rsidP="001C705E">
      <w:pPr>
        <w:pStyle w:val="TextoNormal"/>
      </w:pPr>
      <w:r>
        <w:t xml:space="preserve">Por otro lado, si al Gobierno corresponde legalmente establecer el calendario laboral, es indiferente que el fundamento del Real Decreto 2819/1981, sea o no el Acuerdo de 3 de enero de 1979 con la Santa Sede, cuestión en la que hace especial hincapié la representación del Gobierno vasco. </w:t>
      </w:r>
    </w:p>
    <w:p w:rsidR="001C705E" w:rsidRDefault="001C705E" w:rsidP="001C705E">
      <w:pPr>
        <w:pStyle w:val="TextoNormal"/>
      </w:pPr>
      <w:r>
        <w:t xml:space="preserve">d) La determinación de las fiestas laborales constituye una clara actividad normativa y no meramente ejecutiva. El Real Decreto 2819/1981, en cuanto desarrolla el art. 37.2 del ET, viene a ser un verdadero reglamento ejecutivo y, en consecuencia, la competencia para dictarlo corresponde al Estado, pues, como sostiene el fundamento jurídico 5, de la Sentencia del Tribunal Constitucional de 4 de mayo de 1982, «cuando la Constitución emplea el término legislación laboral y la atribuye a la competencia estatal incluye también en el término los reglamentos tradicionalmente llamados ejecutivos». </w:t>
      </w:r>
    </w:p>
    <w:p w:rsidR="001C705E" w:rsidRDefault="001C705E" w:rsidP="001C705E">
      <w:pPr>
        <w:pStyle w:val="TextoNormal"/>
      </w:pPr>
      <w:r>
        <w:t xml:space="preserve">En esta línea de argumentación cabría decir, más bien, que las Comunidades Autónomas carecen de facultades para determinar los días festivos a efectos laborales y, en tal caso, habría que interpretar el último párrafo del art. 37.2 del ET en el sentido de que el verbo señalar no tiene otro significado que el de sugerir o proponer y que corresponde al Ente con facultades constitucionales normativas dictar la disposición haciendo la determinación oportuna. </w:t>
      </w:r>
    </w:p>
    <w:p w:rsidR="001C705E" w:rsidRDefault="001C705E" w:rsidP="001C705E">
      <w:pPr>
        <w:pStyle w:val="TextoNormal"/>
      </w:pPr>
      <w:r>
        <w:t xml:space="preserve">e) La fórmula arbitrada por el mencionado Real Decreto conjuga las facultades normativas del Estado con las facultades de ejecución de la legislación laboral que corresponden a las Comunidades Autónomas. De un lado, el Gobierno, en el ejercicio de su potestad reglamentaria y de conformidad con lo previsto en el art. 37.2 del ET, establece las doce posibles festividades de ámbito nacional y, por otro, permite a las Comunidades Autónomas sustituir hasta tres de las incluidas en el apartado b) del artículo 1 del mencionado Decreto por otras que por tradición les sean propias; de este modo se respeta el deseo del legislador expresado en el art. 37.2 del ET y el ámbito competencial autonómico, pues la </w:t>
      </w:r>
      <w:r>
        <w:lastRenderedPageBreak/>
        <w:t xml:space="preserve">sustitución constituye un acto de ejecución del calendario laboral reglamentariamente fijado. </w:t>
      </w:r>
    </w:p>
    <w:p w:rsidR="001C705E" w:rsidRDefault="001C705E" w:rsidP="001C705E">
      <w:pPr>
        <w:pStyle w:val="TextoNormal"/>
      </w:pPr>
      <w:r>
        <w:t>Por todo lo expuesto, el Abogado del Estado concluye solicitando de este Tribunal Constitucional dicte sentencia en la que declare que los Reales Decretos impugnados no alteran la distribución de competencias entre el Estado y las Comunidades Autónomas establecida en la Constitución y en los Estatutos de Autonomía, por corresponder al Estado la competencia para la determinación del calendario laboral.</w:t>
      </w:r>
    </w:p>
    <w:p w:rsidR="001C705E" w:rsidRDefault="001C705E" w:rsidP="001C705E">
      <w:pPr>
        <w:pStyle w:val="TextoNormal"/>
      </w:pPr>
    </w:p>
    <w:p w:rsidR="001C705E" w:rsidRDefault="001C705E" w:rsidP="001C705E">
      <w:pPr>
        <w:pStyle w:val="TextoNormal"/>
      </w:pPr>
      <w:r w:rsidRPr="001C705E">
        <w:rPr>
          <w:rStyle w:val="NumeroAFNegritaCaracter"/>
        </w:rPr>
        <w:t>8</w:t>
      </w:r>
      <w:r>
        <w:t>. Por providencia de 17 de enero de 1985, el Pleno del Tribunal acuerda fijar la fecha de 24 del mismo mes para la deliberación y votación de esta Sentencia.</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En el presente conflicto positivo de competencia, tanto el Gobierno vasco como el Consejo Ejecutivo de la Generalidad de Cataluña impugnan el Real Decreto 2819/1981, de 27 de noviembre, y a su vez, el Gobierno vasco impugna el Real Decreto 2820/1981, y la Generalidad, el Real Decreto 3217/1981, ambos de la misma fecha que el primero.</w:t>
      </w:r>
    </w:p>
    <w:p w:rsidR="001C705E" w:rsidRDefault="001C705E" w:rsidP="001C705E">
      <w:pPr>
        <w:pStyle w:val="TextoNormal"/>
      </w:pPr>
      <w:r>
        <w:t>El Real Decreto 2819/1981, de 27 de noviembre, en aplicación, según se indica en su preámbulo, del art. 37.2 del ET y del art. III del Acuerdo de 3 de enero de 1979, ratificado por Instrumento del 4 de diciembre, entre la Santa Sede y el Estado español, fija ocho fiestas de ámbito nacional, que se incluirán en el calendario laboral de cada año como días inhábiles a efectos laborales, retribuidos y no recuperables, en aquellos supuestos en que no coincidan con domingo, y establece un grupo de seis fiestas que, por el orden en que se relacionan, se incluirán en el calendario laboral hasta completar un máximo de doce; asimismo, reconoce a las Comunidades Autónomas la facultad de sustituir hasta tres fiestas de las señaladas en este último grupo por otras que por tradición les sean propias, bien con carácter permanente o en el calendario laboral de cada año.</w:t>
      </w:r>
    </w:p>
    <w:p w:rsidR="001C705E" w:rsidRDefault="001C705E" w:rsidP="001C705E">
      <w:pPr>
        <w:pStyle w:val="TextoNormal"/>
      </w:pPr>
      <w:r>
        <w:t>El Real Decreto 2820/1981, de 27 de noviembre, se limita a concretar el calendario laboral para los años 1982 y 1983, de acuerdo con las normas contenidas en el Real Decreto anterior, dejando a salvo la facultad de las Comunidades Autónomas para señalar las fiestas que por tradición les sean propias en los términos establecidos en el mencionado Real Decreto.</w:t>
      </w:r>
    </w:p>
    <w:p w:rsidR="001C705E" w:rsidRDefault="001C705E" w:rsidP="001C705E">
      <w:pPr>
        <w:pStyle w:val="TextoNormal"/>
      </w:pPr>
      <w:r>
        <w:t>El Real Decreto 3217/1981, de 27 de noviembre, declara que el día 12 de octubre, fiesta nacional de España y Día de la Hispanidad, tendrá con carácter permanente consideración de fiesta laboral de ámbito nacional y ordena la programación de actos oficiales y populares conmemorativos, que en su eventual proyección internacional serán coordinados por el Ministerio de Asuntos Exteriores.</w:t>
      </w:r>
    </w:p>
    <w:p w:rsidR="001C705E" w:rsidRDefault="001C705E" w:rsidP="001C705E">
      <w:pPr>
        <w:pStyle w:val="TextoNormal"/>
      </w:pPr>
    </w:p>
    <w:p w:rsidR="001C705E" w:rsidRDefault="001C705E" w:rsidP="001C705E">
      <w:pPr>
        <w:pStyle w:val="TextoNormal"/>
      </w:pPr>
      <w:r w:rsidRPr="001C705E">
        <w:rPr>
          <w:rStyle w:val="NumeroAFNegritaCaracter"/>
        </w:rPr>
        <w:t>2</w:t>
      </w:r>
      <w:r>
        <w:t>. Ninguna de las partes cuestiona, a efectos competenciales, que los mencionados Reales Decretos deban encuadrarse dentro de la materia laboral, en relación con el artículo 37.2 del ET.</w:t>
      </w:r>
    </w:p>
    <w:p w:rsidR="001C705E" w:rsidRDefault="001C705E" w:rsidP="001C705E">
      <w:pPr>
        <w:pStyle w:val="TextoNormal"/>
      </w:pPr>
      <w:r>
        <w:t>Aun cuando con las fiestas laborales a que se refiere el mencionado artículo se pretenda resaltar hechos de especial relevancia o trascendencia en el orden cívico o religioso, no cabe duda de que su regulación incide en el contenido de la relación laboral. En efecto, las normas relativas a las fiestas laborales, al concretar el derecho al descanso y las consecuencias que del mismo se derivan, afectan a los elementos esenciales del contrato de trabajo: La prestación de servicios y la contraprestación económica.</w:t>
      </w:r>
    </w:p>
    <w:p w:rsidR="001C705E" w:rsidRDefault="001C705E" w:rsidP="001C705E">
      <w:pPr>
        <w:pStyle w:val="TextoNormal"/>
      </w:pPr>
      <w:r>
        <w:lastRenderedPageBreak/>
        <w:t>Tampoco se cuestiona las competencias comunitarias en materia laboral, que se concretan en los arts. 12.2 del Estatuto de Autonomía del País Vasco y 11.2 del Estatuto catalán, en relación con el art. 149.1.7 de la Constitución.</w:t>
      </w:r>
    </w:p>
    <w:p w:rsidR="001C705E" w:rsidRDefault="001C705E" w:rsidP="001C705E">
      <w:pPr>
        <w:pStyle w:val="TextoNormal"/>
      </w:pPr>
      <w:r>
        <w:t>El art. 149.1.7 de la Constitución establece que el Estado tiene competencia exclusiva en materia de legislación laboral, sin perjuicio de su ejecución por los órganos de las Comunidades Autónomas.</w:t>
      </w:r>
    </w:p>
    <w:p w:rsidR="001C705E" w:rsidRDefault="001C705E" w:rsidP="001C705E">
      <w:pPr>
        <w:pStyle w:val="TextoNormal"/>
      </w:pPr>
      <w:r>
        <w:t>El Estatuto vasco establece en el art. 12.2 que corresponde a la Comunidad Autónoma la ejecución de la legislación laboral del Estado, asumiendo las facultades y competencias que en este terreno ostenta actualmente el Estado respecto a las relaciones laborales.</w:t>
      </w:r>
    </w:p>
    <w:p w:rsidR="001C705E" w:rsidRDefault="001C705E" w:rsidP="001C705E">
      <w:pPr>
        <w:pStyle w:val="TextoNormal"/>
      </w:pPr>
      <w:r>
        <w:t>Y, del mismo modo, el Estatuto catalán reconoce que corresponde a la Generalidad la ejecución de la legislación laboral del Estado, asumiendo las facultades, competencias y servicios que en este ámbito y a nivel de ejecución ostenta actualmente el Estado respecto a las relaciones laborales.</w:t>
      </w:r>
    </w:p>
    <w:p w:rsidR="001C705E" w:rsidRDefault="001C705E" w:rsidP="001C705E">
      <w:pPr>
        <w:pStyle w:val="TextoNormal"/>
      </w:pPr>
      <w:r>
        <w:t>Se parte, pues, de que a las Comunidades vasca y catalana les corresponde la competencia de ejecución de la legislación estatal en relación con la fijación del calendario laboral en el ámbito territorial respectivo.</w:t>
      </w:r>
    </w:p>
    <w:p w:rsidR="001C705E" w:rsidRDefault="001C705E" w:rsidP="001C705E">
      <w:pPr>
        <w:pStyle w:val="TextoNormal"/>
      </w:pPr>
    </w:p>
    <w:p w:rsidR="001C705E" w:rsidRDefault="001C705E" w:rsidP="001C705E">
      <w:pPr>
        <w:pStyle w:val="TextoNormal"/>
      </w:pPr>
      <w:r w:rsidRPr="001C705E">
        <w:rPr>
          <w:rStyle w:val="NumeroAFNegritaCaracter"/>
        </w:rPr>
        <w:t>3</w:t>
      </w:r>
      <w:r>
        <w:t>. Las discrepancias surgen en el momento de concretar qué normas integran la legislación laboral en esta materia.</w:t>
      </w:r>
    </w:p>
    <w:p w:rsidR="001C705E" w:rsidRDefault="001C705E" w:rsidP="001C705E">
      <w:pPr>
        <w:pStyle w:val="TextoNormal"/>
      </w:pPr>
      <w:r>
        <w:t>Para las representaciones del Gobierno vasco y de la Generalidad tal expresión incluye solamente el art. 37.2 del ET; una vez establecido en él el límite máximo de fiestas laborales, con carácter retribuido y no recuperables, fijado el número de las fiestas locales y de las tres que, en todo caso, se respetarán como fiestas nacionales, y reconocida la facultad de las Comunidades Autónomas de señalar aquellas fiestas que por tradición les sean propias, la elaboración del calendario laboral para cada Comunidad no es más que un acto de ejecución que puede realizarse, a su juicio, directamente por la Comunidad. Por ello estiman que los Reales Decretos impugnados, al establecer un número de fiestas nacionales superior a las tres expresamente contenidas en el ET y limitar a tres el número de fiestas propias de la Comunidad, invaden la competencia de ejecución que en materia laboral les pertenece en virtud de las correspondientes normas estatutarias, dado que, de conformidad con el art. 37.2 del ET, podrían fijar libremente hasta nueve festividades.</w:t>
      </w:r>
    </w:p>
    <w:p w:rsidR="001C705E" w:rsidRDefault="001C705E" w:rsidP="001C705E">
      <w:pPr>
        <w:pStyle w:val="TextoNormal"/>
      </w:pPr>
      <w:r>
        <w:t>Para el Abogado del Estado, la legislación laboral, cuya competencia de ejecución corresponde a la Comunidad, incluye tanto el art. 37.2 del ET como los Reales Decretos impugnados, en cuanto suponen un desarrollo del mencionado artículo.</w:t>
      </w:r>
    </w:p>
    <w:p w:rsidR="001C705E" w:rsidRDefault="001C705E" w:rsidP="001C705E">
      <w:pPr>
        <w:pStyle w:val="TextoNormal"/>
      </w:pPr>
    </w:p>
    <w:p w:rsidR="001C705E" w:rsidRDefault="001C705E" w:rsidP="001C705E">
      <w:pPr>
        <w:pStyle w:val="TextoNormal"/>
      </w:pPr>
      <w:r w:rsidRPr="001C705E">
        <w:rPr>
          <w:rStyle w:val="NumeroAFNegritaCaracter"/>
        </w:rPr>
        <w:t>4</w:t>
      </w:r>
      <w:r>
        <w:t>. Este Tribunal Constitucional ya ha tenido ocasión de pronunciarse sobre el alcance de la expresión «legislación laboral», contenida en el art. 149.1.7 de la Constitución.</w:t>
      </w:r>
    </w:p>
    <w:p w:rsidR="001C705E" w:rsidRDefault="001C705E" w:rsidP="001C705E">
      <w:pPr>
        <w:pStyle w:val="TextoNormal"/>
      </w:pPr>
      <w:r>
        <w:t>Según la jurisprudencia del mismo, dicha expresión incluye tanto las leyes como los reglamentos que desarrollan la ley y, por lo tanto, son complementarios de la misma, pues, de otro modo, se frustraría la finalidad constitucionalmente pretendida de mantener una uniformidad en la ordenación jurídica de la materia.</w:t>
      </w:r>
    </w:p>
    <w:p w:rsidR="001C705E" w:rsidRDefault="001C705E" w:rsidP="001C705E">
      <w:pPr>
        <w:pStyle w:val="TextoNormal"/>
      </w:pPr>
      <w:r>
        <w:t>Esta interpretación viene respaldada por la forma en que se asumen las competencias autonómicas en materia laboral. El Estatuto catalán establece que el ejercicio de la competencia de ejecución en las materias incluidas en el art. 11 -entre las que se encuentra la laboral- debe sujetarse a las normas reglamentarias que en desarrollo de su legislación dicte el Estado. E, implícitamente, este mismo alcance aparece atribuido en el art. 20.4 del Estatuto vasco, al precisar que la función de ejecución comprende la potestad de adminis</w:t>
      </w:r>
      <w:r>
        <w:lastRenderedPageBreak/>
        <w:t>tración, así como, en su caso, la de dictar reglamentos internos de organización de los servicios correspondientes.</w:t>
      </w:r>
    </w:p>
    <w:p w:rsidR="001C705E" w:rsidRDefault="001C705E" w:rsidP="001C705E">
      <w:pPr>
        <w:pStyle w:val="TextoNormal"/>
      </w:pPr>
      <w:r>
        <w:t>En los términos en que el conflicto está planteado su solución lleva, pues, a analizar el contenido del art. 37.2 del ET y, en relación con él, el de los Reales Decretos impugnados, para determinar si éstos constituyen simples actos de ejecución o son, más bien, disposiciones generales que complementan el precepto legal.</w:t>
      </w:r>
    </w:p>
    <w:p w:rsidR="001C705E" w:rsidRDefault="001C705E" w:rsidP="001C705E">
      <w:pPr>
        <w:pStyle w:val="TextoNormal"/>
      </w:pPr>
    </w:p>
    <w:p w:rsidR="001C705E" w:rsidRDefault="001C705E" w:rsidP="001C705E">
      <w:pPr>
        <w:pStyle w:val="TextoNormal"/>
      </w:pPr>
      <w:r w:rsidRPr="001C705E">
        <w:rPr>
          <w:rStyle w:val="NumeroAFNegritaCaracter"/>
        </w:rPr>
        <w:t>5</w:t>
      </w:r>
      <w:r>
        <w:t>. El art. 37.2 del ET distingue entre fiestas locales, autonómicas y nacionales, estableciendo un número máximo de 14 fiestas laborales con carácter retribuido y no recuperable, de las cuales dos serán locales; establece expresamente que se respetarán en todo caso como fiestas de ámbito nacional las de la Natividad del Señor, Año Nuevo y Uno de mayo, como Fiesta del Trabajo, y, asimismo, que las Comunidades Autónomas podrán señalar aquellas fiestas que por tradición les sean propias.</w:t>
      </w:r>
    </w:p>
    <w:p w:rsidR="001C705E" w:rsidRDefault="001C705E" w:rsidP="001C705E">
      <w:pPr>
        <w:pStyle w:val="TextoNormal"/>
      </w:pPr>
      <w:r>
        <w:t>De la redacción de dicho artículo no cabe deducir que, una vez excluidas las dos fiestas locales y las tres de ámbito nacional expresamente señaladas, el resto de las fiestas laborales hayan de ser o bien todas nacionales o bien todas comunitarias. La primera interpretación vaciaría de contenido la facultad comunitaria expresamente reconocida en el citado precepto. La segunda es incompatible con el tenor literal del mencionado artículo, pues en él se prevé la existencia de otras fiestas nacionales al establecer, en su párrafo primero, que «en todo caso» tres tendrán carácter nacional y, en su párrafo segundo, que el Gobierno podrá trasladar a los lunes todas las fiestas de ámbito nacional que tengan lugar entre semana, salvo las tres a las que expresamente se alude y aquellas otras que por su arraigo local deben disfrutarse el día de su fecha. Por otra parte, tal posibilidad aparece también explicitada en el Acuerdo de 3 de enero de 1979 entre el Estado español y la Santa Sede sobre asuntos jurídicos, cuyo art. III precisa que «El Estado reconoce como días festivos todos los domingos. De común acuerdo se determinará qué otras festividades religiosas son reconocidas como días festivos».</w:t>
      </w:r>
    </w:p>
    <w:p w:rsidR="001C705E" w:rsidRDefault="001C705E" w:rsidP="001C705E">
      <w:pPr>
        <w:pStyle w:val="TextoNormal"/>
      </w:pPr>
      <w:r>
        <w:t>Existe, pues, la posibilidad de que se fijen otras fiestas nacionales distintas de las contenidas expresamente en el ET. La expresa determinación en el precepto de estas tres últimas no puede tener en este contexto otra finalidad que la de elevar a rango legal el reconocimiento y carácter de las mismas, imposibilitando, por tanto, su supresión, modificación o traslado mediante norma de rango inferior a la ley o mediante la voluntad de trabajadores y Empresas.</w:t>
      </w:r>
    </w:p>
    <w:p w:rsidR="001C705E" w:rsidRDefault="001C705E" w:rsidP="001C705E">
      <w:pPr>
        <w:pStyle w:val="TextoNormal"/>
      </w:pPr>
    </w:p>
    <w:p w:rsidR="001C705E" w:rsidRDefault="001C705E" w:rsidP="001C705E">
      <w:pPr>
        <w:pStyle w:val="TextoNormal"/>
      </w:pPr>
      <w:r w:rsidRPr="001C705E">
        <w:rPr>
          <w:rStyle w:val="NumeroAFNegritaCaracter"/>
        </w:rPr>
        <w:t>6</w:t>
      </w:r>
      <w:r>
        <w:t>. Por otra parte, de la redacción del art. 37.2 del ET no cabe tampoco deducir que en él se reconozca carácter prioritario a las fiestas fijadas por la Comunidad frente a las fiestas de ámbito nacional no establecidas expresamente en el mencionado precepto, lo que permitiría interpretar su párrafo tercero, como sostienen las representaciones del Gobierno vasco y de la Generalidad, en el sentido de que corresponde, en principio, a la Comunidad Autónoma señalar nueve festividades.</w:t>
      </w:r>
    </w:p>
    <w:p w:rsidR="001C705E" w:rsidRDefault="001C705E" w:rsidP="001C705E">
      <w:pPr>
        <w:pStyle w:val="TextoNormal"/>
      </w:pPr>
      <w:r>
        <w:t>De un lado, la propia literalidad del texto expresa la necesaria especificidad de las fiestas comunitarias, y, como ponen de manifiesto los debates parlamentarios, la referencia al «límite anual de catorce días festivos», no puede entenderse como una reserva absoluta para llenarlo autónomamente, una vez excluidas las cinco fiestas expresamente reconocidas en el mencionado artículo con carácter nacional o local, sino como una expresión que impide que la fijación de las fiestas comunitarias incremente el número total de fiestas laborales. El párrafo tercero se incluye en el art. 37.2 del ET como consecuencia de una enmienda del grupo parlamentario «Minoría Catalana», sin que sufran modificación algu</w:t>
      </w:r>
      <w:r>
        <w:lastRenderedPageBreak/>
        <w:t>na los dos párrafos anteriores, y en los debates celebrados en el Senado se rechaza la enmienda que proponía la sustitución de la frase «podrán señalar aquellas fiestas que por tradición les sean propias» por «podrán elaborar el calendario laboral correspondiente a su respectivo ámbito territorial».</w:t>
      </w:r>
    </w:p>
    <w:p w:rsidR="001C705E" w:rsidRDefault="001C705E" w:rsidP="001C705E">
      <w:pPr>
        <w:pStyle w:val="TextoNormal"/>
      </w:pPr>
      <w:r>
        <w:t>De otro lado, no hay base alguna para sostener que el principio limitativo del número de fiestas contenido en el art. 37.2 del ET y que se refleja en la fijación de un límite máximo total y para las fiestas locales, no se proyecte también tanto sobre las fiestas nacionales como sobre las comunitarias.</w:t>
      </w:r>
    </w:p>
    <w:p w:rsidR="001C705E" w:rsidRDefault="001C705E" w:rsidP="001C705E">
      <w:pPr>
        <w:pStyle w:val="TextoNormal"/>
      </w:pPr>
    </w:p>
    <w:p w:rsidR="001C705E" w:rsidRDefault="001C705E" w:rsidP="001C705E">
      <w:pPr>
        <w:pStyle w:val="TextoNormal"/>
      </w:pPr>
      <w:r w:rsidRPr="001C705E">
        <w:rPr>
          <w:rStyle w:val="NumeroAFNegritaCaracter"/>
        </w:rPr>
        <w:t>7</w:t>
      </w:r>
      <w:r>
        <w:t>. Existe, pues, en el art. 37.2 del ET un evidente grado de indeterminación en cuanto al número total de fiestas laborales, de las que sólo se fija el número máximo; en cuanto al número total de fiestas nacionales, de las que sólo se fija el número mínimo; y en cuanto a las fiestas comunitarias, respecto de las cuales sólo se indica que han de responder a fiestas que por tradición sean propias de las Comunidades Autónomas.</w:t>
      </w:r>
    </w:p>
    <w:p w:rsidR="001C705E" w:rsidRDefault="001C705E" w:rsidP="001C705E">
      <w:pPr>
        <w:pStyle w:val="TextoNormal"/>
      </w:pPr>
      <w:r>
        <w:t>A este grado de indeterminación del precepto, que hace imposible su aplicación directa, hay que añadir que precisamente la inclusión del párrafo último, que atribuye a las Comunidades Autónomas la facultad de señalar las fiestas que les son propias, hace necesaria la existencia de una disposición de carácter general que garantice la uniformidad pretendida en el mencionado precepto de la Constitución en materia laboral en todo el territorio nacional y coordine los calendarios laborales de las distintas Comunidades.</w:t>
      </w:r>
    </w:p>
    <w:p w:rsidR="001C705E" w:rsidRDefault="001C705E" w:rsidP="001C705E">
      <w:pPr>
        <w:pStyle w:val="TextoNormal"/>
      </w:pPr>
    </w:p>
    <w:p w:rsidR="001C705E" w:rsidRDefault="001C705E" w:rsidP="001C705E">
      <w:pPr>
        <w:pStyle w:val="TextoNormal"/>
      </w:pPr>
      <w:r w:rsidRPr="001C705E">
        <w:rPr>
          <w:rStyle w:val="NumeroAFNegritaCaracter"/>
        </w:rPr>
        <w:t>8</w:t>
      </w:r>
      <w:r>
        <w:t>. Sobre estas bases es preciso analizar los tres Decretos impugnados:</w:t>
      </w:r>
    </w:p>
    <w:p w:rsidR="001C705E" w:rsidRDefault="001C705E" w:rsidP="001C705E">
      <w:pPr>
        <w:pStyle w:val="TextoNormal"/>
      </w:pPr>
      <w:r>
        <w:t>A) Por lo que se refiere al Real Decreto 2819/1981, el análisis de su contenido permite concluir que no constituye un simple acto de ejecución, sino que forma parte de la legislación laboral sobre la materia, por lo que, al dictarlo, el Estado no ha invadido las competencias de ejecución de las Comunidades Autónomas vasca y catalana.</w:t>
      </w:r>
    </w:p>
    <w:p w:rsidR="001C705E" w:rsidRDefault="001C705E" w:rsidP="001C705E">
      <w:pPr>
        <w:pStyle w:val="TextoNormal"/>
      </w:pPr>
      <w:r>
        <w:t>En efecto, el mencionado Real Decreto no establece un concreto calendario laboral, sino un sistema a través del cual</w:t>
      </w:r>
    </w:p>
    <w:p w:rsidR="001C705E" w:rsidRDefault="001C705E" w:rsidP="001C705E">
      <w:pPr>
        <w:pStyle w:val="TextoNormal"/>
      </w:pPr>
      <w:r>
        <w:t>a) Se garantiza que el ejercicio del derecho al descanso se realice en condiciones de igualdad, pues al establecer que, de las fiestas contenidas en el apartado d), se incluirán en el calendario laboral las necesarias para completar el número máximo de doce, se está garantizando el mismo número de fiestas totales en todo el territorio nacional.</w:t>
      </w:r>
    </w:p>
    <w:p w:rsidR="001C705E" w:rsidRDefault="001C705E" w:rsidP="001C705E">
      <w:pPr>
        <w:pStyle w:val="TextoNormal"/>
      </w:pPr>
      <w:r>
        <w:t>b) Se coordinan los calendarios laborales de las distintas Comunidades Autónomas y se minimizan los efectos negativos que sobre las relaciones económicas nacionales e intracomunitarias pueden producirse debido a la multiplicidad de fiestas comunitarias propias, lo que se lleva a cabo al limitar el número de fiestas que pueden ser sustituidas y al reducir las sustituciones a un máximo de tres.</w:t>
      </w:r>
    </w:p>
    <w:p w:rsidR="001C705E" w:rsidRDefault="001C705E" w:rsidP="001C705E">
      <w:pPr>
        <w:pStyle w:val="TextoNormal"/>
      </w:pPr>
      <w:r>
        <w:t>c) Se establece un equilibrio entre los distintos tipos de fiestas, dada la limitación que, en cuanto al número total, se fija expresamente en el ET. La limitación del número total de fiestas, que, a su vez, podrá variar en función de diversas circunstancias, dado que el límite se refiere al máximo, ha de afectar necesariamente no sólo al número de fiestas nacionales, sino también al de fiestas comunitarias.</w:t>
      </w:r>
    </w:p>
    <w:p w:rsidR="001C705E" w:rsidRDefault="001C705E" w:rsidP="001C705E">
      <w:pPr>
        <w:pStyle w:val="TextoNormal"/>
      </w:pPr>
      <w:r>
        <w:t>B) Por lo que se refiere al Real Decreto 2820/1981, impugnado por el Gobierno vaso, si bien establece los días inhábiles para 1982 y 1983, excluidas las fiestas locales, no puede decirse, sin embargo, que contenga el calendario laboral de dichos años para todo el territorio nacional. En realidad, sólo resulta de aplicación para aquellas Comunidades Autónomas y Entes Preautonómicos que no hagan uso de la facultad que les otorga el Real De</w:t>
      </w:r>
      <w:r>
        <w:lastRenderedPageBreak/>
        <w:t>creto 2819/1981 y que se reproduce en el art. 2 del Decreto en cuestión. En este sentido no invade las competencias autonómicas del País Vasco.</w:t>
      </w:r>
    </w:p>
    <w:p w:rsidR="001C705E" w:rsidRDefault="001C705E" w:rsidP="001C705E">
      <w:pPr>
        <w:pStyle w:val="TextoNormal"/>
      </w:pPr>
      <w:r>
        <w:t>C) Es obvio que, de acuerdo con las consideraciones hechas en los fundamentos jurídicos anteriores, el Real Decreto 3217/1981, impugnado por la Generalidad de Cataluña -que confiere carácter permanente a la consideración del 12 de octubre como fiesta laboral de ámbito nacional y establece normas para su celebración- no invade la competencia autonómica en materia laboral.</w:t>
      </w:r>
    </w:p>
    <w:p w:rsidR="001C705E" w:rsidRDefault="001C705E" w:rsidP="001C705E">
      <w:pPr>
        <w:pStyle w:val="TextoNormal"/>
      </w:pPr>
    </w:p>
    <w:p w:rsidR="001C705E" w:rsidRDefault="001C705E" w:rsidP="001C705E">
      <w:pPr>
        <w:pStyle w:val="TextoNormal"/>
      </w:pPr>
      <w:r w:rsidRPr="001C705E">
        <w:rPr>
          <w:rStyle w:val="NumeroAFNegritaCaracter"/>
        </w:rPr>
        <w:t>9</w:t>
      </w:r>
      <w:r>
        <w:t>. Finalmente, si bien en algún caso, como ha señalado este Tribunal, el rango de la norma puede resultar relevante en el planteamiento de un conflicto de competencia, en el caso que nos ocupa resulta improcedente todo pronunciamiento en este sentido, pues el hecho de que la competencia cuestionada se ejercite por uno u otro órgano concreto del Estado no afecta a la delimitación de competencias, ya que es de competencia estatal la legislación laboral, que comprende tanto las leyes como las disposiciones reglamentarias que se dicten en su desarrollo, y la competencia autonómica es una competencia de ejecución de dicha legislación.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Declarar que el Real Decreto 2819/1981, de 27 de noviembre, no invade las competencias que en materia laboral atribuyen a las Comunidades Autónomas catalana y vasca sus respectivos Estatutos.</w:t>
      </w:r>
    </w:p>
    <w:p w:rsidR="001C705E" w:rsidRDefault="001C705E" w:rsidP="001C705E">
      <w:pPr>
        <w:pStyle w:val="TextoNormal"/>
      </w:pPr>
      <w:r>
        <w:t>2. Declarar que el Real Decreto 2820/1981, de 27 de noviembre, no invade la competencia autonómica del País Vasco en materia laboral, en los términos expresados en el fundamento 8. B).</w:t>
      </w:r>
    </w:p>
    <w:p w:rsidR="001C705E" w:rsidRDefault="001C705E" w:rsidP="001C705E">
      <w:pPr>
        <w:pStyle w:val="TextoNormal"/>
      </w:pPr>
      <w:r>
        <w:t>3. Declarar que el Real Decreto 3217/1981, de 27 de noviembre, no invade la competencia de la Comunidad Autónoma catalana en materia laboral.</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veinticinco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1" w:name="SENTENCIA_1985_8"/>
      <w:r>
        <w:lastRenderedPageBreak/>
        <w:t>SENTENCIA 8/1985, de 25 de enero de 1985</w:t>
      </w:r>
    </w:p>
    <w:bookmarkEnd w:id="11"/>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ECLI:ES:TC:1985:8</w:t>
      </w:r>
    </w:p>
    <w:p w:rsidR="001C705E" w:rsidRDefault="001C705E" w:rsidP="001C705E">
      <w:pPr>
        <w:pStyle w:val="SntesisDescriptiva"/>
      </w:pPr>
    </w:p>
    <w:p w:rsidR="001C705E" w:rsidRDefault="001C705E" w:rsidP="001C705E">
      <w:pPr>
        <w:pStyle w:val="SntesisDescriptiva"/>
      </w:pPr>
      <w:r>
        <w:t>Recurso de amparo 507/1983. Contra Sentencia de la Sala de lo Contencioso-Administrativo de la Audiencia Territorial de Burgos que anuló la toma de posesión como Concejales de los recurrentes, así como la elección de Alcalde de Aranda de Duero, enque ellos participaron.</w:t>
      </w:r>
    </w:p>
    <w:p w:rsidR="001C705E" w:rsidRDefault="001C705E" w:rsidP="001C705E">
      <w:pPr>
        <w:pStyle w:val="SntesisDescriptiva"/>
      </w:pPr>
    </w:p>
    <w:p w:rsidR="001C705E" w:rsidRDefault="001C705E" w:rsidP="001C705E">
      <w:pPr>
        <w:pStyle w:val="SntesisAnaltica"/>
      </w:pPr>
      <w:r>
        <w:t>Incidencia del juramento o promesa para la adquisición de la condición de Concejal</w:t>
      </w:r>
    </w:p>
    <w:p w:rsidR="001C705E" w:rsidRDefault="001C705E" w:rsidP="001C705E">
      <w:pPr>
        <w:pStyle w:val="SntesisAnaltica"/>
      </w:pPr>
    </w:p>
    <w:p w:rsidR="001C705E" w:rsidRDefault="001C705E" w:rsidP="001C705E">
      <w:pPr>
        <w:pStyle w:val="Extracto"/>
      </w:pPr>
      <w:r>
        <w:t>1.</w:t>
      </w:r>
      <w:r>
        <w:tab/>
        <w:t xml:space="preserve">La cuestión central de este recurso es la de saber si el juramento o promesa constitucional es condición de la eficacia de la elección para Concejal, constituyendo presupuesto de validez de la toma de posesión de dicho cargo; en otros términos, si su exigencia, según una u otra fórmula, es constitucional. </w:t>
      </w:r>
    </w:p>
    <w:p w:rsidR="001C705E" w:rsidRDefault="001C705E" w:rsidP="001C705E">
      <w:pPr>
        <w:pStyle w:val="Extracto"/>
      </w:pPr>
    </w:p>
    <w:p w:rsidR="001C705E" w:rsidRDefault="001C705E" w:rsidP="001C705E">
      <w:pPr>
        <w:pStyle w:val="Extracto"/>
      </w:pPr>
      <w:r>
        <w:t>2.</w:t>
      </w:r>
      <w:r>
        <w:tab/>
        <w:t xml:space="preserve">No cabe duda que tal exigencia de un juramento o promesa, y la fórmula para realizarlo, en la medida en que constituyen una condición de la plena adquisición del cargo de Concejal y de su ejercicio, y que por tanto la norma que le impone regula el ejercicio del derecho que a todos los ciudadanos corresponde a participar en los asuntos públicos directamente o por medio de representantes libremente elegidos (art. 23.1 de la C.E.), es inseparable en este caso del derecho que a los mismos recurrentes otorga el apartado segundo del mismo artículo a acceder a los cargos y funciones públicos en condiciones de igualdad, con los requisitos que señalen las leyes. </w:t>
      </w:r>
    </w:p>
    <w:p w:rsidR="001C705E" w:rsidRDefault="001C705E" w:rsidP="001C705E">
      <w:pPr>
        <w:pStyle w:val="Extracto"/>
      </w:pPr>
    </w:p>
    <w:p w:rsidR="001C705E" w:rsidRDefault="001C705E" w:rsidP="001C705E">
      <w:pPr>
        <w:pStyle w:val="Extracto"/>
      </w:pPr>
      <w:r>
        <w:t>3.</w:t>
      </w:r>
      <w:r>
        <w:tab/>
        <w:t xml:space="preserve">La posibilidad de establecer condiciones o límites para el ejercicio de los derechos reconocidos por el art. 23 de la C.E. no queda ciertamente excluida por el mandato constitucional. Ni la elección de representantes ni la asunción o ejercicio de su función por éstos pueden llevarse a cabo sin normas que disciplinen el ejercicio de los derechos constitucionalmente garantizados; mientras que, de otra parte, el reconocimiento del derecho de los ciudadanos a acceder en condiciones de igualdad a las funciones y cargos públicos se produce en efecto de modo expreso «con los requisitos que señalen las leyes». </w:t>
      </w:r>
    </w:p>
    <w:p w:rsidR="001C705E" w:rsidRDefault="001C705E" w:rsidP="001C705E">
      <w:pPr>
        <w:pStyle w:val="Extracto"/>
      </w:pPr>
    </w:p>
    <w:p w:rsidR="001C705E" w:rsidRDefault="001C705E" w:rsidP="001C705E">
      <w:pPr>
        <w:pStyle w:val="Extracto"/>
      </w:pPr>
      <w:r>
        <w:t>4.</w:t>
      </w:r>
      <w:r>
        <w:tab/>
        <w:t>La constitución de las Corporaciones Locales se encuentra hoy regulada por el art. 28 de la Ley 39/1978, de 17 de julio, de Elecciones Locales, disposición en la que nada se establece sobre el juramento o promesa de los Concejales electos, el cual tiene, por tanto, su único posible fundamento normativo, limitado a la fórmula del mismo, en una disposición de carácter reglamentario como es el Real Decreto 707/1979, de 5 de abril. La obligatoriedad del juramento que impuso el art. 84.3 del Reglamento de Organización y Funcionamiento de las Corporaciones Locales, con remisión a la fórmula del art. 10 del mismo Reglamento, bajo otro régimen bien distinto del actual de elección de los Concejales y de constitución de la Corporación, no puede entenderse vigente, por lo que se plantea en es</w:t>
      </w:r>
      <w:r>
        <w:lastRenderedPageBreak/>
        <w:t xml:space="preserve">te caso el valor de las normas preconstitucionales carentes de rango. Es el Real Decreto la última norma que concreta la fórmula del juramento o promesa para los actos de toma de posesión de cargos o funciones públicas. Dejando a un lado la valoración de la fórmula desde otros mandatos constitucionales, se desprende del ya referido art. 23.2 que dicha concreción únicamente podría surtir efectos en relación con supuestos para los que el juramento o promesa viniera requerido por una norma de rango legal.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promovido por don Juan Francisco Bonilla Encina y don Máximo Pastor Alonso, representados por el Procurador de los Tribunales don Juan Corujo y López-Villamil y bajo la dirección del Letrado don Luis Suárez Migoyo, respecto de la Sentencia dictada por la Sala de lo Contencioso-Administrativo de la Audiencia Territorial de Burgos, en 28 de junio de 1983, en recurso contencioso-electoral relativo a la proclamación de Alcaldesa electa de Aranda de Duero y en el que han comparecido el Procurador de los Tribunales don Argimiro Vázquez Guillén, en representación de Alianza Popular, y el Procurador don José Luis Granizo y García Cuenca, en representación del Partido Socialista Obrero Español, así como el Ministerio Fiscal, siendo Ponente el Magistrado don Antonio Truyol Serra,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Por escrito registrado en este Tribunal el 20 de julio de 1983, el Procurador don Juan Corujo López-Villamil, en nombre y representación de don Juan Francisco Bonilla Encina y de don Máximo Pastor Alonso, presentó demanda de amparo frente a la Sentencia dictada el 28 de junio de 1983, por la Sala de lo Contencioso-Administrativo de la Audiencia Territorial de Burgos, en el recurso contencioso-electoral núm. 256/1983, interpuesto por don José María Olmedo González, en su calidad de representante de Alianza Popular (AP), en coalición electoral con el Partido Demócrata Popular (PDP) y Unión Liberal (UL), contra el acuerdo de la Mesa de Edad del Ayuntamiento de Aranda de Duero (Burgos), de fecha 23 de mayo del referido año, por el que se proclamaba Alcaldesa electa de dicho Ayuntamiento a doña Leonisa Ull Laita; recurso en el que, además de don Juan José Laborda Martín, representante del Partido Socialista Obrero Español (PSOE) y del Ministerio Fiscal, intervino el hoy demandante de amparo don Juan Francisco Bonilla Encina en </w:t>
      </w:r>
      <w:r>
        <w:lastRenderedPageBreak/>
        <w:t xml:space="preserve">su calidad de Presidente de dicha Mesa de Edad y representante del Partido Comunista de España (PCE). La demanda se basa en los siguientes hechos: </w:t>
      </w:r>
    </w:p>
    <w:p w:rsidR="001C705E" w:rsidRDefault="001C705E" w:rsidP="001C705E">
      <w:pPr>
        <w:pStyle w:val="TextoNormal"/>
      </w:pPr>
      <w:r>
        <w:t xml:space="preserve">a) Tras las elecciones locales celebradas el 8 de mayo de 1983, el siguiente día 23 tuvo lugar la sesión constitutiva del Ayuntamiento de Aranda de Duero, en la que los Concejales electos tomaron posesión de sus cargos, mediante la prestación de juramento o promesa según la fórmula establecida por el Real Decreto 707/1979, de 5 de abril (cuyo art. 1 exige que se conteste a la pregunta: ¿Juráis o prometéis por vuestra conciencia y honor cumplir fielmente las obligaciones del cargo..., con lealtad al Rey, y guardar y hacer guardar la Constitución, como norma fundamental del Estado?), salvo los hoy demandantes de amparo, don Juan Francisco Bonilla Encina y don Máximo Pastor Alonso, candidatos presentados en la lista del Partido Comunista de España, el primero de los cuales prometió «ante el pueblo soberano cumplir fielmente con las obligaciones del cargo de Concejal», y el segundo prometió, asimismo, «ante el pueblo cumplir con las obligaciones de Concejal». Acto seguido se procedió a la elección del cargo de Alcalde, en la que participaron 16 de los 21 Concejales de la Corporación, por ausentarse los cinco Concejales electos por la lista del Partido Centro Democrático y Social (CDS), siendo elegida para dicho cargo la Concejala del PSOE doña Leonisa Ull Laita, quien obtuvo la mayoría absoluta -nueve- de los 16 votos emitidos. </w:t>
      </w:r>
    </w:p>
    <w:p w:rsidR="001C705E" w:rsidRDefault="001C705E" w:rsidP="001C705E">
      <w:pPr>
        <w:pStyle w:val="TextoNormal"/>
      </w:pPr>
      <w:r>
        <w:t xml:space="preserve">b) Contra la proclamación de Alcaldesa interpuso recurso contencioso-electoral don José María Olmedo González, representante de la candidatura presentada en esas elecciones por Alianza Popular, en coalición con el Partido Demócrata Popular y la Unión Liberal, aduciendo la infracción del art. 28 de la Ley 39/1978, de 17 de julio, sobre elecciones de Corporaciones Locales, ya que, a su juicio, la mayoría absoluta a que se refiere dicho precepto debiera establecerse sobre la totalidad de los Concejales componentes de la Corporación, y no solamente de los votos emitidos. </w:t>
      </w:r>
    </w:p>
    <w:p w:rsidR="001C705E" w:rsidRDefault="001C705E" w:rsidP="001C705E">
      <w:pPr>
        <w:pStyle w:val="TextoNormal"/>
      </w:pPr>
      <w:r>
        <w:t xml:space="preserve">c) Con fecha 28 de junio de 1983, la Sala de lo Contencioso-Administrativo de la Audiencia Territorial de Burgos dictó Sentencia en el referido recurso contencioso-electoral, por la que lo estimó en parte, pues, aunque declaró que «la mayoría absoluta necesaria para la elección de Alcalde se integra por más de la mitad de los votos emitidos, cualquiera que sea el número legal de los componentes de la Corporación», anuló la toma de posesión de los dos Concejales hoy recurrentes «por ser defectuosa la pronesa prestada», así como la elección como Alcaldesa de doña Leonisa Ull Laita, declarando que debía procederse a requerir a los mencionados Concejales para que prestasen el juramento o la promesa en forma legal, actuando en consecuencia respecto a su toma de posesión y pasando seguidamente a la elección de Alcalde. </w:t>
      </w:r>
    </w:p>
    <w:p w:rsidR="001C705E" w:rsidRDefault="001C705E" w:rsidP="001C705E">
      <w:pPr>
        <w:pStyle w:val="TextoNormal"/>
      </w:pPr>
      <w:r>
        <w:t>d) El siguiente 5 de julio, de acuerdo con lo ordenado por la Sentencia, el Ayuntamiento de Aranda de Duero procedió, en sesión convocada al efecto, a requerir a los hoy demandantes para que prestaran juramento o promesa conforme a lo establecido en el referido Real Decreto 707/1979, lo que ambos hicieron, manifestando, no obstante, su discrepancia con la resolución judicial y su intención de acudir en vía de amparo ante el Tribunal Constitucional. Seguidamente, los 21 Concejales integrantes de la Corporación procedieron a la elección de Alcalde sin que ninguno de los candidatos alcanzara la mayoría absoluta, por lo que, conforme a lo establecido en el art. 28.3 de la Ley 39/1978, resultó proclamado Alcalde el Concejal don Rafael de las Heras Niño, a quien la coalición Alianza Popular, Partido Demócrata Popular y Unión Liberal había colocado el primero de su lista, la cual había obtenido el mayor número de votos en el Municipio.</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2</w:t>
      </w:r>
      <w:r>
        <w:t xml:space="preserve">. Los fundamentos jurídicos, ampliamente expuestos, aducidos por los recurrentes, pueden resumirse como sigue: </w:t>
      </w:r>
    </w:p>
    <w:p w:rsidR="001C705E" w:rsidRDefault="001C705E" w:rsidP="001C705E">
      <w:pPr>
        <w:pStyle w:val="TextoNormal"/>
      </w:pPr>
      <w:r>
        <w:t xml:space="preserve">a) La presente demanda de amparo se dirige frente a la referida Sentencia de la Sala de lo Contencioso-Administrativo de la Audiencia Territorial de Burgos, y se fundamenta en la presunta violación del derecho a la igualdad reconocido por el art. 14 de la Constitución Española, así como de los derechos a la libertad de pensamiento, a la libertad de expresión y a la participación en los asuntos públicos, reconocidos, respectivamente, por los arts. 16.1 y 2, 20.1 a) y 23 de la misma norma fundamental. </w:t>
      </w:r>
    </w:p>
    <w:p w:rsidR="001C705E" w:rsidRDefault="001C705E" w:rsidP="001C705E">
      <w:pPr>
        <w:pStyle w:val="TextoNormal"/>
      </w:pPr>
      <w:r>
        <w:t xml:space="preserve">b) Se aduce en primer lugar la violación del derecho a la igualdad, del que se afirma que no es uno más entre los derechos y libertades que se proclaman, sino uno de los presupuestos necesarios para la efectividad de aquéllos, basándolo no sólo en la Constitución, sino también en «Los Pactos de Nueva York» sobre derechos civiles y políticos y el Pacto Internacional de derechos económicos, sociales y culturales de 1966», ratificados, ambos, por España (con cita de los art. 3, 14 y 26 del primero). La infracción de este derecho puede representar, por la discriminación que implica, la vulneración de otros preceptos fundamentales, como son aquí los arts. 16, 20 y 24. </w:t>
      </w:r>
    </w:p>
    <w:p w:rsidR="001C705E" w:rsidRDefault="001C705E" w:rsidP="001C705E">
      <w:pPr>
        <w:pStyle w:val="TextoNormal"/>
      </w:pPr>
      <w:r>
        <w:t xml:space="preserve">Refiriéndose a la Sentencia impugnada de la Audiencia de Burgos, según la cual la fórmula de juramento del Real Decreto 707/1979, de 5 de abril, persigue la doble finalidad de vincular en conciencia al que jura o promete y de ser un elemento reforzador de la confianza del pueblo hacia sus dirigentes por el hecho de que éstos manifiesten en público su acatamiento a la Constitución, critican tal interpretación, afirmando que dicha fórmula ni es obligatoria ni, mucho menos, imperativa. De un lado, para el que promete o jura no añade ningún tipo de responsabilidad que no quede ya previamente fijada en la Ley, ni se le compara con el que no promete ni jura. Por otra parte, estas dos finalidades se pueden alcanzar o incluso mejorar utilizando fórmulas diferentes o sin utilizar ninguna: las que los recurrentes emplearon, prometiendo ante el pueblo soberano cumplir con sus obligaciones de Concejales, es una fórmula omnicomprensiva que sitúa al pueblo español en el lugar que le corresponde como sujeto de la soberanía nacional, y por ende, generador de todos los poderes del Estado, resultando más constitucional que la del Real Decreto de 1979. La interpretación de los arts. 1 y 9 de la C.E. lleva a la conclusión de que ésta no puede alzarse como norma imperativa de orden público, y, si tal ocurriese, no dudan los recurrentes en afirmar que se convertiría en norma inconstitucional, pues podría alterar los principios constitucionales «que no admiten réplica» de que la soberanía de la Nación pertenece al pueblo, del que emanan todos los poderes del Estado, que el pueblo, en virtud de la soberanía, se da su Constitución, dentro del cual él mismo ha engendrado los distintos poderes, y que todos estos poderes están sometidos a la Constitución, por tanto al pueblo soberano. </w:t>
      </w:r>
    </w:p>
    <w:p w:rsidR="001C705E" w:rsidRDefault="001C705E" w:rsidP="001C705E">
      <w:pPr>
        <w:pStyle w:val="TextoNormal"/>
      </w:pPr>
      <w:r>
        <w:t>Tras estas consideraciones, en cierto modo previas con respecto a la denunciada infracción del art. 14 de la C.E., entienden los recurrentes que el efecto anulatorio dado por la Sentencia impugnada a su «promesa viciosa» a los efectos de su accesión al cargo implica una discriminación en un doble aspecto: De un lado, con respecto a lo ocurrido a raíz de anteriores tomas de posesión de Concejales en Aranda de Duero (vigente ya el Real Decreto de 1979), dándose el caso de que en 1979 hubo Concejales que ni juraron ni prometieron, figurando entre éstos el ahora recurrente en amparo, don Máximo Pastor Alonso, y que en 1980 el otro ahora recurrente don Juan Francisco Bonilla Encina, al sustituir a otro Concejal de su lista dimitido, empleó la misma fórmula que utilizaría en 1983; y de otro, con respecto a la situación imperante en el País Vasco, donde «en el 90 por 100 de los Ayuntamientos de esa Comunidad Autónoma ni han jurado ni han prometido, y, lo que es más curioso, ni siquiera se han planteado el hecho de jurar o prometer». Exigir a dos ciu</w:t>
      </w:r>
      <w:r>
        <w:lastRenderedPageBreak/>
        <w:t xml:space="preserve">dadanos lo que no es exigido a otros muchos y lo que no fue exigido a los mismos en época anterior, cuando regían idénticas disposiciones al respecto, supone una discriminación y la infracción del artículo 14 de la C.E. </w:t>
      </w:r>
    </w:p>
    <w:p w:rsidR="001C705E" w:rsidRDefault="001C705E" w:rsidP="001C705E">
      <w:pPr>
        <w:pStyle w:val="TextoNormal"/>
      </w:pPr>
      <w:r>
        <w:t xml:space="preserve">c) Por lo que se refiere a los otros preceptos constitucionales, los recurrentes vuelven a considerar la Sentencia impugnada de la Audiencia Territorial de Burgos en relación con la fórmula del juramento y su alcance, sentando los recurrentes frente a la misma que, a tenor de la Ley 39/1978, de 17 de julio, sobre elecciones de Corporaciones Locales, y el Real Decreto 1169/1983, de 4 de mayo, el juramento o promesa no es acto de procedimiento de la elección de Alcalde. Tampoco condiciona el juramento o promesa la eficacia de la elección ni constituye presupuesto de validez de la toma de posesión, y afirmar lo contrario implica la transgresión del art. 23.1 de la C.E., relativo al derecho de todos los ciudadanos a participar en los asuntos públicos, en este caso a través de elecciones por sufragio universal, siendo en consecuencia los Concejales investidos en tal condición por el hecho de la elección. </w:t>
      </w:r>
    </w:p>
    <w:p w:rsidR="001C705E" w:rsidRDefault="001C705E" w:rsidP="001C705E">
      <w:pPr>
        <w:pStyle w:val="TextoNormal"/>
      </w:pPr>
      <w:r>
        <w:t xml:space="preserve">En cuanto al requerimiento hecho a los hoy recurrentes en amparo para que, en la toma de posesión del cargo de Concejal, presten el juramento o promesa «en forma legal», acarrea según los demandantes la vulneración de los arts. 16 y 20 de la C.E. del artículo 16, porque los juramentos que, como en este caso, no añaden ningún otro tipo de responsabilidad distinto de los prejuicios de conciencia, no pueden exigirse imperativamente a menos que se viole el ámbito íntimo de la libertad de conciencia y de pensamiento; del art. 20, porque al obligarse a los hoy recurrentes a manifestar en público una fórmula juramental determinada y no otra diferente, se ha vulnerado también la libertad de expresión. </w:t>
      </w:r>
    </w:p>
    <w:p w:rsidR="001C705E" w:rsidRDefault="001C705E" w:rsidP="001C705E">
      <w:pPr>
        <w:pStyle w:val="TextoNormal"/>
      </w:pPr>
      <w:r>
        <w:t>d) Los recurrentes solicitan de este Tribunal que declare la nulidad de la Sentencia dictada el 28 de junio de 1983 por la Sala de lo Contencioso-Administrativo de la Audiencia Territorial de Burgos, respecto a lo que es estimación en parte del mencionado recurso contencioso-electoral, y que extienda los efectos del tal declaración de nulidad a todas las actuaciones llevadas a cabo para el cumplimiento de dicha resolución judicial y, en particular, a las habidas en la sesión celebrada el 5 de julio de 1983, por el Ayuntamiento de Aranda de Duero. Se pide, asimismo, que se reconozca el derecho de los recurrentes a emplear la fórmula de promesa que uno y otro expresaron con motivo del acto de posesión de sus respectivos cargos de Concejal en la sesión celebrada por dicho Ayuntamiento el 25 de mayo del mismo año; y finalmente, que se les restablezca en la integridad de su derecho, para lo cual se entenderá válida la intervención de ambos, dentro de la expresada sesión, en el acto de toma de posesión de sus cargos de Concejal de ese Ayuntamiento y en la elección de la Alcaldesa doña Leonisa Ull Laita.</w:t>
      </w:r>
    </w:p>
    <w:p w:rsidR="001C705E" w:rsidRDefault="001C705E" w:rsidP="001C705E">
      <w:pPr>
        <w:pStyle w:val="TextoNormal"/>
      </w:pPr>
    </w:p>
    <w:p w:rsidR="001C705E" w:rsidRDefault="001C705E" w:rsidP="001C705E">
      <w:pPr>
        <w:pStyle w:val="TextoNormal"/>
      </w:pPr>
      <w:r w:rsidRPr="001C705E">
        <w:rPr>
          <w:rStyle w:val="NumeroAFNegritaCaracter"/>
        </w:rPr>
        <w:t>3</w:t>
      </w:r>
      <w:r>
        <w:t>. Por providencia de 19 de octubre de 1983, la Sección acordó poner de manifiesto a los solicitantes de amparo y al Ministerio Fiscal la posible existencia de la causa de inadmisibilidad que regula el art. 50.2 b) de la Ley Orgánica de este Tribunal (LOTC), por cuanto la referida demanda pudiera carecer manifiestamente de contenido que justifique una decisión por parte del Tribunal Constitucional, concediéndoles un plazo común de diez días para alegaciones (art. 50 de la LOTC).</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a) Según el Fiscal ante el Tribunal Constitucional, que despachó el trámite en escrito de 2 de noviembre de 1983, hay que entender que se pide la nulidad de la Sentencia solamente respecto del juramento o promesa a prestar por los recurrentes y no de la elección de Alcaldesa, con relación a la cual no se contiene ningún razonamiento en la demanda ni hay invocación de derecho fundamental lesionado. </w:t>
      </w:r>
    </w:p>
    <w:p w:rsidR="001C705E" w:rsidRDefault="001C705E" w:rsidP="001C705E">
      <w:pPr>
        <w:pStyle w:val="TextoNormal"/>
      </w:pPr>
      <w:r>
        <w:lastRenderedPageBreak/>
        <w:t xml:space="preserve">b) Así centrado el objeto, la declaración que se pide de que la promesa que los recurrentes prestaron en la sesión de constitución de la Corporación fue ajustada a derecho es un simple pronunciamiento declarativo y en el recurso de amparo constitucional «no pueden hacerse valer otras pretensiones que las dirigidas a restablecer o preservar los derechos o libertades por razón de los cuales se formuló el recurso» (art. 41.3 de la LOTC). Los recurrentes ya acataron la Sentencia y carece de sentido pedir un pronunciamiento que no tendría más que un alcance futuro y que no parece que pudiera afectar a lo ya hecho. Tampoco tendría sentido la anulación de actuaciones. </w:t>
      </w:r>
    </w:p>
    <w:p w:rsidR="001C705E" w:rsidRDefault="001C705E" w:rsidP="001C705E">
      <w:pPr>
        <w:pStyle w:val="TextoNormal"/>
      </w:pPr>
      <w:r>
        <w:t xml:space="preserve">c) Ahora bien, si se admitiera que la posibilidad de que la pretensión de los demandantes relativa a la nulidad de su toma de posesión tiene efectos para el pasado y puede en consecuencia restablecerse su derecho vulnerado, cabe considerar los derechos que se reputan violados, en lo que atañe al derecho a la igualdad del artículo 14 de la C.E., el ejemplo dado de los Ayuntamientos vascos no es válido si la exigencia de juramento o promesa está en la Ley, y no se sabe si los recurrentes impugnan en realidad el hecho mismo de esa exigencia o el que se les imponga con una fórmula, la del Real Decreto de 1979, que ellos no acataron en la primera sesión. Tampoco entraña la fórmula establecida en dicho Real Decreto una declaración pública de ideología (art. 16.2 de la C.E.), sino un compromiso formal del buen cumplimiento del cargo y de acatamiento a las Instituciones básicas del Estado. Finalmente, la libertad de expresión (art. 20.1 también de la C.E.) no puede extenderse a la prestación del juramento o promesa, que ha de prestarse según la fórmula preordenada, sin que se vea la relación existente con el derecho constitucional de difundir libremente las opiniones. </w:t>
      </w:r>
    </w:p>
    <w:p w:rsidR="001C705E" w:rsidRDefault="001C705E" w:rsidP="001C705E">
      <w:pPr>
        <w:pStyle w:val="TextoNormal"/>
      </w:pPr>
      <w:r>
        <w:t>Como conclusión de sus consideraciones, entiende el Ministerio Fiscal que se da el motivo de inadmisibilidad del art. 50.2 b).</w:t>
      </w:r>
    </w:p>
    <w:p w:rsidR="001C705E" w:rsidRDefault="001C705E" w:rsidP="001C705E">
      <w:pPr>
        <w:pStyle w:val="TextoNormal"/>
      </w:pPr>
    </w:p>
    <w:p w:rsidR="001C705E" w:rsidRDefault="001C705E" w:rsidP="001C705E">
      <w:pPr>
        <w:pStyle w:val="TextoNormal"/>
      </w:pPr>
      <w:r w:rsidRPr="001C705E">
        <w:rPr>
          <w:rStyle w:val="NumeroAFNegritaCaracter"/>
        </w:rPr>
        <w:t>5</w:t>
      </w:r>
      <w:r>
        <w:t>. Los recurrentes, por su parte, en escrito fechado el 5 de noviembre de 1983, reiteraron cuanto habían ampliamente desarrollado en su demanda; y poniendo en relación el invocado art. 23 de la C.E. con el 140 y la referencia de éste a «la forma establecida por la Ley», hacen hincapié en que ni la Ley 39/1978, de 17 de julio, de Elecciones Locales, hoy vigente, ni las otras disposiciones que rigen en la materia establecen la formulación de juramento o promesa como requerimiento de la elección de Concejales, contrariamente a lo que sienta la Sentencia impugnada, cuya inconstitucionalidad se reafirma; por todo lo cual se ratifican en que la demanda sea admitida en sus propios términos.</w:t>
      </w:r>
    </w:p>
    <w:p w:rsidR="001C705E" w:rsidRDefault="001C705E" w:rsidP="001C705E">
      <w:pPr>
        <w:pStyle w:val="TextoNormal"/>
      </w:pPr>
    </w:p>
    <w:p w:rsidR="001C705E" w:rsidRDefault="001C705E" w:rsidP="001C705E">
      <w:pPr>
        <w:pStyle w:val="TextoNormal"/>
      </w:pPr>
      <w:r w:rsidRPr="001C705E">
        <w:rPr>
          <w:rStyle w:val="NumeroAFNegritaCaracter"/>
        </w:rPr>
        <w:t>6</w:t>
      </w:r>
      <w:r>
        <w:t>. La Sección, por providencia de 30 de noviembre siguiente, acordó admitir a trámite la demanda de amparo y recabar las actuaciones de la Sala de lo Contencioso-Administrativo de la Audiencia Territorial de Burgos, con emplazamiento de quienes hubieran sido parte en las mismas. Recibidas dichas actuaciones y personados el Partido Socialista Obrero Español (PSOE) y don José María Olmedo González en representación de la Coalición Alianza Popular con PDP y UL, por providencia de 25 de enero de 1984 se acordó acusar recibo de aquéllas y tener a los comparecidos por personados y parte, y de conformidad con el art. 52 de la LOTC dar vista de las actuaciones por plazo común de veinte días al Ministerio Fiscal y a las partes para que presentasen sus alegaciones.</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a) El Fiscal ante el Tribunal Constitucional, que despachó el trámite en escrito de 2 de febrero de 1984, tras reiterar su posición acerca del alcance de la petición, reducida a la toma de posesión de los recurrentes, hace referencia a que después de la incoación del </w:t>
      </w:r>
      <w:r>
        <w:lastRenderedPageBreak/>
        <w:t xml:space="preserve">presente proceso se han producido dos Sentencias de la Sala Primera de este Tribunal, las numeradas 101 y 122 de 1983, de fechas respectivas de 18 de noviembre y 16 de diciembre, que establecen una doctrina plenamente aplicable al presente caso. La idea básica de ambas es a su juicio que el art. 9.1 de la C.E. establece una sujeción a la Constitución y al resto del ordenamiento jurídico que ha de manifestarse de modo más acusado en las personas que integran los llamados poderes públicos, de lo que es consecuencia el que de modo solemne manifiesten ese acatamiento que puede adoptar la forma de promesa o juramento y que no añaden ningún requisito a la elección ya efectuada, con lo que no puede hablarse de que la promesa o juramento lesionen el derecho al acceso a los cargos públicos del art. 23.2 ni el de libertad ideológica del art. 16.1; sin que pueda variar un ápice esta conclusión el que aquí aleguen la infracción del art. 23.1 («nada ni nadie se puede interponer entre el sufragio emitido por el pueblo y la condición del elegido como cargo electo», hoja 36 de la demanda). Se reafirma el Ministerio Fiscal en su posición negativa acerca de la supuesta violación de los derechos de igualdad ante la Ley y el de libertad de expresión. </w:t>
      </w:r>
    </w:p>
    <w:p w:rsidR="001C705E" w:rsidRDefault="001C705E" w:rsidP="001C705E">
      <w:pPr>
        <w:pStyle w:val="TextoNormal"/>
      </w:pPr>
      <w:r>
        <w:t xml:space="preserve">b) Analizando los supuestos de los casos resueltos por las referidas Sentencias y el presente, señala que no importa que aquí se trate de Concejales en tanto que allí eran miembros del Congreso de los Diputados en un caso y de un Parlamento autonómico en el otro, en todo caso son integrantes de los poderes públicos con las mismas obligaciones básicas respecto a las Instituciones del Estado. No coincide ciertamente la fórmula utilizada en la toma de posesión de los parlamentarios con la ya transcrita del Real Decreto de 1979, pero no cree el Ministerio Fiscal que la distinta fórmula de éste añade ningún elemento que varíe la doctrina ya expuesta. </w:t>
      </w:r>
    </w:p>
    <w:p w:rsidR="001C705E" w:rsidRDefault="001C705E" w:rsidP="001C705E">
      <w:pPr>
        <w:pStyle w:val="TextoNormal"/>
      </w:pPr>
      <w:r>
        <w:t xml:space="preserve">c) Tampoco pueden extraerse consecuencias distintas del hecho de que aquí prometieron los interesados aunque de modo diferente al exigido, en tanto que en los otros supuestos los interesados se negaron precisamente a prestar promesa. Lo fundamental es que no prestaron acatamiento a la Constitución y esto debe bastar; ello prescindiendo de que el Real Decreto que exige la promesa o juramento previos a los que desempeñan funciones públicas de elección cae bajo el imperativo del art. 9.1 de la C.E. Añade que no es mínimamente aceptable el argumento de que cada cual puede elegir la fórmula de juramento o promesa y la soberanía del pueblo se manifiesta sólo a través de la Constitución, y es a ésta y no a ninguna otra forma a la que hay que prestar acatamiento. </w:t>
      </w:r>
    </w:p>
    <w:p w:rsidR="001C705E" w:rsidRDefault="001C705E" w:rsidP="001C705E">
      <w:pPr>
        <w:pStyle w:val="TextoNormal"/>
      </w:pPr>
      <w:r>
        <w:t>Por todo ello, insiste el Ministerio Fiscal solicitando la desestimación del amparo.</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Los recurrentes, en su escrito de 21 de febrero, se han ratificado en todas sus anteriores alegaciones. También ellos traen a colación la Sentencia de la Sala Primera de este Tribunal de 18 de noviembre de 1983, de la que sin embargo extraen consecuencias favorables a su tesis. </w:t>
      </w:r>
    </w:p>
    <w:p w:rsidR="001C705E" w:rsidRDefault="001C705E" w:rsidP="001C705E">
      <w:pPr>
        <w:pStyle w:val="TextoNormal"/>
      </w:pPr>
      <w:r>
        <w:t xml:space="preserve">a) Insistiendo en la vulneración del derecho a la igualdad, afirman que el Real Decreto de 5 de abril de 1979 se intenta aplicar como si fuese imperativo a unos Concejales; como si fuese obligatorio para otros pero admitiendo que su infracción no supone más que una nulidad relativa, o como si se tratase de una norma dispositiva de cumplimiento voluntario, para los demás. Ha habido desigualdad de trato con respecto a los recurrentes, al entenderse que el acto de la promesa era «condición de eficacia de la elección como concejal y presupuesto de la toma de posesión»; no habiendo sido así en las anteriores tomas de posesión ocurridas en Aranda de Duero y en muchos municipios del País Vasco, sin que los Gobernadores civiles, al recibir las respectivas actas, hayan tomado iniciativa alguna al respecto, mereciendo ser destacada la fórmula de los Concejales del grupo Herri Batasuna de Bilbao: «Recogiendo el mandato de nuestros electores, juramos seguir en la lucha sin </w:t>
      </w:r>
      <w:r>
        <w:lastRenderedPageBreak/>
        <w:t xml:space="preserve">dar tregua hasta conseguir nuestro objetivo; es decir, la liberación nacional y social de Euskal-Herria, nuestro pueblo.» </w:t>
      </w:r>
    </w:p>
    <w:p w:rsidR="001C705E" w:rsidRDefault="001C705E" w:rsidP="001C705E">
      <w:pPr>
        <w:pStyle w:val="TextoNormal"/>
      </w:pPr>
      <w:r>
        <w:t xml:space="preserve">b) A juicio de los recurrentes, el Real Decreto de 5 de abril de 1979 es inconstitucional, por cuanto la referencia a la lealtad al Rey implica una posible limitación a la soberanía del pueblo proclamada por el art. 1 de la Constitución, o puede suponer la admisión de un poder paralelo a la Constitución, quedando en tal caso en entredicho el Estado de Derecho que establece su art. 9.1. </w:t>
      </w:r>
    </w:p>
    <w:p w:rsidR="001C705E" w:rsidRDefault="001C705E" w:rsidP="001C705E">
      <w:pPr>
        <w:pStyle w:val="TextoNormal"/>
      </w:pPr>
      <w:r>
        <w:t xml:space="preserve">c) Se señala una vez más por los recurrentes la violación del principio de libertad ideológica del art. 16 de la C.E., afirmando (fundándose en la citada Sentencia de este Tribunal) que el acatamiento a la Constitución -que no supone una adhesión ideológica ni una conformidad a su total contenido, dado que también se respeta a la Constitución en el supuesto extremo de que se pretenda su modificación por el cauce en ella establecido- constituye un deber inherente al cargo público y es independiente de que se exteriorice en un acto formal. Ahora bien, en el último supuesto pueden valer otras fórmulas que la del Real Decreto de 1979, y si como excepción se implanta una expresión formal de acatamiento, ésta habrá de revestir las formas que las Leyes establezcan, de acuerdo con su jerarquía y de conformidad con la Constitución. También se reiteran los recurrentes en lo dicho antes por ellos sobre la violación del derecho a la libertad de expresión (art. 20 de la C.E.). </w:t>
      </w:r>
    </w:p>
    <w:p w:rsidR="001C705E" w:rsidRDefault="001C705E" w:rsidP="001C705E">
      <w:pPr>
        <w:pStyle w:val="TextoNormal"/>
      </w:pPr>
      <w:r>
        <w:t xml:space="preserve">d) Con referencia a la mencionada Sentencia de este Tribunal, desarrollan los recurrentes sus alegaciones relativas a la transgresión del art. 23.1 y 2, de la C.E. En el supuesto de la Sentencia de la Sala Segunda de este Tribunal, de 18 de noviembre de 1983, el fundamento de la declaración formal (juramento o promesa) de acatamiento de la Constitución era el art. 20.1.3 del Reglamento del Congreso de los Diputados de 24 de febrero de 1982, del que, aunque no tenga forma de Ley, la aludida Sentencia dice que se encuentra directamente incardinado en la Constitución; y dicho artículo es de aplicación igual a todos esos Diputados electos, sin distinción alguna. En cambio, el Real Decreto 707/1979 se extralimita en sus funciones al imponer una fórmula, y luego se autolimita al no establecer sanción alguna al presunto «infractor», y de ahí que no se haya exigido con la misma igualdad que el Reglamento del Congreso. </w:t>
      </w:r>
    </w:p>
    <w:p w:rsidR="001C705E" w:rsidRDefault="001C705E" w:rsidP="001C705E">
      <w:pPr>
        <w:pStyle w:val="TextoNormal"/>
      </w:pPr>
      <w:r>
        <w:t>En vista de todo ello, los recurrentes se reafirman en su petición inicial, solicitando en otrosí que al amparo del art. 89 de la LOTC se tengan por unidos al recurso los documentos acompañados al escrito de demanda relativos a las fotocopias de las actas de constitución de los respectivos Ayuntamientos y se dirijan sendos despachos a los mismos, con objeto de que libren certificación literal de su contenido.</w:t>
      </w:r>
    </w:p>
    <w:p w:rsidR="001C705E" w:rsidRDefault="001C705E" w:rsidP="001C705E">
      <w:pPr>
        <w:pStyle w:val="TextoNormal"/>
      </w:pPr>
    </w:p>
    <w:p w:rsidR="001C705E" w:rsidRDefault="001C705E" w:rsidP="001C705E">
      <w:pPr>
        <w:pStyle w:val="TextoNormal"/>
      </w:pPr>
      <w:r w:rsidRPr="001C705E">
        <w:rPr>
          <w:rStyle w:val="NumeroAFNegritaCaracter"/>
        </w:rPr>
        <w:t>9</w:t>
      </w:r>
      <w:r>
        <w:t xml:space="preserve">. Por escrito de fecha 18 de febrero el Procurador de los Tribunales don José Luis Granizo García-Cuenca presentó alegaciones en representación del Partido Socialista Obrero Español (PSOE) que pueden resumirse como sigue: </w:t>
      </w:r>
    </w:p>
    <w:p w:rsidR="001C705E" w:rsidRDefault="001C705E" w:rsidP="001C705E">
      <w:pPr>
        <w:pStyle w:val="TextoNormal"/>
      </w:pPr>
      <w:r>
        <w:t xml:space="preserve">a) Muestra su conformidad con los antecedentes del recurso expuestos por los recurrentes, dándolos por reproducidos, hace suyas sus alegaciones en cuanto a la existencia de cuestiones susceptibles de producir una resolución de este Tribunal al respecto, y se adhiere al recurso. </w:t>
      </w:r>
    </w:p>
    <w:p w:rsidR="001C705E" w:rsidRDefault="001C705E" w:rsidP="001C705E">
      <w:pPr>
        <w:pStyle w:val="TextoNormal"/>
      </w:pPr>
      <w:r>
        <w:t xml:space="preserve">b) Analiza y enjuicia la Sentencia impugnada desde la misma perspectiva que los recurrentes, deteniéndose críticamente en que se haya hecho del acto de promesa o juramento una condición de eficacia de la elección como Concejal y presupuesto de la validez de la toma de posesión. Ahora bien, ni en la Ley 39/1978, de 17 de julio, de Elecciones Locales (LEL), ni el Real Decreto 1169/1983, de 4 de mayo (referido especialmente a la constitución de los Ayuntamientos salidos de las últimas elecciones del 8 de mayo de 1983), se </w:t>
      </w:r>
      <w:r>
        <w:lastRenderedPageBreak/>
        <w:t xml:space="preserve">señala la obligación de prestar juramento o promesa, siendo así que, al ser la LEL anterior al Real Decreto 707/1979 relativo a la fórmula de juramento para toma de posesión de cargos o funciones públicas, la segunda disposición citada es muy posterior, sin imponer nada al respecto. Lo más que podría suponer el supuesto defecto recogido en la Sentencia impugnada, sería una irregularidad no invalidante. Por último, el Real Decreto 707/1979 no está pensado propiamente para actos como la constitución de una Corporación Local surgida de unas elecciones libres por sufragio universal, directo y secreto, sino más bien para la toma de posesión de los funcionarios y cargos de la Administración, entendiendo por esto a aquellas personas que, por razón de nombramiento o de haber ganado un puesto con arreglo al ordenamiento, pasan a desempeñar funciones de autoridad y servicio en la Administración. </w:t>
      </w:r>
    </w:p>
    <w:p w:rsidR="001C705E" w:rsidRDefault="001C705E" w:rsidP="001C705E">
      <w:pPr>
        <w:pStyle w:val="TextoNormal"/>
      </w:pPr>
      <w:r>
        <w:t xml:space="preserve">c) La obligación impuesta a los recurrentes es inconstitucional, por cuanto el art. 23 de la C.E. establece para acceder al cargo de Concejal un mínimo esencial, respetando el cual una Ley puede regular las condiciones para ese acceso; pero se ha visto que ni la LEL, ni el Real Decreto que la complementa imponen nada acerca del acto de promesa o juramento, por lo cual, no pudo la Sentencia impugnada exigir un requisito más al ejercicio del derecho reconocido en el artículo que consideramos. Cita las Sentencias de este Tribunal de 4 de febrero y de 18 de noviembre de 1983. Enlazando con lo dicho anteriormente, la diferenciación que establece el art. 23 de la C.E. en sus dos apartados constitucionaliza de alguna manera la diferencia que hacía entre cargos electos y cargos de la Administración (funcionarios y autoridades) y va también en favor de que la obligatoriedad del acto de juramento o promesa en la toma de posesión establecida en el Real Decreto 707/1979 está referida a los últimos y no a los primeros, para los cuales dicha obligatoriedad sólo puede venir impuesta por una Ley, a tenor del art. 140 de la C.E. </w:t>
      </w:r>
    </w:p>
    <w:p w:rsidR="001C705E" w:rsidRDefault="001C705E" w:rsidP="001C705E">
      <w:pPr>
        <w:pStyle w:val="TextoNormal"/>
      </w:pPr>
      <w:r>
        <w:t xml:space="preserve">d) Hubo vulneración de los derechos reconocidos en el art. 14 de la C.E., por la razón ya expuesta por los recurrentes, lo que mueve a considerar que el trámite del juramento en la fórmula del Real Decreto de 1979 nunca se ha considerado obligatorio. </w:t>
      </w:r>
    </w:p>
    <w:p w:rsidR="001C705E" w:rsidRDefault="001C705E" w:rsidP="001C705E">
      <w:pPr>
        <w:pStyle w:val="TextoNormal"/>
      </w:pPr>
      <w:r>
        <w:t xml:space="preserve">e) Por último, ha habido vulneración del art. 16 de la C.E., relativo a la libertad ideológica; pues si bien es cierto que el art. 9.1 de la C.E. establece el sometimiento obligatorio de los poderes públicos a dicha norma suprema, no lo es menos que la expresión pública de dicho acatamiento y sometimiento no está exigida legalmente. </w:t>
      </w:r>
    </w:p>
    <w:p w:rsidR="001C705E" w:rsidRDefault="001C705E" w:rsidP="001C705E">
      <w:pPr>
        <w:pStyle w:val="TextoNormal"/>
      </w:pPr>
      <w:r>
        <w:t xml:space="preserve">f) A modo de reflexión final, y por lo que hace referencia al contenido de la fórmula del Real Decreto 707/1979, y con todos los respetos para el Rey y la Corona, éstos se encuentran dentro de la Constitución y bajo ella, obedeciendo la referencia a la «lealtad al Rey» a unos tiempos y sistemas políticos que distan mucho del que, según se predica y defiende, nos encontramos en España. Un Estado social y democrático de Derecho (art. 1 de la C.E.), que tiende a establecer una sociedad democrática avanzada (preámbulo de la C.E.), sólo puede basarse en el imperio de la Ley como expresión de la voluntad popular. </w:t>
      </w:r>
    </w:p>
    <w:p w:rsidR="001C705E" w:rsidRDefault="001C705E" w:rsidP="001C705E">
      <w:pPr>
        <w:pStyle w:val="TextoNormal"/>
      </w:pPr>
      <w:r>
        <w:t>En vista de lo aducido, se solicita la concesión del amparo solicitado por los recurrentes.</w:t>
      </w:r>
    </w:p>
    <w:p w:rsidR="001C705E" w:rsidRDefault="001C705E" w:rsidP="001C705E">
      <w:pPr>
        <w:pStyle w:val="TextoNormal"/>
      </w:pPr>
    </w:p>
    <w:p w:rsidR="001C705E" w:rsidRDefault="001C705E" w:rsidP="001C705E">
      <w:pPr>
        <w:pStyle w:val="TextoNormal"/>
      </w:pPr>
      <w:r w:rsidRPr="001C705E">
        <w:rPr>
          <w:rStyle w:val="NumeroAFNegritaCaracter"/>
        </w:rPr>
        <w:t>10</w:t>
      </w:r>
      <w:r>
        <w:t xml:space="preserve">. Mediante escrito de fecha 20 de febrero el Procurador de los Tribunales don Argimiro Vázquez Guillén, representando a don José María Olmedo González, en su calidad de representante de la Coalición Alianza Popular en coalición con el Partido Democrático Popular (PDP) y Unión Liberal (UL), presentó sus alegaciones, que pueden condensarse en los siguientes términos. Dan por reproducidos los hechos contenidos en el escrito de interposición del recurso en tanto en cuanto se ajusten a los recogidos en la Sentencia recurrida, destacando de todos ellos, por ser el punto fundamental de este litigio, el que los </w:t>
      </w:r>
      <w:r>
        <w:lastRenderedPageBreak/>
        <w:t>recurrentes se apartaron, en el acto constitutivo de la Corporación, de la fórmula del Real Decreto 707/1979. Se solicita la desestimación del recurso por entender que la Sentencia impugnada no infringe el art. 14 de la C.E. ni otros invoacados por los recurrentes. Lo único que la Audiencia ha entrado a considerar, porque es lo único para lo que estaba procesalmente legitimada, es si en el supuesto concreto del recurso contencioso electoral se han cumplido las exigencias legales en cuanto a la toma de posesión de los cargos electivos. No cabe alegar que al referirse los recurrentes, en el acto de su promesa, a la soberanía del pueblo, se realiza un acto implícito de acatamiento constitucional, puesto que si bien es cierto que el artículo 1.2 de la C.E. establece el principio de soberanía nacional como emanada del pueblo, no lo es menos que el resto del articulado ha de ser igualmente acatado por lo cargos públicos, sin que pueda resultar válida la exclusión de su contenido. 5 como ha declarado el Tribunal Constitucional en su Sentencia 101/1983 (Sala Primera), de 18 de noviembre, la exigencia de acatamiento a la Constitución no vulnera el derecho fundamental del art. 23 que no comprende el de participar en los asuntos públicos por medio de representantes que no acaten formalmente la Constitución. En lo referente a la violación del art. 16 de ésta, el Tribunal Constitucional en la ya citada Sentencia nos dice que cuando la libertad ideológica se manifiesta en el ejercicio de un cargo público, ha de hacerse con observancia de deberes inherentes a tal titularidad, que atribuye una posición distinta a la correspondiente a cualquier ciudadano. Argumentaciones similares valen para la presunta violación del art. 20 de la C.E. En conclusión, la Sentencia de la Audiencia Territorial de Burgos está redactada en términos claramente constitucionales, en tanto en cuanto exige el acatamiento expreso a esta norma fundamental para la toma de posesión del cargo, no dando por tanto como válido un juramento en el que se excluye el obligado acatamiento a nuestra Ley fundamental.</w:t>
      </w:r>
    </w:p>
    <w:p w:rsidR="001C705E" w:rsidRDefault="001C705E" w:rsidP="001C705E">
      <w:pPr>
        <w:pStyle w:val="TextoNormal"/>
      </w:pPr>
    </w:p>
    <w:p w:rsidR="001C705E" w:rsidRDefault="001C705E" w:rsidP="001C705E">
      <w:pPr>
        <w:pStyle w:val="TextoNormal"/>
      </w:pPr>
      <w:r w:rsidRPr="001C705E">
        <w:rPr>
          <w:rStyle w:val="NumeroAFNegritaCaracter"/>
        </w:rPr>
        <w:t>11</w:t>
      </w:r>
      <w:r>
        <w:t>. La Sala, por providencia de 4 de abril, acordó: Unir a las actuaciones los escritos presentados en el trámite de alegaciones; que no ha lugar a la práctica de la prueba interesada, puesto que no es precisa la misma para tener por presentados los documentos aportados con la demanda, y en cuanto a la incorporación de certificaciones de las actas de las sesiones del Ayuntamiento de Aranda de Duero, han sido aportadas por la parte sin que se haya cuestionado en forma su autenticidad. Se señaló asimismo para la deliberación y votación de este recurso de amparo el día 16 de mayo de 1984, a las once horas.</w:t>
      </w:r>
    </w:p>
    <w:p w:rsidR="001C705E" w:rsidRDefault="001C705E" w:rsidP="001C705E">
      <w:pPr>
        <w:pStyle w:val="TextoNormal"/>
      </w:pPr>
    </w:p>
    <w:p w:rsidR="001C705E" w:rsidRDefault="001C705E" w:rsidP="001C705E">
      <w:pPr>
        <w:pStyle w:val="TextoNormal"/>
      </w:pPr>
      <w:r w:rsidRPr="001C705E">
        <w:rPr>
          <w:rStyle w:val="NumeroAFNegritaCaracter"/>
        </w:rPr>
        <w:t>12</w:t>
      </w:r>
      <w:r>
        <w:t>. La Sala, por providencia de 20 de junio, acordó, de conformidad con lo dispuesto en el art. 88.1 de la LOTC, con suspensión de la deliberación de este asunto, recabar a la Junta Electoral Provincial de Burgos la remisión del expediente completo relativo al recurso contencioso-electoral que interpuso en su día la candidatura de APPDP-UL en las elecciones municipales de Aranda de Duero contra el acta de proclamación del Alcalde del Ayuntamiento de la indicada ciudad; para, una vez recibido dicho expediente, disponer lo procedente a los efectos del indicado artículo.</w:t>
      </w:r>
    </w:p>
    <w:p w:rsidR="001C705E" w:rsidRDefault="001C705E" w:rsidP="001C705E">
      <w:pPr>
        <w:pStyle w:val="TextoNormal"/>
      </w:pPr>
    </w:p>
    <w:p w:rsidR="001C705E" w:rsidRDefault="001C705E" w:rsidP="001C705E">
      <w:pPr>
        <w:pStyle w:val="TextoNormal"/>
      </w:pPr>
      <w:r w:rsidRPr="001C705E">
        <w:rPr>
          <w:rStyle w:val="NumeroAFNegritaCaracter"/>
        </w:rPr>
        <w:t>13</w:t>
      </w:r>
      <w:r>
        <w:t>. La sección, por providencia de 5 de septiembre, acordó acusar recibo del expediente recabado y conceder a las partes un plazo común de diez días para conocimiento de los documentos recibidos y alegaciones al respecto.</w:t>
      </w:r>
    </w:p>
    <w:p w:rsidR="001C705E" w:rsidRDefault="001C705E" w:rsidP="001C705E">
      <w:pPr>
        <w:pStyle w:val="TextoNormal"/>
      </w:pPr>
    </w:p>
    <w:p w:rsidR="001C705E" w:rsidRDefault="001C705E" w:rsidP="001C705E">
      <w:pPr>
        <w:pStyle w:val="TextoNormal"/>
      </w:pPr>
      <w:r w:rsidRPr="001C705E">
        <w:rPr>
          <w:rStyle w:val="NumeroAFNegritaCaracter"/>
        </w:rPr>
        <w:t>14</w:t>
      </w:r>
      <w:r>
        <w:t xml:space="preserve">. En dicho trámite, la representación de la coalición «Alianza Popular en coalición con PDP y UL» manifestó que daba por reproducidas las alegaciones formuladas en su </w:t>
      </w:r>
      <w:r>
        <w:lastRenderedPageBreak/>
        <w:t xml:space="preserve">escrito de 20 de febrero de 1984, al no apreciar en la documentación examinada hechos nuevos que requieran ampliación de lo entonces dicho. </w:t>
      </w:r>
    </w:p>
    <w:p w:rsidR="001C705E" w:rsidRDefault="001C705E" w:rsidP="001C705E">
      <w:pPr>
        <w:pStyle w:val="TextoNormal"/>
      </w:pPr>
      <w:r>
        <w:t>El Fiscal ante el Tribunal Constitucional señaló, por su parte, que la documentación remitida no ha aportado elementos que permitan modificar el sentido de sus anteriores alegaciones. Sigue pensando que el amparo interesado queda reducido a la pretendida lesión de los derechos constitucionales que se alegan con relación a los dos recurrentes y que se derivan de la anulación de su toma de posesión a consecuencia de prestar de forma irregular el juramento o promesa que con arreglo al Real Decreto de 5 de abril de 1979 han de prestar todos los cargos públicos y cuya obligatoriedad, en rigor, no cuestiona la demanda (sí, en cambio, el escrito de alegaciones del PSOE), aunque sostiene que la fórmula de prestación es libre y no determina su validez.</w:t>
      </w:r>
    </w:p>
    <w:p w:rsidR="001C705E" w:rsidRDefault="001C705E" w:rsidP="001C705E">
      <w:pPr>
        <w:pStyle w:val="TextoNormal"/>
      </w:pPr>
    </w:p>
    <w:p w:rsidR="001C705E" w:rsidRDefault="001C705E" w:rsidP="001C705E">
      <w:pPr>
        <w:pStyle w:val="TextoNormal"/>
      </w:pPr>
      <w:r w:rsidRPr="001C705E">
        <w:rPr>
          <w:rStyle w:val="NumeroAFNegritaCaracter"/>
        </w:rPr>
        <w:t>15</w:t>
      </w:r>
      <w:r>
        <w:t>. La Sala, por providencia de 31 de octubre de 1984, acordó unir los escritos presentados por el Ministerio Fiscal y la representación de Alianza Popular, hacer entrega de las copias de los referidos escritos a las partes personadas, y señalar para la deliberación y votación de este recurso el día 5 de diciembre, deliberándose en ese día y en los siguientes 12 y 19 de diciembre y 16 de enero, en que se realizó la votación.</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En sus diversas actuaciones ante este Tribunal, la parte actora ha identificado como acto recurrido la Sentencia de 28 de junio de 1983 de la Sala de lo Contencioso-Administrativo de la Audiencia Territorial de Burgos, Sentencia en cuyo fallo se anuló la toma de posesión como Concejales de los recurrentes, así como la elección de Alcalde en la que los mismos participaron, celebrada el día 23 de mayo de 1983. Los recurrentes imputan a esta resolución judicial, directamente, las violaciones de derechos fundamentales de que dicen haber sido objeto, solicitando del Tribunal la anulación de aquélla y de todas cuantas actividades se siguieron en su ejecución, con especial referencia al juramento o promesa al que afirman fueron compelidos y a la elección celebrada en la sesión del Ayuntamiento de Aranda de Duero de 5 de julio, en el curso de la cual se procedió a designar nuevo Alcalde.</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cuestión central de este recurso es, pues, la de saber si el juramento o promesa constitucional es condición de la eficacia de la elección para Concejal, constituyendo presupuesto de validez de la toma de posesión de dicho cargo; en otros términos, si su exigencia, según una u otra fórmula, es constitucional. Se trata de valorar, concretamente, la incidencia del juramento o promesa sobre la adquisición por los recurrentes de la condición de Concejales del Ayuntamiento de Aranda de Duero y, consiguientemente, sobre su derecho a participar en el primer pleno de dicho Ayuntamiento, en el que se procedió a elegir el Alcalde, y, por último, en la elección misma, teniendo en cuenta que en la ceremonia del juramento o promesa los hoy demandantes del amparo efectuaron la declaración, que, de acuerdo con su personal criterio, entendieron que debían hacer, diversa notoriamente de la fórmula que se les proponía. No cabe duda que tal exigencia de un juramento o promesa, y la fórmula para realizarlo, en la medida en que constituyen una condición de la plena adquisición del cargo de Concejal y de su ejercicio, y que por tanto la norma que le impone regula el ejercicio del derecho que a todos los ciudadanos corresponde a participar en los asuntos públicos directamente o por medio de representantes libremente </w:t>
      </w:r>
      <w:r>
        <w:lastRenderedPageBreak/>
        <w:t>elegidos (art. 23.1), es inseparable en este caso del derecho que a los mismos recurrentes otorga el apartado segundo del mismo artículo a acceder a los cargos y funciones públicos en condiciones de igualdad, con los requisitos que señalen las leyes.</w:t>
      </w:r>
    </w:p>
    <w:p w:rsidR="001C705E" w:rsidRDefault="001C705E" w:rsidP="001C705E">
      <w:pPr>
        <w:pStyle w:val="TextoNormal"/>
      </w:pPr>
    </w:p>
    <w:p w:rsidR="001C705E" w:rsidRDefault="001C705E" w:rsidP="001C705E">
      <w:pPr>
        <w:pStyle w:val="TextoNormal"/>
      </w:pPr>
      <w:r w:rsidRPr="001C705E">
        <w:rPr>
          <w:rStyle w:val="NumeroAFNegritaCaracter"/>
        </w:rPr>
        <w:t>3</w:t>
      </w:r>
      <w:r>
        <w:t>. Al examinar y decidir los recursos de amparo formulados para preservar y proteger los derechos fundamentales de los ciudadanos frente a los actos de los poderes públicos que puedan desconocerlos o lesionarlos, este Tribunal debe aplicar los preceptos de la Constitución, en los que los referidos derechos constitucionales se encuentran consagrados y definidos, y también el régimen jurídico normativo de carácter subconstitucional que regule en cada momento uno de los mencionados derechos, pues en la vía de amparo es misión del Tribunal interpretar la Constitución, pero también, y sobre todo, preservar los derechos fundamentales de los ciudadanos, de acuerdo con su propio régimen jurídico, cuando éste exista, o produciendo en el régimen legal los reajustes que sean necesarios por la vía de una interpretación de los preceptos legales conforme con la Constitución o, finalmente, la declaración de inconstitucionalidad.</w:t>
      </w:r>
    </w:p>
    <w:p w:rsidR="001C705E" w:rsidRDefault="001C705E" w:rsidP="001C705E">
      <w:pPr>
        <w:pStyle w:val="TextoNormal"/>
      </w:pPr>
    </w:p>
    <w:p w:rsidR="001C705E" w:rsidRDefault="001C705E" w:rsidP="001C705E">
      <w:pPr>
        <w:pStyle w:val="TextoNormal"/>
      </w:pPr>
      <w:r w:rsidRPr="001C705E">
        <w:rPr>
          <w:rStyle w:val="NumeroAFNegritaCaracter"/>
        </w:rPr>
        <w:t>4</w:t>
      </w:r>
      <w:r>
        <w:t>. La posibilidad de establecer condiciones o límites para el ejercicio de los derechos reconocidos por el art. 23 de la Constitución no queda ciertamente excluido por el mandato constitucional. Ni la elección de representantes ni la asunción o ejercicio de su función por éstos pueden llevarse a cabo sin normas que disciplinen el ejercicio de los derechos constitucionalmente garantizados; mientras que, de otra parte, el reconocimiento del derecho de los ciudadanos a acceder en condiciones de igualdad a las funciones y cargos públicos, se produce en efecto de modo expreso «con los requisitos que señalen las leyes».  Prescindiendo de que tales requisitos puedan o no contradecir otros mandatos constitucionales -cuestión en la que aquí no se entra- y de cuál sea el sentido del término «leyes» en el apartado segundo del art. 23 de la C.E., y reduciéndonos sólo al establecimiento de condiciones o requisitos para la elección de representantes y la actuación de éstos, hay una exigencia previa en relación con tales requisitos, consistente en la naturaleza legal de los instrumentos jurídicos por los que se establecen; lo cual, por otra parte, no es sino un corolario de la reserva de Ley que se prescribe en el art. 53.1 de la Constitución para la regulación de los derechos y las libertades reconocidos en el Capítulo segundo del Título I de la misma.</w:t>
      </w:r>
    </w:p>
    <w:p w:rsidR="001C705E" w:rsidRDefault="001C705E" w:rsidP="001C705E">
      <w:pPr>
        <w:pStyle w:val="TextoNormal"/>
      </w:pPr>
      <w:r>
        <w:t>Ahora bien, la constitución de las Corporaciones locales se encuentra hoy regulada por el art. 28 de la Ley 39/1978, de 17 de julio, de Elecciones Locales, disposición en la que nada se establece sobre el juramento o promesa de los Concejales electos, el cual tiene, por tanto, su único posible fundamento normativo, limitado a la fórmula del mismo, en una disposición de carácter reglamentario como es el Real Decreto 707/1979, de 5 de abril. La obligatoriedad del juramento que impuso el art. 84.3 del Reglamento de Organización y Funcionamiento de las Corporaciones Locales, con remisión a la fórmula del art. 10 del mismo Reglamento, bajo otro régimen bien distinto del actual de elección de los Concejales y de constitución de la Corporación, no puede entenderse vigente, por lo que no se plantea en este caso el valor de las normas preconstitucionales carentes de rango. Es el Real Decreto la última norma que concreta la fórmula del juramento o promesa para los actos de toma de posesión de cargos o funciones públicas. Dejando a un lado la valoración de la fórmula desde otros mandatos constitucionales, se desprende del ya referido art. 23.2 que dicha concreción únicamente podría surtir efectos en relación con supuestos para los que el juramento o promesa viniera requerido por una norma de rango legal.</w:t>
      </w:r>
    </w:p>
    <w:p w:rsidR="001C705E" w:rsidRDefault="001C705E" w:rsidP="001C705E">
      <w:pPr>
        <w:pStyle w:val="TextoNormal"/>
      </w:pPr>
      <w:r>
        <w:lastRenderedPageBreak/>
        <w:t>La estimación del recurso por el motivo aducido hace innecesario el examen de los restantes en que la demanda de amparo se fundaba.</w:t>
      </w:r>
    </w:p>
    <w:p w:rsidR="001C705E" w:rsidRDefault="001C705E" w:rsidP="001C705E">
      <w:pPr>
        <w:pStyle w:val="TextoNormal"/>
      </w:pPr>
    </w:p>
    <w:p w:rsidR="001C705E" w:rsidRDefault="001C705E" w:rsidP="001C705E">
      <w:pPr>
        <w:pStyle w:val="TextoNormal"/>
      </w:pPr>
      <w:r w:rsidRPr="001C705E">
        <w:rPr>
          <w:rStyle w:val="NumeroAFNegritaCaracter"/>
        </w:rPr>
        <w:t>5</w:t>
      </w:r>
      <w:r>
        <w:t>. Los recurrentes extendieron expresamente su petición de declaración de nulidad de la Sentencia impugnada a la sesión de la Corporación municipal de 5 de julio de 1983, llevada a cabo en ejecución de dicha Sentencia, alegando que si ésta fue nula, por haber sido válida su participación en el Pleno de 23 de mayo, ha de considerarse inválida la nueva designación de Alcalde. La Sala entiende, sin embargo, que la estimación del amparo no implica necesariamente la conclusión a que pretende llegar la parte actora. El «restablecimiento» de los recurrentes en su derecho [art. 55.1 c) de la LOTC] no supone, en el presente caso, seguir considerando eficaz la primera elección de Alcalde y revocar «en consecuencia» la segunda, cumplida en ejecución de la Sentencia impugnada. Es cierto que al concederse el amparo en orden al juramento o promesa a prestar por los recurrentes, no hay ya objeciones de validez frente al acto en el que éstos participaron el 23 de mayo. Pero esta validez recobrada no tiene por qué llevar consigo la eficacia actual del acto en cuestión. La ulterior designación de Alcalde, motivada jurídicamente por la Sentencia recurrida, podrá resultar haber sido innecesaria, al revelarse hoy válida la primera, pero sin que ello la convierta a su vez en nula.  Esta ulterior designación de Alcalde lo fue con la participación de los hoy recurrentes, que entonces consintieron, mediante su presencia y su voto, en el acto cuya remoción piden de este Tribunal. Se trata de un acto de la Corporación municipal válido y eficaz, mediante el cual ésta volvió sobre una decisión propia anteriormente adoptada, y que únicamente tuvo un contenido distinto por la participación en él de los Concejales elegidos por la lista del Centro Democrático y Social (CDS), que en la otra ocasión se habían ausentado del salón de sesiones. Si hubo compulsión insconstitucional sobre los actores para que aceptasen una determinada fórmula de juramento o promesa para acceder plenamente al ejercicio del cargo, esta lesión quedó sanada por el hecho de que quienes la sufrieron no optaron por sostener su posición inicial, sino, como aquí ocurrió, por aceptarla, si bien con reservas expresas, para no verse precisamente decaídos de su derecho. En definitiva, los hoy recurrentes no buscan recuperar un cargo que nunca han abandonado, sino impugnar la resolución judicial en cuya virtud, para mantenerse en dicha función, se vieron sometidos a una carga constitucionalmente infundada, y que se reconozca, en su caso, su derecho a emplear la fórmula de promesa que uno y otro utilizaron en el acto de posesión de sus respectivos cargos de Concejal en el Pleno del Ayuntamiento de 23 de mayo último; derecho, este último, que, dado lo establecido en nuestro fundamento cuarto, no es susceptible de pronunciamiento alguno de esta Sala.</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Otorgar parcialmente el amparo solicitado por don Juan Francisco Bonilla Encina y don Máximo Pastor Alonso, reconociendo la validez de su toma de posesión como Concejales del Ayuntamiento de Aranda de Duero el día 23 de mayo de 1983.</w:t>
      </w:r>
    </w:p>
    <w:p w:rsidR="001C705E" w:rsidRDefault="001C705E" w:rsidP="001C705E">
      <w:pPr>
        <w:pStyle w:val="TextoNormal"/>
      </w:pPr>
      <w:r>
        <w:lastRenderedPageBreak/>
        <w:t>2. Anular el pronunciamiento primero de la Sentencia impugnada en cuanto anula la toma de posesión de los referidos Concejales electos, don Juan Francisco Bonilla Encina y don Máximo Pastor Alonso.</w:t>
      </w:r>
    </w:p>
    <w:p w:rsidR="001C705E" w:rsidRDefault="001C705E" w:rsidP="001C705E">
      <w:pPr>
        <w:pStyle w:val="TextoNormal"/>
      </w:pPr>
      <w:r>
        <w:t>3. Desestimar el recurso en todo lo demás.</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veinticinco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2" w:name="SENTENCIA_1985_9"/>
      <w:r>
        <w:lastRenderedPageBreak/>
        <w:t>SENTENCIA 9/1985, de 28 de enero de 1985</w:t>
      </w:r>
    </w:p>
    <w:bookmarkEnd w:id="12"/>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ECLI:ES:TC:1985:9</w:t>
      </w:r>
    </w:p>
    <w:p w:rsidR="001C705E" w:rsidRDefault="001C705E" w:rsidP="001C705E">
      <w:pPr>
        <w:pStyle w:val="SntesisDescriptiva"/>
      </w:pPr>
    </w:p>
    <w:p w:rsidR="001C705E" w:rsidRDefault="001C705E" w:rsidP="001C705E">
      <w:pPr>
        <w:pStyle w:val="SntesisDescriptiva"/>
      </w:pPr>
      <w:r>
        <w:t>Conflicto positivo de competencia 342/1982. Promovido por el Consejo Ejecutivo de la Generalidad de Cataluña contra Resolución de 17 de mayo de 1982 de la Dirección General de Transportes del Ministerio de Transporte, Turismo y Comunicaciones, resolviendo recurso de alzada interpuesto por don Manuel Farré</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En la forma en que los definen los arts. 59 y sgs. de la LOTC, los conflictos constitucionales, cuando se suscitan sobre las competencias o atribuciones asignadas directamente por la Constitución, los Estatutos de Autonomía o las leyes orgánicas u ordinarias para delimitar los ámbitos propios del Estado o las Comunidades Autónomas, versan exclusivamente sobre la titularidad de la competencia debatida y sobre la validez o nulidad del acto que da origen al conflicto por estar viciado o no de incompetencia. Quiere ello decir que las partes en conflicto competencial pueden reivindicar las competencias en juego, pero no pueden formular ante este Tribunal peticiones de carácter reconvencional. </w:t>
      </w:r>
    </w:p>
    <w:p w:rsidR="001C705E" w:rsidRDefault="001C705E" w:rsidP="001C705E">
      <w:pPr>
        <w:pStyle w:val="Extracto"/>
      </w:pPr>
    </w:p>
    <w:p w:rsidR="001C705E" w:rsidRDefault="001C705E" w:rsidP="001C705E">
      <w:pPr>
        <w:pStyle w:val="Extracto"/>
      </w:pPr>
      <w:r>
        <w:t>2.</w:t>
      </w:r>
      <w:r>
        <w:tab/>
        <w:t xml:space="preserve">La cuestión aquí controvertida es la relativa a la competencia para resolver los recursos de alzada interpuestos contra los actos dictados por los órganos de la Generalidad. Y esta cuestión no debe oscurecerse trasladando la relativa a la competencia para dictar el acto administrativo o la resolución que se impugnó en vía de alzada, pues una y otra cuestión deben mantenerse distantes, aunque una y otra sean objeto del conflicto que la Generalidad de Cataluña plantea. </w:t>
      </w:r>
    </w:p>
    <w:p w:rsidR="001C705E" w:rsidRDefault="001C705E" w:rsidP="001C705E">
      <w:pPr>
        <w:pStyle w:val="Extracto"/>
      </w:pPr>
    </w:p>
    <w:p w:rsidR="001C705E" w:rsidRDefault="001C705E" w:rsidP="001C705E">
      <w:pPr>
        <w:pStyle w:val="Extracto"/>
      </w:pPr>
      <w:r>
        <w:t>3.</w:t>
      </w:r>
      <w:r>
        <w:tab/>
        <w:t xml:space="preserve">La competencia para conocer y decidir un recurso de alzada formulado en vía administrativa contra un órgano o servicio de la Generalidad de Cataluña compete al órgano superior que en vía jerárquica dentro de la Generalidad de Cataluña tenga aquel que dictó la resolución recurrida. </w:t>
      </w:r>
    </w:p>
    <w:p w:rsidR="001C705E" w:rsidRDefault="001C705E" w:rsidP="001C705E">
      <w:pPr>
        <w:pStyle w:val="Extracto"/>
      </w:pPr>
    </w:p>
    <w:p w:rsidR="001C705E" w:rsidRDefault="001C705E" w:rsidP="001C705E">
      <w:pPr>
        <w:pStyle w:val="Extracto"/>
      </w:pPr>
      <w:r>
        <w:t>4.</w:t>
      </w:r>
      <w:r>
        <w:tab/>
        <w:t xml:space="preserve">En este caso, el régimen jurídico al que quedan sometidas las materias o funciones delegadas será, en principio, el establecido por el ordenamiento propio de la Administración o Ente público que ha recibido la delegación, de lo que se desprende que la delegación de competencias de un ente público a otro conlleva, para este último, la de conocer los recursos administrativos frente a los actos dictados en ejercicio de la misma.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w:t>
      </w:r>
      <w:r>
        <w:lastRenderedPageBreak/>
        <w:t>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conflicto positivo de competencia núm. 342/1982, planteado por el Consejo Ejecutivo de la Generalidad de Cataluña, representado por el Abogado don Manuel María Vicens Matas, en relación con la Resolución de 17 de mayo de 1982, de la Dirección General de Transportes del Ministerio de Transportes, Turismo y Comunicaciones, resolviendo recurso de alzada interpuesto por don Manuel Farré. Ha sido parte el Gobierno de la Nación, representado por el Abogado del Estado, y Ponente el Magistrado don Antonio Truyol Serra,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día 1 de septiembre de 1982, el Consejo Ejecutivo de la Generalidad de Cataluña suscitó conflicto positivo de competencia frente al Gobierno del Estado por entender que la Resolución de 17 de mayo anterior, emanada de la Dirección General de Transportes del Ministerio de Transportes, Turismo y Comunicaciones, por la que se resolvió un recurso de alzada contra una Resolución del Jefe de la Sección de la demarcación de Lérida del Departamento de Política Territorial y Obras Públicas de la Generalidad de Cataluña, vulnera las competencias de esa Comunidad Autónoma en virtud de lo dispuesto en el art. 149.1.21 de la Constitución, en el Real Decreto 2115/1978, de 26 de julio, por el que se traspasaron a la Generalidad competencias en materia de transportes, y en el art. 9.15 y en la disposición transitoria sexta del Estatuto de Autonomía de Cataluña.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pretensión que se actúa toma por base los siguientes hechos: </w:t>
      </w:r>
    </w:p>
    <w:p w:rsidR="001C705E" w:rsidRDefault="001C705E" w:rsidP="001C705E">
      <w:pPr>
        <w:pStyle w:val="TextoNormal"/>
      </w:pPr>
      <w:r>
        <w:t xml:space="preserve">A) El Jefe de la Sección de la demarcación de Lérida del Departamento de Política Territorial y Obras Públicas de la Generalidad dictó una Resolución, con fecha 30 de marzo de 1982, denegatoria de autorización de transporte para un vehículo, dado el incumplimiento de ciertos requisitos. El solicitante de la autorización interpuso recurso de alzada ante la Dirección General de Transportes del Ministerio de Transportes, Turismo y Comunicaciones, que fue desestimado mediante Resolución de 17 de mayo de 1982, en la que, no obstante, se afirmó la competencia de la Administración del Estado para conocer del recurso. </w:t>
      </w:r>
    </w:p>
    <w:p w:rsidR="001C705E" w:rsidRDefault="001C705E" w:rsidP="001C705E">
      <w:pPr>
        <w:pStyle w:val="TextoNormal"/>
      </w:pPr>
      <w:r>
        <w:t>B) La Generalidad de Cataluña, previo acuerdo de su Consejo Ejecutivo, con fecha 16 de julio de 1982, dirigió requerimiento de incompetencia al Gobierno del Estado, a fin de que dejara sin efecto la referida Resolución. Dicho requerimiento no fue atendido por el Gobierno, por no estimarlo fundado, según acuerdo del Consejo de Ministros de 30 de julio de 1982, por lo que, de conformidad con lo previsto en los artículos 63 y 64 de la Ley orgánica del Tribunal Constitucional, el Consejo Ejecutivo de la Generalidad acordó plan</w:t>
      </w:r>
      <w:r>
        <w:lastRenderedPageBreak/>
        <w:t>tear el presente conflicto positivo de competencia, mediante el que se solicita que este Tribunal declare que la competencia controvertida corresponde a la Generalidad, anulando, en consecuencia, la Resolución indicada.</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En apoyo a su pretensión, aduce el Abogado de la Generalidad los siguientes fundamentos jurídicos: </w:t>
      </w:r>
    </w:p>
    <w:p w:rsidR="001C705E" w:rsidRDefault="001C705E" w:rsidP="001C705E">
      <w:pPr>
        <w:pStyle w:val="TextoNormal"/>
      </w:pPr>
      <w:r>
        <w:t xml:space="preserve">A) El Real Decreto 2115/1978, por el que se transfirieron a la Generalidad competencias en materia de transportes, dispuso, en su art. 19, lo siguiente: </w:t>
      </w:r>
    </w:p>
    <w:p w:rsidR="001C705E" w:rsidRDefault="001C705E" w:rsidP="001C705E">
      <w:pPr>
        <w:pStyle w:val="TextoNormal"/>
      </w:pPr>
      <w:r>
        <w:t xml:space="preserve">«La Generalidad de Cataluña ejercerá las funciones de la Administración del Estado, por delegación de ésta, para el otorgamiento de servicios públicos discrecionales de viajeros, mercancías y mixtos, con vehículos residenciados en el ámbito territorial de la Generalidad y amparados por las actuales tarjetas de ámbito local, comarcal y nacional, con aplicación de las normas y dentro de los contingentes que le asigne la Administración del Estado.» </w:t>
      </w:r>
    </w:p>
    <w:p w:rsidR="001C705E" w:rsidRDefault="001C705E" w:rsidP="001C705E">
      <w:pPr>
        <w:pStyle w:val="TextoNormal"/>
      </w:pPr>
      <w:r>
        <w:t xml:space="preserve">No obstante, una vez aprobado el Estatuto de Autonomía de Cataluña, en virtud de lo dispuesto en su art. 9.15, en relación con el 149.1.21 de la Constitución, las competencias de la Generalidad en materia de transportes que discurren íntegramente dentro de su territorio, en modo alguno se ejercen ya por delegación, sino como propias. Por lo demás, los servicios y competencias a que se refiere el Real Decreto 2115/1978 han quedado definitivamente consolidados a favor de la Generalidad en virtud de lo dispuesto en la disposición transitoria sexta, 6, del Estatuto de Cataluña. La amplitud de los efectos de dicho Real Decreto, en orden a las transferencias en él previstas -aun antes de la aprobación del Estatuto de Autonomía-, resulta también reiterada en su artículo 27.1, conforme al cual: «A partir del 1 de noviembre de 1978, la Generalidad se subrogará en la calidad de ente concedente y autorizante, en lugar del Estado, de los servicios de transporte existentes, afectados por el traspaso de competencias.» </w:t>
      </w:r>
    </w:p>
    <w:p w:rsidR="001C705E" w:rsidRDefault="001C705E" w:rsidP="001C705E">
      <w:pPr>
        <w:pStyle w:val="TextoNormal"/>
      </w:pPr>
      <w:r>
        <w:t xml:space="preserve">B) De todo lo anterior se desprende, a juicio del Abogado de la Generalidad, que, a partir de la entrada en vigor del Estatuto, las facultades de otorgamiento o denegación de tarjetas de transportes de ámbito local y comarcal en el territorio de Cataluña no se ostentan por delegación de la Administración del Estado, sino como propias, siempre que no autoricen transportes fuera de Cataluña, restando como delegadas las que permiten a la Generalidad el otorgamiento o denegación de las tarjetas de ámbito nacional o que excedan del territorio catalán. A estas últimas facultades, consolidadas definitivamente mediante la disposición transitoria sexta, 6, del Estatuto, les será de aplicación el régimen que resulte del Real Decreto dicho, contemplado en su integridad. En cualquier caso, todo el conjunto de facultades que a la Generalidad corresponden en materia de transportes -dimanen del Estatuto o dimanen del Real Decreto de 26 de julio de 1978- pueden ser ejercidas con plenitud, es decir, en los términos con que le fueron traspasadas o asumidas y sin otras limitaciones que las que resulten de las disposiciones aplicables. </w:t>
      </w:r>
    </w:p>
    <w:p w:rsidR="001C705E" w:rsidRDefault="001C705E" w:rsidP="001C705E">
      <w:pPr>
        <w:pStyle w:val="TextoNormal"/>
      </w:pPr>
      <w:r>
        <w:t xml:space="preserve">C) Según el Abogado de la Generalidad, la esencia de la cuestión planteada está en que la pretensión de un Ente de resolver los recursos de alzada contra actos que se dicten por otro que no le está subordinado jerárquicamente, es contraria a la noción de autonomía que garantiza el art. 137 de la Constitución Española, porque el recurso de alzada propiamente dicho sólo es procedente ante los órganos superiores de un mismo Ente público al cual pertenece -y está subordinado jerárquicamente- el órgano autor del acto impugnado. Tanto es así, que incluso en la época de la Generalidad preestatutaria se entendió que no era posible el ejercicio real de las facultades autonómicas sin dejar en manos de la Generalidad la facultad de resolver los recursos de alzada que, en el tema que motiva este conflicto, </w:t>
      </w:r>
      <w:r>
        <w:lastRenderedPageBreak/>
        <w:t xml:space="preserve">pudieran plantearse. Y, así, el artículo 32.2 del Real Decreto de 26 de julio de 1978 dispuso que: «Contra las resoluciones y actos de la Generalidad de Cataluña cabrá el recurso de reposición previo al contencioso-administrativo, salvo que por otra disposición legal se exigiera la interposición de recurso de alzada que se substanciará ante la propia Generalidad. El régimen jurídico de estos recursos será el establecido en las Leyes de Procedimiento Administrativo y de la Jurisdicción Contencioso-Administrativa». Confirma lo anterior la disposición transitoria segunda, números 1 y 2, del propio Real Decreto, que sólo excluye la competencia de la Generalidad para resolver los recursos presentados antes del 1 de noviembre de 1978 (fecha en que empezaron a ejercerse las competencias, disposición final segunda), lo que obliga a concluir que todos los recursos que se presenten después de dicha fecha, han de ser resueltos por la Generalidad con exclusión de los órganos dependientes de la Administración estatal. </w:t>
      </w:r>
    </w:p>
    <w:p w:rsidR="001C705E" w:rsidRDefault="001C705E" w:rsidP="001C705E">
      <w:pPr>
        <w:pStyle w:val="TextoNormal"/>
      </w:pPr>
      <w:r>
        <w:t>D) Sostiene, en consecuencia, el promotor del conflicto que el recurso pertinente, en el presente caso, debía interponerse ante la Generalidad, en los términos que se indicaron al peticionario de la tarjeta que originó la Resolución de 30 de marzo de 1982, dictada por el órgano periférico de Lérida del Departamento de Política Territorial y Obras Públicas de la Generalidad de Cataluña, y por consiguiente, al adoptarse por un órgano estatal la Resolución impugnada de 17 de mayo de 1982, se incurrió por ésta en el vicio de incompetencia al arrogarse una facultad que no le correspondía y se vulneraron o limitaron las que son propias de la Generalidad de Cataluña y dimanan de su Estatuto, singularmente de su disposición transitoria sexta, 6, en relación con el Real Decreto de 26 de julio de 1978.</w:t>
      </w:r>
    </w:p>
    <w:p w:rsidR="001C705E" w:rsidRDefault="001C705E" w:rsidP="001C705E">
      <w:pPr>
        <w:pStyle w:val="TextoNormal"/>
      </w:pPr>
    </w:p>
    <w:p w:rsidR="001C705E" w:rsidRDefault="001C705E" w:rsidP="001C705E">
      <w:pPr>
        <w:pStyle w:val="TextoNormal"/>
      </w:pPr>
      <w:r w:rsidRPr="001C705E">
        <w:rPr>
          <w:rStyle w:val="NumeroAFNegritaCaracter"/>
        </w:rPr>
        <w:t>4</w:t>
      </w:r>
      <w:r>
        <w:t>. Con fecha 2 de septiembre de 1982, la Sección dictó una providencia en la que se acordó tener por planteado el conflicto positivo de competencia, dar traslado al Gobierno para la evacuación del trámite de alegaciones, comunicar al Presidente de la Audiencia Nacional el planteamiento del conflicto, a los efectos previstos en el artículo 61.2 de la LOTC, y ordenar la publicación en el «Boletín Oficial del Estado» y en el «Diario Oficial de la Generalidad de Cataluña».</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En el trámite conferido al Gobierno por la anterior providencia, compareció en el proceso el Abogado del Estado, cuyas alegaciones, formuladas mediante escrito de 23 de septiembre de 1982, han sido, en resumen, las siguientes: </w:t>
      </w:r>
    </w:p>
    <w:p w:rsidR="001C705E" w:rsidRDefault="001C705E" w:rsidP="001C705E">
      <w:pPr>
        <w:pStyle w:val="TextoNormal"/>
      </w:pPr>
      <w:r>
        <w:t xml:space="preserve">A) Utiliza el Abogado del Estado como primer supuesto de su razonamiento que la delegación conferida a la Generalidad por el artículo 19 del Real Decreto 2115/1978 no haya sido revocada. En tal supuesto, comienza el Abogado del Estado por rebatir el argumento utilizado por el representante de la Generalidad, en el sentido de que, en virtud de lo dispuesto en el artículo 38.2 de dicho Real Decreto, se prohibió implícitamente a la Administración estatal conocer de los recursos que se interpongan contra actos dictados por la Generalidad, sin distinguir si ésta actuaba con facultades «transferidas» - es decir propias- o «delegadas». Si el argumento fuera cierto -observa el Abogado del Estado-, caería por tierra uno de los principios de la técnica de la delegación acogidos en nuestro ordenamiento general, a saber: No pueden resolverse por delegación recursos contra actos dictados en el ejercicio de una delegación conferida (artículo 118 de la Ley de Procedimiento Administrativo). Pero no es cierto, según se desprende del propio Real Decreto. En el mismo se utilizan en realidad tres técnicas claramente diferenciadas: La transferencia, como técnica dominante, la delegación, que es la utilizada en el art. 19, y la de las competencias compartidas. Y el precepto del artículo 32 tan sólo es aplicable a las «materias objeto de transferencia», como expresa con toda nitidez su apartado 1. </w:t>
      </w:r>
    </w:p>
    <w:p w:rsidR="001C705E" w:rsidRDefault="001C705E" w:rsidP="001C705E">
      <w:pPr>
        <w:pStyle w:val="TextoNormal"/>
      </w:pPr>
      <w:r>
        <w:lastRenderedPageBreak/>
        <w:t xml:space="preserve">B) Alega el Abogado del Estado, en relación a la disposición transitoria sexta del Estatuto de Cataluña, que ésta, efectivamente, idea y monta un procedimiento que haga posible, con rapidez y con orden, la asunción efectiva de muchas de sus competencias, hasta entonces ejercidas por el Estado, procedimiento cuya pieza maestra es una Comisión Mixta. Ahora bien, los traspasos que así se consolidaban eran los de servicios inherentes a competencias propias de la Generalidad según el Estatuto, y no cualesquiera otros, pues, de lo contrario, se favorecería una interpretación contradictoria con la Constitución y con el propio Estatuto. </w:t>
      </w:r>
    </w:p>
    <w:p w:rsidR="001C705E" w:rsidRDefault="001C705E" w:rsidP="001C705E">
      <w:pPr>
        <w:pStyle w:val="TextoNormal"/>
      </w:pPr>
      <w:r>
        <w:t xml:space="preserve">Sobre esta base ha de centrarse el asunto planteado, a juicio del Abogado del Estado, en determinar si es propia de la Generalidad la competencia para expedir la autorización de transportes solicitada (transporte público discrecional de mercancías por carretera, contratado con carga completa y radio de acción comarcal), o si es propia de la Administración del Estado. </w:t>
      </w:r>
    </w:p>
    <w:p w:rsidR="001C705E" w:rsidRDefault="001C705E" w:rsidP="001C705E">
      <w:pPr>
        <w:pStyle w:val="TextoNormal"/>
      </w:pPr>
      <w:r>
        <w:t xml:space="preserve">El representante de la Generalidad, por un lado, admite que sólo a ésta compete el otorgamiento o denegación de tarjetas de transporte de ámbito local o comarcal en el territorio de Cataluña, y, por otro lado, rebate la afirmación que el Gobierno de la Nación ha hecho sobre su propia competencia de fondo en el escrito de contestación al requerimiento del Consejo Ejecutivo catalán. De esta suerte, debe darse por cierto que la autorización origen del procedimiento fue solicitada para ejercer la actividad de transporte en un ámbito territorial cuya delimitación no asegura que no puedan quedar sobrepasados los límites territoriales autonómicos, por lo cual, siendo criterio de la competencia de la Generalidad, en materia de transportes terrestres, que éstos discurran íntegramente en el territorio de la Comunidad Autónoma (art. 9.15 del Estatuto de Cataluña), la competencia en el caso que nos ocupa es propia del Estado, y la Generalidad sólo podía ejercerla por delegación. </w:t>
      </w:r>
    </w:p>
    <w:p w:rsidR="001C705E" w:rsidRDefault="001C705E" w:rsidP="001C705E">
      <w:pPr>
        <w:pStyle w:val="TextoNormal"/>
      </w:pPr>
      <w:r>
        <w:t xml:space="preserve">El art. 11 del Estatuto, apartado 9. , induce a pensar que la Generalidad ha recibido por el Estatuto algunas de las competencias que, en materia de transportes, ejercía por delegación, al amparo del art. 19 del Real Decreto de 26 de julio de 1978; así sería, en efecto, en la medida en que se tratara de transporte que tenga su origen y destino en Cataluña, aunque saliera de territorio catalán a lo largo de su trayecto, y fuera llevado a cabo con vehículos residenciados en la Comunidad autónoma. Que el representante de la Generalidad no haya utilizado este argumento indica que el caso en cuestión no era de esta naturaleza. Por lo demás, el tipo de transporte explicado -que puede denominarse «circular»- tiene en la realidad el significado residual y se adapta mejor al llamado transporte regular -de recorrido fijo- que no al transporte discrecional, al que se refiere el art. 19 del Real Decreto de 1978. </w:t>
      </w:r>
    </w:p>
    <w:p w:rsidR="001C705E" w:rsidRDefault="001C705E" w:rsidP="001C705E">
      <w:pPr>
        <w:pStyle w:val="TextoNormal"/>
      </w:pPr>
      <w:r>
        <w:t xml:space="preserve">C) Plantea, por último, el Abogado del Estado la duda sobre si la delegación conferida por el Real Decreto de 1978 seguía en pie tras el Estatuto de Autonomía, pese a no haber sido expresamente renovada. Cabe decir que tampoco fue expresamente revocada y, ciertamente, esta circunstancia ha favorecido la actuación de origen de este conflicto, tanto en lo que toca a la Generalidad al resolver en primera instancia, como en lo que atañe a la Administración del Estado, al resolver el recurso de alzada. Sin embargo, de no estimarse subsistente la delegación, habría que negar a la Generalidad hasta la competencia para dictar el acto luego recurrido en alzada. En contra de la subsistencia, invoca el Abogado del Estado los siguientes argumentos: </w:t>
      </w:r>
    </w:p>
    <w:p w:rsidR="001C705E" w:rsidRDefault="001C705E" w:rsidP="001C705E">
      <w:pPr>
        <w:pStyle w:val="TextoNormal"/>
      </w:pPr>
      <w:r>
        <w:t xml:space="preserve">a) La Constitución no autoriza a establecer que se haya producido una sucesión entre los organismos provisionales autonómicos y las Comunidades Autónomas (disposición transitoria séptima); </w:t>
      </w:r>
    </w:p>
    <w:p w:rsidR="001C705E" w:rsidRDefault="001C705E" w:rsidP="001C705E">
      <w:pPr>
        <w:pStyle w:val="TextoNormal"/>
      </w:pPr>
      <w:r>
        <w:lastRenderedPageBreak/>
        <w:t xml:space="preserve">b) Aunque pudiera apreciarse un fenómeno sucesorio, los precedentes legislativos en nuestro ordenamiento -sucesión de municipios- no extienden la sucesión fuera de las competencias propias -caso de fusión de municipios- (Ley de Régimen Local y Reglamento de Población y Demarcación Territorial, arts. 15 a 25); </w:t>
      </w:r>
    </w:p>
    <w:p w:rsidR="001C705E" w:rsidRDefault="001C705E" w:rsidP="001C705E">
      <w:pPr>
        <w:pStyle w:val="TextoNormal"/>
      </w:pPr>
      <w:r>
        <w:t xml:space="preserve">c) Tras la Constitución y el Estatuto, la competencia para otorgar tarjetas de transporte para servicios públicos discrecionales de viajeros, mercancías o mixtos, de ámbito nacional o de ámbito comarcal y local que excedan del territorio catalán, cae dentro de las que el art. 149.1 enumera como exclusivas del Estado (núm. 21), por lo que con arreglo al art. 20.2 del Código Civil, la delegación puede entenderse tácitamente derogada por incompatibilidad con el nuevo esquema de competencias; </w:t>
      </w:r>
    </w:p>
    <w:p w:rsidR="001C705E" w:rsidRDefault="001C705E" w:rsidP="001C705E">
      <w:pPr>
        <w:pStyle w:val="TextoNormal"/>
      </w:pPr>
      <w:r>
        <w:t xml:space="preserve">d) A partir de la Constitución, la delegación de competencias propias del Estado a las Comunidades Autónomas tiene un cauce específico, que es el del art. 150.2, en virtud del cual es precisa una Ley orgánica. </w:t>
      </w:r>
    </w:p>
    <w:p w:rsidR="001C705E" w:rsidRDefault="001C705E" w:rsidP="001C705E">
      <w:pPr>
        <w:pStyle w:val="TextoNormal"/>
      </w:pPr>
      <w:r>
        <w:t xml:space="preserve">D) Como consecuencia de lo anteriormente expuesto, la representación del Gobierno solicita de este Tribunal que: </w:t>
      </w:r>
    </w:p>
    <w:p w:rsidR="001C705E" w:rsidRDefault="001C705E" w:rsidP="001C705E">
      <w:pPr>
        <w:pStyle w:val="TextoNormal"/>
      </w:pPr>
      <w:r>
        <w:t xml:space="preserve">a) Declare que la delegación conferida por el art. 19 del Real Decreto 2115/1978 ha quedado extinguida por obra de la Constitución y del Estatuto de Autonomía de Cataluña, y que pertenece al Estado la competencia para dictar los actos que dicha delegación amparaba en cuanto no hayan pasado a ser competencia propia de la Generalidad tras el Estatuto; y anule, por consiguiente, la resolución dictada por el Jefe de la sección de la Demarcación de Lérida, del Departamento de Política Territorial y Obras Públicas de la Generalidad. </w:t>
      </w:r>
    </w:p>
    <w:p w:rsidR="001C705E" w:rsidRDefault="001C705E" w:rsidP="001C705E">
      <w:pPr>
        <w:pStyle w:val="TextoNormal"/>
      </w:pPr>
      <w:r>
        <w:t>b) Subsidiariamente, en caso de que la anterior pretensión no sea estimada, declare que pertenece al Estado la competencia para resolver los recursos de alzada interpuestos contra los actos dictados por la Generalidad por delegación de aquél y confirme, en consecuencia, la Resolución impugnada.</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del Pleno de 17 de enero corriente se señaló el 24 del mismo mes para la deliberación y votación de la sentencia de este conflicto.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Un correcto enjuiciamiento del presente recurso exige determinar con precisión los términos en que se encuentra planteado, y cuáles han sido respecto de él las posiciones mantenidas por el Abogado de la Generalidad de Cataluña.</w:t>
      </w:r>
    </w:p>
    <w:p w:rsidR="001C705E" w:rsidRDefault="001C705E" w:rsidP="001C705E">
      <w:pPr>
        <w:pStyle w:val="TextoNormal"/>
      </w:pPr>
      <w:r>
        <w:t>El objeto del conflicto gira en torno a la competencia de la Generalidad de Cataluña para la resolución de los recursos administrativos relativos a las funciones de la Administración del Estado para el otorgamiento de servicios públicos discrecionales de viajeros, mercancías y mixtos, con vehículos residenciados en el ámbito territorial de la Generalidad y amparados por las tarjetas de ámbito local, comarcal y nacional, cuyo ejercicio, «por delegación de la Administración del Estado», le encomendó el art.  19 del Real Decreto 2115/1978, de 26 de julio, por el que se transfirieron a la Generalidad competencias en diversas materias, entre ellas (sección cuarta del capítulo primero), de transportes. Denegada por el Jefe de la Sección de la Demarcación de Lérida del Departamento de Política Territorial y Obras Públicas una autorización de transporte, serie MDCC, e interpuesto por el solicitante de la autorización, don Manuel Farré Albareda, recurso de alzada ante la Dirección General de Transportes del Ministerio de Transportes, Turismo y Comunicacio</w:t>
      </w:r>
      <w:r>
        <w:lastRenderedPageBreak/>
        <w:t>nes, que lo desestimó por Resolución de 17 de mayo de 1982, la Generalidad de Cataluña requirió de incompetencia al Gobierno del Estado y promovió el presente conflicto, por entender que dicha Resolución vulneraba las competencias que corresponden a la Generalidad de Cataluña en virtud de lo establecido en los arts. 149.1.29 de la Constitución, del mencionado Real Decreto 2115/1978, y de los arts. 9.15, 11.9 y disposición transitoria sexta del Estatuto de Autonomía de Cataluña. Por su parte, el Abogado del Estado, al oponerse al conflicto de competencia, no sólo pidió a este Tribunal que se rechazara la petición de la Generalidad de Cataluña, sino que solicitó que en la Sentencia que se dictase se declarara que la delegación conferida por el art. 19 del Real Decreto 2115/1978 ha quedado extinguida por la entrada en vigor de la Constitución y el Estatuto de Autonomía y que pertenece al Estado la competencia para realizar los actos que dicha delegación abarcaba en cuanto no hayan pasado a ser competencia propia de la Generalidad tras el Estatuto, y anule por consiguiente la resolución dictada por el Jefe de la Sección de la Demarcación de Lérida del Departamento de Política Territorial y Obras Públicas de la Generalidad y, subsidiariamente, que se declare que pertenece al Estado la competencia para resolver los recursos de alzada interpuestos contra los actos dictados por la Generalidad por delegación de aquél.</w:t>
      </w:r>
    </w:p>
    <w:p w:rsidR="001C705E" w:rsidRDefault="001C705E" w:rsidP="001C705E">
      <w:pPr>
        <w:pStyle w:val="TextoNormal"/>
      </w:pPr>
    </w:p>
    <w:p w:rsidR="001C705E" w:rsidRDefault="001C705E" w:rsidP="001C705E">
      <w:pPr>
        <w:pStyle w:val="TextoNormal"/>
      </w:pPr>
      <w:r w:rsidRPr="001C705E">
        <w:rPr>
          <w:rStyle w:val="NumeroAFNegritaCaracter"/>
        </w:rPr>
        <w:t>2</w:t>
      </w:r>
      <w:r>
        <w:t>. En la forma en que los definen los arts. 59 y siguientes de la LOTC los «conflictos constitucionales», cuando se suscitan sobre las competencias o atribuciones asignadas directamente por la Constitución, los Estatutos de Autonomía o las leyes orgánicas u ordinarias para delimitar los ámbitos propios del Estado o las Comunidades Autónomas, versan exclusivamente sobre la titularidad de la competencia debatida y sobre la validez o nulidad del acto que da origen al conflicto por estar viciado o no de incompetencia. Quiere ello decir que las partes en conflicto competencial pueden reivindicar las competencias en juego, pero no pueden formular ante este Tribunal peticiones de carácter reconvencional. De esta suerte se llega a la conclusión de que no debe entrarse en el presente asunto a decidir si la delegación, que fue operada por el artículo 19 del Real Decreto 2115/1978, de 26 de julio, queda extinguida por la entrada en vigor de la Constitución y del Estatuto de Autonomía. La cuestión aquí controvertida es la relativa a la competencia para resolver los recursos de alzada interpuestos contra los actos dictados por los órganos de la Generalidad. Y esta cuestión no debe oscurecerse trasladando la relativa a la competencia para dictar el acto administrativo o la resolución que se impugnó en vía de alzada, pues una y otra cuestión deben mantenerse distantes, aunque una y otra sean objeto del conflicto que la Generalidad de Cataluña plantea.</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Delimitado del modo anterior el asunto, conviene hacer dos órdenes de consideraciones.  En primer lugar, con carácter general la competencia para conocer y decidir un recurso de alzada formulado en vía administrativa contra un órgano o servicio de la Generalidad de Cataluña compete al órgano superior que en vía jerárquica dentro de la Generalidad de Cataluña tenga aquel que dictó la resolución recurrida. Por consiguiente, el recurso de alzada interpuesto contra la resolución del Jefe de la Sección de la Demarcación de Lérida del Departamento de Política Territorial y Obras Públicas de la Generalidad, corresponderá conocerlo al órgano competente del mencionado Departamento, sin que en este caso, en que el Ente delegante no se ha reservado este medio de control, sea de aplicación aquí la norma recogida en el artículo 118 de la Ley de Procedimiento Administrativo (como pretende el Abogado del Estado), regla que se refiere a las delegaciones en que se verifica un descenso de atribuciones a través de la línea jerárquica y no resulta aplicable </w:t>
      </w:r>
      <w:r>
        <w:lastRenderedPageBreak/>
        <w:t>a las delegaciones en que la relación jurídica queda trabada entre distintos sujetos o entes de Derecho Público, lo que significa que unas determinadas materias o funciones pasen a inscribirse en un ordenamiento o ámbito competencial distinto a aquel al que corresponde la titularidad originaria sobre tales materias o funciones. En este caso, el régimen jurídico al que quedan sometidas las materias o funciones delegadas será, en principio, el establecido por el ordenamiento propio de la Administración o Ente público que ha recibido la delegación, de lo que se desprende que la delegación de competencias de un ente público a otro conlleva, para este último, la de conocer los recursos administrativos frente a los actos dictados en ejercicio de la misma.</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Que la competencia controvertida en el presente conflicto corresponde a la Generalidad de Cataluña, y</w:t>
      </w:r>
    </w:p>
    <w:p w:rsidR="001C705E" w:rsidRDefault="001C705E" w:rsidP="001C705E">
      <w:pPr>
        <w:pStyle w:val="TextoNormal"/>
      </w:pPr>
      <w:r>
        <w:t>2. Anular en consecuencia la Resolución de 17 de mayo de 1982 emanada de la Dirección General de Transportes del Ministerio de Transportes, Turismo y Comunicaciones impugnada por la Generalidad.</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veintiocho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3" w:name="SENTENCIA_1985_10"/>
      <w:r>
        <w:lastRenderedPageBreak/>
        <w:t>SENTENCIA 10/1985, de 28 de enero de 1985</w:t>
      </w:r>
    </w:p>
    <w:bookmarkEnd w:id="13"/>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37, de 12 de febrero de 1985)</w:t>
      </w:r>
    </w:p>
    <w:p w:rsidR="001C705E" w:rsidRDefault="001C705E" w:rsidP="001C705E">
      <w:pPr>
        <w:pStyle w:val="TtuloBOE"/>
      </w:pPr>
    </w:p>
    <w:p w:rsidR="001C705E" w:rsidRDefault="001C705E" w:rsidP="001C705E">
      <w:pPr>
        <w:pStyle w:val="SntesisDescriptiva"/>
      </w:pPr>
      <w:r>
        <w:t>ECLI:ES:TC:1985:10</w:t>
      </w:r>
    </w:p>
    <w:p w:rsidR="001C705E" w:rsidRDefault="001C705E" w:rsidP="001C705E">
      <w:pPr>
        <w:pStyle w:val="SntesisDescriptiva"/>
      </w:pPr>
    </w:p>
    <w:p w:rsidR="001C705E" w:rsidRDefault="001C705E" w:rsidP="001C705E">
      <w:pPr>
        <w:pStyle w:val="SntesisDescriptiva"/>
      </w:pPr>
      <w:r>
        <w:t>Recurso de amparo 266/1984. Prescripción de la acción entablada por el recurrente contra "Tabacalera, Sociedad Anónima", reclamando indemnización por fallecimiento de su esposa en su condición de viudo supérstite.</w:t>
      </w:r>
    </w:p>
    <w:p w:rsidR="001C705E" w:rsidRDefault="001C705E" w:rsidP="001C705E">
      <w:pPr>
        <w:pStyle w:val="SntesisDescriptiva"/>
      </w:pPr>
    </w:p>
    <w:p w:rsidR="001C705E" w:rsidRDefault="001C705E" w:rsidP="001C705E">
      <w:pPr>
        <w:pStyle w:val="SntesisAnaltica"/>
      </w:pPr>
      <w:r>
        <w:t>Invocación del derecho a no ser discriminado por razón de sexo</w:t>
      </w:r>
    </w:p>
    <w:p w:rsidR="001C705E" w:rsidRDefault="001C705E" w:rsidP="001C705E">
      <w:pPr>
        <w:pStyle w:val="SntesisAnaltica"/>
      </w:pPr>
    </w:p>
    <w:p w:rsidR="001C705E" w:rsidRDefault="001C705E" w:rsidP="001C705E">
      <w:pPr>
        <w:pStyle w:val="Extracto"/>
      </w:pPr>
      <w:r>
        <w:t>1.</w:t>
      </w:r>
      <w:r>
        <w:tab/>
        <w:t xml:space="preserve">El proceso constitucional de amparo tiene por objeto, según determina el art. 161 de la C.E., el restablecimiento y la preservación de los derechos de carácter fundamental comprendidos entre los arts. 14 y 29 y segundo inciso del art. 30, cuando hayan sido vulnerados o violados por los poderes públicos. Entre los derechos susceptibles de amparo constitucional se encuentra obviamente el derecho a la igualdad ante la Ley proclamado por el art. 14 de la Constitución, lo que permite en esta sede de amparo constitucional el restablecimiento de tal derecho cuando haya sido desconocido, con las secuelas de todo tipo que del reconocimiento y de la preservación del derecho dimanen. </w:t>
      </w:r>
    </w:p>
    <w:p w:rsidR="001C705E" w:rsidRDefault="001C705E" w:rsidP="001C705E">
      <w:pPr>
        <w:pStyle w:val="Extracto"/>
      </w:pPr>
    </w:p>
    <w:p w:rsidR="001C705E" w:rsidRDefault="001C705E" w:rsidP="001C705E">
      <w:pPr>
        <w:pStyle w:val="Extracto"/>
      </w:pPr>
      <w:r>
        <w:t>2.</w:t>
      </w:r>
      <w:r>
        <w:tab/>
        <w:t xml:space="preserve">Es manifiesto que en el art. 9.3 de la C.E. no se genera un derecho fundamental susceptible de protección en vía de amparo, ni la interpretación que los Tribunales llevan a cabo de las normas sobre prescripción de acciones y derechos es materia sobre la que este Tribunal haya de pronunciarse, siempre que por dicha vía no quede menoscabado un derecho de carácter fundamental. </w:t>
      </w:r>
    </w:p>
    <w:p w:rsidR="001C705E" w:rsidRDefault="001C705E" w:rsidP="001C705E">
      <w:pPr>
        <w:pStyle w:val="Extracto"/>
      </w:pPr>
    </w:p>
    <w:p w:rsidR="001C705E" w:rsidRDefault="001C705E" w:rsidP="001C705E">
      <w:pPr>
        <w:pStyle w:val="Extracto"/>
      </w:pPr>
      <w:r>
        <w:t>3.</w:t>
      </w:r>
      <w:r>
        <w:tab/>
        <w:t xml:space="preserve">Los Tribunales no le han negado al solicitante del amparo la igualdad, sino que han partido de ella y han aplicado al actual solicitante del amparo la misma prescripción de su actuación indemnizadora que se aplicaría a la posible indemnización de los demandantes del sexo opuesto, sin que el hecho de que no se haya producido un pronunciamiento condenatorio de la norma reglamentaria discutida pueda ser por sí mismo y en forma abstracta objeto del recurso sobre el que nos pronunciamos.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lastRenderedPageBreak/>
        <w:t>SENTENCIA</w:t>
      </w:r>
    </w:p>
    <w:p w:rsidR="001C705E" w:rsidRDefault="001C705E" w:rsidP="001C705E">
      <w:pPr>
        <w:pStyle w:val="TextoNormalCentrado"/>
        <w:keepNext/>
      </w:pPr>
    </w:p>
    <w:p w:rsidR="001C705E" w:rsidRDefault="001C705E" w:rsidP="001C705E">
      <w:pPr>
        <w:pStyle w:val="TextoNormal"/>
      </w:pPr>
      <w:r>
        <w:t>En el recurso de amparo núm. 266/1984, interpuesto por el Procurador de los Tribunales don Ignacio Aguilar Fernández, asistido de Letrado, en nombre de don José Paz Platas, contra la Sentencia dictada por la Sala Primera del Tribunal Central de Trabajo de fecha 22 de febrero de 1984 confirmatoria de otra de la Magistratura de Trabajo núm. 3 de La Coruña de 19 de enero de 1983, recaída en juicio seguido por el hoy solicitante del amparo contra la compañía mercantil «Tabacalera, Sociedad Anónima». En el presente juicio ha sido parte el Procurador de los Tribunales don Santos de Gandarillas Carmona, en nombre de la compañía mercantil «Tabacalera, Sociedad Anónima», y el Fiscal general del Estado. Ha sido Ponente el Magistrado don Luis Díez-Picazo y Ponce de León,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En 9 de octubre de 1982, el actor promovió, mediante la presentación de la oportuna papeleta, la celebración de acto de conciliación contra la Empresa «Tabacalera, Sociedad Anónima», a la que reclamaba el abono de la indemnización por fallecimiento prevista en el art. 50 de la Reglamentación de Trabajo, aplicable, por su condición de viudo supérstite de doña Julia Moreno Díaz, trabajadora que fue de la mencionada Empresa, con destino en la fábrica de tabacos de La Coruña, hasta su óbito, acaecido el 12 de octubre de 1979. </w:t>
      </w:r>
    </w:p>
    <w:p w:rsidR="001C705E" w:rsidRDefault="001C705E" w:rsidP="001C705E">
      <w:pPr>
        <w:pStyle w:val="TextoNormal"/>
      </w:pPr>
      <w:r>
        <w:t xml:space="preserve">Celebrado sin avenencia el acto de conciliación el actor presentó demanda ante el órgano competente de la jurisdicción laboral. En ella solicitaba que le fuera reconocido el derecho a percibir una indemnización equivalente a una anualidad de los salarios devengados por su cónyuge finada, estimando que, si bien el precitado artículo de la Reglamentación Nacional de Trabajo de Tabacalera de 28 de junio de 1946 enumeraba a la viuda supérstite entre los titulares de dicha indemnización, también el viudo había de incluirse en el catálogo de beneficiarios por aplicación del principio de igualdad de sexos, consagrado en el art. 14 de la Constitución. </w:t>
      </w:r>
    </w:p>
    <w:p w:rsidR="001C705E" w:rsidRDefault="001C705E" w:rsidP="001C705E">
      <w:pPr>
        <w:pStyle w:val="TextoNormal"/>
      </w:pPr>
      <w:r>
        <w:t>Admitida a trámite la demanda, la Magistratura de Trabajo número 3 de las de La Coruña pronunció Sentencia el 19 de enero de 1983 en la que, acogiendo la excepción de prescripción de la acción alegada de adverso, absolvió a la empresa demandada.</w:t>
      </w:r>
    </w:p>
    <w:p w:rsidR="001C705E" w:rsidRDefault="001C705E" w:rsidP="001C705E">
      <w:pPr>
        <w:pStyle w:val="TextoNormal"/>
      </w:pPr>
    </w:p>
    <w:p w:rsidR="001C705E" w:rsidRDefault="001C705E" w:rsidP="001C705E">
      <w:pPr>
        <w:pStyle w:val="TextoNormal"/>
      </w:pPr>
      <w:r w:rsidRPr="001C705E">
        <w:rPr>
          <w:rStyle w:val="NumeroAFNegritaCaracter"/>
        </w:rPr>
        <w:t>2</w:t>
      </w:r>
      <w:r>
        <w:t>. Interpuesto recurso de suplicación, el Tribunal Central de Trabajo, mediante resolución de 22 de febrero de 1984, confirmó la decisión del juzgador de instancia, declarando prescrita la acción ejercitada por aplicación del art. 1.939 del Código Civil en relación con los arts. 83 de la Ley de Contrato de Trabajo de 26 de enero de 1944 (LCT) y 59.1 de la Ley del Estatuto de los Trabajadores (ET) de 8 de marzo de 1980, al no haber interesado el actor el reconocimiento del derecho que en su demanda postulaba dentro del plazo de un año a partir de la entrada en vigor de la cita Ley del Estatuto.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El escrito de demanda denuncia la vulneración por la Sentencia combatida de los arts. 14, 35 y 9.3 de la C.E. Los arts. 14 y 35 se habrían infringido por no haber eliminado la resolución recurrida la discriminación contenida en el art. 50 de la Reglamentación Nacional de Trabajo de Tabacalera, que impide generar la indemnización objeto de la litis a aquellos supuestos en los que el trabajador fallecido pertenece al sexo femenino o, visto el fenómeno desde otro ángulo, que niega dicha indemnización al cónyuge supérstite del </w:t>
      </w:r>
      <w:r>
        <w:lastRenderedPageBreak/>
        <w:t xml:space="preserve">sexo masculino. El art. 9.3 de la C. E. se contraviene por cuanto el Tribunal Central de Trabajo, al estimar la prescripción de la acción por el juego del art. 1.939 del Código Civil, en realidad, está aplicando con efectos retroactivos el art. 59.2 ET, que es una norma restrictiva de derechos. Este criterio jurisprudencial incurre en una interpretación errónea del art. 1.939 del Código Civil y se separa, además, de la doctrina sentada por el Tribunal Constitucional en sus Sentencias de 14 y 23 de febrero y de 4 de marzo, todas ellas de 1983, en las que, al resolver similares casos al ahora expuesto, se declara, de un lado, que el plazo de prescripción de las acciones derivadas del contrato de trabajo es de tres años, tal y como consignaba el art. 83 LCT, y, de otro, que la aplicación de una norma posterior y más restrictiva, aparte de conculcar el principio de irretroactividad de disposiciones restrictivas de derechos individuales, viola el derecho del recurrente a no ser discriminado por razón de sexo. </w:t>
      </w:r>
    </w:p>
    <w:p w:rsidR="001C705E" w:rsidRDefault="001C705E" w:rsidP="001C705E">
      <w:pPr>
        <w:pStyle w:val="TextoNormal"/>
      </w:pPr>
      <w:r>
        <w:t>En el suplico de la demanda, se solicita de este Tribunal que declare la nulidad de la Sentencia impugnada así como que se reconozca el derecho del recurrente a no ser discriminado por lo prevenido en el art. 50 de la Reglamentación mencionada y, en consecuencia, se le considere beneficiario de la indemnización allí contemplada, en la misma posición que si de cónyuge viuda se tratase, con derecho al percibo de la anualidad correspondiente.</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Admitido a trámite el recurso de amparo se personó en el mismo el Procurador de los Tribunales don Santos de Gandarillas Carmona, en nombre de «Tabacalera» -Compañía Gestora del Monopolio de Tabacos y Servicios Anejos- y en cumplimiento de lo dispuesto en el art. 52 de la Ley Orgánica de este Tribunal se dio traslado de alegaciones al solicitante del amparo, al Fiscal general del Estado y a la referida Compañía. El solicitante del amparo, en su escrito de alegaciones ratificó los fundamentos de hecho y de derecho y la pretensión sostenida en su inicial demanda. </w:t>
      </w:r>
    </w:p>
    <w:p w:rsidR="001C705E" w:rsidRDefault="001C705E" w:rsidP="001C705E">
      <w:pPr>
        <w:pStyle w:val="TextoNormal"/>
      </w:pPr>
      <w:r>
        <w:t xml:space="preserve">Dice el solicitante del amparo que en su momento pidió ante la Magistratura de Trabajo el reconocimiento y pago de una indemnización, equivalente a una anualidad de salarios, por el fallecimiento de su esposa, ocurrido el 12 de octubre de 1979, operara de la compañía «Tabacalera, Sociedad Anónima», con base en lo dispuesto en el art. 50 de la Reglamentación Nacional de Tabacos. Si bien el citado artículo excluía de la lista de beneficiarios de la misma a los viudos, con la consiguiente eliminación del derecho de las trabajadoras de la empresa a generar, a su fallecimiento, tal beneficio a favor de sus esposos, el solicitante del amparo entendió que la entrada en vigor de la Constitución y por imperativo de los principios de aplicación inmediata recogidos en sus arts. 14 y 35, supuso la supresión, por discriminatoria, de tan inadmisible situación y, en consecuencia, que se debía incluir en la lista del art. 50 de la Reglamentación Nacional de Tabacos al cónyuge viudo en posición idéntica a la que ocupan las viudas. </w:t>
      </w:r>
    </w:p>
    <w:p w:rsidR="001C705E" w:rsidRDefault="001C705E" w:rsidP="001C705E">
      <w:pPr>
        <w:pStyle w:val="TextoNormal"/>
      </w:pPr>
      <w:r>
        <w:t xml:space="preserve">Por lo tanto, el solicitante del amparo se apoyaba en el citado art. 50 de la Reglamentación Nacional de Tabacos, depurado en su contenido, y en el aspecto indicado por los arts. 14 y 35 de la Constitución para instar el reconocimiento y abono de la aludida indemnización. </w:t>
      </w:r>
    </w:p>
    <w:p w:rsidR="001C705E" w:rsidRDefault="001C705E" w:rsidP="001C705E">
      <w:pPr>
        <w:pStyle w:val="TextoNormal"/>
      </w:pPr>
      <w:r>
        <w:t xml:space="preserve">En el sentido apuntado, se pronuncia la doctrina del Tribunal, al sostener la aplicación directa de nuestro Texto Constitucional, desde su entrada en vigor, debiendo considerarse derogados los preceptos que lo violen o contradigan y los que, como en el caso que nos ocupa, contengan discriminaciones favorables o adversas en el empleo, por circunstancias de sexo o estado civil. </w:t>
      </w:r>
    </w:p>
    <w:p w:rsidR="001C705E" w:rsidRDefault="001C705E" w:rsidP="001C705E">
      <w:pPr>
        <w:pStyle w:val="TextoNormal"/>
      </w:pPr>
      <w:r>
        <w:lastRenderedPageBreak/>
        <w:t xml:space="preserve">En la Sentencia dictada por la Magistratura de Trabajo de La Coruña se estima la excepción de prescripción opuesta por «Tabacalera, Sociedad Anónima», y en consecuencia se absuelve a la misma de la demanda. El juzgador de instancia fundamentó su fallo en el hecho de que había transcurrido más de un año desde que entró en vigor el Estatuto de los Trabajadores (15 de marzo de 1980) hasta que se presentó la papeleta de conciliación en el IMAC (9 de octubre de 1982), aplicando el art. 59.2 del citado Estatuto (que establece el plazo de un año para la prescripción de las acciones nacidas del Contrato de Trabajo), con apoyo en lo dispuesto en el art. 1.939 del Código Civil. </w:t>
      </w:r>
    </w:p>
    <w:p w:rsidR="001C705E" w:rsidRDefault="001C705E" w:rsidP="001C705E">
      <w:pPr>
        <w:pStyle w:val="TextoNormal"/>
      </w:pPr>
      <w:r>
        <w:t xml:space="preserve">El solicitante del amparo impugnó la Sentencia por entender que incurría, entre otros motivos, en una clara violación del art. 9.3 de la Constitución que garantiza la irretroactividad de las disposiciones restrictivas de derechos, puesto que el darle efectos retroactivos al Estatuto implica una clara reducción del plazo de prescripción en su perjuicio. No obstante, el Tribunal Central de Trabajo confirmó Sentencia con desestimación del recurso. </w:t>
      </w:r>
    </w:p>
    <w:p w:rsidR="001C705E" w:rsidRDefault="001C705E" w:rsidP="001C705E">
      <w:pPr>
        <w:pStyle w:val="TextoNormal"/>
      </w:pPr>
      <w:r>
        <w:t xml:space="preserve">En resumen, el solicitante del amparo sostiene la absoluta inaplicabilidad al presente caso del art. 59.2 del Estatuto, ya que carece de toda virtualidad o debe carecer de ella, precisamente porque vulnera nuestro Texto Fundamental. Así se manifiesta el Tribunal en las Sentencias mencionadas, entendiendo que el plazo de prescripción es el de tres años (sin limitación alguna) del art. 83 de la Ley de Contrato de Trabajo, ya que lo contrario supondría dar una interpretación al Estatuto que lo haría chocar con el principio de irretroactividad de disposiciones restrictivas de derechos individuales que consagra el art. 9.3 de la Constitución con violación asimismo del derecho del recurrente a no ser objeto de un trato discriminatorio por razón de sexo en el ámbito laboral. </w:t>
      </w:r>
    </w:p>
    <w:p w:rsidR="001C705E" w:rsidRDefault="001C705E" w:rsidP="001C705E">
      <w:pPr>
        <w:pStyle w:val="TextoNormal"/>
      </w:pPr>
      <w:r>
        <w:t xml:space="preserve">Por su parte, el Fiscal general del Estado entiende que los puntos a tratar en este asunto son dos: Si existe la discriminación demandada por razón de sexo en el art. 50 de la referida Reglamentación; y si la interpretación realizada por la Sentencia impugnada al decretar la prescripción de la acción del recurrente, produce una vulneración del derecho acogido en el art. 14 de la Constitución. </w:t>
      </w:r>
    </w:p>
    <w:p w:rsidR="001C705E" w:rsidRDefault="001C705E" w:rsidP="001C705E">
      <w:pPr>
        <w:pStyle w:val="TextoNormal"/>
      </w:pPr>
      <w:r>
        <w:t xml:space="preserve">El art. 50 de la Reglamentación de 1969 establece, en cuanto al régimen de auxilio económico por fallecimiento, el siguiente esquema: </w:t>
      </w:r>
    </w:p>
    <w:p w:rsidR="001C705E" w:rsidRDefault="001C705E" w:rsidP="001C705E">
      <w:pPr>
        <w:pStyle w:val="TextoNormal"/>
      </w:pPr>
      <w:r>
        <w:t xml:space="preserve">a) Si fallece un «empleado de sexo masculino», sus familiares tienen derecho al auxilio económico, sin limitación en las condiciones. </w:t>
      </w:r>
    </w:p>
    <w:p w:rsidR="001C705E" w:rsidRDefault="001C705E" w:rsidP="001C705E">
      <w:pPr>
        <w:pStyle w:val="TextoNormal"/>
      </w:pPr>
      <w:r>
        <w:t xml:space="preserve">b) Si fallece una «empleada» percibirá el auxilio económico si fuere viuda o soltera, los hijos, padres o hermanos, que tuviere a su cargo. </w:t>
      </w:r>
    </w:p>
    <w:p w:rsidR="001C705E" w:rsidRDefault="001C705E" w:rsidP="001C705E">
      <w:pPr>
        <w:pStyle w:val="TextoNormal"/>
      </w:pPr>
      <w:r>
        <w:t xml:space="preserve">El viudo sólo lo percibirá, si no estuviere separado legalmente ni de hecho y si se halla incapacitado para el trabajo sin percibir pensión ni socorro alguno o si la percibiere no superior al salario mínimo. De lo dicho, se desprende que la viuda recibirá siempre el auxilio económico y el viudo solamente en los casos de incapacidad para el trabajo. Hay pues un régimen distinto, únicamente dependiente del sexo, respecto al derecho a percibir un auxilio económico. </w:t>
      </w:r>
    </w:p>
    <w:p w:rsidR="001C705E" w:rsidRDefault="001C705E" w:rsidP="001C705E">
      <w:pPr>
        <w:pStyle w:val="TextoNormal"/>
      </w:pPr>
      <w:r>
        <w:t xml:space="preserve">Esta diferenciación supone una discriminación, ya que la Constitución en su art. 14 dice que «los españoles son iguales ante la ley» y sigue determinando que contra este principio de igualdad, «no puede prevalecer nacimiento, raza, sexo, ...». </w:t>
      </w:r>
    </w:p>
    <w:p w:rsidR="001C705E" w:rsidRDefault="001C705E" w:rsidP="001C705E">
      <w:pPr>
        <w:pStyle w:val="TextoNormal"/>
      </w:pPr>
      <w:r>
        <w:t xml:space="preserve">Los españoles no sólo deben ser tratados de manera igual por la ley cuando se encuentren en situaciones iguales, sino que es necesario que la misma ley establezca un tratamiento igual para todos los individuos o grupos que se encuentren en identidad de situaciones. </w:t>
      </w:r>
    </w:p>
    <w:p w:rsidR="001C705E" w:rsidRDefault="001C705E" w:rsidP="001C705E">
      <w:pPr>
        <w:pStyle w:val="TextoNormal"/>
      </w:pPr>
      <w:r>
        <w:t>La jurisprudencia del Tribunal en su Sentencia de 10 de julio de 1981 dice: «el principio de igualdad encierra una prohibición de discriminación de tal manera que ante situa</w:t>
      </w:r>
      <w:r>
        <w:lastRenderedPageBreak/>
        <w:t xml:space="preserve">ciones iguales deben darse tratamientos iguales»; y la Sentencia de 12 de noviembre de 1981 dice que «lo que prohíbe el principio de igualdad jurídica es la discriminación que la desigualdad de tratamiento sea injustificada por no ser razonable»; y la Sentencia del Tribunal Constitucional de 5 de mayo de 1982 exige ««un especial rigor, a la hora de considerar justificada una desigualdad». </w:t>
      </w:r>
    </w:p>
    <w:p w:rsidR="001C705E" w:rsidRDefault="001C705E" w:rsidP="001C705E">
      <w:pPr>
        <w:pStyle w:val="TextoNormal"/>
      </w:pPr>
      <w:r>
        <w:t xml:space="preserve">La norma que estudiamos supone un trato desigual en perjuicio del viudo, ya que sólo cobra el auxilio económico en el caso de concurrir las circunstancias expuestas, mientras la viuda lo cobrará en todo caso. </w:t>
      </w:r>
    </w:p>
    <w:p w:rsidR="001C705E" w:rsidRDefault="001C705E" w:rsidP="001C705E">
      <w:pPr>
        <w:pStyle w:val="TextoNormal"/>
      </w:pPr>
      <w:r>
        <w:t xml:space="preserve">No se puede discutir el trato desigual en contra del varón: El supuesto es igual -fallecimiento del cónyuge- mientras las consecuencias según este artículo son diferentes. </w:t>
      </w:r>
    </w:p>
    <w:p w:rsidR="001C705E" w:rsidRDefault="001C705E" w:rsidP="001C705E">
      <w:pPr>
        <w:pStyle w:val="TextoNormal"/>
      </w:pPr>
      <w:r>
        <w:t xml:space="preserve">Se puede también afirmar que la referencia del art. 35 de la Constitución a «la remuneración suficiente, sin posibilidad de discriminación por razón de sexo», fundamenta la no posibilidad de consecuencias distintas por supuestos iguales. </w:t>
      </w:r>
    </w:p>
    <w:p w:rsidR="001C705E" w:rsidRDefault="001C705E" w:rsidP="001C705E">
      <w:pPr>
        <w:pStyle w:val="TextoNormal"/>
      </w:pPr>
      <w:r>
        <w:t xml:space="preserve">El art. 50 establece una discriminación por razón de sexo en perjuicio del varón, y esta discriminación la hace una norma, como es la Reglamentación de Trabajo. </w:t>
      </w:r>
    </w:p>
    <w:p w:rsidR="001C705E" w:rsidRDefault="001C705E" w:rsidP="001C705E">
      <w:pPr>
        <w:pStyle w:val="TextoNormal"/>
      </w:pPr>
      <w:r>
        <w:t xml:space="preserve">En la Sentencia del Tribunal Constitucional de fecha 22 de noviembre de 1982, se contempla en caso semejante la declaración de discriminación por razón de sexo: En el supuesto de la Sentencia, referido a la pensión de la Seguridad Social, en el presente al auxilio económico por razón de fallecimiento. </w:t>
      </w:r>
    </w:p>
    <w:p w:rsidR="001C705E" w:rsidRDefault="001C705E" w:rsidP="001C705E">
      <w:pPr>
        <w:pStyle w:val="TextoNormal"/>
      </w:pPr>
      <w:r>
        <w:t xml:space="preserve">Hay que concluir, pues, a juicio del Fiscal, que el precepto establece una discriminación por razón del sexo, que no posee ninguna justificación que la pueda mantener. </w:t>
      </w:r>
    </w:p>
    <w:p w:rsidR="001C705E" w:rsidRDefault="001C705E" w:rsidP="001C705E">
      <w:pPr>
        <w:pStyle w:val="TextoNormal"/>
      </w:pPr>
      <w:r>
        <w:t xml:space="preserve">De todo ello se infiere que el recurrente tenía perfecto derecho a solicitar el auxilio económico, porque al ser el art. 50 en ese punto contrario a la Constitución, no tiene efectividad por su derogación desde el momento de su promulgación de la misma, y es de aplicación inmediata, por su propia virtualidad, por el juzgador. </w:t>
      </w:r>
    </w:p>
    <w:p w:rsidR="001C705E" w:rsidRDefault="001C705E" w:rsidP="001C705E">
      <w:pPr>
        <w:pStyle w:val="TextoNormal"/>
      </w:pPr>
      <w:r>
        <w:t xml:space="preserve">La Sentencia impugnada no llega al fondo del problema planteado, por apreciar la existencia de la prescripción para el ejercicio de la acción. </w:t>
      </w:r>
    </w:p>
    <w:p w:rsidR="001C705E" w:rsidRDefault="001C705E" w:rsidP="001C705E">
      <w:pPr>
        <w:pStyle w:val="TextoNormal"/>
      </w:pPr>
      <w:r>
        <w:t xml:space="preserve">No cabe duda que la interpretación por parte del juzgador, de los preceptos que aplican las prescripciones, es de legalidad ordinaria, y por lo tanto vedado, en principio, su discusión y revisión en sede constitucional. </w:t>
      </w:r>
    </w:p>
    <w:p w:rsidR="001C705E" w:rsidRDefault="001C705E" w:rsidP="001C705E">
      <w:pPr>
        <w:pStyle w:val="TextoNormal"/>
      </w:pPr>
      <w:r>
        <w:t xml:space="preserve">Sin embargo esta interpretación concerniente a la legalidad ordinaria debe ser examinada en virtud de la Sentencia de 17 de julio de 1981 del Tribunal Constitucional según la cual «nada de lo que concierne al ejercicio por los ciudadanos de los derechos que la Constitución les reconoce, puede considerarse nunca ajeno a este Tribunal» y con fundamento en la Sentencia de 14 de febrero de 1983, en la que «se entra a analizar, siempre al hilo de la Sentencia impugnada, normas de legalidad ordinaria, siempre que afecten al problema del derecho fundamental de no ser discriminado por razón del sexo». </w:t>
      </w:r>
    </w:p>
    <w:p w:rsidR="001C705E" w:rsidRDefault="001C705E" w:rsidP="001C705E">
      <w:pPr>
        <w:pStyle w:val="TextoNormal"/>
      </w:pPr>
      <w:r>
        <w:t xml:space="preserve">La Sentencia impugnada desconoce la doctrina mantenida en supuesto semejante, respecto al instituto de la prescripción. Dice el Tribunal Constitucional en la Sentencia antes referida de 14 de febrero de 1983, que la norma discriminatoria quedó derogada con la publicación de la Constitución, por lo que la efectividad de aquélla dejó de existir ese mismo día. </w:t>
      </w:r>
    </w:p>
    <w:p w:rsidR="001C705E" w:rsidRDefault="001C705E" w:rsidP="001C705E">
      <w:pPr>
        <w:pStyle w:val="TextoNormal"/>
      </w:pPr>
      <w:r>
        <w:t xml:space="preserve">La Sentencia impugnada aplica la prescripción porque si bien el nacimiento del derecho a solicitar el auxilio económico nació durante la vigencia de la Ley de Contrato de Trabajo, en que el plazo de prescripción sea de tres años, art. 83, no obstante el ejercicio del derecho se realizó durante la vigencia del Estatuto de los Trabajadores, cuyo plazo es de un año y en este caso de acuerdo con la disposición transitoria regla 4.ª del Código Civil, y el art. 1.939 del mismo Código, se tiene que aplicar dicho plazo. </w:t>
      </w:r>
    </w:p>
    <w:p w:rsidR="001C705E" w:rsidRDefault="001C705E" w:rsidP="001C705E">
      <w:pPr>
        <w:pStyle w:val="TextoNormal"/>
      </w:pPr>
      <w:r>
        <w:lastRenderedPageBreak/>
        <w:t xml:space="preserve">La Sentencia del Tribunal Constitucional de 14 de febrero de 1983 señala, frente a una interpretación idéntica realizada por la jurisdicción laboral, «que la aplicación del art. 59.2 del Estatuto de los Trabajadores no puede aplicarse porque ello implicaría la eficacia retroactiva de tal precepto en contra de lo dispuesto en el art. 9.3 de la Constitución, que garantiza la irretroactividad de las disposiciones restrictivas de derechos individuales, así como la norma específica del Estatuto de los Trabajadores, remitiéndose a la Ley de Contrato de Trabajo para regular las situaciones nacidas durante su vigencia. Estas dos normas, una constitucional y otra laboral, son de aplicación preferente respecto al art. 1.939 del Código Civil, ya que aquéllas, al no distinguir, no permiten una interpretación restrictiva de los derechos individuales. </w:t>
      </w:r>
    </w:p>
    <w:p w:rsidR="001C705E" w:rsidRDefault="001C705E" w:rsidP="001C705E">
      <w:pPr>
        <w:pStyle w:val="TextoNormal"/>
      </w:pPr>
      <w:r>
        <w:t xml:space="preserve">En el recurso de amparo, el derecho del recurrente, al ser derogado por la Constitución el art. 50 de los Reglamentos de Trabajo en cuanto a la discriminación nace el día del fallecimiento de su mujer, y en este día estaba vigente la Ley de Contrato de Trabajo, que debe ser aplicada, en su totalidad, y por lo tanto respecto al plazo de prescripción que es de tres años (art. 83). </w:t>
      </w:r>
    </w:p>
    <w:p w:rsidR="001C705E" w:rsidRDefault="001C705E" w:rsidP="001C705E">
      <w:pPr>
        <w:pStyle w:val="TextoNormal"/>
      </w:pPr>
      <w:r>
        <w:t xml:space="preserve">La interpretación de las normas de la prescripción realizada por la resolución judicial afecta al derecho constitucional del recurrente a no ser discriminado por razón de sexo, ya que le impide el ejercicio del mismo, puede y debe ser examinado por el Tribunal Constitucional. </w:t>
      </w:r>
    </w:p>
    <w:p w:rsidR="001C705E" w:rsidRDefault="001C705E" w:rsidP="001C705E">
      <w:pPr>
        <w:pStyle w:val="TextoNormal"/>
      </w:pPr>
      <w:r>
        <w:t xml:space="preserve">Por todo ello, el Ministerio Fiscal, interesa que se dicte, de acuerdo con el art. 86.1 de la LOTC, Sentencia estimando la demanda de amparo y concediendo éste con la declaración de nulidad de la Sentencia de Magistratura de Trabajo y del Tribunal Central de Trabajo. </w:t>
      </w:r>
    </w:p>
    <w:p w:rsidR="001C705E" w:rsidRDefault="001C705E" w:rsidP="001C705E">
      <w:pPr>
        <w:pStyle w:val="TextoNormal"/>
      </w:pPr>
      <w:r>
        <w:t xml:space="preserve">Finalmente, la representación de «Tabacalera, Sociedad Anónima», manifiesta que a su juicio no es admisible recurso formalizado de contrario ya que, incumpliendo el requisito previsto en el apdo. c) del núm. 1 del art. 44 de la Ley Orgánica de este Tribunal, el recurrente no ha hecho la invocación formal en el proceso del derecho constitucional que estima vulnerado y que ahora constituye el fundamento del amparo que reclama. En el recurso que comentamos, alega supuesta infracción de los arts. 14 y 35 de la Constitución Española, invocación que constituye un hecho nuevo, ya que en la instancia no efectúa cita constitucional alguna y en cuanto al recurso de suplicación, la única mención de un precepto constitucional es la contenida en el motivo quinto, pero referido exclusivamente al art. 9.3 de la Constitución en cuanto a irretroactividad de las disposiciones sancionadoras no favorables o restrictivas de derechos individuales, seguridad ciudadana, etc., supuesto que evidentemente nada tiene que ver con la cuestión controvertida ante los Tribunales ordinarios que se reduce al percibo de una anualidad por fallecimiento. </w:t>
      </w:r>
    </w:p>
    <w:p w:rsidR="001C705E" w:rsidRDefault="001C705E" w:rsidP="001C705E">
      <w:pPr>
        <w:pStyle w:val="TextoNormal"/>
      </w:pPr>
      <w:r>
        <w:t xml:space="preserve">Con carácter fundamental señalamos que el citado artículo constitucional 9.3 no es de los que entran en el ámbito del recurso de amparo, ceñido a los derechos y libertades reconocidos en los arts. 14 al 29, ambos inclusive, conforme expresamente señala el art. 41.1 de la Ley Orgánica que desarrolla y relaciona los derechos y libertades que sí dan acceso al amparo y que contempla el art. 53.2 de la Constitución, a la que se remite el art. 2.1 b) de la Ley Orgánica al ceñir y definir el ámbito del recurso de amparo. </w:t>
      </w:r>
    </w:p>
    <w:p w:rsidR="001C705E" w:rsidRDefault="001C705E" w:rsidP="001C705E">
      <w:pPr>
        <w:pStyle w:val="TextoNormal"/>
      </w:pPr>
      <w:r>
        <w:t xml:space="preserve">Es evidente, pues, que si el único precepto constitucional invocado en la primera instancia y en el recurso de suplicación es el 9.3, no procede en ningún caso el otorgamiento del amparo que se reclama para exceder del ámbito de protección legalmente establecido, y ello, haciendo abstracción de si la simple invocación numeraria de un artículo de la Constitución ha de entenderse que cumple la interpretación finalista de impetrar en las instancias la protección constitucional. </w:t>
      </w:r>
    </w:p>
    <w:p w:rsidR="001C705E" w:rsidRDefault="001C705E" w:rsidP="001C705E">
      <w:pPr>
        <w:pStyle w:val="TextoNormal"/>
      </w:pPr>
      <w:r>
        <w:lastRenderedPageBreak/>
        <w:t xml:space="preserve">Como conclusión, ninguno de los arts. 14 al 29 de la Constitución han sido invocados, ni en primera ni en segunda instancia, ante la jurisdicción común y, por tal hecho, el presente recurso de amparo debe ser desestimado. </w:t>
      </w:r>
    </w:p>
    <w:p w:rsidR="001C705E" w:rsidRDefault="001C705E" w:rsidP="001C705E">
      <w:pPr>
        <w:pStyle w:val="TextoNormal"/>
      </w:pPr>
      <w:r>
        <w:t xml:space="preserve">Entrando en el fundamento de las Sentencias dictadas, es de ver que las mismas aplican correctamente el art. 1.939 del Código Civil en cuanto determina que la prescripción comenzada antes de la publicación del Código se regirá por la legislación anterior al mismo, pero si, desde que fuere puesta en observancia, transcurriese todo el tiempo exigido en la nueva normativa para la prescripción, surtiría ésta su efecto. </w:t>
      </w:r>
    </w:p>
    <w:p w:rsidR="001C705E" w:rsidRDefault="001C705E" w:rsidP="001C705E">
      <w:pPr>
        <w:pStyle w:val="TextoNormal"/>
      </w:pPr>
      <w:r>
        <w:t xml:space="preserve">Tan claro mandato del fundamental precepto regulador de la prescripción ha sido reconocido como de plena aplicación al campo laboral en reiteradísimas Sentencias, tanto del Tribunal Central como del Tribunal Supremo, citando, entre otras, y respecto al primero de dichos órganos, las de 8 de agosto de 1980, 2 de diciembre de 1981, 18 de octubre y 4 de noviembre de 1982, 15 de enero y 4 de julio de 1983 y la recaída en los autos de los que trae causa el presente recurso. </w:t>
      </w:r>
    </w:p>
    <w:p w:rsidR="001C705E" w:rsidRDefault="001C705E" w:rsidP="001C705E">
      <w:pPr>
        <w:pStyle w:val="TextoNormal"/>
      </w:pPr>
      <w:r>
        <w:t xml:space="preserve">En cuanto a la aplicación de dicho precepto legal y su interpretación jurisprudencial al caso debatido, fácil es de ver que, desde la entrada en vigor del Estatuto (15 de marzo de 1980) hasta el inicio de la reclamación por el demandante del amparo, han transcurrido más de dos años, cuando el nuevo período prescriptivo era de un solo año. </w:t>
      </w:r>
    </w:p>
    <w:p w:rsidR="001C705E" w:rsidRDefault="001C705E" w:rsidP="001C705E">
      <w:pPr>
        <w:pStyle w:val="TextoNormal"/>
      </w:pPr>
      <w:r>
        <w:t xml:space="preserve">En el presente recurso de amparo resulta claro que lo ahora interesado no es sino la pretensión de que ese Alto Tribunal declare inaplicable el citado precepto del Código Civil, así como el instituto de la prescripción en el campo del Derecho Laboral. Ello no es en esencia sino una acción de inconstitucionalidad insertada individualmente en un proceso de amparo, para lo que obviamente carece el actor de legitimación. </w:t>
      </w:r>
    </w:p>
    <w:p w:rsidR="001C705E" w:rsidRDefault="001C705E" w:rsidP="001C705E">
      <w:pPr>
        <w:pStyle w:val="TextoNormal"/>
      </w:pPr>
      <w:r>
        <w:t xml:space="preserve">Puede recordarse al respecto la Sentencia de la misma Sala de 21 de abril de 1982, dictada en recurso de amparo 373/1981. </w:t>
      </w:r>
    </w:p>
    <w:p w:rsidR="001C705E" w:rsidRDefault="001C705E" w:rsidP="001C705E">
      <w:pPr>
        <w:pStyle w:val="TextoNormal"/>
      </w:pPr>
      <w:r>
        <w:t xml:space="preserve">La supuesta inconstitucionalidad del mencionado art. 1.939 y los concordantes que citan las Sentencias dictadas por la Magistratura y el Tribunal Central, sólo podría ser instada conforme a los arts. 32 y 35 y siguientes de la Ley Orgánica de ese Tribunal, por los órganos y autoridades que dicho precepto establece. </w:t>
      </w:r>
    </w:p>
    <w:p w:rsidR="001C705E" w:rsidRDefault="001C705E" w:rsidP="001C705E">
      <w:pPr>
        <w:pStyle w:val="TextoNormal"/>
      </w:pPr>
      <w:r>
        <w:t xml:space="preserve">No se puede determinar en qué consiste la discriminación, ya que si el recurrente hubiera deducido su acción dentro del plazo hábil para ello, el de un año a partir del Estatuto, no se hubieran producido las Sentencias cuya nulidad preconiza. </w:t>
      </w:r>
    </w:p>
    <w:p w:rsidR="001C705E" w:rsidRDefault="001C705E" w:rsidP="001C705E">
      <w:pPr>
        <w:pStyle w:val="TextoNormal"/>
      </w:pPr>
      <w:r>
        <w:t>En consecuencia, a él sólo le es imputable el rechazo de su pretensión por los Tribunales ordinarios. 5 aún hay más, de accederse a una pretensión tan infundada como la presente, la desigualdad y la discriminación existirían respecto a todos aquellos que ejercitaron sus acciones en el más estricto acatamiento de la legalidad vigente y a todos aquellos que, por cualquier causa laboral y no sólo de la naturaleza reclamada por el hoy recurrente, vieron desestimadas sus pretensiones en materia de salarios o de cualquier otro aspecto laboral, precisamente por aplicación del instituto de la prescripción extintiva.</w:t>
      </w:r>
    </w:p>
    <w:p w:rsidR="001C705E" w:rsidRDefault="001C705E" w:rsidP="001C705E">
      <w:pPr>
        <w:pStyle w:val="TextoNormal"/>
      </w:pPr>
    </w:p>
    <w:p w:rsidR="001C705E" w:rsidRDefault="001C705E" w:rsidP="001C705E">
      <w:pPr>
        <w:pStyle w:val="TextoNormal"/>
      </w:pPr>
      <w:r w:rsidRPr="001C705E">
        <w:rPr>
          <w:rStyle w:val="NumeroAFNegritaCaracter"/>
        </w:rPr>
        <w:t>5</w:t>
      </w:r>
      <w:r>
        <w:t>. Por providencia de 14 de noviembre de 1984 se señaló para deliberación y votación del recurso el día 16 de enero de 1985.</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No puede acogerse la causa de inadmisión del recurso de amparo que en su escrito de alegaciones propone la representación de «Tabacalera, Sociedad Anónima», por falta </w:t>
      </w:r>
      <w:r>
        <w:lastRenderedPageBreak/>
        <w:t>de invocación del derecho constitucional supuestamente vulnerado en el proceso a quo, pues lo cierto es que en su escrito inicial ante la Magistratura Provincial de Trabajo de La Coruña el señor Paz Platas, si bien fundó su pretensión en las disposiciones especiales del Derecho Laboral, mencionó de manera expresa el art. 14 de la Constitución y el 35 del referido Texto Fundamental.</w:t>
      </w:r>
    </w:p>
    <w:p w:rsidR="001C705E" w:rsidRDefault="001C705E" w:rsidP="001C705E">
      <w:pPr>
        <w:pStyle w:val="TextoNormal"/>
      </w:pPr>
    </w:p>
    <w:p w:rsidR="001C705E" w:rsidRDefault="001C705E" w:rsidP="001C705E">
      <w:pPr>
        <w:pStyle w:val="TextoNormal"/>
      </w:pPr>
      <w:r w:rsidRPr="001C705E">
        <w:rPr>
          <w:rStyle w:val="NumeroAFNegritaCaracter"/>
        </w:rPr>
        <w:t>2</w:t>
      </w:r>
      <w:r>
        <w:t>. El proceso constitucional de amparo tiene por objeto, según determina el art. 161 de la Constitución, el restablecimiento y la preservación de los derechos de carácter fundamental comprendidos entre los arts. 14 y 29 y segundo inciso del art. 30, cuando hayan sido vulnerados o violados por los poderes públicos. Entre los derechos susceptibles de amparo constitucional se encuentra obviamente el derecho a la igualdad ante la Ley proclamado por el art. 14 de la Constitución, lo que permite en esta sede de amparo constitucional el restablecimiento de tal derecho cuando haya sido desconocido, con las secuelas de todo tipo que del reconocimiento y de la preservación del derecho dimanen.</w:t>
      </w:r>
    </w:p>
    <w:p w:rsidR="001C705E" w:rsidRDefault="001C705E" w:rsidP="001C705E">
      <w:pPr>
        <w:pStyle w:val="TextoNormal"/>
      </w:pPr>
    </w:p>
    <w:p w:rsidR="001C705E" w:rsidRDefault="001C705E" w:rsidP="001C705E">
      <w:pPr>
        <w:pStyle w:val="TextoNormal"/>
      </w:pPr>
      <w:r w:rsidRPr="001C705E">
        <w:rPr>
          <w:rStyle w:val="NumeroAFNegritaCaracter"/>
        </w:rPr>
        <w:t>3</w:t>
      </w:r>
      <w:r>
        <w:t>. En el caso presente don José Paz Platas ha encontrado la discriminación de la que se considera víctima en el trato jurídico que las normas reguladoras del trabajo en Tabacalera establecen una prestación por fallecimiento de una anualidad de salarios, que se reconoce plenamente cuando se trata de fallecimiento de personas de sexo masculino, y que se limita en los casos de fallecimiento del personal de sexo femenino. Sin embargo, cualquiera que sea el juicio que a este Tribunal pueda merecer la mencionada norma de carácter reglamentario, lo que hay que decir en el presente caso, porque es lo único que aquí se ha cuestionado, es si el derecho de don José Paz Platas a la igualdad ante la ley y a la no discriminación ha sido violado por los poderes públicos del Estado español en forma que haga necesario el amparo constitucional, pues ésta y no otras es la cuestión que a nosotros nos tiene que ocupar. Y en ese sentido es digno de destacarse que tanto en la Sentencia de la Magistratura de Trabajo de La Coruña de 19 de enero de 1983, como en la Sentencia del Tribunal Central de Trabajo de 22 de febrero de 1984, no se establece tal discriminación, pues no se le niega su derecho, en iguales condiciones que al personal de sexo femenino, al percibo de la prestación, y lo único que se hace es entender prescrita su acción para reclamar la referida indemnización, debiendo señalarse que la prescripción que se aplica no es la prescripción del derecho a obtener la igualdad pretendida, que los tribunales no han llegado a negarle en ningún momento, sino la prescripción de la acción de reclamación de la prestación por fallecimiento, que, como señala con acierto la representación de «Tabacalera», sería igual en el caso de que la demanda hubiera sido formulada por acreedor de diferente sexo, de manera que al haber igual aplicación de idéntico plazo prescriptivo y no negar al derecho al percibo de la indemnización, las Sentencias discutidas no han violado el art. 14 de la Constitución.</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Que el art. 14 de la Constitución no es el que está en juego en este asunto a partir del momento en que se dictó la Sentencia de la Magistratura de Trabajo, que no consagró discriminación alguna, es algo que comprende el recurrente, que a partir de ese momento tiene que trasladar su fundamentación a la interpretación errónea y aplicación indebida del art. 1.939 del Código Civil como violación del art. 9.3 de la Constitución y de las reglas relativas a la retroactividad o irretroactividad de las normas legales, por considerar que la acción se estimó prescrita en virtud de una regla introducida por el Estatuto de los Trabajadores, en lugar de permitir el funcionamiento de la prescripción más extensa de la Ley </w:t>
      </w:r>
      <w:r>
        <w:lastRenderedPageBreak/>
        <w:t>de Contratos de Trabajo. Sin embargo es manifiesto que en el art. 9.3 de la Constitución no se genera un derecho fundamental susceptible de protección en vía de amparo, ni la interpretación que los tribunales llevan a cabo de las normas sobre prescripción de acciones y derechos es materia sobre la que este Tribunal haya de pronunciarse, siempre que por dicha vía no quede menoscabado un derecho de carácter fundamental.</w:t>
      </w:r>
    </w:p>
    <w:p w:rsidR="001C705E" w:rsidRDefault="001C705E" w:rsidP="001C705E">
      <w:pPr>
        <w:pStyle w:val="TextoNormal"/>
      </w:pPr>
    </w:p>
    <w:p w:rsidR="001C705E" w:rsidRDefault="001C705E" w:rsidP="001C705E">
      <w:pPr>
        <w:pStyle w:val="TextoNormal"/>
      </w:pPr>
      <w:r w:rsidRPr="001C705E">
        <w:rPr>
          <w:rStyle w:val="NumeroAFNegritaCaracter"/>
        </w:rPr>
        <w:t>5</w:t>
      </w:r>
      <w:r>
        <w:t>. Aunque otra cosa haya entendido el Ministerio Fiscal en el presente caso no es de aplicar la doctrina que este Tribunal sentó en las Sentencias de 14 de febrero de 1983 y en las subsiguientes que mantuvieron la misma línea, porque allí se trataba de una discriminación efectiva y no discutida, y además, persistente -la suspensión de unos contratos de trabajo por razón de matrimonio de los trabajadores- y la prescripción, al incidir sobre la supresión de tal situación, afectaba al derecho fundamental en sí mismo considerado, perspectiva radicalmente distinta de la que presenta el caso actual, donde, como ya se ha dicho, los tribunales no le han negado al solicitante del amparo la igualdad, sino que han partido de ella y han aplicado al actual solicitante del amparo la misma prescripción de su actuación indemnizatoria que se aplicaría a la posible indemnización de los demandantes del sexo opuesto, sin que el hecho de que no se haya producido un pronunciamiento condenatorio de la norma reglamentaria discutida pueda ser por sí mismo y en forma abstracta objeto del recurso sobre el que nos pronunciamos.</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virtud de todo ello,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Desestimar el presente recurso de amparo.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veintiocho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4" w:name="SENTENCIA_1985_11"/>
      <w:r>
        <w:lastRenderedPageBreak/>
        <w:t>SENTENCIA 11/1985, de 30 de enero de 1985</w:t>
      </w:r>
    </w:p>
    <w:bookmarkEnd w:id="14"/>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ECLI:ES:TC:1985:11</w:t>
      </w:r>
    </w:p>
    <w:p w:rsidR="001C705E" w:rsidRDefault="001C705E" w:rsidP="001C705E">
      <w:pPr>
        <w:pStyle w:val="SntesisDescriptiva"/>
      </w:pPr>
    </w:p>
    <w:p w:rsidR="001C705E" w:rsidRDefault="001C705E" w:rsidP="001C705E">
      <w:pPr>
        <w:pStyle w:val="SntesisDescriptiva"/>
      </w:pPr>
      <w:r>
        <w:t>Recurso de amparo 596/1983. Contra resoluciones judiciales dictadas en la primera fase del procedimiento de extradición pasiva seguido contra el recurrente</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En nuestro Derecho, el procedimiento de extradición pasiva se divide sustancialmente, y para lo que aquí interesa, en dos fases: una, que se suele denominar gubernativa, aunque como veremos inmediatamente requiere una intervención judicial, que tiene por objeto el aseguramiento del reclamado y la decisión del Gobierno español sobre si ha lugar o no a continuar el procedimiento. La segunda fase de carácter judicial se sustancia, salvo asentimiento de la persona reclamada a la extradición, en un juicio contradictorio con la presencia del Fiscal, del interesado y de su defensor, debiendo resolver el Tribunal competente mediante Auto motivado. La intervención judicial es necesaria en la primera fase para decretar la prisión del reclamado y para mantenerlo en esa situación cuando proceda legalmente. El Juez ejercita en este caso un control sobre la privación de libertad del reclamado que viene hoy impuesta por el art. 17 de la C. E. Pero no le compete conocer de la procedencia de ésta, conocimiento que está atribuido al Tribunal que ha de decidir en la segunda fase del procedimiento. </w:t>
      </w:r>
    </w:p>
    <w:p w:rsidR="001C705E" w:rsidRDefault="001C705E" w:rsidP="001C705E">
      <w:pPr>
        <w:pStyle w:val="Extracto"/>
      </w:pPr>
    </w:p>
    <w:p w:rsidR="001C705E" w:rsidRDefault="001C705E" w:rsidP="001C705E">
      <w:pPr>
        <w:pStyle w:val="Extracto"/>
      </w:pPr>
      <w:r>
        <w:t>2.</w:t>
      </w:r>
      <w:r>
        <w:tab/>
        <w:t xml:space="preserve">El derecho a la tutela judicial efectiva supone básicamente, según reiteradísimas resoluciones de este Tribunal Constitucional, el acceso a la jurisdicción y la obtención de una resolución jurídicamente fundada, siempre que se hayan seguido los cauces procesales legalmente establecidos, con independencia de que la resolución sea o no conforme a las pretensiones deducidas. </w:t>
      </w:r>
    </w:p>
    <w:p w:rsidR="001C705E" w:rsidRDefault="001C705E" w:rsidP="001C705E">
      <w:pPr>
        <w:pStyle w:val="Extracto"/>
      </w:pPr>
    </w:p>
    <w:p w:rsidR="001C705E" w:rsidRDefault="001C705E" w:rsidP="001C705E">
      <w:pPr>
        <w:pStyle w:val="Extracto"/>
      </w:pPr>
      <w:r>
        <w:t>3.</w:t>
      </w:r>
      <w:r>
        <w:tab/>
        <w:t xml:space="preserve">La Ley española de extradición tiene un carácter supletorio respecto a los tratados internacionales que el Estado español haya suscrito y ratificado o a los que se haya adherido sobre la materia. Con independencia, incluso, de lo dispuesto en el art. 96.1 de la C. E., según el cual «los tratados internacionales válidamente celebrados, una vez publicados en España, formarán parte del ordenamiento interno», la citada Ley proclama la primacía de la norma convencional sobre la norma interna, de forma que ésta tiene carácter solamente supletorio. </w:t>
      </w:r>
    </w:p>
    <w:p w:rsidR="001C705E" w:rsidRDefault="001C705E" w:rsidP="001C705E">
      <w:pPr>
        <w:pStyle w:val="Extracto"/>
      </w:pPr>
    </w:p>
    <w:p w:rsidR="001C705E" w:rsidRDefault="001C705E" w:rsidP="001C705E">
      <w:pPr>
        <w:pStyle w:val="Extracto"/>
      </w:pPr>
      <w:r>
        <w:t>4.</w:t>
      </w:r>
      <w:r>
        <w:tab/>
        <w:t>El art. 16.4 del Convenio Europeo de Extradición es una norma expresa sobre la duración de la prisión del reclamado, norma que, conviene recordarlo una vez más, viene establecida no sólo en garantía de la libertad del reclamado, sino también en utilidad de los Estados contratantes y, en particular, del Estado requirente, a quien se le asegura un espacio de tiempo para formalizar la solicitud de extradición. A la Ley del Estado requerido quedan confiados otros extremos importantes del procedimiento relativo a la prisión preventiva, como es la exis</w:t>
      </w:r>
      <w:r>
        <w:lastRenderedPageBreak/>
        <w:t xml:space="preserve">tencia y, en su caso, las modalidades del control judicial de la misma, extremos que el Convenio no regula y para los que hay que remitirse en este caso a la Ley española, como supletoria. </w:t>
      </w:r>
    </w:p>
    <w:p w:rsidR="001C705E" w:rsidRDefault="001C705E" w:rsidP="001C705E">
      <w:pPr>
        <w:pStyle w:val="Extracto"/>
      </w:pPr>
    </w:p>
    <w:p w:rsidR="001C705E" w:rsidRDefault="001C705E" w:rsidP="001C705E">
      <w:pPr>
        <w:pStyle w:val="Extracto"/>
      </w:pPr>
      <w:r>
        <w:t>5.</w:t>
      </w:r>
      <w:r>
        <w:tab/>
        <w:t xml:space="preserve">En aras de lo dispuesto en el art. 528 de la Ley de Enjuiciamiento Criminal, resulta que todas las Autoridades que intervengan en un proceso criminal estarán obligadas a dilatar lo menos posible la detención y la prisión provisional de los inculpados o procesados, para establecer un plazo máximo a favor del preso, hoy recurrente, con el objeto de evitar una dilación excesiva en la tramitación gubernativa de la extradición. Desde el punto de vista del derecho constitucional a la libertad, único que aquí interesa, no puede decirse que la fijación de un plazo máximo de prisión, cuando la Ley no lo fija, suponga un ataque a aquel derecho. Más bien es todo lo contrario: una medida dirigida a su protección.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596/1983, promovido por don Maurizio Falessi, representado por el Procurador de los Tribunales don Juan M. Sánchez Masa, y bajo la dirección del Letrado don Joan E. Garcés, contra el Auto de fecha 14 de julio de 1983 del Juzgado Central de Instrucción núm. 2, dictado en procedimiento de extradición pasiva núm. 31/1983, y contra todo lo actuado administrativa y judicialmente en dicho procedimiento, en especial el Auto de 27 de junio, y las providencias de 27 de julio y 9 de agosto del mismo año. Ha comparecido el Ministerio Fiscal en defensa de la legalidad y ha sido Ponente el Magistrado don Angel Latorre Segura,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10 de agosto de 1983, el Procurador de los Tribunales don Juan M. Sánchez Masa, en nombre y representación de don Maurizio Falessi, presentó escrito en este Tribunal Constitucional, por el que interponía recurso de amparo contra el Auto de fecha 14 de julio del mismo año, dictado por el Juzgado Central de Instrucción núm. 2 y contra otras resoluciones judiciales del mismo Juzgado, relativas al procedimiento de extradición pasiva núm. 31/1983. De la demanda y documentos que se acompañan resulta, en substancia, lo siguiente: </w:t>
      </w:r>
    </w:p>
    <w:p w:rsidR="001C705E" w:rsidRDefault="001C705E" w:rsidP="001C705E">
      <w:pPr>
        <w:pStyle w:val="TextoNormal"/>
      </w:pPr>
      <w:r>
        <w:lastRenderedPageBreak/>
        <w:t xml:space="preserve">A) El recurrente, de nacionalidad italiana, fue detenido el 25 de junio de 1983 en el aeropuerto de Barajas a requerimiento directo de las autoridades italianas cursado por medio de la Interpol, por estar acusado de varios delitos que, según afirma el mismo recurrente, son de carácter político. </w:t>
      </w:r>
    </w:p>
    <w:p w:rsidR="001C705E" w:rsidRDefault="001C705E" w:rsidP="001C705E">
      <w:pPr>
        <w:pStyle w:val="TextoNormal"/>
      </w:pPr>
      <w:r>
        <w:t xml:space="preserve">B) Por Auto de 27 de junio de 1983, el Juzgado Central de Instrucción núm. 2 inició el correspondiente procedimiento de extradición, elevó a prisión la detención efectuada, y considerando de aplicación preferente el Convenio Europeo de Extradición de 13 de diciembre de 1957, ratificado por España, sobre la normativa establecida por la Ley española de 26 de diciembre de 1958, fijó el plazo máximo de cuarenta días para que el Estado reclamante formulase la solicitud definitiva de extradición y documentación precisa. Transcurrido dicho plazo sin que se hayan cumplido esos trámites, procederá declarar la libertad del reclamado. El mismo Auto fija otro plazo también de cuarenta días, a contar desde la presentación de la petición formal de extradición, dentro del cual el Ministerio de Justicia deberá comunicar al Juzgado si el Gobierno ha acordado continuar o no el procedimiento de extradición. A falta de tal comunicación, el reclamado será puesto en libertad pasado el citado plazo. La concesión de este segundo plazo de cuarenta días se basa, en el Auto referido, en el art. 528 de la Ley de Enjuiciamiento Criminal, según el cual todas las autoridades que intervengan en un proceso estarán obligadas a dilatar lo menos posible la detención y la prisión provisional de los inculpados o procesados. </w:t>
      </w:r>
    </w:p>
    <w:p w:rsidR="001C705E" w:rsidRDefault="001C705E" w:rsidP="001C705E">
      <w:pPr>
        <w:pStyle w:val="TextoNormal"/>
      </w:pPr>
      <w:r>
        <w:t xml:space="preserve">Conjugando esta prevención con lo plazos establecidos en el art. 12 de la Ley de 26 de diciembre de 1958, más los que prudencialmente deben otorgarse para la práctica racional de las diligencias establecidas en dicho art. 12, el Juzgado se consideró obligado a fijar este segundo plazo. Contra este Auto de 27 de junio de 1983 el solicitante del amparo interpuso recurso de reforma, alegando fundamentalmente que eran de aplicación los plazos establecidos en la Ley española, que son de diez días para que el Estado interesado haga saber que se propone pedir la extradición y de quince para la presentación de la solicitud definitiva para los países europeos (arts. 13 y 14 de la Ley citada). El recurso fue desestimado por Auto de 14 de julio de 1983. El recurrente solicitó de nuevo la libertad el 26 de julio, siendo rechazada su petición por providencia de fecha 27 del mismo mes. </w:t>
      </w:r>
    </w:p>
    <w:p w:rsidR="001C705E" w:rsidRDefault="001C705E" w:rsidP="001C705E">
      <w:pPr>
        <w:pStyle w:val="TextoNormal"/>
      </w:pPr>
      <w:r>
        <w:t xml:space="preserve">C) El recurrente, entendiendo que había pasado incluso el plazo de cuarenta días fijado en el Auto de 27 de junio, y en el art. 16-4 del Convenio Europeo de Extradición sin haberse recibido la solicitud definitiva de extradición en los términos fijados por dicho artículo del Convenio en relación con el 12 del mismo y los 10 y 11 de la Ley española, solicitó de nuevo la libertad. El Juzgado rechazó la petición por providencia de 9 de agosto. </w:t>
      </w:r>
    </w:p>
    <w:p w:rsidR="001C705E" w:rsidRDefault="001C705E" w:rsidP="001C705E">
      <w:pPr>
        <w:pStyle w:val="TextoNormal"/>
      </w:pPr>
      <w:r>
        <w:t xml:space="preserve">D) El solicitante del amparo entiende que las actuaciones judiciales indicadas infringen los arts. 17.1 y 2 y 24.1 y 2 de la Constitución. El art. 17.1 y 2 había sido infringido en cuanto se le ha privado de la libertad en los casos y forma prevista en la Ley de 26 de diciembre de 1956, cuyos plazos serían de aplicación, invocándose a favor de esta tesis la consulta de la Fiscalía General del Estado de 19 de noviembre de 1982, núm. 2/1982. Tampoco se habría cumplido lo dispuesto en el Convenio Europeo de Extradición por las razones antes citadas. El 24.1 quedaría vulnerado en cuanto el solicitante del amparo no está obteniendo la tutela judicial efectiva, y el 24.2 en cuanto no se ha observado, en su caso, el derecho al debido proceso, ya que los plazos establecidos por el Auto de 27 de junio de 1983 no son conforme a lo dispuesto en la citada Ley de 26 de diciembre de 1956, e incluso se inventa un procedimiento no previsto en la legislación vigente. </w:t>
      </w:r>
    </w:p>
    <w:p w:rsidR="001C705E" w:rsidRDefault="001C705E" w:rsidP="001C705E">
      <w:pPr>
        <w:pStyle w:val="TextoNormal"/>
      </w:pPr>
      <w:r>
        <w:t xml:space="preserve">E) El recurrente concluye solicitando de este Tribunal Constitucional que dicte Sentencia anulando el Auto de 14 de julio de 1983, que denegó el recurso de reforma interpuesto contra el del 27 de junio del mismo año, ordenando que se siga el debido proceso y que se </w:t>
      </w:r>
      <w:r>
        <w:lastRenderedPageBreak/>
        <w:t>respete el derecho a la libertad, a no ser privado de la misma sino en los casos y en la forma previstos en la Ley, y a que la detención preventiva no pueda durar más del tiempo estrictamente necesario, todo ello de acuerdo,con los arts. 17.1 y 2 de la Constitución, y ordenando su inmediata puesta en libertad.</w:t>
      </w:r>
    </w:p>
    <w:p w:rsidR="001C705E" w:rsidRDefault="001C705E" w:rsidP="001C705E">
      <w:pPr>
        <w:pStyle w:val="TextoNormal"/>
      </w:pPr>
    </w:p>
    <w:p w:rsidR="001C705E" w:rsidRDefault="001C705E" w:rsidP="001C705E">
      <w:pPr>
        <w:pStyle w:val="TextoNormal"/>
      </w:pPr>
      <w:r w:rsidRPr="001C705E">
        <w:rPr>
          <w:rStyle w:val="NumeroAFNegritaCaracter"/>
        </w:rPr>
        <w:t>2</w:t>
      </w:r>
      <w:r>
        <w:t>. Por providencia de 12 de agosto de 1983, la Sección de Vacaciones del Tribunal Constitucional acordó abrir un trámite de inadmisión y, a este fin, poner de manifiesto al recurrente y al Ministerio Fiscal por un plazo común de diez días la posible existencia de las siguientes causas de inadmisión: a), no haber presentado copia, traslado o certificado de la providencia del Juzgado Central núm. 2 de 9 de agosto de 1983; b), falta de precisión en el amparo que se solicita y en su fundamentación.</w:t>
      </w:r>
    </w:p>
    <w:p w:rsidR="001C705E" w:rsidRDefault="001C705E" w:rsidP="001C705E">
      <w:pPr>
        <w:pStyle w:val="TextoNormal"/>
      </w:pPr>
    </w:p>
    <w:p w:rsidR="001C705E" w:rsidRDefault="001C705E" w:rsidP="001C705E">
      <w:pPr>
        <w:pStyle w:val="TextoNormal"/>
      </w:pPr>
      <w:r w:rsidRPr="001C705E">
        <w:rPr>
          <w:rStyle w:val="NumeroAFNegritaCaracter"/>
        </w:rPr>
        <w:t>3</w:t>
      </w:r>
      <w:r>
        <w:t>. En el plazo otorgado el Ministerio Fiscal dijo que concurrían las causas de inadmisión señaladas en la providencia antes citada y solicitó que se dictase Auto acordando la inadmisión de la demanda, de acuerdo con el art. 50.1 b) de la Ley Orgánica del Tribunal Constitucional (LOTC), aunque sin perjuicio de lo que pueda resultar de la posterior actuación del recurrente. También en el mismo plazo el solicitante del amparo formuló alegaciones diciendo que acompañaba copia de la providencia solicitada, como efectivamente hizo. Insistió en que las resoluciones recurridas infringían la Ley de 26 de diciembre de 1958, así como los arts. 9.3 del Pacto Internacional de Derechos Civiles y Políticos, referente al carácter excepcional de la prisión preventiva, y el 6.2 de la Convención Europea de los Derechos Humanos, relativa a la presunción de inocencia. Advierte que no procede su extradición porque se ha extinguido la eventual responsabilidad criminal de hechos cubiertos por la Ley española de Amnistía de 15 de octubre de 1977, y en tal supuesto no procede la extradición en virtud de lo dispuesto en el art. 10 del Convenio Europeo de Extradición y en el art. 6.6 de la Ley de 26 de diciembre de 1950, en relación con el art. 112.3 del Código Penal, y porque, además, los delitos que se le imputan son de carácter político-ideológico (art. 13.3 de la Constitución Española, 10 y 26 de la Constitución Italiana, 3.1 y 2 y 10 del citado convenio, art. 6.1 de la Ley española también citada y 2.2, 23.3 y 16. 2 del Convenio Judicial Europeo en materia penal). Señala también que ha sido condenado en rebeldía, lo que también impide la extradición. En síntesis, afirma el recurrente que no se han observado las garantías del procedimiento de extradición pasiva, como son las secuencias temporales, las exigencias documentales y los requisitos político-administrativos establecidos en la Ley. Concluye solicitando la admisión a trámite del recurso y que el Tribunal Constitucional acceda a lo solicitado. La providencia cuya copia se acompañaba a este escrito deniega la petición de libertad por haber entrado con fecha 2 de agosto de 1983 en el Ministerio de Asuntos Exteriores español la documentación relativa a la extradición solicitada.</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Por Auto de 8 de noviembre de 1983, la Sección Primera de este Tribunal Constitucional entendió que el recurrente había subsanado los defectos señalados en la providencia de 12 de agosto y acordó la admisión a trámite del recurso, sin perjuicio de lo que resulte de los antecedentes. Requirió el envío de testimonio de las actuaciones del Juzgado de Instrucción núm. 2 y el emplazamiento de quienes hubieran sido parte en el procedimiento para que pudiesen comparecer en el proceso constitucional, otorgando para ello el plazo de diez días. En este plazo se recibió el testimonio de las actuaciones sin que se personase parte alguna. Por providencia de la Sección Primera del Tribunal Constitucional de fecha </w:t>
      </w:r>
      <w:r>
        <w:lastRenderedPageBreak/>
        <w:t>21 de diciembre de 1983 se acordó conceder al Ministerio Fiscal y al recurrente un plazo común de veinte días para que presentasen las alegaciones que estimasen procedentes.</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En el plazo concedido el Ministerio Fiscal alegó en síntesis lo siguiente: </w:t>
      </w:r>
    </w:p>
    <w:p w:rsidR="001C705E" w:rsidRDefault="001C705E" w:rsidP="001C705E">
      <w:pPr>
        <w:pStyle w:val="TextoNormal"/>
      </w:pPr>
      <w:r>
        <w:t xml:space="preserve">A) Las cuestiones planteadas en el recurso de amparo deben limitarse a las suscitadas en la llamada fase gubernativa de la extradición, que no ha dejado de tener ese carácter porque de acuerdo con la Constitución haya de ser necesaria la intervención judicial para conceder la detención preventiva prevista en la Ley española de 26 de diciembre de 1958 y en el Convenio Europeo de Extradición. Ello impide entrar en consideraciones sobre los presupuestos substanciales de la extradición, sobre los que se decidirá en todo en la fase judicial del procedimiento de extradición. </w:t>
      </w:r>
    </w:p>
    <w:p w:rsidR="001C705E" w:rsidRDefault="001C705E" w:rsidP="001C705E">
      <w:pPr>
        <w:pStyle w:val="TextoNormal"/>
      </w:pPr>
      <w:r>
        <w:t xml:space="preserve">B) De los derechos fundamentales que se pretende vulnerados es el derecho a la libertad (art. 17 de la Constitución) el que merece especial examen. Prescindiendo del apartado segundo de dicho art. 17 que en lo que se refiere al plazo máximo de detención ha sido evidentemente cumplido y en lo que respecta a que su duración no podrá exceder del tiempo estrictamente necesario para la realización de las averiguaciones tendentes al esclarecimiento de los hechos no es aplicable al procedimiento de extradición, pues en él no hay que averiguar hecho alguno, hay que centrarse en lo dispuesto en el apartado primero, es decir, al que garantiza que nadie puede ser privado de su libertad sino en los casos y en la forma prevista en la Ley. </w:t>
      </w:r>
    </w:p>
    <w:p w:rsidR="001C705E" w:rsidRDefault="001C705E" w:rsidP="001C705E">
      <w:pPr>
        <w:pStyle w:val="TextoNormal"/>
      </w:pPr>
      <w:r>
        <w:t xml:space="preserve">C) Entiende el Ministerio Fiscal que no ha existido vulneración de ese precepto, pues la Ley española de 26 de diciembre de 1958 limita su vigencia a lo no previsto en los tratados internacionales, por lo que ha de darse preferencia como lo hacen las resoluciones judiciales impugnadas a lo previsto en el Convenio Europeo de Extradición, por lo que, de acuerdo con lo dispuesto en los arts. 10.2 y 96.1 de la Constitución no puede tacharse de ilegal en manera alguna la decisión judicial de la concesión del plazo de cuarenta días para que se presentara la solicitud de extradición y los documentos correspondientes. Dentro de ese plazo, la Embajada de Italia cursó la solicitud mediante nota verbal y presentó los documentos exigidos por el Convenio de Asistencia Judicial y Extradición vigentes entre España e Italia, por lo que la detención del recurrente seguía ajustándose a lo establecido por la Ley. </w:t>
      </w:r>
    </w:p>
    <w:p w:rsidR="001C705E" w:rsidRDefault="001C705E" w:rsidP="001C705E">
      <w:pPr>
        <w:pStyle w:val="TextoNormal"/>
      </w:pPr>
      <w:r>
        <w:t xml:space="preserve">D) En cuanto al segundo plazo de cuarenta días fijado por el Auto de 27 de junio para que le fuese comunicado al Juzgado el acuerdo del Gobierno sobre la continuación del procedimiento de extradición, dice el Ministerio Fiscal que si bien es cierto que la fijación del nuevo plazo supone una dosis de creatividad por parte del Juzgado, por él lo que se hace es limitar la duración de la fase gubernativa de la extradición que en la legislación vigente no está sometida a término alguno, por lo que no sólo no se produce una ampliación ilegal del período de prisión, sino que, al contrario, se reduce el margen temporal de que dispone el Gobierno. </w:t>
      </w:r>
    </w:p>
    <w:p w:rsidR="001C705E" w:rsidRDefault="001C705E" w:rsidP="001C705E">
      <w:pPr>
        <w:pStyle w:val="TextoNormal"/>
      </w:pPr>
      <w:r>
        <w:t xml:space="preserve">E) Rechaza a continuación el Ministerio Fiscal que se hayan vulnerado los apartados primero y segundo del art. 24 de la Constitución. Respecto al apartado primero, el derecho a la tutela judicial efectiva no se ha visto desconocido ni en abstracto, porque el demandante haya dejado de hacer valer sus pretensiones o no hayan recibido sus demandas respuestas razonadas en derecho, ni en concreto, porque el derecho para el que interesa la tutela judicial -el de libertad- haya sufrido restricción que la Ley no autorice. Y respecto a lo que denomina el demandante derecho al «debido proceso», ni le son imputables al Juez dilaciones indebidas, ni la invocación que supuso la concesión por el Juez de un segundo plazo redujo las garantías procesales del demandante. </w:t>
      </w:r>
    </w:p>
    <w:p w:rsidR="001C705E" w:rsidRDefault="001C705E" w:rsidP="001C705E">
      <w:pPr>
        <w:pStyle w:val="TextoNormal"/>
      </w:pPr>
      <w:r>
        <w:lastRenderedPageBreak/>
        <w:t>F) Concluye el Ministerio Fiscal solicitando que se deniegue el amparo solicitado.</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También en el plazo otorgado por la providencia de 21 de diciembre de 1983 el recurrente formuló sus alegaciones. Se ratifica en lo expuesto en sus escritos anteriores y amplía los antecedentes con la aportación a los autos del testimonio del Tribunal de Apelación de Roma, de fecha 13 de octubre de 1983, como prueba documental de que el recurrente ha sido juzgado y condenado estando ausente del proceso, por los mismos hechos que son objeto de la demanda de extradición. Mas concretamente el recurrente dijo, en síntesis, lo siguiente: </w:t>
      </w:r>
    </w:p>
    <w:p w:rsidR="001C705E" w:rsidRDefault="001C705E" w:rsidP="001C705E">
      <w:pPr>
        <w:pStyle w:val="TextoNormal"/>
      </w:pPr>
      <w:r>
        <w:t xml:space="preserve">A) Se ha violado la garantía constitucional proclamada en el art. 17.1 de la Constitución. Dispone este precepto que la privación de libertad no puede producirse más que en los casos y en la forma establecidos en la Ley. El recurrente insiste en que la Ley aplicable al caso es la española de 26 de diciembre de 1958, ya que el Convenio Europeo de 1975 remite el procedimiento de extradición y el de detención preventiva a la Ley de la parte requerida, salvo disposición expresa del mismo Convenio (art. 22). Pero este no dispone nada en contra de la Ley española, ya que en su art. 16 prevé que será posible en cualquier momento la puesta en libertad provisional y que en un plazo de dieciocho días la detención preventiva podrá concluir si la parte requerida no hubiese interesado la solicitud de extradición. De estos preceptos deduce el recurrente que es de aplicación el art. 14 de la Ley española, que fija un plazo de quince días para países europeos al cabo de los cuales el reclamado debe ser puesto en libertad incondicional, y aun antes puede serlo en cualquier momento con medidas cautelares. No hay oposición, según el recurrente, entre el Convenio y la Ley española porque el Convenio en su art. 16.4 establece una disposición abierta y flexible, mientras que el art. 14 de la Ley española tiene un carácter imperativo, de forma que aquel precepto absorbe a éste. </w:t>
      </w:r>
    </w:p>
    <w:p w:rsidR="001C705E" w:rsidRDefault="001C705E" w:rsidP="001C705E">
      <w:pPr>
        <w:pStyle w:val="TextoNormal"/>
      </w:pPr>
      <w:r>
        <w:t xml:space="preserve">B) Se han violado asimismo las garantías constitucionales establecidas en el art. 24.1 y 2 de la Constitución. Aparte de las razones expuestas en escritos anteriores, hay que señalar que tanto la legislación española como la italiana sobre extradición pasiva contemplan un procedimiento judicial contradictorio, siendo de aplicación, en lo que a España se refiere, las garantías establecidas en el art. 24. Entiende el recurrente que en el caso objeto del recurso los dos párrafos del art. 24 han sido vulnerados, contemplados e interpretados en su conjunto y de modo integrados e interpenetrados en la dimensión del «debido proceso». Estas garantías son las secuencias temporales, las exigencias documentales y los requisitos político-administrativos. </w:t>
      </w:r>
    </w:p>
    <w:p w:rsidR="001C705E" w:rsidRDefault="001C705E" w:rsidP="001C705E">
      <w:pPr>
        <w:pStyle w:val="TextoNormal"/>
      </w:pPr>
      <w:r>
        <w:t xml:space="preserve">C) La legislación sobre extradición pasiva atribuye al Juez que instruye el proceso, primero, y a la Audiencia Nacional el control de la demanda de extradición en sus diversos aspectos, como son las condiciones de fondo exigidas por el Estado requirente, las relativas a la personalidad del individuo reclamado, la calificación de los hechos y la gravedad de la pena y su conformidad de la demanda con el orden público nacional. Según el recurrente, en este caso no se habría procedido a ese control. El Juez no ha podido verificar si la documentación recibida del Estado requirente reúne las condiciones legales porque sólo dispuso de un telegrama del Ministerio de Justicia antes de expirar el primer plazo en prisión preventiva. Por otra parte y habiendo continuado su curso el procedimiento de extradición, el conocimiento del expediente por el recurrente permite a éste reforzar las razones formuladas en la demanda. Del expediente resulta, siempre según el recurrente, que la demanda de extradición es incompatible con las garantías del art. 24.1 y 2 de la Constitución, ya que no es posible acceder a extradiciones para cumplir sentencias penales dictadas en rebeldía, como fue la que recayó sobre el recurrente. En el proceso celebrado </w:t>
      </w:r>
      <w:r>
        <w:lastRenderedPageBreak/>
        <w:t xml:space="preserve">en Italia se produjo indefensión y se desconoció la presunción de inocencia al ser juzgado en ausencia y servir de único medio de prueba declaraciones de «arrepentidos». Señala seguidamente el recurrente que la Constitución y la Ley italianas impiden que el recurrente pueda ser juzgado de nuevo por los mismos hechos. Tras un examen de la legislación procesal penal italiana, el recurrente afirma que, aunque el proceso contra él está en Italia en fase de apelación, la condena en primera instancia, dictada en su ausencia, le causa un perjuicio que no puede ser reparable mediante los recursos de apelación o casación ni tampoco mediante un eventual acuerdo con un Estado extranjero. Alega asimismo el recurrente que los hechos por los que ha sido condenado son de naturaleza política y los delitos de este carácter están excluidos de la extradición por el art. 13.3 de la Constitución, por el Convenio Bilateral de Extradición entre España e Italia de 6 de junio de 1868 vigente al producirse los hechos (art. 111) por la Ley española (art. 6) y por el Convenio Europea (art. 3.1). </w:t>
      </w:r>
    </w:p>
    <w:p w:rsidR="001C705E" w:rsidRDefault="001C705E" w:rsidP="001C705E">
      <w:pPr>
        <w:pStyle w:val="TextoNormal"/>
      </w:pPr>
      <w:r>
        <w:t xml:space="preserve">Advierte también el recurrente que, de acuerdo con el art. 24.2 en relación con el 13.3 de la Constitución, el reclamado debe ser puesto en libertad porque se ha extinguido la responsabilidad criminal conforme a la legislación española (art. 6.6 de la Ley española en relación con el art. 10 del Convenio Europeo y 112.3 del Código Penal); y ello por razón de la amnistía concedida en España por Ley de 15 de octubre de 1977, núm. 46/1977. </w:t>
      </w:r>
    </w:p>
    <w:p w:rsidR="001C705E" w:rsidRDefault="001C705E" w:rsidP="001C705E">
      <w:pPr>
        <w:pStyle w:val="TextoNormal"/>
      </w:pPr>
      <w:r>
        <w:t>D) Concluye el recurrente solicitando que este Tribunal Constitucional dicte Sentencia reconociéndole los derechos constitucionales que le han sido negados, restableciéndole en la integridad de los mismos.</w:t>
      </w:r>
    </w:p>
    <w:p w:rsidR="001C705E" w:rsidRDefault="001C705E" w:rsidP="001C705E">
      <w:pPr>
        <w:pStyle w:val="TextoNormal"/>
      </w:pPr>
    </w:p>
    <w:p w:rsidR="001C705E" w:rsidRDefault="001C705E" w:rsidP="001C705E">
      <w:pPr>
        <w:pStyle w:val="TextoNormal"/>
      </w:pPr>
      <w:r w:rsidRPr="001C705E">
        <w:rPr>
          <w:rStyle w:val="NumeroAFNegritaCaracter"/>
        </w:rPr>
        <w:t>7</w:t>
      </w:r>
      <w:r>
        <w:t>. Por providencia de 23 de enero de 1985 se fijó el día 30 de enero del mismo año para deliberación y fallo.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presente recurso se plantea con ocasión de un procedimiento de extradición pasiva seguido contra el recurrente, súbdito italiano, a petición del Gobierno de la República de Italia, por diversos delitos supuestamente cometidos en su país de origen.  Para delimitar el objeto del recurso y dado que en los escritos del recurrente se encuentran alegaciones de muy diverso carácter, conviene recordar que, en nuestro Derecho, el procedimiento de extradición pasiva se divide sustancialmente y para lo que aquí interesa en dos fases: una, que se suele denominar gubernativa, aunque como veremos inmediatamente requiere una intervención judicial, que tiene por objeto el aseguramiento del reclamado y la decisión del Gobierno español sobre si ha lugar o no a continuar el procedimiento. La segunda fase de carácter judicial se sustancia, salvo asentimiento de la persona reclamada a la extradición, en un juicio contradictorio con la presencia del Fiscal, del interesado y de su defensor, debiendo resolver el Tribunal competente mediante Auto motivado. La intervención judicial es necesaria en la primera fase para decretar la prisión del reclamado y para mantenerlo en esa situación cuando proceda legalmente. El Juez ejercita en este caso un control sobre la privación de libertad del reclamado que viene hoy impuesta por el art. 17 de la Constitución. Pero no le compete conocer de la procedencia de ésta, conocimiento que está atribuido al Tribunal que ha de decidir en la segunda fase del procedimiento.  Ahora bien, el recurrente impugna en el presente recurso de amparo el Auto de 14 de julio del Juzgado Central núm. 2 y otras resoluciones del mismo Juzgado dictadas en la primera fase del procedimiento y relativas a su situación de prisión. Es evidente, por tanto, que </w:t>
      </w:r>
      <w:r>
        <w:lastRenderedPageBreak/>
        <w:t>caen fuera del presente recurso una serie de alegaciones del recurrente en que se invocan supuestos impedimentos para proceder a su extradición, ya que se trata de cuestiones que sólo se pueden decidir en la fase judicial. Tales son la supuesta naturaleza política de los hechos que le son imputados, el que haya sido juzgado en rebeldía por los Tribunales italianos, que se haya extinguido su responsabilidad criminal con arreglo a la legislación española y otras afirmaciones referidas a los presupuestos sustanciales de la extradición. Por ello, debe prescindirse de todas esas cuestiones que sólo podrían ser objeto del recurso de amparo en su momento y si la decisión firme de los órganos judiciales españoles pudiera quebrantar derechos y libertades susceptibles de dicho recurso, ya que la normativa atinente al instituto de la extradición queda en principio fuera del mismo por incluirse en el art. 13.3 de la Constitución, respecto al cual no cabe el recurso de amparo (STC 11/1983, de 27 de febrero, RA 373/1982).</w:t>
      </w:r>
    </w:p>
    <w:p w:rsidR="001C705E" w:rsidRDefault="001C705E" w:rsidP="001C705E">
      <w:pPr>
        <w:pStyle w:val="TextoNormal"/>
      </w:pPr>
    </w:p>
    <w:p w:rsidR="001C705E" w:rsidRDefault="001C705E" w:rsidP="001C705E">
      <w:pPr>
        <w:pStyle w:val="TextoNormal"/>
      </w:pPr>
      <w:r w:rsidRPr="001C705E">
        <w:rPr>
          <w:rStyle w:val="NumeroAFNegritaCaracter"/>
        </w:rPr>
        <w:t>2</w:t>
      </w:r>
      <w:r>
        <w:t>. Según el recurrente, las resoluciones judiciales impugnadas habrían vulnerado el art. 17. 1 y 4 y el 24. 1 y 2 de la Constitución. Pero cabe desechar de entrada la supuesta vulneración del art. 24 en sus dos apartados citados. Respecto al primero, en que se invoca la falta de tutela judicial efectiva, basta recordar que el recurrente tuvo acceso a la jurisdicción interponiendo recurso de reforma contra el Auto de 27 de junio de 1983 por el que se decretó su prisión durante el tiempo y las condiciones por él fijadas, que obtuvo una respuesta motivada en el Auto de 14 de julio, y en cuanto a su petición de libertad formulada al expirar el primer plazo fijado por el citado Auto de 27 de junio, obtuvo también una respuesta razonada por resolución de 9 de agosto. Y el derecho a la tutela judicial efectiva supone básicamente, según reiteradísimas resoluciones de este Tribunal Constitucional, el acceso a la jurisdicción y la obtención de una resolución jurídicamente fundada, siempre que se hayan seguido los cauces procesales legalmente establecidos, con independencia de que la resolución sea o no conforme a las pretensiones deducidas. En cuanto al apartado segundo del art. 24 no se aprecia en la actuación del Juzgado la menor vulneración de lo que el recurrente denomina el «debido proceso». Ni ha habido dilaciones indebidas en la tramitación de los recursos interpuestos, ni se ha infringido ninguna de las garantías reconocidas en dicho art. 24.2 ni, en realidad, se ofrece indicio alguno de que lo hayan sido. Y si en las supuestas vulneraciones a las garantías procesales que integran lo que en la terminología anglosajona se suele denominar el due process of law han sido o no vulnerados por los Tribunales italianos, es cuestión, como se dijo, ajena al presente recurso.</w:t>
      </w:r>
    </w:p>
    <w:p w:rsidR="001C705E" w:rsidRDefault="001C705E" w:rsidP="001C705E">
      <w:pPr>
        <w:pStyle w:val="TextoNormal"/>
      </w:pPr>
    </w:p>
    <w:p w:rsidR="001C705E" w:rsidRDefault="001C705E" w:rsidP="001C705E">
      <w:pPr>
        <w:pStyle w:val="TextoNormal"/>
      </w:pPr>
      <w:r w:rsidRPr="001C705E">
        <w:rPr>
          <w:rStyle w:val="NumeroAFNegritaCaracter"/>
        </w:rPr>
        <w:t>3</w:t>
      </w:r>
      <w:r>
        <w:t>. Limitando nuestro examen a la supuesta violación del art. 17.1 y 2 de la Constitución, también procede prescindir sin mayor examen del segundo de los apartados citados. Como bien dice el Fiscal, la detención preventiva en el procedimiento de extradición no tiene por objeto esclarecer hecho alguno, y, por otra parte, la garantía fundamental del 17.2, que es la observancia del plazo máximo de setenta y dos horas para que el detenido sea puesto en libertad a disposición judicial, se cumplió en este caso sin lugar a dudas. En realidad, la cuestión se centra en la invocada vulneración del 17.1 y, en particular, en su segundo inciso: «Nadie puede ser privado de su libertad sino con la observancia de lo establecido en este artículo y en los casos y en la forma previstos en la Ley.» Y lo que en último término alega el recurrente es que las resoluciones del Juzgado Central núm. 2 relativas a su expediente de extradición pasiva le privaron de su libertad contra lo dispuesto por la Ley.</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4</w:t>
      </w:r>
      <w:r>
        <w:t>. Para resolver la cuestión es necesario tener en cuenta la complejidad de las normas que rigen la extradición. Fundamentalmente la extradición está regulada en España por la Ley de 26 de diciembre de 1958, en cuyo art. 1 se dispone taxativamente:</w:t>
      </w:r>
    </w:p>
    <w:p w:rsidR="001C705E" w:rsidRDefault="001C705E" w:rsidP="001C705E">
      <w:pPr>
        <w:pStyle w:val="TextoNormal"/>
      </w:pPr>
      <w:r>
        <w:t>«Las condiciones, el procedimiento y los efectos de la extradición se regirán:</w:t>
      </w:r>
    </w:p>
    <w:p w:rsidR="001C705E" w:rsidRDefault="001C705E" w:rsidP="001C705E">
      <w:pPr>
        <w:pStyle w:val="TextoNormal"/>
      </w:pPr>
      <w:r>
        <w:t>1. Por lo convenido en los Tratados.</w:t>
      </w:r>
    </w:p>
    <w:p w:rsidR="001C705E" w:rsidRDefault="001C705E" w:rsidP="001C705E">
      <w:pPr>
        <w:pStyle w:val="TextoNormal"/>
      </w:pPr>
      <w:r>
        <w:t>2. Por la presente Ley, cuando no exista Tratado para suplir lo no previsto en él.»</w:t>
      </w:r>
    </w:p>
    <w:p w:rsidR="001C705E" w:rsidRDefault="001C705E" w:rsidP="001C705E">
      <w:pPr>
        <w:pStyle w:val="TextoNormal"/>
      </w:pPr>
      <w:r>
        <w:t>Es decir, la Ley española de extradición tiene un carácter supletorio respecto a los tratados internacionales que el Estado español haya suscrito y ratificado o a los que se haya adherido sobre la materia. Con independencia, incluso, de lo dispuesto en el art. 96.1 de la Constitución, según el cual «los tratados internacionales válidamente celebrados, una vez publicados en España, formarán parte del ordenamiento interno», la citada Ley proclama la primacía de la norma convencional sobre la norma interna, de forma que ésta tiene carácter solamente supletorio.</w:t>
      </w:r>
    </w:p>
    <w:p w:rsidR="001C705E" w:rsidRDefault="001C705E" w:rsidP="001C705E">
      <w:pPr>
        <w:pStyle w:val="TextoNormal"/>
      </w:pPr>
      <w:r>
        <w:t>En el presente caso, en que se plantea una extradición solicitada por la República de Italia, los tratados a considerar son el Convenio de asistencia judicial penal y de extradición entre España e Italia, firmado el 22 de mayo de 1973, ratificado el 11 de octubre de 1977 y publicado en el «Boletín Oficial del Estado» de 24 de noviembre del mismo año, y el Convenio Europeo de Extradición de 13 de diciembre de 1957, ratificado por España el 21 de abril de 1982 y publicado en el «Boletín Oficial del Estado» de 8 de junio del mismo año, y, entre otros Estados, por la República de Italia el 6 de agosto de 1963, entrando en vigor el 4 de noviembre del mismo año. El Juzgado Central de Instancia entendió de manera expresa en su Auto de 27 de junio de 1983 que era de aplicación preferente el art. 16.4 del referido Convenio Europeo, según el cual:</w:t>
      </w:r>
    </w:p>
    <w:p w:rsidR="001C705E" w:rsidRDefault="001C705E" w:rsidP="001C705E">
      <w:pPr>
        <w:pStyle w:val="TextoNormal"/>
      </w:pPr>
      <w:r>
        <w:t>«La detención preventiva podrá concluir si dentro de los dieciocho días siguientes a la misma la parte requerida no hubiese recibido la solicitud de extradición ni los documentos mencionados en el art. 17. En ningún caso la detención excederá de cuarenta días, contados desde la fecha de la misma. Sin embargo, será posible en cualquier momento la puesta en libertad provisional, pero en tal caso la parte requerida habrá de tomar las medidas necesarias para evitar la fuga de la persona reclamada.»</w:t>
      </w:r>
    </w:p>
    <w:p w:rsidR="001C705E" w:rsidRDefault="001C705E" w:rsidP="001C705E">
      <w:pPr>
        <w:pStyle w:val="TextoNormal"/>
      </w:pPr>
      <w:r>
        <w:t>En consecuencia, en el Auto de 27 de junio, confirmado por el de 14 de julio, ambos de 1983, el Juzgado estableció un plazo máximo de cuarenta días de prisión, prisión equivalente a la detención preventiva de que habla el Convenio, para que el Estado reclamante formulase la solicitud definitiva de extradición y remitiese la documentación precisa, en defecto de lo cual procedería la libertad del reclamado. El recurrente alega, como ya lo hizo ante el Juzgado, que no es aplicable el plazo de cuarenta días, sino los plazos más cortos establecidos en la Ley española, que prevé el de diez días en caso de requerimiento directo (que es el caso actual) para que el Gobierno interesado pueda pedir la extradición, y el de quince entre los países europeos para la presentación de la solicitud de extradición definitiva (arts.  14 y 13 de la Ley española). Pero es claro que el tantas veces recordado carácter subsidiario de la Ley española hace que el Juez, al considerar de aplicación el plazo más amplio previsto en el convenio, no privó de libertad al recurrente por más tiempo del establecido en la ley o, en este caso, de una norma contenida en un tratado publicado en España y que forma parte de nuestro ordenamiento jurídico, sino que se atuvo a la legalidad vigente. Téngase en cuenta, a este respecto, que un tratado internacional atribuye derechos y deberes a los Estados contratantes y, por tanto, el Juez debió de tener en cuenta también el interés del Estado requirente, a quien el plazo máximo fijado en el tratado podría ser necesario para formalizar la extradición. Por esta misma razón, es decir, porque un tratado se contrae para utilidad de todas las partes contratantes, no es atendible el argu</w:t>
      </w:r>
      <w:r>
        <w:lastRenderedPageBreak/>
        <w:t>mento expuesto por el recurrente, especialmente en su escrito final de alegaciones, según el cual del hecho de que el Convenio Europeo (art. 16.4) diga que la detención podrá concluir dentro de los dieciocho días siguientes a la misma, si la parte requerida no hubiese recibido la solicitud de extradición ni los documentos correspondientes, o de que la libertad provisional «será posible» en cualquier momento, se desprende que deba aplicarse la Ley española. Se trata, en efecto, de posibilidades de la parte requerida, cuyo aprovechamiento queda a su prudente arbitrio, como lo muestra que, si las ejerce, habrá de tomar (con carácter imperativo) las medidas que estime necesarias para evitar la fuga de la persona reclamada y que, como prevé el art. 16.5 del Convenio, la puesta en libertad no será obstáculo para una nueva detención si la solicitud de ésta se presentare nuevamente. Corresponde al Juez decidir si, dadas las circunstancias del caso, es oportuno adelantar la libertad del reclamado sin que esté obligado a hacerlo y sin que, por tanto, el hecho de mantener la prisión el plazo máximo de cuarenta días a la espera de que se reciba la solicitud de extradición constituya un acto ilegal. En cuanto al art. 22 del Convenio, también invocado por el recurrente, se limita a remitir a la ley de la parte requerida, salvo disposición en contrario del presente convenio, el procedimiento de extradición, así como el de la detención preventiva y basta señalar que el Convenio contiene en su tantas veces citado art. 16.4 una norma expresa sobre la duración de la prisión del reclamado, norma que, conviene recordarlo una vez más, viene establecida no sólo en garantía de la libertad del reclamado,  sino también en utilidad de los Estados contratantes y, en particular, del Estado requirente, a quien se le asegura un espacio de tiempo para formalizar la solicitud de extradición. A la Ley del Estado requerido quedan confiados otros extremos importantes del procedimiento relativo a la prisión preventiva, como es la existencia y, en su caso, las modalidades del control judicial de la misma, extremos que el Convenio no regula y para los que hay que remitirse en este caso a la Ley española, como supletoria. Por último, tampoco puede dársele en este punto el valor que pretende el recurrente a la consulta de la Fiscalía General del Estado de 19 de noviembre de 1982 (núm. 2/82), pues con toda evidencia esa consulta no puede condicionar la libertad de interpretación del ordenamiento jurídico por parte de los Jueces y Tribunales, que en su función jurisdiccional son soberanos y sólo están sometidos al imperio de la Ley (art. 117.1 de la Constitución).</w:t>
      </w:r>
    </w:p>
    <w:p w:rsidR="001C705E" w:rsidRDefault="001C705E" w:rsidP="001C705E">
      <w:pPr>
        <w:pStyle w:val="TextoNormal"/>
      </w:pPr>
    </w:p>
    <w:p w:rsidR="001C705E" w:rsidRDefault="001C705E" w:rsidP="001C705E">
      <w:pPr>
        <w:pStyle w:val="TextoNormal"/>
      </w:pPr>
      <w:r w:rsidRPr="001C705E">
        <w:rPr>
          <w:rStyle w:val="NumeroAFNegritaCaracter"/>
        </w:rPr>
        <w:t>5</w:t>
      </w:r>
      <w:r>
        <w:t>. Alega asimismo el recurrente que tampoco se cumplió el plazo de cuarenta días previsto en el Convenio y considerado como aplicable por el Juez, porque ese plazo transcurrió sin que se recibiese petición formal de extradición, pese a lo cual no fue puesto en libertad. Dice el recurrente que lo único que recibió el Juez fue un telegrama del Ministerio de Justicia por el que se le comunicaba haberse recibido la solicitud.</w:t>
      </w:r>
    </w:p>
    <w:p w:rsidR="001C705E" w:rsidRDefault="001C705E" w:rsidP="001C705E">
      <w:pPr>
        <w:pStyle w:val="TextoNormal"/>
      </w:pPr>
      <w:r>
        <w:t>Pero lo cierto es que habiendo recibido el Juez noticia oficial de haberse presentado la petición de extradición y la documentación correspondiente con antelación a que expirase el plazo de cuarenta días, tenía que dar por cumplida la condición impuesta en su Auto de 27 de junio para mantener la prisión del reclamado, pues la verificación de que la documentación presentada sea la legalmente necesaria no corresponde en esta fase al Juez, sino al Ministerio de Justicia, a quien se transmitió del de Exteriores la solicitud de extradición para que la examinase y reclamase, si lo estimaba oportuno, los justificantes o aclaraciones que considerase necesarios (art. 12 de la Ley española); y ello es así porque, como se ha dicho, esta fase del procedimiento de extradición sigue teniendo carácter gubernativo, aunque sea necesario la intervención judicial para mantener privado de libertad al reclamado más de setenta y dos horas, por imperativo del art. 17.2 de la Constitución.</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6</w:t>
      </w:r>
      <w:r>
        <w:t>. El recurrente entiende también que el segundo plazo de cuarenta días establecido por el Juez para que el Ministerio de Justicia le comunique si el Gobierno ha acordado o no continuar el procedimiento carece de base legal.  Rige en este punto la Ley española en defecto de normas convencionales. Pues bien, el mencionado art. 12 de la Ley no fija un plazo determinado para el citado acuerdo. En efecto, dicho artículo establece que el Ministerio de Justicia, en un plazo máximo de ocho días, computados desde el siguiente a la recepción de la solicitud o de los justificantes o aclaraciones por él reclamados, elevará al Gobierno propuesta motivada sobre si ha lugar o no a continuar el procedimiento. El Gobierno deberá adoptar su decisión en el plazo de quince días, transcurrido el cual sin que el Gobierno haya adoptado resolución, el Ministro de Justicia lo hará en su nombre. Hay, pues, un margen de indeterminación en el primer momento, si el Ministro de Justicia decide solicitar justificantes o aclaraciones, pues el plazo de ocho días en que debe elevar su propuesta al Gobierno se cuenta a partir de la recepción de esos datos solicitados por la no siempre rápida vía diplomática. Tampoco existe un plazo taxativo para que el Ministro de Justicia tome la decisión si no lo ha hecho el Gobierno. En esas circunstancias el Juez se consideró facultado, en aras de lo dispuesto en el art. 528 de la Ley de Enjuiciamiento Criminal, según el cual todas las Autoridades que intervengan en un proceso criminal estarán obligadas a dilatar lo menos posible la detención y la prisión provisional de los inculpados o procesados, para establecer un plazo máximo a favor del preso, hoy recurrente, con el objeto de evitar una dilación excesiva en la tramitación gubernativa de la extradición. Desde el punto de vista del derecho constitucional a la libertad, único que aquí interesa, no puede decirse que la fijación de un plazo máximo de prisión cuando la Ley no lo fija suponga un ataque a aquel derecho. Más bien es todo lo contrario: una medida dirigida a su protección.</w:t>
      </w:r>
    </w:p>
    <w:p w:rsidR="001C705E" w:rsidRDefault="001C705E" w:rsidP="001C705E">
      <w:pPr>
        <w:pStyle w:val="TextoNormal"/>
      </w:pPr>
    </w:p>
    <w:p w:rsidR="001C705E" w:rsidRDefault="001C705E" w:rsidP="001C705E">
      <w:pPr>
        <w:pStyle w:val="TextoNormal"/>
      </w:pPr>
      <w:r w:rsidRPr="001C705E">
        <w:rPr>
          <w:rStyle w:val="NumeroAFNegritaCaracter"/>
        </w:rPr>
        <w:t>7</w:t>
      </w:r>
      <w:r>
        <w:t>. De todo lo expuesto resulta que no se han vulnerado en las resoluciones judiciales impugnadas los derechos fundamentales invocados por el recurrente, por lo que procede desestimar el amparo solicitado.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treinta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5" w:name="SENTENCIA_1985_12"/>
      <w:r>
        <w:lastRenderedPageBreak/>
        <w:t>SENTENCIA 12/1985, de 30 de enero de 1985</w:t>
      </w:r>
    </w:p>
    <w:bookmarkEnd w:id="15"/>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ECLI:ES:TC:1985:12</w:t>
      </w:r>
    </w:p>
    <w:p w:rsidR="001C705E" w:rsidRDefault="001C705E" w:rsidP="001C705E">
      <w:pPr>
        <w:pStyle w:val="SntesisDescriptiva"/>
      </w:pPr>
    </w:p>
    <w:p w:rsidR="001C705E" w:rsidRDefault="001C705E" w:rsidP="001C705E">
      <w:pPr>
        <w:pStyle w:val="SntesisDescriptiva"/>
      </w:pPr>
      <w:r>
        <w:t>Conflictos positivos de competencia 810/1983 y 816/1983 (acumulados). Promovidos, respectivamente, por el Consejo Ejecutivo de la Generalidad de Cataluña y por el Gobierno Vasco contra determinados preceptos del Real Decreto 2.099/1983, de 4 de agosto,por el que se aprueba el Ordenamiento General de Precedencias del Estado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A lo que en principio debemos atender no es a si la ordenación establecida en el Real Decreto 2099/1983 es constitucionalmente correcta, sino en cuanto a la realidad o no y, en su caso, al alcance de la competencia que tuviera asignada el Gobierno de la Nación para dictar una disposición de la índole de la cuestionada. </w:t>
      </w:r>
    </w:p>
    <w:p w:rsidR="001C705E" w:rsidRDefault="001C705E" w:rsidP="001C705E">
      <w:pPr>
        <w:pStyle w:val="Extracto"/>
      </w:pPr>
    </w:p>
    <w:p w:rsidR="001C705E" w:rsidRDefault="001C705E" w:rsidP="001C705E">
      <w:pPr>
        <w:pStyle w:val="Extracto"/>
      </w:pPr>
      <w:r>
        <w:t>2.</w:t>
      </w:r>
      <w:r>
        <w:tab/>
        <w:t xml:space="preserve">El estudio del Estatuto de Cataluña permite afirmar que la Comunidad no ha asumido expresamente competencia alguna en orden a la fijación de la precedencia relativa de que aquí se trata. Las competencias que le atribuye el art. 9.1 y 3 del Estatuto para la organización de sus instituciones de autogobierno y en relación a las normas de procedimiento administrativo que se deriven de las especialidades de la organización de la Generalidad, no implican asunción alguna en este punto, pues el objeto del conflicto no es determinar si la Generalidad puede fijar la precedencia entre sus órganos y autoridades, sino si puede establecer la precedencia relativa entre éstos y los del Estado. La conclusión inicial por tanto ha de ser que esta competencia, con carácter general, corresponde al Estado. </w:t>
      </w:r>
    </w:p>
    <w:p w:rsidR="001C705E" w:rsidRDefault="001C705E" w:rsidP="001C705E">
      <w:pPr>
        <w:pStyle w:val="Extracto"/>
      </w:pPr>
    </w:p>
    <w:p w:rsidR="001C705E" w:rsidRDefault="001C705E" w:rsidP="001C705E">
      <w:pPr>
        <w:pStyle w:val="Extracto"/>
      </w:pPr>
      <w:r>
        <w:t>3.</w:t>
      </w:r>
      <w:r>
        <w:tab/>
        <w:t xml:space="preserve">Inexistente norma estatutaria competencial en esta materia, se proclama la del Estado, con carácter general, para establecer la precedencia relativa entre los órganos y autoridades de las Comunidades Autónomas y los del Estado, y a ello, y nada más que a ello, atienden los preceptos supuestamente invasores de competencias ajenas, mas, por si cupiera alguna duda al respecto, bastará para disiparla con reflejar en este instante, y dejar constancia igualmente en la parte dispositiva de esta Sentencia, del criterio del Gobierno de la Nación exteriorizado al responder al requerimiento, y por el Abogado del Estado en su escrito de oposición, expresivo éste del «pleno reconocimiento de las competencias autonómicas para, en uso de sus facultades autoorganizatorias -arts. 9.1 y 3 del EC, y 10.2 y 6 del EV-, ordenar sus propias autoridades y órganos en actos por ella organizados y a los que no concurren otros del Estado».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w:t>
      </w:r>
      <w:r>
        <w:lastRenderedPageBreak/>
        <w:t>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los conflictos positivos de competencia acumulados, núms. 810 y 816/1983, promovidos, respectivamente, por el Consejo Ejecutivo de la Generalidad de Cataluña, representado por el Abogado don Manuel María Vicens Matas, y por el Gobierno Vasco, representado por el Abogado don Santiago Aranzadi Martínez-Inchausti, en relación con determinados preceptos del Real Decreto 2099/1983, de 4 de agosto, por el que se aprueba el Ordenamiento General de Precedencias en el Estado. Ha sido parte el Abogado del Estado, en nombre del Gobierno de la Nación, y Ponente, el Magistrado don Francisco Pera Verdaguer,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Publicado el Real Decreto 2099/1983, de 4 de agosto, sobre Ordenamiento General de Precedencias en el Estado, el Consejo Ejecutivo de la Generalidad de Cataluña planteó ante este Tribunal conflicto positivo de competencia solicitando se declarase que no corresponde al Gobierno, sino a las Cortes Generales en lo que afecta a los arts. 10, 12, 16 y 17, y a la Comunidad Autónoma en los restantes preceptos, que lo son los arts. 2, apartado primero, 3, 5, apartado segundo, y 13 del referido Real Decreto. </w:t>
      </w:r>
    </w:p>
    <w:p w:rsidR="001C705E" w:rsidRDefault="001C705E" w:rsidP="001C705E">
      <w:pPr>
        <w:pStyle w:val="TextoNormal"/>
      </w:pPr>
      <w:r>
        <w:t xml:space="preserve">En el escrito de promoción del conflicto se analiza la norma de que se trata, poniendo de relieve el alcance y trascendencia de la misma, para lo que se basa en el preámbulo del Real Decreto y en la materia a que el mismo se contrae, de lo que deduce que en realidad subyace una problemática de considerable envergadura, ya que ofrece una imagen comparativa de los diferentes cargos y entes públicos a través de los cuales se articula la convivencia democrática, imagen que debe corresponder exactamente con los principios y postulados proclamados en la Constitución, desprendiéndose de todo ello que las normas a que se alude tienen «sustancia constitucional», en tanto que descansan directamente en la arquitectura del Estado, de la que son una manifestación exterior. </w:t>
      </w:r>
    </w:p>
    <w:p w:rsidR="001C705E" w:rsidRDefault="001C705E" w:rsidP="001C705E">
      <w:pPr>
        <w:pStyle w:val="TextoNormal"/>
      </w:pPr>
      <w:r>
        <w:t>Advierte seguidamente que el rango formal del Real Decreto es inadecuado, como causa de que sus disposiciones incurran en vicio de incompetencia, cuestión ésta que entiende puede suscitarse en un conflicto positivo de competencia, ya que así lo ha establecido este Tribunal en sus Sentencias de 28 de abril y 20 de mayo de 1983, puesto que sólo el órgano constitucionalmente titular de la potestad puede, a través de su explícita formulación, incidir válidamente en el régimen de las Comunidades Autónomas, siendo claro que por aplicación del art. 86.1 de la Constitución ni siquiera por Real Decreto-ley puede el Gobierno afectar a aquel régimen, lo que lógicamente comprende a lo relativo al protocolo, tanto más cuanto que el Real Decreto actual afecta también a los actos que organice la Genera</w:t>
      </w:r>
      <w:r>
        <w:lastRenderedPageBreak/>
        <w:t xml:space="preserve">lidad, así como por incluir una definición de lo que se entiende por actos oficiales de carácter general a estos fines. </w:t>
      </w:r>
    </w:p>
    <w:p w:rsidR="001C705E" w:rsidRDefault="001C705E" w:rsidP="001C705E">
      <w:pPr>
        <w:pStyle w:val="TextoNormal"/>
      </w:pPr>
      <w:r>
        <w:t xml:space="preserve">Pone de manifiesto que no se respeta la preeminencia que corresponde a los Presidentes de las Comunidades Autónomas, que vienen a representar en su conjunto a todos los poderes del Estado, lo que se desconoce en el Real Decreto que se cuestiona, observándose también la injerencia de esta disposición en el ámbito autonómico en otros varios planteamientos que detalla, de lo que deduce, como ya apuntamos, que los preceptos que puntualiza están viciados de incompetencia por carecer del rango normativo exigido con arreglo a la Ley fundamental. </w:t>
      </w:r>
    </w:p>
    <w:p w:rsidR="001C705E" w:rsidRDefault="001C705E" w:rsidP="001C705E">
      <w:pPr>
        <w:pStyle w:val="TextoNormal"/>
      </w:pPr>
      <w:r>
        <w:t xml:space="preserve">Con abstracción de lo anterior, se señala también en el escrito inicial la concurrencia de vicios materiales de incompetencia, cuales son el del art. 2.1, por excluir toda intervención de las Comunidades Autónomas en la aplicación del reglamento de precedencias; el art. 3, en tanto que asume ilegítimamente la facultad de clasificar y calificar los actos que celebren las Comunidades Autónomas; el art. 5.2, no sólo por establecer un sistema de fuentes normativas reguladoras de los actos que organicen las Comunidades, sin excepción alguna, sino además por contener unas determinaciones sobre el respeto que haya de tenerse para con las tradiciones inveteradas del lugar, y, finalmente, el art. 13.3, que resulta inconciliable con la facultad de autogobierno y autoorganización que corresponde a la Generalidad de Cataluña. </w:t>
      </w:r>
    </w:p>
    <w:p w:rsidR="001C705E" w:rsidRDefault="001C705E" w:rsidP="001C705E">
      <w:pPr>
        <w:pStyle w:val="TextoNormal"/>
      </w:pPr>
      <w:r>
        <w:t>Acompañó la documentación necesaria para acreditar la práctica, sin resultado positivo, del requerimiento de incompetencia, consecuencia del cual se insta el conflicto positivo de competencia, así como lo preciso para justificar la adopción del pertinente acuerdo del Consejo Ejecutivo de la Generalidad con los fines antedichos.</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A su vez, separadamente, el Gobierno vasco planteó conflicto positivo de competencia con motivo del propio Real Decreto 2099/1983, de 4 de agosto, con la súplica de que se declare que la Comunidad Autónoma del País Vasco es competente para establecer el protocolo interno de autoridades, instituciones y corporaciones vascas, sin que la ordenación de las precedencias del Estado modifiquen el protocolo interno del País Vasco, y también que se adecuen los arts. 10 y 12 en lo referente al Presidente de la Comunidad Autónoma al carácter de representante ordinario del Estado, en los términos que se deducen del propio escrito. </w:t>
      </w:r>
    </w:p>
    <w:p w:rsidR="001C705E" w:rsidRDefault="001C705E" w:rsidP="001C705E">
      <w:pPr>
        <w:pStyle w:val="TextoNormal"/>
      </w:pPr>
      <w:r>
        <w:t xml:space="preserve">Se exponen en dicho escrito como antecedentes la publicación del Real Decreto que lo motiva, así como la formulación del oportuno requerimiento de incompetencia, que fue rechazado por escrito que cursó la Presidencia del Gobierno del Estado, lo que ha obligado a este planteamiento jurisdiccional del conflicto. Se detallan asimismo los requisitos procesales de tal conflicto, estimando que concurren todos y cada uno de ellos, y fundamenta su pretensión en ser inadmisible lo dispuesto en el art. 5.2 que establece que en el caso de ser organizados los actos por las Comunidades Autónomas, el protocolo se determinará prelativamente de acuerdo con el propio Real Decreto, y tan sólo en segundo lugar por la normativa propia y por la tradición o la costumbre, con lo que se impide que la ordenación de las instituciones, autoridades o corporaciones de las Comunidades Autónomas sea la que éstas establezcan, dado el carácter imperativo del antes citado art. 5.2, lo que equivale a una violación del art. 10.2 del Estatuto de Autonomía del País Vasco. Se refiere también a los arts. 10 y 12 en lo que hace alusión al lugar que deben ocupar los Presidentes de las Comunidades Autónomas, porque, sin entrar a discutir si es o no acertada la ordenación global que realizan dichos artículos, no es ajeno al orden de competencias el tratamiento institucional que se da a dichos Presidentes, la posición de los cuales puede extraerse tanto </w:t>
      </w:r>
      <w:r>
        <w:lastRenderedPageBreak/>
        <w:t xml:space="preserve">del art. 152 de la Constitución, según el cual el Presidente del Gobierno de las Comunidades Autónomas es nombrado por el Rey y le corresponde la suprema representación de la respectiva Comunidad y la ordinaria del Estado en aquéllas, doble representación que se recoge también en el art. 33 del Estatuto vasco. Pone de relieve que los ex Presidentes de Gobierno ocupan una posición no institucional, sino histórica, sin ostentar ninguna representación de órganos del Estado ni de las Comunidades Autónomas, faltándose por ello al respeto que hayan de merecer quienes representan al Estado. Mayor reproche merece el art. 12, afectante tanto a los actos organizados por el Estado como a los que lo son por las Comunidades Autónomas. </w:t>
      </w:r>
    </w:p>
    <w:p w:rsidR="001C705E" w:rsidRDefault="001C705E" w:rsidP="001C705E">
      <w:pPr>
        <w:pStyle w:val="TextoNormal"/>
      </w:pPr>
      <w:r>
        <w:t>Se acompañó al escrito de promoción del conflicto la documentación precisa referente a los acuerdos que lo posibilitan, así como a la práctica del previo requerimiento y de su resultado.</w:t>
      </w:r>
    </w:p>
    <w:p w:rsidR="001C705E" w:rsidRDefault="001C705E" w:rsidP="001C705E">
      <w:pPr>
        <w:pStyle w:val="TextoNormal"/>
      </w:pPr>
    </w:p>
    <w:p w:rsidR="001C705E" w:rsidRDefault="001C705E" w:rsidP="001C705E">
      <w:pPr>
        <w:pStyle w:val="TextoNormal"/>
      </w:pPr>
      <w:r w:rsidRPr="001C705E">
        <w:rPr>
          <w:rStyle w:val="NumeroAFNegritaCaracter"/>
        </w:rPr>
        <w:t>3</w:t>
      </w:r>
      <w:r>
        <w:t>. Mediante sendas providencias de 14 de diciembre de 1983 se tuvieron por planteados por el Consejo Ejecutivo de la Generalidad de Cataluña y por el Gobierno vasco los conflictos positivos de competencia precedentemente relacionados, dándose traslado al Gobierno de la Nación y comunicándose a la Presidencia del Tribunal Supremo para conocimiento de la Sala de lo Contencioso-Administrativo, publicándose también en el «Boletín Oficial del Estado», «Boletín Oficial del País Vasco» y «Diario Oficial de la Generalidad de Cataluña», mediante edictos, la incoación del conflicto, todo ello a los efectos legales pertinentes.</w:t>
      </w:r>
    </w:p>
    <w:p w:rsidR="001C705E" w:rsidRDefault="001C705E" w:rsidP="001C705E">
      <w:pPr>
        <w:pStyle w:val="TextoNormal"/>
      </w:pPr>
    </w:p>
    <w:p w:rsidR="001C705E" w:rsidRDefault="001C705E" w:rsidP="001C705E">
      <w:pPr>
        <w:pStyle w:val="TextoNormal"/>
      </w:pPr>
      <w:r w:rsidRPr="001C705E">
        <w:rPr>
          <w:rStyle w:val="NumeroAFNegritaCaracter"/>
        </w:rPr>
        <w:t>4</w:t>
      </w:r>
      <w:r>
        <w:t>. A solicitud de la Abogacía del Estado, el Tribunal, mediante Auto de 2 de febrero del año actual, acordó la acumulación de ambos conflictos positivos de competencia, para su tramitación conjunta y resolución en una sola sentencia.</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El Abogado del Estado, en la representación que le es propia, formuló escrito de alegaciones, en el que suplica se declare que la titularidad de la competencia controvertida en estos conflictos corresponde al Estado, desestimando las pretensiones anulatorias contenidas en los mismos, solicitud que ampara en las alegaciones que consigna, principiando por un estudio del planteamiento general de los conflictos, con resumen de los puntos en los que se fundamentan los conflictos, tanto por el Consejo Ejecutivo de la Generalidad de Cataluña como por el Gobierno vasco, para determinar acto seguido que la competencia para fijar la precedencia relativa entre las corporaciones, instituciones y autoridades del Estado y las de las Comunidades Autónomas corresponde al Estado, pues así se decidió en la Sentencia de este Tribunal de 22 de junio de 1982, recaída en el conflicto positivo de competencia, a la sazón promovido por el Gobierno de la Nación frente al Decreto de 2 de julio de 1981 del Departamento adjunto a la Presidencia de la Generalidad, estableciendo normas de protocolo y ceremonial en el ámbito de la Generalidad de Cataluña, y ello porque la Comunidad no ha asumido expresamente competencia alguna en esta materia, siendo claro que para establecer la precedencia relativa entre los órganos y autoridades de la Comunidad y los del Estado corresponde con carácter general a éste, de lo que resulta que en el caso actual el Estado lo único que ha hecho es ejercitar una competencia que constitucionalmente le corresponde, de acuerdo con el art. 149.3 de la Constitución, todo ello sin perjuicio de la competencia de ambas Comunidades Autónomas para fijar la precedencia de sus propias autoridades y órganos cuando no concurran a los actos autoridades y órganos estatales, careciendo de sentido el reconocimiento de la competencia del Estado para </w:t>
      </w:r>
      <w:r>
        <w:lastRenderedPageBreak/>
        <w:t xml:space="preserve">fijar la ordenación de los actos oficiales en casos de concurrencia de autoridades y órganos estatales y autonómicos y, a renglón seguido, limitar el ejercicio de dicha competencia a fijar la prelación que han de guardar entre sí exclusivamente las autoridades y órganos estatales, dejando a las Comunidades señalar el orden de los suyos. </w:t>
      </w:r>
    </w:p>
    <w:p w:rsidR="001C705E" w:rsidRDefault="001C705E" w:rsidP="001C705E">
      <w:pPr>
        <w:pStyle w:val="TextoNormal"/>
      </w:pPr>
      <w:r>
        <w:t xml:space="preserve">Expone seguidamente el Abogado del Estado que no existe reserva de ley para regular la precedencia relativa, en el estudio de cuya cuestión se suscita la duda de si la misma puede o no plantearse en esta vía de conflicto, sin que sea suficiente para hallar respuesta la cita de las Sentencias de este Tribunal de 28 de abril de 1983 y la de 20 de marzo del mismo año, ya que tales Sentencias se refieren a supuestos de fijación de bases de una materia por parte del Estado, planteamiento que no conviene al supuesto presente; muestra también su disconformidad con la alegación del Consejo Ejecutivo de la Generalidad según la cual la insuficiencia del rango deriva del texto del art. 86.1 de la Constitución, y ello, en el sentir de la Abogacía del Estado, porque ninguna reserva de ley existe respecto de esta materia en la Constitución y además por cuanto resulta contrario al espíritu y la letra de la Constitución dotar al precitado artículo de la extensión que se le atribuye. </w:t>
      </w:r>
    </w:p>
    <w:p w:rsidR="001C705E" w:rsidRDefault="001C705E" w:rsidP="001C705E">
      <w:pPr>
        <w:pStyle w:val="TextoNormal"/>
      </w:pPr>
      <w:r>
        <w:t xml:space="preserve">Incluye asimismo una referencia a los preceptos concretos respecto de los que se plantean los presentes conflictos, y de tal modo, en cuanto al art. 2.1, estima que la competencia para fijar la prelación relativa, en caso de concurrencia de autoridades y órganos de distinto orden, es del Estado, por carecer en absoluto de ella las Comunidades Autónomas; en cuanto al art. 3, afirma el Abogado del Estado que al clasificar los actos, tanto del Estado cuanto de los demás entes territoriales, no afecta a la competencia autonómica autoorganizativa, referido siempre a los actos en que exista concurrencia estatal y autonómica; por lo que se refiere al art. 5.2, señala que en los casos de concurrencia la prelación de fuentes ha de ser fijada por el Estado; en cuanto a los arts. 10 y 12, arguye que sería vaciar de contenido la competencia estatal si se le priva de fijar la posición de las concretas autoridades y órganos autonómicos en los actos oficiales; en lo atinente al art. 13.3, señala el Abogado del Estado que es lógico que la precedencia interna entre los miembros del Consejo de Gobierno de las Comunidades Autónomas en los casos de concurrencia se determine por la propia Comunidad en virtud de su competencia autoorganizativa, pero se invadiría competencia estatal caso de aceptarse la tesis de las Comunidades recurrentes; finalmente, por lo que importa al art. 16, reitera lo expuesto al tratar de los artículos 10 y 12. </w:t>
      </w:r>
    </w:p>
    <w:p w:rsidR="001C705E" w:rsidRDefault="001C705E" w:rsidP="001C705E">
      <w:pPr>
        <w:pStyle w:val="TextoNormal"/>
      </w:pPr>
      <w:r>
        <w:t>A modo de conclusión, expone la Abogacía del Estado que el Real Decreto impugnado, al fijar la precedencia relativa entre autoridades y órganos estatales y autonómicos, no afecta al ámbito competencial propio de las Comunidades Autónomas catalana y vasca, sin que el rango de la norma haya de ser el de ley formal, todo ello con independencia del pleno reconocimiento de las competencias autonómicas para, en uso de sus facultades autoorganizatorias, ordenar sus propias autoridades y órganos en actos por ellas organizados y a los que no concurran otros del Estado.</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 15 de enero corriente, se señaló el día 24 del mismo mes para deliberación y votación de esta Sentencia, fecha en que tuvo lugar.</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Aprobado por Real Decreto 2099/1983, de 4 de agosto («Boletín Oficial del Estado» del 8), el Reglamento de Ordenación General de Precedencias en el Estado, se suscita con</w:t>
      </w:r>
      <w:r>
        <w:lastRenderedPageBreak/>
        <w:t>flicto positivo de competencia por el Consejo Ejecutivo de la Generalidad de Cataluña, que inicia sus alegaciones con una serie de consideraciones en orden a lo que significa realmente, aun bajo el «modesto ropaje» de un Real Decreto, la ordenación de ciertos aspectos del protocolo de los actos oficiales, así como el alcance constitucional de la materia, y en tal sentido destaca que esa disposición ya expresa en su preámbulo la necesidad de acomodar la regulación de las precedencias a la nueva estructura constitucional, normativa con alcance supraterritorial, poniendo de relieve tal ordenación la jerarquía que a cada uno corresponde en el seno de la Comunidad política, con articulación de la imagen política y administrativa de la Nación -de nuevo según aquel preámbulo- para concluir en este punto el Consejo Ejecutivo afirmando que, en definitiva, las normas de que se trata tienen «sustancia constitucional» en tanto que descansan directamente en la arquitectura del Estado, de las que son una manifestación exterior, por decirlo de algún modo, uno de sus símbolos.</w:t>
      </w:r>
    </w:p>
    <w:p w:rsidR="001C705E" w:rsidRDefault="001C705E" w:rsidP="001C705E">
      <w:pPr>
        <w:pStyle w:val="TextoNormal"/>
      </w:pPr>
      <w:r>
        <w:t>En cierta manera, el Gobierno vasco también recurrente discurre en esa misma línea, poniendo de relieve el alcance constitucional del tema desde el punto en que la posición institucional de los Presidentes de las Comunidades Autónomas puede extraerse del tratamiento dado por la Constitución y los diversos Estatutos, en concreto del art. 152 de aquélla y del art. 33 del Estatuto vasco, en cuanto el nombramiento ha de realizarse por el Rey, correspondiéndole la suprema representación de la respectiva Comunidad y la ordinaria del Estado en aquélla, tesis de la que también participa el Consejo Ejecutivo de la Generalidad.</w:t>
      </w:r>
    </w:p>
    <w:p w:rsidR="001C705E" w:rsidRDefault="001C705E" w:rsidP="001C705E">
      <w:pPr>
        <w:pStyle w:val="TextoNormal"/>
      </w:pPr>
      <w:r>
        <w:t>En realidad no hay inconveniente en aceptar las consideraciones que anteceden, en el sentido de que nos hallamos frente a una materia, cual la de la ordenación de las precedencias de los cargos y entes públicos en los actos oficiales, que en algún aspecto excede de lo que pudiera denominarse vida social, o simple protocolo, y que merece una cuidadosa atención en tanto en cuanto afecta desde luego a la imagen, a la representación externa de autoridades y entes entre sí y ante los ciudadanos todos, y, en el fondo al establecimiento de una adecuada jerarquización que en lo visible físicamente puede mostrarse ni más ni menos que por el lugar en que cada uno de aquellos deba situarse cuando ocurra con otros. Y, de acuerdo también, que a la hora de establecer la repetida ordenación no se podrá prescindir de los mandatos de la Constitución, afirmación por demás obvia, bien que ello deba ser reconducido a sus justos e insalvables límites, esto es, a todos y cada uno de los supuestos -y a ninguno más- en que aquel texto contenga norma que imponga, o de la que se infiera, que la ordenación ha de realizarse de un modo concreto y preciso, o de que aquella jerarquización -dicho esto en un sentido ciertamente amplio- no permita opción alguna.</w:t>
      </w:r>
    </w:p>
    <w:p w:rsidR="001C705E" w:rsidRDefault="001C705E" w:rsidP="001C705E">
      <w:pPr>
        <w:pStyle w:val="TextoNormal"/>
      </w:pPr>
      <w:r>
        <w:t>Pero no podemos olvidar que aquí y ahora nos hallamos en el campo previsto para los conflictos de competencia, esto es, que a lo que en principio debemos atender no es a si la ordenación establecida en el Real Decreto 2099/1983 es constitucionalmente correcta, sino en cuanto a la realidad o no y, en su caso, al alcance de la competencia que tuviera asignada el Gobierno de la Nación para dictar una disposición de la índole de la cuestionada.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Se aduce prioritariamente el inadecuado rango formal del Real Decreto causa determinante de que incurra en vicio de incompetencia, frente a cuya alegación arguye el Abogado del Estado, en nombre y representación del Gobierno de la Nación, que es improcedente el planteamiento de tal tema en una cuestión de la naturaleza de la presente, extremo ya apuntado por la misma parte que promueve el conflicto, quien formula esa pregunta, y la responde en sentido afirmativo, con apoyo en el contenido de las Sentencias de este </w:t>
      </w:r>
      <w:r>
        <w:lastRenderedPageBreak/>
        <w:t>Tribunal de fechas 28 de abril y 20 de mayo de 1983, solución rechazada por el Abogado del Estado, quien señala que las invocadas resoluciones se refieren a supuestos de fijación de bases de una materia por parte del Estado, por lo que su doctrina no es de aplicación al caso que se suscita.</w:t>
      </w:r>
    </w:p>
    <w:p w:rsidR="001C705E" w:rsidRDefault="001C705E" w:rsidP="001C705E">
      <w:pPr>
        <w:pStyle w:val="TextoNormal"/>
      </w:pPr>
      <w:r>
        <w:t>Se aludió en aquellos casos a la posibilidad de hacer valer por este cauce pretensiones basadas en la insuficiencia de rango de la disposición, supuesto completamente distinto del actual, en el que el órgano central del Estado, exactamente el Gobierno de la Nación, mediante un Real Decreto, utilizando una competencia que estima le corresponde, estatuye una serie de precisiones en una materia concreta, para su observancia y cumplimiento, sin necesidad de desarrollo ulterior alguno. Siendo preciso además reflejar que de la doctrina de las Sentencias antes invocadas, lejos de desprenderse o de ofrecerse soluciones únicas no necesitadas de más precisiones, se señala la necesidad de matizaciones y análisis de las posibles situaciones que la realidad ofrezca, ante una de las cuales nos hallamos sin duda ahora, siendo claro que cualquier infracción relativa a la forma de ejercicio o al órgano que ejerce la competencia, no puede ser, sin más, materia del conflicto, y sí tan sólo -aparte lo dicho con relación a las bases- cuando se reduzcan las garantías constitucionalmente establecidas para la protección de las competencias autonómicas, o bien cuando algún precepto con rango constitucional haya previsto que el concreto ejercicio de la competencia estatal de que se trate sea realizada por un preciso y específico órgano. Nada de ello sucede en el caso que se resuelve debido a no existir norma alguna de la índole de las que acabamos de aludir, y a que la competencia, en este tema de la ordenación de precedencias, no puede atribuirse más que al Estado, según lo tiene ya definido este Tribunal, a lo que más adelante habremos de referirnos.</w:t>
      </w:r>
    </w:p>
    <w:p w:rsidR="001C705E" w:rsidRDefault="001C705E" w:rsidP="001C705E">
      <w:pPr>
        <w:pStyle w:val="TextoNormal"/>
      </w:pPr>
    </w:p>
    <w:p w:rsidR="001C705E" w:rsidRDefault="001C705E" w:rsidP="001C705E">
      <w:pPr>
        <w:pStyle w:val="TextoNormal"/>
      </w:pPr>
      <w:r w:rsidRPr="001C705E">
        <w:rPr>
          <w:rStyle w:val="NumeroAFNegritaCaracter"/>
        </w:rPr>
        <w:t>3</w:t>
      </w:r>
      <w:r>
        <w:t>. De acuerdo con lo dispuesto en el art. 149.3 de la Constitución, la Generalidad tiene las competencias que haya asumido en el Estatuto de Autonomía, pues como indica expresamente ese precepto, la competencia sobre las materias que no se hayan asumido en los Estatutos corresponde al Estado.  Pues bien, el estudio del Estatuto de Cataluña permite afirmar que la Comunidad no ha asumido expresamente competencia alguna en orden a la fijación de la precedencia relativa de que aquí se trata. Las competencias que le atribuye el art. 9.1 y 3 del Estatuto para la organización de sus instituciones de autogobierno y en relación a las normas de procedimiento administrativo que se deriven de las especialidades de la organización de la Generalidad, no implican asunción alguna en este punto, pues el objeto del conflicto no es determinar si la Generalidad puede fijar la precedencia entre sus órganos y autoridades, sino si puede establecer la precedencia relativa entre éstos y los del Estado. La conclusión inicial por tanto ha de ser que esta competencia, con carácter general, corresponde al Estado.  Solución que es lógica, pues concebido también el Estado en la Constitución como una institución compleja, del que forman parte las Comunidades Autónomas, resulta necesario convenir que la regulación de la precedencia de las autoridades y órganos de distinto orden en los actos oficiales ha de corresponder a los órganos generales o centrales del Estado.</w:t>
      </w:r>
    </w:p>
    <w:p w:rsidR="001C705E" w:rsidRDefault="001C705E" w:rsidP="001C705E">
      <w:pPr>
        <w:pStyle w:val="TextoNormal"/>
      </w:pPr>
      <w:r>
        <w:t>Acabamos de transcribir, literalmente, la parte que aquí importa de la Sentencia dictada por este Tribunal con fecha 22 de junio de 1982, en el conflicto positivo de competencia núm.  391/1981, de acuerdo con cuya doctrina y pronunciamientos, válidos en el caso actual tanto respecto de Cataluña como del País Vasco, habrá ahora que reconocer y admitir que el punto sustancial referente a situar la competencia en el Estado o en las Comunidades Autónomas, fue resuelto en esa anotada Sentencia.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4</w:t>
      </w:r>
      <w:r>
        <w:t>. A pesar de lo expuesto cabe todavía argüir que incluso aceptada la competencia estatal en la materia, con respecto de la doctrina contenida en las Sentencias de este Tribunal a que nos hemos referido, al ejercer tal competencia mediante el Real Decreto 2099/1983, se ha vulnerado la normativa constitucional, particularmente en cuanto al contenido en los arts. 2, apartado primero, 3, 5, apartado segundo, y 13, según las alegaciones del Consejo Ejecutivo de la generalidad, y el art. 5, apartado segundo, por lo que atañe Gobierno vasco, ya que en esa preceptiva el Gobierno de la Nación se ha inmiscuido en competencias ajenas disciplinando aspectos a los que no alcanzan los razonamientos y menos los pronunciamientos de aquella Sentencia, desde el punto en que se encomienda a la Jefatura de Protocolo del Estado la aplicación de las normas del Ordenamiento general de precedencias, se clasifican los actos oficiales, se atiende a la precedencia en los actos oficiales de carácter general organizados por las Comunidades Autónomas o por la Administración Local y se expresa que la precedencia interna entre los miembros del Consejo del Gobierno de las Comunidades Autónomas se determinará por la propia Comunidad.</w:t>
      </w:r>
    </w:p>
    <w:p w:rsidR="001C705E" w:rsidRDefault="001C705E" w:rsidP="001C705E">
      <w:pPr>
        <w:pStyle w:val="TextoNormal"/>
      </w:pPr>
      <w:r>
        <w:t>A ello debe oponerse que del detenido examen de la repetida Sentencia de 22 de junio de 1982 se colige que lo que en ella se razona como argumento esencial y del que dimanan los que le subsiguen, es igualmente predicable en cuanto a los puntos que acabamos de reflejar en el párrafo precedente, ya que lo aceptado en aquel fallo no es esencialmente otra cosa que, inexistente norma estatutaria competencial en esta materia, se proclama la del Estado, con carácter general, para establecer la precedencia relativa entre los órganos y autoridades de las Comunidades Autónomas y los del Estado, y a ello, y nada más que a ello, atienden los preceptos supuestamente invasores de competencias ajenas, mas por si cupiera alguna duda al respecto, bastará para disiparla con reflejar en este instante, y dejar constancia igualmente en la parte dispositiva de esta Sentencia, del criterio del Gobierno de la Nación exteriorizado al responder al requerimiento, y por el Abogado del Estado en su escrito de oposición, expresivo éste del «pleno reconocimiento de las competencias autonómicas para en uso de sus facultades autoorganizatorias -arts. 9.1 y 3 del EC, y 10.2 y 6 del EV- ordenar sus propias autoridades y órganos en actos por ella organizados y a los que no concurren otros del Estado».</w:t>
      </w:r>
    </w:p>
    <w:p w:rsidR="001C705E" w:rsidRDefault="001C705E" w:rsidP="001C705E">
      <w:pPr>
        <w:pStyle w:val="TextoNormal"/>
      </w:pPr>
      <w:r>
        <w:t>Paralelamente cabe decir que la disposición que contiene el art. 2, apartado primero, del Real Decreto sobre aplicación por la Jefatura de Protocolo del Estado de las normas del Ordenamiento general de precedencias, no alcanza a los actos a que acabamos de referirnos.</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Que es de titularidad estatal la competencia controvertida en este conflicto con referencia al Real Decreto 2099/1983, de 4 de agosto, que aprobó el Reglamento de Ordenación General de Precedencias en el Estado, bien que con pleno reconocimiento de las competencias de las Comunidades Autónomas para ordenar sus propias autoridades y órganos en actos por ellas organizados y a los que no concurran con las del Estado.</w:t>
      </w:r>
    </w:p>
    <w:p w:rsidR="001C705E" w:rsidRDefault="001C705E" w:rsidP="001C705E">
      <w:pPr>
        <w:pStyle w:val="TextoNormal"/>
      </w:pPr>
    </w:p>
    <w:p w:rsidR="001C705E" w:rsidRDefault="001C705E" w:rsidP="001C705E">
      <w:pPr>
        <w:pStyle w:val="TextoNormal"/>
      </w:pPr>
      <w:r>
        <w:lastRenderedPageBreak/>
        <w:t>Publíquese esta Sentencia en el «Boletín Oficial del Estado».</w:t>
      </w:r>
    </w:p>
    <w:p w:rsidR="001C705E" w:rsidRDefault="001C705E" w:rsidP="001C705E">
      <w:pPr>
        <w:pStyle w:val="TextoNormal"/>
      </w:pPr>
      <w:r>
        <w:t>Dada en Madrid, a treinta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6" w:name="SENTENCIA_1985_13"/>
      <w:r>
        <w:lastRenderedPageBreak/>
        <w:t>SENTENCIA 13/1985, de 31 de enero de 1985</w:t>
      </w:r>
    </w:p>
    <w:bookmarkEnd w:id="16"/>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ECLI:ES:TC:1985:13</w:t>
      </w:r>
    </w:p>
    <w:p w:rsidR="001C705E" w:rsidRDefault="001C705E" w:rsidP="001C705E">
      <w:pPr>
        <w:pStyle w:val="SntesisDescriptiva"/>
      </w:pPr>
    </w:p>
    <w:p w:rsidR="001C705E" w:rsidRDefault="001C705E" w:rsidP="001C705E">
      <w:pPr>
        <w:pStyle w:val="SntesisDescriptiva"/>
      </w:pPr>
      <w:r>
        <w:t>Recurso de amparo 358/1984. Interpuesto por la entidad "Ultima Hora Sociedad Anónima", editora del diario del mismo título, de Palma de Mallorca, contra resoluciones judiciales que prohibían la publicación de fotografías obtenidas con ocasión de un incendio hasta la finalización de las diligencias incoadas al efecto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Como se dijo en la STC 52/1983, de 17 de junio, la censura previa, prohibida por el art. 20.2 de la C.E., es cualquier medida limitativa de la elaboración o difusión de una obra del espíritu, especialmente al hacerla depender del previo examen de su contenido. </w:t>
      </w:r>
    </w:p>
    <w:p w:rsidR="001C705E" w:rsidRDefault="001C705E" w:rsidP="001C705E">
      <w:pPr>
        <w:pStyle w:val="Extracto"/>
      </w:pPr>
    </w:p>
    <w:p w:rsidR="001C705E" w:rsidRDefault="001C705E" w:rsidP="001C705E">
      <w:pPr>
        <w:pStyle w:val="Extracto"/>
      </w:pPr>
      <w:r>
        <w:t>2.</w:t>
      </w:r>
      <w:r>
        <w:tab/>
        <w:t xml:space="preserve">Según se dijo en las SSTC 6/1981, de 16 de marzo, y 105/1983, de 23 de noviembre, la fórmula del art. 20.1 d) de la C.E. incluye dos derechos distintos, si bien íntimamente conectados: el derecho a comunicar información, que, en cierto sentido, puede considerarse como una simple aplicación concreta de la libertad de expresión, y el derecho a recibir esa misma información. </w:t>
      </w:r>
    </w:p>
    <w:p w:rsidR="001C705E" w:rsidRDefault="001C705E" w:rsidP="001C705E">
      <w:pPr>
        <w:pStyle w:val="Extracto"/>
      </w:pPr>
    </w:p>
    <w:p w:rsidR="001C705E" w:rsidRDefault="001C705E" w:rsidP="001C705E">
      <w:pPr>
        <w:pStyle w:val="Extracto"/>
      </w:pPr>
      <w:r>
        <w:t>3.</w:t>
      </w:r>
      <w:r>
        <w:tab/>
        <w:t xml:space="preserve">Como se dijo en la STC 62/1982, de 15 de octubre, toda resolución que limite o restrinja el ejercicio de un derecho fundamental ha de estar motivada, siendo las medidas limitadoras las necesarias para conseguir el fin perseguido. En el presente caso, no puede entenderse como fundada en Derecho una resolución que no consideró mínimamente la identidad efectiva del objeto cuya libre difusión se coartó, no pudiendo el Juez ni apreciar, por ello, la necesidad de la limitación del derecho fundamental ni realizar el consiguiente cálculo de la proporcionalidad de la medida adoptada. </w:t>
      </w:r>
    </w:p>
    <w:p w:rsidR="001C705E" w:rsidRDefault="001C705E" w:rsidP="001C705E">
      <w:pPr>
        <w:pStyle w:val="Extracto"/>
      </w:pPr>
    </w:p>
    <w:p w:rsidR="001C705E" w:rsidRDefault="001C705E" w:rsidP="001C705E">
      <w:pPr>
        <w:pStyle w:val="Extracto"/>
      </w:pPr>
      <w:r>
        <w:t>4.</w:t>
      </w:r>
      <w:r>
        <w:tab/>
        <w:t xml:space="preserve">La regla que dispone el secreto de las actuaciones sumariales es, ante todo, una excepción a la garantía institucional inscrita en el art. 120.1 de la C.E. La admisión que hace esta misma disposición de excepciones a la publicidad no puede entenderse como un apoderamiento en blanco al legislador, porque la publicidad procesal está inmediatamente ligada a situaciones jurídicas subjetivas de los ciudadanos que tienen la condición de derechos fundamentales: derecho a un proceso público, en el artículo 24.2 de la C.E., y derecho a recibir libremente información. </w:t>
      </w:r>
    </w:p>
    <w:p w:rsidR="001C705E" w:rsidRDefault="001C705E" w:rsidP="001C705E">
      <w:pPr>
        <w:pStyle w:val="Extracto"/>
      </w:pPr>
    </w:p>
    <w:p w:rsidR="001C705E" w:rsidRDefault="001C705E" w:rsidP="001C705E">
      <w:pPr>
        <w:pStyle w:val="Extracto"/>
      </w:pPr>
      <w:r>
        <w:t>5.</w:t>
      </w:r>
      <w:r>
        <w:tab/>
        <w:t xml:space="preserve">Esta ligazón entre garantía objetiva de la publicidad y derechos fundamentales lleva a exigir que las excepciones a la publicidad previstas en el art. 120.1 de la C.E. se acomoden en la previsión normativa, y en su aplicación judicial concreta, a las condiciones fuera de las cuales la limitación constitucionalmente posible deviene vulneración del derecho. </w:t>
      </w:r>
    </w:p>
    <w:p w:rsidR="001C705E" w:rsidRDefault="001C705E" w:rsidP="001C705E">
      <w:pPr>
        <w:pStyle w:val="Extracto"/>
      </w:pPr>
    </w:p>
    <w:p w:rsidR="001C705E" w:rsidRDefault="001C705E" w:rsidP="001C705E">
      <w:pPr>
        <w:pStyle w:val="Extracto"/>
      </w:pPr>
      <w:r>
        <w:t>6.</w:t>
      </w:r>
      <w:r>
        <w:tab/>
        <w:t xml:space="preserve">El proceso penal puede tener una fase sumaria amparada por el secreto y, en cuanto tal, limitativa de la publicidad y de la libertad. Pero esa genérica conformidad constitucional del secreto sumarial no está, sin embargo, impuesta o exigida por ningún precepto constitucional y, por lo mismo, se requiere, en su aplicación concreta, una interpretación estricta, no siendo su mera alegación fundamento bastante para limitar más derechos -ni en mayor medida de lo necesario- que los estrictamente afectados por la norma entronizadora del secreto. </w:t>
      </w:r>
    </w:p>
    <w:p w:rsidR="001C705E" w:rsidRDefault="001C705E" w:rsidP="001C705E">
      <w:pPr>
        <w:pStyle w:val="Extracto"/>
      </w:pPr>
    </w:p>
    <w:p w:rsidR="001C705E" w:rsidRDefault="001C705E" w:rsidP="001C705E">
      <w:pPr>
        <w:pStyle w:val="Extracto"/>
      </w:pPr>
      <w:r>
        <w:t>7.</w:t>
      </w:r>
      <w:r>
        <w:tab/>
        <w:t xml:space="preserve">El secreto sumarial no se interpone como un límite frente a la libertad de información, sino, más amplia y genéricamente, como un impedimento al conocimiento por cualquiera de las actuaciones seguidas en esta etapa del procedimiento penal. Lo que se persigue con el secreto es impedir tal conocimiento, y ello en aras de alcanzar, de acuerdo con el principio inquisitivo, una segura represión del delito. Aquellos datos a los que no se tiene acceso legítimo no podrán -«a fortiori»- ser objeto de difusión por cualquier medio, lo cual implica un límite del derecho a informar, pero sólo de modo derivado, es decir, en la medida en que aquello que se quiera difundir o comunicar haya sido obtenido ilegítimamente, quebrantando el secreto mismo del sumario. </w:t>
      </w:r>
    </w:p>
    <w:p w:rsidR="001C705E" w:rsidRDefault="001C705E" w:rsidP="001C705E">
      <w:pPr>
        <w:pStyle w:val="Extracto"/>
      </w:pPr>
    </w:p>
    <w:p w:rsidR="001C705E" w:rsidRDefault="001C705E" w:rsidP="001C705E">
      <w:pPr>
        <w:pStyle w:val="Extracto"/>
      </w:pPr>
      <w:r>
        <w:t>8.</w:t>
      </w:r>
      <w:r>
        <w:tab/>
        <w:t xml:space="preserve">El secreto del sumario se predica de las diligencias que lo constituyen, pero no significa en modo alguno que uno o varios elementos de la vida social sean arrebatados a la libertad de información con el único argumento de que sobre aquellos elementos están en curso unas determinadas diligencias sumariales.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358/1984, interpuesto por el Procurador de los Tribunales don Argimiro Vázquez Guillén, asistido por el Letrado don Josep Meliá Pericás, en nombre y representación de «Ultima Hora, Sociedad Anónima», Entidad editora del periódico diario del mismo título, contra resolución del Juez de Instrucción núm. 1 de los de Palma de Mallorca de fecha 19 de marzo de 1984, y contra el auto de la Audiencia Provincial de Palma de Mallorca de 27 de abril del mismo año. </w:t>
      </w:r>
    </w:p>
    <w:p w:rsidR="001C705E" w:rsidRDefault="001C705E" w:rsidP="001C705E">
      <w:pPr>
        <w:pStyle w:val="TextoNormal"/>
      </w:pPr>
      <w:r>
        <w:t>Han sido partes el demandante y el Ministerio Fiscal, siendo Ponente el Magistrado don Francisco Tomás y Valiente, quien expresa el parecer de la Sala.</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Con fecha 21 de mayo de 1984 tuvo entrada en este Tribunal un escrito mediante el cual la Entidad «Ultima Hora, Sociedad Anónima», debidamente representada y dirigida, interpuso recurso de amparo constitucional contra la resolución del Juez de Instrucción núm. 1 de los de Palma de Mallorca de 19 de marzo de 1984, indicando también en su demanda que ésta se dirigía, asimismo, contra el Auto dictado por la Sala de lo Penal de la Audiencia Provincial de Palma de Mallorca, con fecha 27 de abril del mismo año, por el que se desestimó el recurso de apelación interpuesto por la actora contra aquella resolución. </w:t>
      </w:r>
    </w:p>
    <w:p w:rsidR="001C705E" w:rsidRDefault="001C705E" w:rsidP="001C705E">
      <w:pPr>
        <w:pStyle w:val="TextoNormal"/>
      </w:pPr>
      <w:r>
        <w:t xml:space="preserve">Del escrito de demanda y de la documentación aportada se infieren los siguientes hechos: </w:t>
      </w:r>
    </w:p>
    <w:p w:rsidR="001C705E" w:rsidRDefault="001C705E" w:rsidP="001C705E">
      <w:pPr>
        <w:pStyle w:val="TextoNormal"/>
      </w:pPr>
      <w:r>
        <w:t xml:space="preserve">a) El día 19 de marzo de 1984 se produjo un incendio en un inmueble de la ciudad de Palma de Mallorca en el que pereció una persona, dándose aviso telefónico al Juzgado que, según se afirma en el Auto del 29 del mismo mes y año, dictó dicho día 19 Auto acordando proceder a la incoación de diligencias previas y, en primer lugar, a la inspección ocular de los hechos. </w:t>
      </w:r>
    </w:p>
    <w:p w:rsidR="001C705E" w:rsidRDefault="001C705E" w:rsidP="001C705E">
      <w:pPr>
        <w:pStyle w:val="TextoNormal"/>
      </w:pPr>
      <w:r>
        <w:t xml:space="preserve">b) En el curso de tal inspección, el señor Juez prohibió a un periodista la obtención de imágenes gráficas del lugar y, sabedor de que otros profesionales, autorizados por el Jefe de Bomberos, habían tomado fotografías del lugar de los hechos, así como del cadáver, acordó el mismo día 19 oficiar al Jefe Superior de Policía para que comunicara a los distintos medios de prensa de Palma que las fotografías que se hubieran realizado en el interior del apartamento siniestrado quedaban afectadas a la investigación judicial, por lo que no procedía su publicación sin permiso de la autoridad correspondiente hasta la finalización de las diligencias incoadas al efecto. </w:t>
      </w:r>
    </w:p>
    <w:p w:rsidR="001C705E" w:rsidRDefault="001C705E" w:rsidP="001C705E">
      <w:pPr>
        <w:pStyle w:val="TextoNormal"/>
      </w:pPr>
      <w:r>
        <w:t xml:space="preserve">c) La Entidad demandante, uno de cuyos periodistas había tomado fotografías, interpuso recurso de reforma y subsidiario de apelación frente a dicha resolución. Se fundamentó tal recurso en la afirmación de que el derecho reconocido en el art. 20.1 d) para «comunicar o recibir libremente información veraz» no quedaba sujeto a más límites que los formulados, a su vez, en el párrafo cuarto del mismo precepto constitucional, lo que no justificaría en modo alguno la resolución judicial impugnada. El día 29 de marzo de 1984 dictó Auto el Juez desestimando el recurso así interpuesto. En esta resolución, y tras invocar el art. 19.3 del Pacto Internacional de Derechos Civiles y Políticos y el art. 10.2 del Convenio para la Protección de los Derechos Humanos y de las Libertades Fundamentales, así como el art. 6.1 de este mismo texto, el Juez estimó que, teniendo en cuenta estas disposiciones para interpretar el art. 20.4 de la Norma Fundamental (como prescribe su art. 10.2), resultó legítima la limitación impuesta que lo fue en interés de la justicia y sobre la base del secreto propio a las actuaciones sumariales. Se indicó así, en este Auto, que «desde la inspección ocular se descubrieron múltiples detalles de importancia, corroborados después por el resultado de la autopsia y demás diligencias que ponían en evidencia la existencia de un cierto plan criminal», añadiéndose que «la divulgación de las fotografías podían sacar a la luz pública extremos de interés con daño para la investigación del sumario». </w:t>
      </w:r>
    </w:p>
    <w:p w:rsidR="001C705E" w:rsidRDefault="001C705E" w:rsidP="001C705E">
      <w:pPr>
        <w:pStyle w:val="TextoNormal"/>
      </w:pPr>
      <w:r>
        <w:t>d) Interpuesto también, según se dijo, recurso de apelación, éste fue resuelto por Auto desestimatorio de la Sala competente de la Audiencia Provincial con fecha 27 de abril de 1984. El rechazo del recurso del actor se fundamentó, como en la resolución anterior, en la invocación de normas internacionales paccionadas sobre la materia (añadiendo otras a las ya citadas por el Juez de Instrucción), en la condición secreta de las actuaciones sumariales y en los poderes correspondientes al instructor en esta fase del procedimiento. Consi</w:t>
      </w:r>
      <w:r>
        <w:lastRenderedPageBreak/>
        <w:t>deró, así, la Sala que la resolución impugnada se dictó al hilo de una diligencia de inspección ocular (arts. 326 y siguientes de la Ley de Enjuiciamiento Criminal), en cuyo acto el instructor debe recoger cuantos vestigios o pruebas de delito halle en el lugar, levantando planos, describiendo objetos y locales, retratando a la víctima, etc., actuaciones todas estas de carácter propiamente judicial y ordenables sólo en un proceso por el Juez competente. Por ello, se añade, la prohibición temporal de su difusión pública no vulnera el derecho a la información veraz con carácter general si ésta puede afectar al buen fin de la averiguación del delito y de su autor. Por lo demás -se indica en el Auto-, el Juez no ignoró el derecho invocado, limitándose a suspender provisionalmente su ejercicio concreto, de un modo que no fue discriminatorio y que no puede calificarse, como hace el recurrente, de censura previa, concepto -se dice- que el art. 20.2 de la Constitución contempla para supuestos muy distintos. Por último, no podría juzgarse sobre la eficacia y oportunidad de la medida adoptada, cuestión ésta que sólo cabría apreciar al término del proceso.</w:t>
      </w:r>
    </w:p>
    <w:p w:rsidR="001C705E" w:rsidRDefault="001C705E" w:rsidP="001C705E">
      <w:pPr>
        <w:pStyle w:val="TextoNormal"/>
      </w:pPr>
    </w:p>
    <w:p w:rsidR="001C705E" w:rsidRDefault="001C705E" w:rsidP="001C705E">
      <w:pPr>
        <w:pStyle w:val="TextoNormal"/>
      </w:pPr>
      <w:r w:rsidRPr="001C705E">
        <w:rPr>
          <w:rStyle w:val="NumeroAFNegritaCaracter"/>
        </w:rPr>
        <w:t>2</w:t>
      </w:r>
      <w:r>
        <w:t>. La Sección Cuarta, por providencia de 27 de junio de 1984, acordó admitir a trámite el recurso y que se dirigiera atenta comunicación al Juzgado de Instrucción núm. 1 de los de Palma de Mallorca para que remitiera las actuaciones referentes únicamente a la prohibición de cualquier fotografía sobre el accidente producido el día 19 de marzo del presente año, con certificación de la resolución de la Audiencia desestimatoria de la apelación o recurso que, en su caso, se haya deducido o resuelto. Recibidas las actuaciones, por providencia de 10 de octubre dispuso la Sección que se diese vista de las mismas al demandante y al Ministerio Fiscal, concediéndoles un plazo común de veinte días para formular alegaciones.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Dentro del plazo así dispuesto, dedujo sus alegaciones la parte demandante, reiterando todos los argumentos expuestos con anterioridad y sintetizando su posición en algunos puntos, que pueden resumirse como sigue: </w:t>
      </w:r>
    </w:p>
    <w:p w:rsidR="001C705E" w:rsidRDefault="001C705E" w:rsidP="001C705E">
      <w:pPr>
        <w:pStyle w:val="TextoNormal"/>
      </w:pPr>
      <w:r>
        <w:t xml:space="preserve">a) La resolución judicial recurrida violó, en primer lugar, lo dispuesto en el art. 20.2 de la Constitución, porque interfirió en el ejercicio del derecho del recurrente de un modo que no puede dejar de calificarse de «censura previa», ya que dicha interferencia supuso tanto una limitación previa como una sujeción a autorización en el ejercicio del derecho en cuestión. </w:t>
      </w:r>
    </w:p>
    <w:p w:rsidR="001C705E" w:rsidRDefault="001C705E" w:rsidP="001C705E">
      <w:pPr>
        <w:pStyle w:val="TextoNormal"/>
      </w:pPr>
      <w:r>
        <w:t xml:space="preserve">b) La misma resolución judicial afectó a la libertad de expresión del periodista, libertad ésta que -se dice- abarca todos los ámbitos a través de los cuales puede expresarse la comunicación, la emotividad o la creación y la libertad de pensamiento en definitiva. Igualmente afectada resultó la libertad de información del actor, derecho éste que no cabe confundir con la libertad de expresión. Así, la libertad de expresión de quien realizó el reportaje gráfico amparaba a éste para disponer del mismo vendiendo a otros medios las fotos obtenidas, exponiéndolas, editándolas de otro modo, etc. Por otra parte, la libertad de información de «Ultima Hora» capacitaba a este medio para transmitir dicha información, a través del periódico, a toda la sociedad mallorquina. Por último, la prohibición judicial que se impugna lesionó también los derechos de los lectores, porque sobre la «información» se configura un doble derecho -a transmitirla y a recibirla, como ha señalado ya el Tribunal Constitucional-. Esta lesión quedó agravada comparativamente, si se tiene en cuenta que los lectores de otros medios de prensa -medios que no prestaron caso alguno a la orden judicial- sí tuvieron acceso a esta información. </w:t>
      </w:r>
    </w:p>
    <w:p w:rsidR="001C705E" w:rsidRDefault="001C705E" w:rsidP="001C705E">
      <w:pPr>
        <w:pStyle w:val="TextoNormal"/>
      </w:pPr>
      <w:r>
        <w:t>Por todo ello, cierra sus alegaciones la parte actora suplicando del Tribunal se acoja la pretensión deducida en la demanda de amparo.</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Ministerio Fiscal, tras reconstruir los antecedentes fácticos y jurídicos del presente recurso y resumir la pretensión actora, formula sus alegaciones, que pueden sintetizarse así: </w:t>
      </w:r>
    </w:p>
    <w:p w:rsidR="001C705E" w:rsidRDefault="001C705E" w:rsidP="001C705E">
      <w:pPr>
        <w:pStyle w:val="TextoNormal"/>
      </w:pPr>
      <w:r>
        <w:t xml:space="preserve">a) Ha de reconocerse que el derecho fundamental a la información no es ilimitado, pudiéndose hallar uno de sus límites, efectivamente, en el «interés de la justicia», lo que no significa dar por buena la interpretación de la Audiencia Provincial, para la cual los límites enunciados en el art. 20.4 de la Constitución no son exhaustivos, según deriva del adverbio «especialmente» utilizado por este precepto. </w:t>
      </w:r>
    </w:p>
    <w:p w:rsidR="001C705E" w:rsidRDefault="001C705E" w:rsidP="001C705E">
      <w:pPr>
        <w:pStyle w:val="TextoNormal"/>
      </w:pPr>
      <w:r>
        <w:t xml:space="preserve">b) A efectos de determinar tales límites, puede constatarse que el secreto sumarial continúa vigente, si bien de forma matizada por la reforma introducida por la Ley 53/1978, de 4 de diciembre. Es éste el límite a considerar y no la competencia del Juzgado para ordenar un secuestro (art. 20.5 de la Constitución), toda vez que esta grave medida sólo sería procedente cuando el delito haya sido cometido «por medio de la imprenta, el grabado u otro medio mecánico de publicación», lo que no se dio, al parecer, en el caso examinado. </w:t>
      </w:r>
    </w:p>
    <w:p w:rsidR="001C705E" w:rsidRDefault="001C705E" w:rsidP="001C705E">
      <w:pPr>
        <w:pStyle w:val="TextoNormal"/>
      </w:pPr>
      <w:r>
        <w:t xml:space="preserve">c) Para determinar si el ejercicio por el Juez de las atribuciones que le confiere la Ley en la instrucción fue aquí el correcto es necesario acudir al Convenio para la Protección de los Derechos Humanos y de las Libertades Fundamentales (1950), especialmente en su art. 10.2. Este precepto prevé dos tipos de garantías para la limitación de los derechos que enuncia: que los límites estén previstos en la ley y sean necesarios en una sociedad democrática y que las medidas adoptadas en su virtud lo sean con la finalidad para la cual los mismos límites fueron previstos. A tal efecto examina y comenta el Ministerio Fiscal las decisiones del Tribunal Europeo de Derechos Humanos en los casos «Handsyde» y «Sunday Time». Sobre esta base, ha de constatarse que el razonamiento del Juzgado al prohibir la publicación de las fotografías fue razonable, pues no se pretendía otra cosa que preservar el buen fin de la investigación penal, que podía verse perturbado por la publicación de aquéllas. Sin embargo, estas consideraciones no son suficientes para justificar la restricción del derecho que efectivamente se produjo y ello por dos razones. En primer lugar, porque el «interés de la justicia» a que el Juzgado se refiere está previsto, ciertamente, en el art. 10 del citado Convenio y en el art. 14 del Pacto Internacional de Derechos Civiles y Políticos (1966), pero para supuestos distintos. Y en segundo lugar, porque ni siquiera la invocación a «la autoridad del poder judicial», configurada como posible límite perfectamente legítimo al derecho fundamental cuestionado, reunió en este caso los requisitos exigidos por el art. 10.2 del Convenio, según la interpretación del Tribunal Europeo de Derechos Humanos. Así, aunque no hay en la L.E.Cr. precepto claro y concreto que permita la prohibición acordada por el Juez, puede admitirse que la decisión de éste, conforme al art. 301, párrafo 1. , de aquella Ley, estaba prevista legalmente y que cumplió la doble exigencia que, para este primer requisito, ha señalado el Tribunal Europeo. Sin embargo, examinada a la luz de la doctrina del Tribunal Constitucional y del propio Tribunal Europeo, la decisión de prohibir la publicación de unas fotografías que ni siquiera se llegaron a examinar no respondió ni a una necesidad social suficientemente apremiante en una sociedad democrática para mantener la autoridad del Poder Judicial ni fue proporcionada al fin perseguido, aunque éste fuese indudablemente legítimo. Por ello, esta resolución vulneró el derecho fundamental recogido en el art. 20.1 d) de la Constitución. </w:t>
      </w:r>
    </w:p>
    <w:p w:rsidR="001C705E" w:rsidRDefault="001C705E" w:rsidP="001C705E">
      <w:pPr>
        <w:pStyle w:val="TextoNormal"/>
      </w:pPr>
      <w:r>
        <w:t xml:space="preserve">d) Esta misma resolución no ha supuesto, sin embargo, vulneración de lo dispuesto en el art. 20.2 de la norma fundamental, pues no fue ejercicio de censura previa, entendido este concepto a la luz de la Sentencia 52/1983 del Tribunal Constitucional. Así, no es ya sólo que no existiera, en modo alguno, ánimo o propósito de censura, sino que la difusión </w:t>
      </w:r>
      <w:r>
        <w:lastRenderedPageBreak/>
        <w:t xml:space="preserve">de las fotografías no se hizo depender de su previo examen por el Juzgado, que ni siquiera las reclamó. </w:t>
      </w:r>
    </w:p>
    <w:p w:rsidR="001C705E" w:rsidRDefault="001C705E" w:rsidP="001C705E">
      <w:pPr>
        <w:pStyle w:val="TextoNormal"/>
      </w:pPr>
      <w:r>
        <w:t>Por lo expuesto, el Fiscal concluye sus alegaciones interesando del Tribunal se dicte Sentencia por la que, estimándose el amparo impetrado por «Ultima Hora, Sociedad Anónima», se declare que las resoluciones judiciales impugnadas han vulnerado el art. 20.1 d) de la Constitución y se anulen las mismas, desestimándose el recurso en lo que se refiere a la presunta vulneración del art. 20.2 de la norma fundamental.</w:t>
      </w:r>
    </w:p>
    <w:p w:rsidR="001C705E" w:rsidRDefault="001C705E" w:rsidP="001C705E">
      <w:pPr>
        <w:pStyle w:val="TextoNormal"/>
      </w:pPr>
    </w:p>
    <w:p w:rsidR="001C705E" w:rsidRDefault="001C705E" w:rsidP="001C705E">
      <w:pPr>
        <w:pStyle w:val="TextoNormal"/>
      </w:pPr>
      <w:r w:rsidRPr="001C705E">
        <w:rPr>
          <w:rStyle w:val="NumeroAFNegritaCaracter"/>
        </w:rPr>
        <w:t>5</w:t>
      </w:r>
      <w:r>
        <w:t>. La Sala, por providencia de 21 de noviembre de 1984, señaló para deliberación y fallo el día 23 de enero de 1985.</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La parte demandante entiende que las resoluciones judiciales que impugna violaron el art. 20.2 de la C.E., que establece que el ejercicio de los derechos del 20.1 «no puede restringirse mediante ningún tipo de censura previa». Este Tribunal, en su Sentencia 52/1983, de 17 de junio (fundamento jurídico 5. ), dijo que «por tal puede entenderse cualquier medida limitativa de la elaboración o difusión de una obra del espíritu, especialmente al hacerla depender previo examen oficial de su contenido».  La prohibición que se contiene en la resolución judicial de 19 de marzo de 1984 en orden a la publicación de las fotografías queda supeditada, en cuanto a su levantamiento, al «permiso de la autoridad correspondiente», y ello da pie a la Entidad recurrente para pensar que su reportaje fotográfico quedó sometido a un control censor, contrario al art. 20.2 de la Constitución. En el último considerando del Auto del mismo órgano judicial de 29 de marzo por el que se resolvió, desestimándolo, el recurso de reforma contra su primera resolución, hay una afirmación que nos coloca en la orientación acertada para decidir en sentido negativo el amparo que por este motivo se nos pide. Dice allí el titular del órgano judicial que en su resolución de 19 de marzo en modo alguno existió «ánimo o propósito de censura», sino sólo el ejercicio de unas facultades jurisdiccionales establecidas por el ordenamiento jurídico para salvaguarda de unos bienes determinados que en otros pasajes del mismo Auto identifica con la vida humana y con «el interés de la justicia». El «previo examen oficial» del contenido de la obra del espíritu de que hablaba este Tribunal en su STC 52/1983 implica la finalidad de enjuiciar la obra en cuestión con arreglo a unos valores abstractos y restrictivos de la libertad, de manera tal que se otorgue el placet a la publicación de la obra que se acomode a ellos a juicio del censor y se le niegue en el caso contrario. No estamos ante un supuesto de tal género, y ello no sólo por la afirmación de la inexistencia de ánimo o propósito censor, sino porque la prohibición de publicar aquellas fotografías se ampara no en una supuesta legitimidad censora (que en ningún caso hubiera podido ser considerada válida por este Tribunal), sino en el ejercicio de una facultad jurisdiccional, de suerte que si el órgano judicial estuviese legitimado por la Constitución y por la legislación procesal penal para adoptar una «medida que limitaba temporalmente el derecho de información» (considerando segundo del Auto de 29 de marzo), el permiso de la autoridad correspondiente para poner fin a tal limitación temporal, ligado, según el texto del Auto de 19 de marzo, al hecho de «la finalización de las diligencias incoadas al efecto», no constituiría una actividad censora, sino la verificación de que habían cesado las causas hipotéticamente legitimadoras de aquella limitación nacida como cautelar y provisional. El mismo razonamiento que nos obliga a apreciar que no ha habido actividad censora ni lesión del art. </w:t>
      </w:r>
      <w:r>
        <w:lastRenderedPageBreak/>
        <w:t>20.2 de la Constitución, nos conduce por fuerza al examen de si el órgano judicial estaba facultado para realizar lo que él mismo, por cierto a posteriori, calificó de medida limitativa  del derecho de información, todo lo cual nos traslada al análisis de la pretensión de amparo en relación con el derecho del art. 20.1 d) de la Constitución.</w:t>
      </w:r>
    </w:p>
    <w:p w:rsidR="001C705E" w:rsidRDefault="001C705E" w:rsidP="001C705E">
      <w:pPr>
        <w:pStyle w:val="TextoNormal"/>
      </w:pPr>
    </w:p>
    <w:p w:rsidR="001C705E" w:rsidRDefault="001C705E" w:rsidP="001C705E">
      <w:pPr>
        <w:pStyle w:val="TextoNormal"/>
      </w:pPr>
      <w:r w:rsidRPr="001C705E">
        <w:rPr>
          <w:rStyle w:val="NumeroAFNegritaCaracter"/>
        </w:rPr>
        <w:t>2</w:t>
      </w:r>
      <w:r>
        <w:t>. Es claro, y el Juez instructor lo admite en su Auto de 29 de marzo, según acabamos de ver, que su resolución de 19 de marzo afectó directamente, limitando su ejercicio al derecho del recurrente a comunicar libremente información y que tal afectación supuso, asimismo, la correspondiente limitación del derecho a obtener dicha información por parte de todos los potenciales destinatarios de la noticia gráfica cuya difusión quedó impedida, pues como se dijo en la Sentencia 6/1981, de 16 de marzo, de la Sala Segunda (fundamento jurídico 4. ) y en la Sentencia 105/1983, de 23 de noviembre, de la misma Sala (fundamento jurídico 11), la fórmula del art. 20.1 d) de la Constitución incluye dos derechos distintos, si bien íntimamente conectados: El derecho a comunicar información que, en cierto sentido, puede considerarse como una simple aplicación concreta de la libertad de expresión, y del derecho a recibir esa misma información. La legitimidad constitucional de dicha limitación de derechos no fue motivada en la decisión primera de 19 de marzo, y sí sólo en el Auto del mismo Juzgado de 29 de marzo, en el que, desestimándose el recurso de reforma promovido por el hoy recurrente en amparo, se adujo que aquellos derechos encontraban un límite a la luz de los tratados y convenios internacionales en la materia suscritos por España en el «interés de la justicia», valor éste que, en el presente caso, se concretaría en las disposiciones de la Ley de Enjuiciamiento Criminal relativas a la investigación sumarial y al secreto de la misma, todo ello teniendo en cuenta los indicios de criminalidad que desde la inspección ocular se habrían advertido y la inconveniencia de sacar a la luz pública, mediante la publicación de las fotografías en cuestión, «extremos de interés con daño para la investigación del sumario». En parecidos términos -invocación de normas internacionales del secreto sumarial- se pronunció, por lo que aquí interesa, el Auto de 27 de abril de la Audiencia Provincial de Palma de Mallorca, desestimando el recurso de apelación deducido contra la providencia inicial del Juzgado de Instrucción.</w:t>
      </w:r>
    </w:p>
    <w:p w:rsidR="001C705E" w:rsidRDefault="001C705E" w:rsidP="001C705E">
      <w:pPr>
        <w:pStyle w:val="TextoNormal"/>
      </w:pPr>
      <w:r>
        <w:t>La interpretación de los poderes judiciales ligados a la instrucción del proceso, y del sentido y límites de la calificación como secreta de esta etapa del procedimiento, constituyen así un presupuesto obligado para la resolución del presente recurso.  No obstante, aun cuando el entendimiento de aquellas facultades y de estas notas del «secreto» permitiesen fundamentar el contenido de la resolución recurrida (hipótesis que, por las razones que veremos en seguida, habrá que rechazar), es lo cierto que el examen de ésta muestra ya, preliminarmente, anomalías bastantes como para apreciar que dichas facultades del Juez instructor se ejercieron aquí de modo desviado, deparando una intromisión ilegítima en la libertad defendida por el recurrente. Como se dijo en la Sentencia 62/1982, de 15 de octubre, de la Sala Primera (fundamento jurídico 2. ), toda resolución que limite o restrinja el ejercicio de un derecho fundamental ha de estar motivada, añadiéndose (fundamento jurídico 5.  ) que las medidas limitadoras habrán de ser necesarias para conseguir el fin perseguido. Pues bien, en el presente caso, no es ya sólo, como se acaba de advertir, que la decisión de 19 de marzo se adoptase sin motivación (lo que acaso podría tener un sentido en su carácter urgente y provisorio), sino, sobre todo, que la decisión inicial, y su confirmación por Auto de 29 de marzo, se adoptaron sin haber considerado en ningún momento el objeto mismo sobre el que recayó la prohibición, no habiendo reclamado el Juez las fotografías de cuya publicación se seguirían, sin embargo, y según su razonamiento posterior, daños no especificados en el interés de la justicia.  Este proceder del instructor, aun admi</w:t>
      </w:r>
      <w:r>
        <w:lastRenderedPageBreak/>
        <w:t>tiendo hipotéticamente que fuesen ciertas las competencias argüidas, resultó lesivo de los derechos afectados, porque no puede entenderse como fundada en derecho una resolución que no considera mínimamente la identidad efectiva del objeto cuya libre difusión se coarta. La apreciación de la necesidad de la limitación de un derecho fundamental [el del 20.1 d) de la C.E.] y el cálculo consiguiente de la proporcionalidad de la medida adoptada no pudieron ser enunciados en la mente del Juez a falta de un examen, ni siquiera mínimo, del objeto sobre el que recayó su prohibición, que constituye así una ablación del derecho a comunicar y a recibir información del artículo 20.1 d) de la Constitución, así como también un acto contrario al principio general de interdicción de la arbitrariedad (art. 9.3).</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Importa ahora considerar el problema sustantivo que muestra el presente caso, relativo al sentido y alcance del secreto sumarial y a los correspondientes poderes del instructor en garantía del mismo. Es necesario empezar por destacar que la medida prohibitiva que se considera, se intentó basar en todo momento, de modo sustancial, sobre el carácter secreto de las actuaciones sumariales, sin que las invocaciones por parte de la Sala de la Audiencia Provincial de algunos de los preceptos que, en la Ley de Enjuiciamiento Criminal, configuran los poderes judiciales en la instrucción (arts. 326 y siguientes) se muestre como suficiente al efecto, puesto que no se cita disposición alguna de este texto legal que fundamente de modo expreso la intervención de un derecho fundamental que ahora se enjuicia. Tratándose, pues, de una invocación pura y simple a la regla que establece que «las diligencias del sumario serán secretas hasta que se abra el juicio oral» (art.  301 de la L.E.Cr.), es indispensable, en este momento, proceder a una interpretación del sentido constitucional de esta norma a los solos efectos de apreciar la legitimidad de la medida que en ella quiso basarse. La regla que dispone el secreto de las actuaciones sumariales es, ante todo, una excepción a la garantía institucional inscrita en el art. 120.1 de la Constitución, según el cual «las actuaciones judiciales serán públicas, con las excepciones que prevean las leyes de procedimiento». La admisión que hace esta misma disposición constitucional de excepciones a la publicidad no puede entenderse como un apoderamiento en blanco al legislador, porque la publicidad procesal está inmediatamente ligada a situaciones jurídicas subjetivas de los ciudadanos que tienen la condición de derechos fundamentales: Derecho a un proceso público, en el art. 24.2 de la Constitución, y derecho a recibir libremente información, según puede derivarse de la Sentencia 30/1982, de 1 de junio, de la Sala Segunda, fundamento jurídico 4. . Esta ligazón entre garantía objetiva de la publicidad y derechos fundamentales lleva a exigir que las excepciones a la publicidad previstas en el art. 120.1 de la Constitución se acomoden en la previsión normativa, y en su aplicación judicial concreta, a las condiciones fuera de las cuales la limitación constitucionalmente posible deviene vulneración del derecho. Son estas condiciones, por lo que aquí importa, la previsión de la excepción en cuestión en norma con rango de Ley (art. 53.1 de la C.E.), la justificación de la limitación misma en la protección de otro bien constitucionalmente relevante y, en fin, la congruencia entre la medida prevista o aplicada y la procuración de dicho valor así garantizado. La previsión de la excepción se halla dispuesta en norma de Ley (art. 301 de la L.E.Cr.)  y puede invocar efectivamente en su apoyo diferentes disposiciones en la materia recogidas en textos internacionales, tales como, en relación con el art. 10.2 de la Constitución, el art. 14.1 del Pacto Internacional de Derechos Civiles y Políticos, de 1966, y el art. 6.1 del Convenio para la Protección de los Derechos Humanos y de las Libertades Fundamentales, de 1950, reconducibles al art. 20.4 de la C.E., precepto que hay que interpretar de conformidad con ellos (art. 10.2 de la C.E.). Sobre estas bases puede decirse que el proceso penal, institución con la que se trata de hacer efectiva </w:t>
      </w:r>
      <w:r>
        <w:lastRenderedPageBreak/>
        <w:t>la protección del ordenamiento a «derechos reconocidos en este título» (es decir, en el primero de la Constitución, según dice su art. 20.4), puede tener una fase sumaria amparada por el secreto y en cuanto tal limitativa de la publicidad y de la libertad.  Pero esta genérica conformidad constitucional del secreto sumarial no está, sin embargo, impuesta o exigida directamente por ningún precepto constitucional y, por lo mismo, se requiere, en su aplicación concreta, una interpretación estricta, no siendo su mera alegación fundamento bastante para limitar más derechos -ni en mayor medida de lo necesario- que los estrictamente afectados por la norma entronizadora del secreto. El punto firme desde el que ha de partirse aquí, sentadas las bases anteriores, viene dado por el hecho de que la regulación legal del secreto sumarial no se interpone como un límite frente a la libertad de información (derecho, sin embargo, afectado aquí exclusivamente), sino, más amplia y genéricamente, como un impedimento al conocimiento por cualquiera -incluidas las mismas partes en algún caso: art.  302 de la L.E.Cr.- de las actuaciones seguidas en esta etapa del procedimiento penal. Lo que persigue la regla impositiva del secreto es impedir tal conocimiento y ello en aras de alcanzar, de acuerdo con el principio inquisitivo antes aludido, una segura represión del delito.  Por consiguiente, aquellos datos a los que no se tiene acceso legítimo no podrán -a fortiori- ser objeto de difusión, por cualquier medio, lo cual implica un límite del derecho a informar, pero sólo de modo derivado, es decir, en la medida en que aquello que se quiera difundir o comunicar haya sido obtenido ilegítimamente, quebrando el secreto mismo del sumario, esto es, en la medida en que se esté ante lo que llama la ley procesal misma (art. 301 ) una «revelación indebida». Cabe concluir, en coherencia con todo lo expuesto, que el secreto del sumario se predica de las diligencias que lo constituyen, y no es otra cosa, por cierto, dice literalmente el párrafo primero del art. 301 de la L.E.Cr., esto es, de los actos singulares que en cuanto acto formal complejo o procedimiento lo integran. Tal secreto implica, por consiguiente, que no puede transgredirse la reserva sobre su contenido por medio de «revelaciones indebidas» (art. 301.2 de la L.E.Cr.)  o a través de un conocimiento ilícito y su posterior difusión.  Pero el secreto del sumario no significa, en modo alguno, que uno o varios elementos de la realidad social (sucesos singulares o hechos colectivos cuyo conocimiento no resulte limitado o vedado por otro derecho fundamental según lo expuesto por el art. 20.4 de la C.E.)  sean arrebatados a la libertad de información, en el doble sentido de derecho a informarse y derecho a informar, con el único argumento de que sobre aquellos elementos están en curso unas determinadas diligencias sumariales.  De ese modo, el mal entendido secreto del sumario equivaldría a crear una atípica e ilegítima «materia reservada» sobre los hechos mismos acerca de los cuales investiga y realiza la oportuna instrucción el órgano judicial, y no sobre «las actuaciones» del órgano judicial que constituyen el sumario (art. 299 de la L.E.Cr.).</w:t>
      </w:r>
    </w:p>
    <w:p w:rsidR="001C705E" w:rsidRDefault="001C705E" w:rsidP="001C705E">
      <w:pPr>
        <w:pStyle w:val="TextoNormal"/>
      </w:pPr>
      <w:r>
        <w:t>En el caso que nos ocupa, las fotografías se realizaron antes de que dieran comienzo las actuaciones sumariales, se obtuvieron directamente sobre el lugar donde acaecieron los hechos sin transgredirse para obtener la información ninguna otra norma o derecho y, desde luego, no fueron extraídas del sumario, ni para su obtención se utilizó información alguna que constara en un sumario ni siquiera abierto en el momento de su realización. En consecuencia, una información obtenida antes y al margen del sumario no puede considerarse atentatoria al secreto sumarial, que sólo limita la libertad de información en cuanto para informar haya previamente que quebrantarlo. Por todo ello, hay que concluir que la resolución judicial de 19 de marzo de 1984 y los posteriores Autos de 29 de marzo y de 27 de abril que la confirmaron no encuentran fundamento en la institución del secreto sumarial constitucionalmente interpretada y sí violaron el art. 20.1 d) de la Constitución al im</w:t>
      </w:r>
      <w:r>
        <w:lastRenderedPageBreak/>
        <w:t>pedir sin fundamento el ejercicio del derecho de la recurrente a la libertad de información, así como, por derivación, el derecho de los ciudadanos a recibir esa misma información.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Otorgar el amparo pedido por «Ultima Hora, Sociedad Anónima», en cuanto las resoluciones judiciales impugnadas vulneraron su derecho a comunicar libremente información veraz [art. 20.1 d) de la Constitución] y, en consecuencia, reconocerle tal derecho y anular la resolución del Magistrado-Juez titular del Juzgado de Instrucción núm. 1 de Palma de Mallorca de 19 de marzo de 1984, así como el Auto de 29 de marzo del mismo órgano judicial y el Auto de 27 de abril de 1984 de la Audiencia Provincial de Palma de Mallorca, ambos confirmatorios de la primera resolución.</w:t>
      </w:r>
    </w:p>
    <w:p w:rsidR="001C705E" w:rsidRDefault="001C705E" w:rsidP="001C705E">
      <w:pPr>
        <w:pStyle w:val="TextoNormal"/>
      </w:pPr>
      <w:r>
        <w:t>2. Desestimar el amparo en cuanto a la presunta vulneración del art. 20.2 de la Constitución.</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treinta y uno de enero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7" w:name="SENTENCIA_1985_14"/>
      <w:r>
        <w:lastRenderedPageBreak/>
        <w:t>SENTENCIA 14/1985, de 1 de febrero de 1985</w:t>
      </w:r>
    </w:p>
    <w:bookmarkEnd w:id="17"/>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ECLI:ES:TC:1985:14</w:t>
      </w:r>
    </w:p>
    <w:p w:rsidR="001C705E" w:rsidRDefault="001C705E" w:rsidP="001C705E">
      <w:pPr>
        <w:pStyle w:val="SntesisDescriptiva"/>
      </w:pPr>
    </w:p>
    <w:p w:rsidR="001C705E" w:rsidRDefault="001C705E" w:rsidP="001C705E">
      <w:pPr>
        <w:pStyle w:val="SntesisDescriptiva"/>
      </w:pPr>
      <w:r>
        <w:t>Recurso de amparo 869/1983. Contra Auto de la Sala Primera del Tribunal Supremo inadmitiendo recurso de casación contra Sentencia de la Audiencia Territorial de Granada y, subsidiariamente, contra ésta, por supuesta violación del principio de congruencia</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Como ha declarado el Tribunal en reiteradas ocasiones, la igualdad en la aplicación de la ley lo que impone es que un mismo órgano no pueda modificar arbitrariamente el sentido de sus decisiones en casos sustancialmente iguales, y que, cuando el órgano en cuestión considere que debe apartarse de sus precedentes, tiene que ofrecer para ello una fundamentación suficientemente razonable. </w:t>
      </w:r>
    </w:p>
    <w:p w:rsidR="001C705E" w:rsidRDefault="001C705E" w:rsidP="001C705E">
      <w:pPr>
        <w:pStyle w:val="Extracto"/>
      </w:pPr>
    </w:p>
    <w:p w:rsidR="001C705E" w:rsidRDefault="001C705E" w:rsidP="001C705E">
      <w:pPr>
        <w:pStyle w:val="Extracto"/>
      </w:pPr>
      <w:r>
        <w:t>2.</w:t>
      </w:r>
      <w:r>
        <w:tab/>
        <w:t xml:space="preserve">Conforme a reiterada doctrina del Tribunal, si bien el contenido normal del derecho a la tutela judicial efectiva consiste en obtener una resolución de fondo, el derecho fundamental se satisface también cuando la resolución es de inadmisión, siempre que se dicte en aplicación razonada de una causa legal, debiendo responder el razonamiento a una interpretación de las normas de conformidad con la Constitución y en el sentido más favorable para la efectividad del derecho fundamental. </w:t>
      </w:r>
    </w:p>
    <w:p w:rsidR="001C705E" w:rsidRDefault="001C705E" w:rsidP="001C705E">
      <w:pPr>
        <w:pStyle w:val="Extracto"/>
      </w:pPr>
    </w:p>
    <w:p w:rsidR="001C705E" w:rsidRDefault="001C705E" w:rsidP="001C705E">
      <w:pPr>
        <w:pStyle w:val="Extracto"/>
      </w:pPr>
      <w:r>
        <w:t>3.</w:t>
      </w:r>
      <w:r>
        <w:tab/>
        <w:t xml:space="preserve">El Tribunal, dado que el recurso de amparo no es una tercera instancia, no examina con carácter general la legalidad aplicada; pero teniendo en cuenta que la inadmisión arbitraria, irrazonable o irrazonada, o basada en una interpretación distinta de la expuesta, afecta al contenido normal del derecho fundamental, entiende que en estos supuestos la resolución judicial puede incurrir en inconstitucionalidad que dé lugar al amparo, como sucede en los casos en que se declara la inadmisión por estimar inaplicable un procedimiento que sí era aplicable, o en que se ha padecido un error patente, o en que la normativa no se ha interpretado en el sentido más favorable para la efectividad del derecho fundamental y ello ha impedido entrar en el fondo. </w:t>
      </w:r>
    </w:p>
    <w:p w:rsidR="001C705E" w:rsidRDefault="001C705E" w:rsidP="001C705E">
      <w:pPr>
        <w:pStyle w:val="Extracto"/>
      </w:pPr>
    </w:p>
    <w:p w:rsidR="001C705E" w:rsidRDefault="001C705E" w:rsidP="001C705E">
      <w:pPr>
        <w:pStyle w:val="Extracto"/>
      </w:pPr>
      <w:r>
        <w:t>4.</w:t>
      </w:r>
      <w:r>
        <w:tab/>
        <w:t xml:space="preserve">No puede utilizarse la vía del recurso de amparo para someter al Tribunal todos los problemas que surjan de la aplicación de la legalidad procesal, más allá de los límites expuestos, con el argumento de que afectan a la tutela judicial efectiva, pues no es ésta, obviamente, la función que cumple el recurso de amparo ni el Tribunal Constitucional en el sistema jurídico. </w:t>
      </w:r>
    </w:p>
    <w:p w:rsidR="001C705E" w:rsidRDefault="001C705E" w:rsidP="001C705E">
      <w:pPr>
        <w:pStyle w:val="Extracto"/>
      </w:pPr>
    </w:p>
    <w:p w:rsidR="001C705E" w:rsidRDefault="001C705E" w:rsidP="001C705E">
      <w:pPr>
        <w:pStyle w:val="Extracto"/>
      </w:pPr>
      <w:r>
        <w:t>5.</w:t>
      </w:r>
      <w:r>
        <w:tab/>
        <w:t xml:space="preserve">Como se dijo en la STC 20/1982, de 5 de mayo, la congruencia se mide por el ajuste o adecuación entre la parte dispositiva y los términos en que las partes han formulado sus pretensiones y peticiones, de manera tal que no puede la Sentencia otorgar más de lo que se hubiera pedido en la demanda, ni menos de lo </w:t>
      </w:r>
      <w:r>
        <w:lastRenderedPageBreak/>
        <w:t xml:space="preserve">que hubiera sido admitido por el demandado, ni otorgar otra cosa diferente, que no hubiera sido pretendida, de forma que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w:t>
      </w:r>
    </w:p>
    <w:p w:rsidR="001C705E" w:rsidRDefault="001C705E" w:rsidP="001C705E">
      <w:pPr>
        <w:pStyle w:val="Extracto"/>
      </w:pPr>
    </w:p>
    <w:p w:rsidR="001C705E" w:rsidRDefault="001C705E" w:rsidP="001C705E">
      <w:pPr>
        <w:pStyle w:val="Extracto"/>
      </w:pPr>
      <w:r>
        <w:t>6.</w:t>
      </w:r>
      <w:r>
        <w:tab/>
        <w:t xml:space="preserve">La doctrina de la congruencia es perfectamente compatible con el principio tradicional «iura novit curia», pues los Tribunales no tienen necesidad, ni tampoco obligación, de ajustarse en los razonamientos jurídicos que les sirvan para motivar sus fallos a las alegaciones de carácter jurídico aducidas por las partes, y pueden basar sus decisiones en fundamentos jurídicos distintos, siempre que no se altere la acción ejercitada.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por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869/1983, formulado por la Procuradora de los Tribunales doña Elisa Hurtado Pérez, en nombre y representación de doña Laurie Alexander, quien, a su vez, actúa en su propio nombre y en el de don Frederick David Gibbons Jr., bajo la dirección del Letrado don Juan Antonio González Aznar, contra el Auto dictado por la Sala Primera del Tribunal Supremo con fecha de 31 de octubre de 1983, y, subsidiariamente, contra la Sentencia dictada por la Sala de lo Civil de la Audiencia Territorial de Granada en 28 de junio de 1982. En el recurso ha comparecido el Ministerio Fiscal y don Francisco Cordero Giménez, representado por el Procurador don Juan Corujo López-Villamil, bajo la dirección del Letrado don Rogelio Pérez Burgos. Ha sido Ponente el Magistrado don Rafael Gómez-Ferrer Morant,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23 de diciembre de 1983, doña Elisa Hurtado Pérez, Procuradora de los Tribunales, en nombre y representación de doña Laurie Alexander, que interviene en su propio nombre y en representación de don David Gibbons Jr., formula recurso de amparo contra el Auto de la Sala de lo Civil del Tribunal Supremo, dictado el día 31 de octubre de 1983, por el que se dispone no haber lugar a la admisión del recurso de casación interpuesto por la solicitante de amparo contra la Sentencia de la Sala de lo Civil de la Audiencia Territorial de Granada de fecha 28 de junio de 1982, contra la que también recurre de modo sub</w:t>
      </w:r>
      <w:r>
        <w:lastRenderedPageBreak/>
        <w:t xml:space="preserve">sidiario. Suplica se dicte Sentencia en que se declare la nulidad del Auto de inadmisión dictado por la Sala de lo Civil del Tribunal Supremo, y que se decrete que por dicha Sala se admita el recurso de casación interpuesto y se entre en el fondo del asunto, debiendo en su día dictar Sentencia resolviendo el recurso planteado. </w:t>
      </w:r>
    </w:p>
    <w:p w:rsidR="001C705E" w:rsidRDefault="001C705E" w:rsidP="001C705E">
      <w:pPr>
        <w:pStyle w:val="TextoNormal"/>
      </w:pPr>
      <w:r>
        <w:t>Subsidiariamente, y para el supuesto de que este Tribunal no otorgue el amparo solicitado, pretende que declare la nulidad de la Sentencia de la Sala de lo Civil de la Audiencia Territorial de Granada de 28 de junio de 1982, y disponga que por dicha Sala se dicte nueva Sentencia con arreglo a Derecho y a la Constitución, sin que pueda mejorar la postura de quien no apeló, ni emitir pronunciamientos no solicitados por las partes, ni introducir en la Sentencia temas que no han sido objeto del debate litigioso; o, en su caso, se declare la nulidad parcial de dicha Sentencia en lo que sea inconstitucional. Por otrosí solicita que se reclamen las actuaciones, el recibimiento a prueba y que se decrete la suspensión de las actuaciones jurisdiccionales frente a las que se pide el amparo, sin afianzamiento o, en su defecto, con afianzamiento si así procediere.</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demanda se basa en los hechos siguientes: </w:t>
      </w:r>
    </w:p>
    <w:p w:rsidR="001C705E" w:rsidRDefault="001C705E" w:rsidP="001C705E">
      <w:pPr>
        <w:pStyle w:val="TextoNormal"/>
      </w:pPr>
      <w:r>
        <w:t xml:space="preserve">a) Doña Laurie Alexánder, actuando por sí, y en nombre de don Frederick David Gibbons Jr., con fecha 8 de febrero de 1980 interpuso demanda incidental de proceso arrendaticio urbano contra don Francisco Cordero Giménez y doña Manuela Cordero Giménez, en petición de declaración de nulidad de pleno derecho de la cláusula de elevación de renta contenidas en tres contratos de arrendamiento de local de negocio suscritos con los demandados, sobre un local de negocio propiedad de los mismos, así como en solicitud de devolución de todas las cantidades indebidamente percibidas por dichos demandados en virtud de los aumentos producidos por aplicación de las cláusulas nulas, en cuantía a determinar en ejecución de Sentencia. El Juzgado de Primera Instancia núm. 1 de Almería, en Sentencia de 14 de junio de 1980, declaró nulas las cláusulas de elevación contenidas en los tres contratos, condenando a los demandados al reintegro de lo indebidamente percibido. </w:t>
      </w:r>
    </w:p>
    <w:p w:rsidR="001C705E" w:rsidRDefault="001C705E" w:rsidP="001C705E">
      <w:pPr>
        <w:pStyle w:val="TextoNormal"/>
      </w:pPr>
      <w:r>
        <w:t xml:space="preserve">b) La Sentencia fue recurrida por don Francisco Cordero Giménez ante la Audiencia Territorial de Granada, no compareciendo en la segunda instancia doña Manuela Cordero Giménez, solicitándose en el acto de la vista por el Letrado del único apelante, don Francisco Cordero Giménez, la revocación de la Sentencia apelada, en base a sus únicos argumentos postulados en ambas instancias de caducidad de la acción y respeto de los propios actos, y que se dictase otra desestimando íntegramente la demanda; y por el Letrado de la actora, como parte apelada, se solicitó la integra confirmación de la Sentencia objeto del recurso. </w:t>
      </w:r>
    </w:p>
    <w:p w:rsidR="001C705E" w:rsidRDefault="001C705E" w:rsidP="001C705E">
      <w:pPr>
        <w:pStyle w:val="TextoNormal"/>
      </w:pPr>
      <w:r>
        <w:t xml:space="preserve">La Sala de lo Civil de la Audiencia, con fecha 28 de junio de 1982, dictó Sentencia en la que se estimaba parcialmente el recurso de apelación interpuesto, declarando nulas las cláusulas de estabilización insertas en los contratos (pero válidos los aumentos girados en virtud de dichas cláusulas por ambos demandados, inclusive por la demandada que no apeló) y determinando que en lo sucesivo será renta del local arrendado a doña Manuela Cordero Giménez la de 19.099 pesetas, y la conjunta de los locales arrendados a don Francisco Cordero Giménez la de 22.988 pesetas, que son rentas novadas, de modo que los posteriores aumentos serán los legales y los demandados deberán reintegrar lo que exceda de la cifra indicada, descontados los aumentos legales; ello significó dejar igual la renta pagadera a doña Manuela Cordero Giménez y disminuir la renta pagadera a don Francisco Cordero Giménez de 28.148 a 22.988 pesetas mensuales. </w:t>
      </w:r>
    </w:p>
    <w:p w:rsidR="001C705E" w:rsidRDefault="001C705E" w:rsidP="001C705E">
      <w:pPr>
        <w:pStyle w:val="TextoNormal"/>
      </w:pPr>
      <w:r>
        <w:lastRenderedPageBreak/>
        <w:t xml:space="preserve">c) La solicitante del amparo presentó escrito preparando recurso de casación por infracción de ley y de doctrina legal contra la mencionada Sentencia de la Sala de lo Civil de la Audiencia Territorial; y la propia Sala, por Auto de fecha 20 de julio de 1982, acordó que no había lugar a tener por preparado recurso de casación, negando las certificaciones interesadas al efecto. Se fundaba en que, según el artículo 135 de la Ley de Arrendamientos Urbanos (LAU), sólo se dará recurso de casación en litigios sobre contratos de arrendamiento de local de negocio cuya renta contractual exceda de 300.000 pesetas, mientras que, en el caso en cuestión, ninguno de los contratos sobre los que versaba el litigio tenía una renta superior a esa cantidad. La solicitante de amparo recurrió en queja ante la Sala Primera del Tribunal Supremo, recurso que fue estimado por Auto de dicha Sala de 30 de noviembre de 1982, al estimar como eficiente, a tal efecto, la alegación de la actora de la existencia de novación contractual refundiendo en uno solo los dos negocios de arrendamiento sucesivamente concertados, con identidad de elementos subjetivos y unidad de merced, por un total de 337.776 pesetas; en el propio Auto se acordó revocar la resolución recurrida, y se acordó dirigir carta-orden a la Audiencia Territorial de Granada para que la Sala de lo Civil entregara la certificación solicitada, al objeto de formalizar el recurso de casación, como efectivamente hizo doña Laurie Alexander. </w:t>
      </w:r>
    </w:p>
    <w:p w:rsidR="001C705E" w:rsidRDefault="001C705E" w:rsidP="001C705E">
      <w:pPr>
        <w:pStyle w:val="TextoNormal"/>
      </w:pPr>
      <w:r>
        <w:t xml:space="preserve">d) Celebrada vista sobre admisión del recurso de casación, la Sala de lo Civil del Tribunal Supremo dictó Auto, en fecha 31 de octubre de 1983, en que se declaraba no haber lugar a la admisión del recurso de casación interpuesto, por estimarse que, aisladamente consideradas, ninguna de las rentas de los tres locales de negocio de que se trata en el proceso alcanza el tope de 300.000 pesetas previsto en el art. 135 de la LAU, aun cuando sumando las tres excedan de esa cantidad. </w:t>
      </w:r>
    </w:p>
    <w:p w:rsidR="001C705E" w:rsidRDefault="001C705E" w:rsidP="001C705E">
      <w:pPr>
        <w:pStyle w:val="TextoNormal"/>
      </w:pPr>
      <w:r>
        <w:t xml:space="preserve">La inadmisión se fundamenta en que el recurso gira en torno a la revisión de la renta de tres locales de negocio, dos de los cuales fueron arrendados a don Francisco Cordero Giménez y el tercero a doña Manuela Cordero Giménez, habiéndose llevado a cabo los arrendamientos en fechas distintas y suscribiendo contratos distintos; la renta del local de doña Manuela era de 156.000 pesetas anuales (13.000 mensuales), y las rentas de los locales de don Francisco eran de 132.000 y 36.000 pesetas anuales, respectivamente, a razón de 11.000 y 3.000 pesetas mensuales; el hecho duodécimo de la demanda fija la cuantía a los efectos de la litis en 275.856 pesetas la anual de los dos locales de don Francisco y en 229.188 la anual del local de doña Manuela. Y, por último, en que la correcta interpretación del art. 135 de la Ley de Arrendamientos Urbanos no permite acumular las rentas de los tres contratos a los efectos de alcanzar el tope mínimo establecido para el acceso a casación. </w:t>
      </w:r>
    </w:p>
    <w:p w:rsidR="001C705E" w:rsidRDefault="001C705E" w:rsidP="001C705E">
      <w:pPr>
        <w:pStyle w:val="TextoNormal"/>
      </w:pPr>
      <w:r>
        <w:t xml:space="preserve">e) la parte actora pone de manifiesto los hechos que fundamentaban la demanda iniciadora del procedimiento arrendaticio, señalando, entre ellos, que en 1 de agosto de 1971 el señor Gibbons, entonces casado con la señora Alexánder, suscribió un contrato de arrendamiento con doña Manuela Cordero, que afecta a parte del bajo del inmueble núm. 79 de la avenida del Generalísimo, de Almería; y que en la misma fecha el propio señor Gibbons suscribió un contrato de arrendamiento con don Francisco Cordero Giménez, que afecta a otra parte del mencionado bajo, contigua a la de doña Manuela, teniendo la una acceso por la otra; en 15 de noviembre de 1974 el señor Gibbons celebró con don Francisco Cordero un nuevo contrato de arrendamiento de local de negocio, siendo su objeto otras dos habitaciones del mismo bajo, contiguas a las de los dos contratos anteriores, y teniendo su entrada por éstas, girando el señor Cordero a partir de este momento un solo recibo unificado por la renta derivada de ambos contratos. </w:t>
      </w:r>
    </w:p>
    <w:p w:rsidR="001C705E" w:rsidRDefault="001C705E" w:rsidP="001C705E">
      <w:pPr>
        <w:pStyle w:val="TextoNormal"/>
      </w:pPr>
      <w:r>
        <w:lastRenderedPageBreak/>
        <w:t xml:space="preserve">La parte actora se refiere a las subidas practicadas por los arrendadores y, en concreto, indica que el señor Cordero ha venido cobrando, con efectos desde el día 1 de agosto de 1979, la cantidad de 28.148 pesetas mensuales, que suponen 337.776 pesetas anuales, cantidad valorada por el Tribunal Supremo cuando admitió el recurso de queja. Ahora bien, resulta que al interponer la demanda civil en fecha 8 de febrero de 1980 hubo de tomarse como base para la fijación de la cuantía litigiosa de renta mensual de 22.988 pesetas para don Francisco y 19.099 para doña Manuela Cordero Giménez, de acuerdo con el art. 146 de la Ley de Arrendamientos Urbanos, que obliga a tomar como base para fijar la cuantía litigiosa «la renta anual conforme al último pago realizado»; ello, por estar pendiente de resolución un juicio de desahucio promovido por el señor Cordero, al pretender éste cobrar por importe de 28.148 pesetas desde el día 1 de agosto de 1979, tras haber promovido la actora demanda de conciliación sobre nulidad de las cláusulas de elevación, juicio de desahucio que se resolvió favorablemente a las tesis del señor Cordero, quedando fijada la renta en 28.148 pesetas desde agosto de 1979 por Sentencia de 22 de febrero de 1980, confirmada en apelación por la de 24 de marzo de 1980. </w:t>
      </w:r>
    </w:p>
    <w:p w:rsidR="001C705E" w:rsidRDefault="001C705E" w:rsidP="001C705E">
      <w:pPr>
        <w:pStyle w:val="TextoNormal"/>
      </w:pPr>
      <w:r>
        <w:t xml:space="preserve">f) En fecha 31 de mayo de 1979, habiéndose producido la separación conyugal entre el señor Gibbons y la señora Alexánder, esta última se subrogó en la posición de arrendataria, mediante cláusulas especiales que, al efecto, firmaron las partes al dorso de los dos primeros contratos. </w:t>
      </w:r>
    </w:p>
    <w:p w:rsidR="001C705E" w:rsidRDefault="001C705E" w:rsidP="001C705E">
      <w:pPr>
        <w:pStyle w:val="TextoNormal"/>
      </w:pPr>
      <w:r>
        <w:t>g) El conjunto de habitaciones del bajo citado, objeto de los tres contratos, forma un solo local de negocio, explotado por la actora bajo el nombre de «Bar Buffalo».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Fundamenta la recurrente de amparo su pretensión en la vulneración de los artículos 14 y 24.1 de la Constitución Española (C.E.), por los motivos que, resumidamente, se exponen: </w:t>
      </w:r>
    </w:p>
    <w:p w:rsidR="001C705E" w:rsidRDefault="001C705E" w:rsidP="001C705E">
      <w:pPr>
        <w:pStyle w:val="TextoNormal"/>
      </w:pPr>
      <w:r>
        <w:t xml:space="preserve">a) Primeramente, aduce que si la ley otorga el derecho de acceder al recurso de casación, y si tal acceso se niega infundadamente, se está vulnerando el art. 24 de la C.E. Pues bien, el Auto de la Sala Primera del Tribunal Supremo de 31 de octubre de 1983 lleva a cabo, por la interpretación que efectúa del art. 135 de la Ley de Arrendamientos Urbanos, una vulneración de las arts. 14 y 24.1 de la Constitución, ya que, previamente, el Auto de la misma Sala de 30 de noviembre de 1982 razonaba la existencia de novación contractual, refundiéndose en uno solo dos negocios de arrendamiento concertados con el señor Cordero Giménez, por un total de 337.776 pesetas; por lo que se trata de dos resoluciones contradictorias, lo que viene a violar los principios constitucionales recogidos en los arts. 9.3, 14 y 24.1 de la C.E. </w:t>
      </w:r>
    </w:p>
    <w:p w:rsidR="001C705E" w:rsidRDefault="001C705E" w:rsidP="001C705E">
      <w:pPr>
        <w:pStyle w:val="TextoNormal"/>
      </w:pPr>
      <w:r>
        <w:t xml:space="preserve">b) Por otro lado, el Auto de inadmisión se acoge a la cuantía fijada en la demanda, lo que resulta contrario a los preceptos constitucionales citados. Ya que, si bien la cuantía litigiosa hubo de fijarse en la demanda de acuerdo con lo dispuesto en el artículo 146 de la LAU, la renta anual efectiva era superior a esa cuantía litigiosa y superior a la cantidad exigida por el art. 135 de la LAU para la interposición de la casación. La posible contradicción entre los arts. 146 y 135 de la LAU no puede provocar la indefensión de la actora; y, por otra parte, la interpretación que el Tribunal Supremo, en su Auto de 31 de octubre de 1983, ha hecho del art. 135 de la LAU provoca la indefensión, al impedirle el acceso a la casación que legalmente le correspondía; dicha interpretación es inconstitucional por no contemplar la novación producida respecto de la actora y don Francisco Cordero Giménez, y también lo es al considerar que, en este caso, deben computarse separadamente las rentas atribuidas a don Francisco y a doña Manuela Cordero Giménez. </w:t>
      </w:r>
    </w:p>
    <w:p w:rsidR="001C705E" w:rsidRDefault="001C705E" w:rsidP="001C705E">
      <w:pPr>
        <w:pStyle w:val="TextoNormal"/>
      </w:pPr>
      <w:r>
        <w:lastRenderedPageBreak/>
        <w:t xml:space="preserve">En apoyo de esta posición, la parte actora indica que ya en la demanda se hizo constar que las habitaciones objeto de los tres contratos de arrendamiento, todas contiguas entre sí (lo que se evidencia de los propios contratos) sitas todas en el bajo del inmueble 79 de la avenida del Generalísimo, de la ciudad de Almería, constituían un solo local de negocio en el que la actora ejercía una única actividad, la de hostelería, bajo la razón «Bar Buffalo», extremo que fue aceptado lisa y llanamente por los demandados, por lo que no fue objeto de probanza. Ello, unido a que el primer contrato de don Francisco Cordero se hizo el mismo día que el de doña Manuela, en impresos de igual clase, y con idéntico contenido, obligaba a la acumulación de acciones frente a ambos, pues se daba litis consorcio pasivo necesario y, por tanto, la cuantía litigiosa necesariamente era la suma de las rentas pagaderas a los demandados. Siendo así, la renta, a efectos del art. 135 de la LAU, ha de ser necesariamente la acumulada, máxime puesto que cuando la ley no distingue, tampoco ha de hacerlo el Juez. </w:t>
      </w:r>
    </w:p>
    <w:p w:rsidR="001C705E" w:rsidRDefault="001C705E" w:rsidP="001C705E">
      <w:pPr>
        <w:pStyle w:val="TextoNormal"/>
      </w:pPr>
      <w:r>
        <w:t xml:space="preserve">c) Con respecto a la petición subsidiaria de amparo frente a la Sentencia de la Audiencia Territorial de Granada, se fundamenta en que esta resolución, a juicio de la solicitante de amparo, incurre en vulneración de los derechos reconocidos en los artículos 14, 24 y 9.3 de la Constitución y en un doble vicio de incongruencia por los siguientes motivos: De una parte, mejorar a la posición de doña Manuela Cordero Giménez en relación con la que fijaba la Sentencia dictada en primera instancia, que no había sido apelada por la misma; y, de otra, al emitir pronunciamientos no solicitados por ninguna de las partes en ambas instancias y que excedían del objeto litigioso, como es estimar que los aumentos de la renta podrían ser válidos aunque las cláusulas contractuales que los permitían eran nulas, y que en el caso debatido eran válidos porque tales aumentos no eran ilegales ni (des) proporcionados, temas ambos que, por no haberse discutido en el pleito, y por tanto no haber podido la demandante argumentar sobre ellos, exceden de la competencia judicial. Dichos vicios de incongruencia, denunciados al formalizar el recurso de casación, dejan en indefensión a la actora en el caso de que no pudiera acceder a la casación, con violación del art. 24.1 de la Constitución, al haberse vulnerado plenamente el principio de contradicción; cita en apoyo de su alegación la Sentencia del Tribunal 20/1982, de 5 de mayo. </w:t>
      </w:r>
    </w:p>
    <w:p w:rsidR="001C705E" w:rsidRDefault="001C705E" w:rsidP="001C705E">
      <w:pPr>
        <w:pStyle w:val="TextoNormal"/>
      </w:pPr>
      <w:r>
        <w:t>Finalmente, la parte recurrente invoca en favor de su tesis el criterio sentado por este Tribunal en la Sentencia núm. 68/1983, de 26 de julio, que señala que cuando se declare la inadmisión de un recurso en vía judicial sobre la base de una causa inexistente, tal ilegalidad es también una inconstitucionalidad, ya que afecta al contenido del derecho fundamental del art. 24 de la Constitución.</w:t>
      </w:r>
    </w:p>
    <w:p w:rsidR="001C705E" w:rsidRDefault="001C705E" w:rsidP="001C705E">
      <w:pPr>
        <w:pStyle w:val="TextoNormal"/>
      </w:pPr>
    </w:p>
    <w:p w:rsidR="001C705E" w:rsidRDefault="001C705E" w:rsidP="001C705E">
      <w:pPr>
        <w:pStyle w:val="TextoNormal"/>
      </w:pPr>
      <w:r w:rsidRPr="001C705E">
        <w:rPr>
          <w:rStyle w:val="NumeroAFNegritaCaracter"/>
        </w:rPr>
        <w:t>4</w:t>
      </w:r>
      <w:r>
        <w:t>. Por providencia de 8 de febrero de 1984 la Sección acordó admitir a trámite la demanda, así como requerir con carácter de urgencia al Tribunal Supremo, a la Audiencia Territorial de Granada y al Juzgado de Primera Instancia e Instrucción núm. 1 de Almería, para que en el plazo de diez días remitiesen a este Tribunal testimonio de las actuaciones relativas al recurso núm. 326/1983, seguido ante la Sala Primera del Tribunal Supremo, al rollo de Sala núm. 753/1980, seguido ante la Sala de lo Civil de la Audiencia, y a los autos núm. 60/1980, del Juzgado, interesándose al propio tiempo de dichos órganos judiciales se emplazara a quienes hubieran sido parte en los mencionados procedimientos, con excepción de la recurrente, para que en el plazo de diez días pudieran comparecer en este proceso constitucional. Se acuerda igualmente formar la correspondiente pieza separada para la sustanciación del incidente de suspensión. Dicho incidente se resolvió por Auto de la Sala Primera de este Tribunal de 22 de febrero de 1984, denegatorio de la suspensión solicitada.</w:t>
      </w:r>
    </w:p>
    <w:p w:rsidR="001C705E" w:rsidRDefault="001C705E" w:rsidP="001C705E">
      <w:pPr>
        <w:pStyle w:val="TextoNormal"/>
      </w:pPr>
    </w:p>
    <w:p w:rsidR="001C705E" w:rsidRDefault="001C705E" w:rsidP="001C705E">
      <w:pPr>
        <w:pStyle w:val="TextoNormal"/>
      </w:pPr>
      <w:r w:rsidRPr="001C705E">
        <w:rPr>
          <w:rStyle w:val="NumeroAFNegritaCaracter"/>
        </w:rPr>
        <w:t>5</w:t>
      </w:r>
      <w:r>
        <w:t>. Por providencia de 14 de marzo de 1984 la Sección acordó tener por recibidos los testimonios de actuaciones remitidos por el Tribunal Supremo, Audiencia Territorial de Granada y Juzgado de Primera Instancia e Instrucción núm. 1 de Almería, así como tener por personado y parte, en nombre y representación de don Francisco Cordero Giménez, al Procurador don Juan Corujo López-Villamil. Por lo que, de conformidad con lo establecido en el art. 52.1 de la Ley Orgánica del Tribunal Constitucional (LOTC), se acuerda dar vista de las actuaciones al Ministerio Fiscal y al recurrente, y al Procurador señor Corujo López-Villamil, a fin de que en el plazo de veinte días formularan las alegaciones que estimaran pertinentes.</w:t>
      </w:r>
    </w:p>
    <w:p w:rsidR="001C705E" w:rsidRDefault="001C705E" w:rsidP="001C705E">
      <w:pPr>
        <w:pStyle w:val="TextoNormal"/>
      </w:pPr>
    </w:p>
    <w:p w:rsidR="001C705E" w:rsidRDefault="001C705E" w:rsidP="001C705E">
      <w:pPr>
        <w:pStyle w:val="TextoNormal"/>
      </w:pPr>
      <w:r w:rsidRPr="001C705E">
        <w:rPr>
          <w:rStyle w:val="NumeroAFNegritaCaracter"/>
        </w:rPr>
        <w:t>6</w:t>
      </w:r>
      <w:r>
        <w:t>. Con fecha 7 de abril de 1984 la recurrente presenta escrito de alegaciones en que se reiteran los términos contenidos en el escrito inicial de demanda, suplicando asimismo al Tribunal reclame la remisión del testimonio íntegro de lo actuado en el recurso de queja núm. 1257 de 1982 como había solicitado en la demanda, sin que el Tribunal se haya pronunciado sobre esta petición, así como tampoco sobre el recibimiento a prueba; la parte actora entiende que lo actuado en el recurso de queja debe ser conocido por el Tribunal, bien mediante el cauce del art. 88 de la LOTC o bien mediante el recibimiento a prueba del art. 89 de la LOTC.</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Con fecha 10 de abril de 1984 el Ministerio Fiscal presentó escrito de alegaciones en el que señala, en cuanto a la pretensión formulada con carácter principal, que no se aporta ningún razonamiento sobre por qué la resolución impugnada del Tribunal Supremo viola o lesiona derecho fundamental alguno. Con respecto a lo dispuesto en el art. 14 de la Constitución, no se advierte en qué ha podido faltarse a la igualdad ante la Ley, ni se hace referencia a ello en el recurso. En cuanto a la aducida vulneración de la tutela judicial, el Tribunal Supremo razona convenientemente su decisión de inadmisión, apoyándose además en doctrina precedente establecida, y que no es otra, en esencia, que la imposibilidad de acumular, como pretendían los recurrentes, las rentas de tres contratos distintos. Se trata de una interpretación del Tribunal Supremo, actuando dentro de la potestad que le es propia y exclusiva conforme al art. 117.3 de la Constitución, y el Tribunal Constitucional no puede invadir su esfera competencial, sustituyendo su interpretación con otra que sea coincidente con la que postulan los demandantes. Lo que debe llevar a la desestimación de la pretensión principal de los actores. </w:t>
      </w:r>
    </w:p>
    <w:p w:rsidR="001C705E" w:rsidRDefault="001C705E" w:rsidP="001C705E">
      <w:pPr>
        <w:pStyle w:val="TextoNormal"/>
      </w:pPr>
      <w:r>
        <w:t xml:space="preserve">En lo que concierne a la pretensión de nulidad, formulada subsidiariamente, de la Sentencia de la Audiencia Territorial, manifiesta el Ministerio Fiscal que, en efecto, tal Sentencia mejoró la Sentencia de instancia respecto a la parte que se aquietó con la misma. Procede, pues, preguntarse si la incongruencia que se aprecia puede ser determinante de la inconstitucionalidad de la resolución que incurrió en ella. Debe tenerse en cuenta que no puede sin más identificarse incongruencia con indefensión. En este caso, en la segunda instancia, la hoy recurrente se opuso a la pretensión de la única parte apelante, y pidió que se mantuviera el fallo apelado en todos sus extremos, de modo que se defendió frente a cualquier modificación de la Sentencia de Instancia. Y, dada la identidad jurídica de los contratos de arrendamiento y de las rentas combatidas que merecieron una misma respuesta en el fallo del Juzgado, y después en el de apelación, no puede hablarse de una indefensión real en el proceso seguido ante la Audiencia. </w:t>
      </w:r>
    </w:p>
    <w:p w:rsidR="001C705E" w:rsidRDefault="001C705E" w:rsidP="001C705E">
      <w:pPr>
        <w:pStyle w:val="TextoNormal"/>
      </w:pPr>
      <w:r>
        <w:lastRenderedPageBreak/>
        <w:t>El que la incongruencia constituya o pueda constituir un quebranto de la legalidad no ha de suponer necesariamente que al mismo tiempo lo sea de la constitucionalidad. La indefensión se da, según la Sentencia del Tribunal Constitucional 20/1982, «cuando la desviación en que consiste la incongruencia es de tal naturaleza que supone una completa modificación de los términos en que se produjo el debate procesal» (fundamento jurídico 1. ), y no puede sostenerse que en esta ocasión lo resuelto fuera algo ajeno a lo suscitado dentro de la controversia forense. Por ello, aun admitiendo cierta incongruencia en sentido técnico en este aspecto, no es determinante de la vulneración pretendida de un derecho fundamental. Y, en lo que se refiere al segundo motivo de incongruencia alegado, esto es la determinación de la cuantía de las rentas, si lo que se discutía eran precisamente las rentas y si unas cláusulas de revalorización eran válidas, el juzgador podía determinar su cuantía ante las posturas radicalmente contradictorias de los contratantes, y eso fue lo que hizo. Por todo lo cual se interesa del Tribunal dicte Sentencia desestimatoria de la demanda por no resultar lesión de los derechos fundamentales alegados.</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El 11 de abril de 1984, el Procurador de los Tribunales don Juan Corujo López-Villamil, en representación de don Francisco Cordero Giménez, presentó escrito de alegaciones, en el que se mantiene, esencialmente, que la resolución impugnada del Tribunal Supremo está ajustada a derecho, al no exceder la merced arrendaticia, en ninguno de los supuestos, de 300.000 pesetas anuales, como resulta de los términos del mismo escrito de demanda de la hoy recurrente al iniciar el pleito ante el Juzgado de Primera Instancia de Almería. </w:t>
      </w:r>
    </w:p>
    <w:p w:rsidR="001C705E" w:rsidRDefault="001C705E" w:rsidP="001C705E">
      <w:pPr>
        <w:pStyle w:val="TextoNormal"/>
      </w:pPr>
      <w:r>
        <w:t xml:space="preserve">Por lo que atañe a la resolución, subsidiariamente impugnada, de la Audiencia Territorial, se funda en la doctrina del Tribunal Supremo, haciendo cita de la Sentencia de 13 de febrero de 1980, doctrina absolutamente aplicable al caso de autos. En consecuencia, no procede tampoco acceder al pronunciamiento que de forma subsidiaria se solicita, ya que no se vulneran los preceptos de la Constitución que se citan, ni ningún otro. </w:t>
      </w:r>
    </w:p>
    <w:p w:rsidR="001C705E" w:rsidRDefault="001C705E" w:rsidP="001C705E">
      <w:pPr>
        <w:pStyle w:val="TextoNormal"/>
      </w:pPr>
      <w:r>
        <w:t>Por tanto, suplica al Tribunal dicte sentencia en la que se desestime el recurso de amparo constitucional formulado.</w:t>
      </w:r>
    </w:p>
    <w:p w:rsidR="001C705E" w:rsidRDefault="001C705E" w:rsidP="001C705E">
      <w:pPr>
        <w:pStyle w:val="TextoNormal"/>
      </w:pPr>
    </w:p>
    <w:p w:rsidR="001C705E" w:rsidRDefault="001C705E" w:rsidP="001C705E">
      <w:pPr>
        <w:pStyle w:val="TextoNormal"/>
      </w:pPr>
      <w:r w:rsidRPr="001C705E">
        <w:rPr>
          <w:rStyle w:val="NumeroAFNegritaCaracter"/>
        </w:rPr>
        <w:t>9</w:t>
      </w:r>
      <w:r>
        <w:t xml:space="preserve">. Del examen de las actuaciones recibidas resultan los siguientes datos de interés, que complementan los ya expuestos: </w:t>
      </w:r>
    </w:p>
    <w:p w:rsidR="001C705E" w:rsidRDefault="001C705E" w:rsidP="001C705E">
      <w:pPr>
        <w:pStyle w:val="TextoNormal"/>
      </w:pPr>
      <w:r>
        <w:t xml:space="preserve">a) En la demanda incidental del proceso arrendaticio urbano de fecha 8 de febrero de 1980, contra don Francisco Cordero Giménez y doña Manuela Cordero Giménez, la parte actora -y aquí recurrente- solicitó la declaración de nulidad de pleno derecho de las cláusulas de elevación de renta contenidas en los tres contratos de arrendamiento suscritos entre las partes, así como que se declarara la procedencia de que los demandados devolvieran las cantidades indebidamente percibidas, respectivamente, por tales aumentos, condenándolos expresamente a su abono a la actora. </w:t>
      </w:r>
    </w:p>
    <w:p w:rsidR="001C705E" w:rsidRDefault="001C705E" w:rsidP="001C705E">
      <w:pPr>
        <w:pStyle w:val="TextoNormal"/>
      </w:pPr>
      <w:r>
        <w:t xml:space="preserve">En el hecho séptimo de la demanda se ponía de manifiesto la subrogación de doña Laurie Alexánder en la posición de arrendataria del señor Gibbons. Y, por otra parte, el fundamento jurídico 6. se dedica a justificar la acumulación de acciones, citando a tal efecto los arts. 153 y siguientes de la Ley de Enjuiciamiento Civil -en especial el 156-, añadiendo que: «Es evidente que en el presente caso la causa de pedir es idéntica, independientemente de que el relato de los hechos permita deducir que los distintos contratos celebrados obedecen a una unidad de arrendamiento». </w:t>
      </w:r>
    </w:p>
    <w:p w:rsidR="001C705E" w:rsidRDefault="001C705E" w:rsidP="001C705E">
      <w:pPr>
        <w:pStyle w:val="TextoNormal"/>
      </w:pPr>
      <w:r>
        <w:t xml:space="preserve">b) Por Sentencia del Magistrado-Juez de Primera Instancia núm. 1 de los de Almería, de 14 de junio de 1980, se estimó la demanda formulada, declarando nulas las cláusulas de </w:t>
      </w:r>
      <w:r>
        <w:lastRenderedPageBreak/>
        <w:t xml:space="preserve">elevación contenidas en los tres contratos de arrendamiento suscritos por las partes, a que se refiere la demanda, condenando a los demandados al reintegro de lo indebidamente percibido. </w:t>
      </w:r>
    </w:p>
    <w:p w:rsidR="001C705E" w:rsidRDefault="001C705E" w:rsidP="001C705E">
      <w:pPr>
        <w:pStyle w:val="TextoNormal"/>
      </w:pPr>
      <w:r>
        <w:t xml:space="preserve">c) Contra dicha Sentencia interpuso recurso de apelación la representación de don Francisco Cordero Giménez. En el acto de la vista-según consta en la correspondiente «diligencia de vista» suscrita por el Secretario- el Letrado de la parte apelante interesó «una Sentencia que revocando el Fallo proferido por el Juzgado de Primera Instancia desestime la demanda, absolviendo de los pedimentos de la misma a los hoy apelantes»; y que por el Letrado de la parte apelada se instó de la Sala, por el contrario, «una Sentencia que confirme íntegramente el Fallo recurrido», con expresa imposición de costas a la parte apelante. </w:t>
      </w:r>
    </w:p>
    <w:p w:rsidR="001C705E" w:rsidRDefault="001C705E" w:rsidP="001C705E">
      <w:pPr>
        <w:pStyle w:val="TextoNormal"/>
      </w:pPr>
      <w:r>
        <w:t xml:space="preserve">d) Por Sentencia de la Sala de lo Civil de la Audiencia Territorial de Granada de 28 de junio de 1982, se estimó parcialmente el recurso de apelación, declarando nulas las cláusulas de estabilización y que en lo sucesivo será renta del local arrendado a doña Manuela Cordero Giménez la cantidad de 19.099 pesetas y la conjunta de los locales arrendados a don Francisco Cordero Giménez la de 22.088 pesetas, que son rentas novadas, de modo que los posteriores aumentos serán los legales, y los demandados deberán reintegrar lo que exceda de las cifras indicadas, descontados los aumentos legales, todo lo cual se llevará a cabo en ejecución de Sentencia, y sin que haya lugar al resto de los pedimentos especificados en el «escrito inicial de este litigio». </w:t>
      </w:r>
    </w:p>
    <w:p w:rsidR="001C705E" w:rsidRDefault="001C705E" w:rsidP="001C705E">
      <w:pPr>
        <w:pStyle w:val="TextoNormal"/>
      </w:pPr>
      <w:r>
        <w:t xml:space="preserve">En la mencionada Sentencia consta que no ha comparecido en la apelación doña Manuela Cordero Giménez. Por otra parte, en su penúltimo resultando se indica que en el acto de la vista el Letrado de la parte apelante solicitó la revocación de la Sentencia y se dicte otra con arreglo a lo postulado en la instancia, y el Letrado de la parte apelada solicitó la confirmación de la misma con imposición de costas a la contraria. Y en el penúltimo considerando de la propia Sentencia se llega a la conclusión de la nulidad de las cláusulas de estabilización, lo que no empece, según la Sentencia del Tribunal Supremo de 10 de febrero de 1980 -añade la Sentencia-, para estimar «novadas» las rentas abonadas, sin oposición alguna por los arrendatarios, máxime al subrogarse en los contratos la señora Alexánder. </w:t>
      </w:r>
    </w:p>
    <w:p w:rsidR="001C705E" w:rsidRDefault="001C705E" w:rsidP="001C705E">
      <w:pPr>
        <w:pStyle w:val="TextoNormal"/>
      </w:pPr>
      <w:r>
        <w:t xml:space="preserve">e) Por Auto de 20 de julio de 1982 la Sala de lo Civil de la Audiencia de Granada resolvió acerca del escrito de preparación del recurso de casación por infracción de ley y de doctrina legal contra la Sentencia anterior, en el sentido de que no había lugar a tener por preparado el mencionado recurso ni a entregar las certificaciones interesadas. Esta resolución se fundamentaba en que ninguno de los contratos, cuyas cláusulas de estabilización han sido distintos y perfectamente diferenciadas, tiene una renta superior a 300.000 pesetas; y en que, de acuerdo con el aludido 135 de la Ley de Arrendamientos Urbanos, en la redacción dada al mismo por Ley de 27 de junio de 1974, sólo cabe recurso de casación en los contratos de arrendamiento de local de negocio cuya renta anual exceda de 300.000 pesetas. </w:t>
      </w:r>
    </w:p>
    <w:p w:rsidR="001C705E" w:rsidRDefault="001C705E" w:rsidP="001C705E">
      <w:pPr>
        <w:pStyle w:val="TextoNormal"/>
      </w:pPr>
      <w:r>
        <w:t xml:space="preserve">f) Interpuesto recurso de queja por la representación de la señora Alexánder, la Sala de lo Civil del Tribunal Supremo, por Auto de 15 de diciembre de 1982, acordó revocar el Auto recurrido de 20 de julio de 1982. Esta resolución se dicta sobre la base del siguiente considerando: </w:t>
      </w:r>
    </w:p>
    <w:p w:rsidR="001C705E" w:rsidRDefault="001C705E" w:rsidP="001C705E">
      <w:pPr>
        <w:pStyle w:val="TextoNormal"/>
      </w:pPr>
      <w:r>
        <w:t>«Que carente la copia certificada de elementos de juicio suficientes para decidir que la renta contractual no alcanza la cifra de 300.000 pesetas, a los efectos de excluir in limine el recurso de casación conforme a lo dispuesto en la Ley de 27 de junio de 1974, ya que por la parte solicitante se alega la existencia de novación contractual refundiendo en uno solo los dos negocios de arrendamiento sucesivamente concertados, con identidad de ele</w:t>
      </w:r>
      <w:r>
        <w:lastRenderedPageBreak/>
        <w:t xml:space="preserve">mentos subjetivos y unidad de merced, por un total de 337.776 pesetas, es manifiesto que sin perjuicio de lo que pueda resolverse sobre este punto en ulterior fase, procede por de pronto acoger el recurso de queja y ordenar la entrega de la certificación recabada, en los términos prevenidos por el art. 1.707 de la Ley de Enjuiciamiento Civil.» </w:t>
      </w:r>
    </w:p>
    <w:p w:rsidR="001C705E" w:rsidRDefault="001C705E" w:rsidP="001C705E">
      <w:pPr>
        <w:pStyle w:val="TextoNormal"/>
      </w:pPr>
      <w:r>
        <w:t xml:space="preserve">g) Interpuesto recurso de casación, la Sala de lo Civil del Tribunal Supremo, por Auto de 31 de octubre de 1983, declaró que no había lugar a admitirlo. Esta resolución se fundamenta en los dos considerandos siguientes: </w:t>
      </w:r>
    </w:p>
    <w:p w:rsidR="001C705E" w:rsidRDefault="001C705E" w:rsidP="001C705E">
      <w:pPr>
        <w:pStyle w:val="TextoNormal"/>
      </w:pPr>
      <w:r>
        <w:t xml:space="preserve">«Considerando que el presente recurso gira en torno a la revisión de rentas de tres locales de negocio arrendados por los hoy recurrentes a doña Manuela Cordero Giménez uno y a don Francisco Cordero Giménez los otros dos, arrendamientos que se llevaron a cabo en fechas distintas, a cuyos efectos se suscribieron tres contratos, en los que se fijaron las siguientes rentas: de 156.000 pesetas anuales, o sea, a razón de 13.000 pesetas mensuales la correspondiente al local arrendado a doña Manuela y de 132.000 y 36.000 pesetas, respectivamente, también anuales, la de los dos locales arrendados por don Francisco, a razón de 11.000 y 3.000 pesetas mensuales uno y otro local, habiéndose fijado en el hecho duodécimo del escrito de demanda la cuantía de las rentas a efectos de la litis en 275.856 pesetas la anual, correspondiente a los dos locales propiedad del citado don Francisco, y en 229.188 pesetas las del perteneciente a doña Manuela. </w:t>
      </w:r>
    </w:p>
    <w:p w:rsidR="001C705E" w:rsidRDefault="001C705E" w:rsidP="001C705E">
      <w:pPr>
        <w:pStyle w:val="TextoNormal"/>
      </w:pPr>
      <w:r>
        <w:t xml:space="preserve">Considerando que el art. 135 de la Ley de Arrendamientos Urbanos establece que el recurso de casación contra las sentencias dictadas por la Audiencia Territorial, solamente procederá en los litigios sobre contratos de arrendamiento de los locales de negocio cuya renta contractual exceda de 300.000 pesetas, lo cual no acontece en el presente supuesto, dado que como queda indicado en el precedente fundamento, en el proceso que culmina con este recurso se acumulan las rentas correspondientes a tres locales de negocio que si bien sumadas exceden de dicho tope, aisladamente consideradas ninguna de ellas alcanza el mismo, razón por la cual, teniendo en cuenta lo dispuesto en el citado art. 135 de la Ley de Arrendamientos Urbanos en relación con el 6.4 del Código Civil, dado que la acumulación de las rentas de los tres contratos de arrendamiento a los efectos de alcanzar el tope mínimo establecido para el acceso a la casación implicaría, si se estimase, un auténtico fraudem legi de conformidad con lo prevenido en el art. 1.729, número 3, de la Ley de Enjuiciamiento Civil y constante doctrina de esta Sala, representada entre otros por Autos de 6 y 18 de junio, 10 de octubre y 21 de noviembre de 1979, 23 de enero y 11 de julio de 1980, procede dictar el pronunciamiento que previene la regla primera del art. 1.728 de referida Ley rituaria, con las consecuencias en la misma establecidas.» </w:t>
      </w:r>
    </w:p>
    <w:p w:rsidR="001C705E" w:rsidRDefault="001C705E" w:rsidP="001C705E">
      <w:pPr>
        <w:pStyle w:val="TextoNormal"/>
      </w:pPr>
      <w:r>
        <w:t>h) Finalmente, debe señalarse que en el recurso de apelación se tuvo a doña Manuela Cordero Giménez como parte apelada no comparecida. Así resulta de las actuaciones, a partir del escrito de interposición del recurso de apelación formulado por la representación de don Francisco Cordero Giménez, en el que se solicita se emplace a las partes para su comparecencia ante la Audiencia (folio 146 de los autos); el emplazamiento se efectuó a la representación de doña Manuela Cordero Giménez a través de su representante, el Procurador don José Terriza Bordiú (folio 147); en el encabezamiento de la Sentencia dictada en apelación se relacionan las partes del proceso seguido ante el Juzgado en Primera Instancia, y se indica que doña Manuela Cordero Giménez no ha comparecido en la apelación, indicándose en el fallo que la Sentencia se notifique a la no comparecida, constando que se llevó a cabo tal notificación en los estrados del Tribunal.</w:t>
      </w:r>
    </w:p>
    <w:p w:rsidR="001C705E" w:rsidRDefault="001C705E" w:rsidP="001C705E">
      <w:pPr>
        <w:pStyle w:val="TextoNormal"/>
      </w:pPr>
    </w:p>
    <w:p w:rsidR="001C705E" w:rsidRDefault="001C705E" w:rsidP="001C705E">
      <w:pPr>
        <w:pStyle w:val="TextoNormal"/>
      </w:pPr>
      <w:r w:rsidRPr="001C705E">
        <w:rPr>
          <w:rStyle w:val="NumeroAFNegritaCaracter"/>
        </w:rPr>
        <w:t>10</w:t>
      </w:r>
      <w:r>
        <w:t>. Por providencia de fecha 10 de enero de 1985, la Sala acordó denegar el recibimiento a prueba solicitado por la actora, dado que el conocimiento de las actuaciones rela</w:t>
      </w:r>
      <w:r>
        <w:lastRenderedPageBreak/>
        <w:t>tivas al recurso de queja decidido por el Auto de 15 de diciembre de 1982 -que figura en las remitidas- no se estima necesario para la resolución del recurso de amparo (art. 89.1 de la Ley Orgánica del Tribunal Constitucional); asimismo se acordó que no procedía reclamar las actuaciones correspondientes a dicho recurso.</w:t>
      </w:r>
    </w:p>
    <w:p w:rsidR="001C705E" w:rsidRDefault="001C705E" w:rsidP="001C705E">
      <w:pPr>
        <w:pStyle w:val="TextoNormal"/>
      </w:pPr>
    </w:p>
    <w:p w:rsidR="001C705E" w:rsidRDefault="001C705E" w:rsidP="001C705E">
      <w:pPr>
        <w:pStyle w:val="TextoNormal"/>
      </w:pPr>
      <w:r w:rsidRPr="001C705E">
        <w:rPr>
          <w:rStyle w:val="NumeroAFNegritaCaracter"/>
        </w:rPr>
        <w:t>11</w:t>
      </w:r>
      <w:r>
        <w:t>. Por providencia de 24 de enero de 1985, se señaló para votación y fallo el día 30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demanda de amparo se formula contra el Auto de la Sala Primera del Tribunal Supremo, de 31 de octubre de 1983, que viene a declarar que no ha lugar a la admisión del recurso de casación interpuesto por la representación de la hoy recurrente frente a la Sentencia de la Sala de lo Civil de la Audiencia Territorial de Granada de 28 de junio de 1982, la cual es asimismo objeto de impugnación con carácter subsidiario. Procede, por tanto, que examinemos en primer lugar la vulneración de derechos fundamentales que la parte actora imputa al Auto recurrido; y en segundo término, para el supuesto de que no proceda la estimación del recurso por razón de tales violaciones, trataremos de las que aduce en relación con la Sentencia.</w:t>
      </w:r>
    </w:p>
    <w:p w:rsidR="001C705E" w:rsidRDefault="001C705E" w:rsidP="001C705E">
      <w:pPr>
        <w:pStyle w:val="TextoNormal"/>
      </w:pPr>
    </w:p>
    <w:p w:rsidR="001C705E" w:rsidRDefault="001C705E" w:rsidP="001C705E">
      <w:pPr>
        <w:pStyle w:val="TextoNormal"/>
      </w:pPr>
      <w:r w:rsidRPr="001C705E">
        <w:rPr>
          <w:rStyle w:val="NumeroAFNegritaCaracter"/>
        </w:rPr>
        <w:t>2</w:t>
      </w:r>
      <w:r>
        <w:t>. El Auto de 31 de octubre de 1984 habría vulnerado los arts. 14 y 24.1 de la Constitución por causas expuestas en el Antecedente 3 de esta Sentencia.</w:t>
      </w:r>
    </w:p>
    <w:p w:rsidR="001C705E" w:rsidRDefault="001C705E" w:rsidP="001C705E">
      <w:pPr>
        <w:pStyle w:val="TextoNormal"/>
      </w:pPr>
      <w:r>
        <w:t>a) La primera de tales causas consiste en que dicho Auto es contradictorio con el de la misma Sala de 30 de noviembre de 1982 [Antecedente 3, apartado a)].  Ahora bien, basta la mera lectura de los Autos [transcritos en lo que interesa en el Antecedente 9, f) y g)] para percibir con toda claridad que no existe contradicción alguna, por lo que la afirmación de la parte actora carece de todo fundamento.</w:t>
      </w:r>
    </w:p>
    <w:p w:rsidR="001C705E" w:rsidRDefault="001C705E" w:rsidP="001C705E">
      <w:pPr>
        <w:pStyle w:val="TextoNormal"/>
      </w:pPr>
      <w:r>
        <w:t>b) En cuanto a la segunda [Antecedente 3, apartado b)], se habría producido porque el Auto impugnado se acoge a la cuantía fijada en la demanda, lo que resulta contrario a los preceptos constitucionales citados. El recurrente no afirma en ningún momento que la cuantía de la renta de cualquiera de los tres contratos fuera superior a 300.000 pesetas anuales, sino que sostiene que tal cuantía se supera (337.776) computando conjuntamente la correspondiente a los contratos celebrados con el señor Cordero Giménez (por haberse efectuado, a su juicio, una novación que refundía los dos contratos en uno), siendo procedente además el cómputo conjunto de las rentas de todos los contratos al tratarse de un supuesto de litis consorcio pasivo necesario.</w:t>
      </w:r>
    </w:p>
    <w:p w:rsidR="001C705E" w:rsidRDefault="001C705E" w:rsidP="001C705E">
      <w:pPr>
        <w:pStyle w:val="TextoNormal"/>
      </w:pPr>
      <w:r>
        <w:t>Pues bien, en cuanto a la posible violación del principio de igualdad, la Sala no puede compartir la tesis de la parte actora, pues, como ha declarado el Tribunal en reiteradas ocasiones, a partir de la Sentencia 49/1982, de 14 de julio, «Boletín Oficial del Estado» de 4 de agosto, FJ 2, «la igualdad en la aplicación de la ley, lo que impone es que un mismo órgano no pueda modificar arbitrariamente el sentido de sus decisiones en casos sustancialmente iguales, y que cuando el órgano en cuestión considere que debe apartarse de sus precedentes tiene que ofrecer para ello una fundamentación suficiente y razonable»; y, en el presente caso, el recurrente no aporta término de comparación alguno que sirva ni tan siquiera de base para razonar acerca de la posible vulneración del principio de igualdad.</w:t>
      </w:r>
    </w:p>
    <w:p w:rsidR="001C705E" w:rsidRDefault="001C705E" w:rsidP="001C705E">
      <w:pPr>
        <w:pStyle w:val="TextoNormal"/>
      </w:pPr>
      <w:r>
        <w:t>Por otra parte, tampoco se aprecia que se haya producido violación alguna del artículo 24.1 de la Constitución, pues el Tribunal Supremo, al estimar que procede computar sepa</w:t>
      </w:r>
      <w:r>
        <w:lastRenderedPageBreak/>
        <w:t>radamente la renta de los contratos, efectúa una apreciación fundada en Derecho de mera legalidad, siendo irrelevante en este caso la interpretación dada a los arts. 135 y 146 de la Ley de Arrendamientos Urbanos en orden a si la renta de cada uno debía ser la que figuraba en la demanda o la realmente abonada, pues es lo cierto que lo decisivo era si se podían o no computar conjuntamente las rentas correspondientes a los dos contratos celebrados en su momento con el señor Cordero Giménez, o incluso a los tres contratos, pues ésta era la forma de conseguir que la cuantía litigiosa fuera superior a 300.000 pesetas y, en consecuencia, cupiera el recurso de casación de acuerdo con lo previsto en el artículo 135 de la Ley de Arrendamientos Urbanos, en la redacción dada al mismo por la Ley de 27 de junio de 1974.</w:t>
      </w:r>
    </w:p>
    <w:p w:rsidR="001C705E" w:rsidRDefault="001C705E" w:rsidP="001C705E">
      <w:pPr>
        <w:pStyle w:val="TextoNormal"/>
      </w:pPr>
      <w:r>
        <w:t>c) La conclusión anterior se fundamenta en una muy reiterada doctrina del Tribunal acerca del artículo 24.1 de la Constitución, en el sentido de que si bien el contenido normal del derecho a la tutela judicial efectiva consiste en obtener una resolución de fondo, el derecho fundamental se satisface también cuando la resolución es de inadmisión siempre que se dicte en aplicación razonada de una causa legal, debiendo responder el razonamiento a una interpretación de las normas de conformidad con la Constitución y en el sentido más favorable para la efectividad del derecho fundamental [Sentencias, entre otras, 19/1983, de 14 de marzo, «Boletín Oficial del Estado» de 12 de abril, FJ 4, y 69/1984, de 11 de junio, «Boletín Oficial del Estado» de 11 de julio, FJ 2]. El Tribunal, dado que el recurso de amparo no es una tercera instancia, no revisa, con carácter general, la legalidad aplicada; pero teniendo en cuenta que la inadmisión arbitraria, o irrazonable, o irrazonada, o basada en una interpretación distinta de la expuesta, afecta al contenido normal del derecho fundamental, entiende que en estos supuestos la resolución judicial puede incurrir en inconstitucionalidad que dé lugar al amparo, como sucede en los casos en que se declara la inadmisión por estimar inaplicable un procedimiento que si era aplicable [Sentencia 11/1982, de 29 de marzo, «Boletín Oficial del Estado» de 21 de abril, FJ 2], o en qué se ha padecido un error patente [Sentencia 68/1983, de 26 de julio, «Boletín Oficial del Estado» de 18 de agosto, FJ 6], o en que la normativa no se ha interpretado en el sentido más favorable para la efectividad del derecho fundamental y ello ha impedido entrar en el fondo [Sentencia antes indicada 19/1983, FJ 4].</w:t>
      </w:r>
    </w:p>
    <w:p w:rsidR="001C705E" w:rsidRDefault="001C705E" w:rsidP="001C705E">
      <w:pPr>
        <w:pStyle w:val="TextoNormal"/>
      </w:pPr>
      <w:r>
        <w:t>La aplicación de esta doctrina al caso contemplado conduce a la conclusión -como antes decíamos- de que la resolución impugnada no ha vulnerado el art.  24 de la Constitución. Y ello porque no se trata de una resolución que pueda calificarse de arbitraria, ni de irrazonable, ni de irrazonada, ni afirmarse que la interpretación llevada a cabo por el Tribunal Supremo de los arts. 135 en conexión con el 146 de la Ley de Arrendamientos Urbanos haya impedido entrar en el fondo. Por el contrario, la resolución impugnada, fundada en Derecho, se mueve dentro de la apreciación de la legalidad que corresponde a los Jueces y Tribunales; sin que pueda utilizarse la vía del recurso de amparo para someter al Tribunal todos los problemas que surjan de la aplicación de la legalidad procesal, más allá de los límites expuestos, con el argumento de que afectan a la tutela judicial efectiva, pues no es esta, obviamente, la función que cumple el recurso de amparo ni el Tribunal Constitucional en el sistema jurídico.</w:t>
      </w:r>
    </w:p>
    <w:p w:rsidR="001C705E" w:rsidRDefault="001C705E" w:rsidP="001C705E">
      <w:pPr>
        <w:pStyle w:val="TextoNormal"/>
      </w:pPr>
      <w:r>
        <w:t xml:space="preserve">d) Las consideraciones expuestas conducen a la conclusión de que el Auto de 31 de octubre de 1984, aquí impugnado, no vulnera los arts. 14 y 24.1 de la Constitución, sin que, por otra parte, podamos entrar en el examen de si ha vulnerado el art. 9.3 de la misma -según señala el actor-, dado que el recurso de amparo se circunscribe a la protección de los derechos fundamentales comprendidos en su ámbito, que son los reconocidos en los arts.  </w:t>
      </w:r>
      <w:r>
        <w:lastRenderedPageBreak/>
        <w:t>14 a 29 de la Constitución, además de la objeción de conciencia de su art. 30 (art. 41.1 de la Ley Orgánica del Tribunal Constitucional).</w:t>
      </w:r>
    </w:p>
    <w:p w:rsidR="001C705E" w:rsidRDefault="001C705E" w:rsidP="001C705E">
      <w:pPr>
        <w:pStyle w:val="TextoNormal"/>
      </w:pPr>
    </w:p>
    <w:p w:rsidR="001C705E" w:rsidRDefault="001C705E" w:rsidP="001C705E">
      <w:pPr>
        <w:pStyle w:val="TextoNormal"/>
      </w:pPr>
      <w:r w:rsidRPr="001C705E">
        <w:rPr>
          <w:rStyle w:val="NumeroAFNegritaCaracter"/>
        </w:rPr>
        <w:t>3</w:t>
      </w:r>
      <w:r>
        <w:t>. La conclusión expuesta da lugar a que debamos pasar al examen de las vulneraciones de derechos fundamentales que la demanda imputa a la Sentencia de la Sala de lo Civil de la Audiencia Territorial de Granada de 28 de junio de 1982, la cual es objeto de impugnación con carácter subsidiario. Dicha Sentencia, a juicio de la actora, incurre en un doble vicio de incongruencia [antecedente 3, apartado c), al que nos remitimos], que redundaría en violación de los derechos reconocidos en los arts. 24 y 14 de la Constitución, y resultaría contrario al principio de seguridad jurídica contenido en el art.  9.3 de la misma.</w:t>
      </w:r>
    </w:p>
    <w:p w:rsidR="001C705E" w:rsidRDefault="001C705E" w:rsidP="001C705E">
      <w:pPr>
        <w:pStyle w:val="TextoNormal"/>
      </w:pPr>
      <w:r>
        <w:t>En relación con las infracciones expuestas, hemos de reiterar que el recurso de amparo se circunscribe al examen de las violaciones de derechos fundamentales y libertades públicas comprendidos en su ámbito, dentro del cual, según antes veíamos, no está incluido en el art. 9.3 de la Constitución.</w:t>
      </w:r>
    </w:p>
    <w:p w:rsidR="001C705E" w:rsidRDefault="001C705E" w:rsidP="001C705E">
      <w:pPr>
        <w:pStyle w:val="TextoNormal"/>
      </w:pPr>
      <w:r>
        <w:t>Por otra parte, respecto a la violación del principio de igualdad, la parte actora no ha razonado, ni la Sala observa tampoco cómo la Sentencia impugnada ha podido vulnerarlo, dado que el recurrente no aporta término de comparación alguno que sirva ni tan siquiera de base para razonar acerca de la posible vulneración del principio de igualdad.</w:t>
      </w:r>
    </w:p>
    <w:p w:rsidR="001C705E" w:rsidRDefault="001C705E" w:rsidP="001C705E">
      <w:pPr>
        <w:pStyle w:val="TextoNormal"/>
      </w:pPr>
      <w:r>
        <w:t>Resta por examinar la vulneración alegada del art. 24 de la Constitución, y en concreto si puede haberse producido por razón de la posible existencia de la incongruencia alegada por la actora.</w:t>
      </w:r>
    </w:p>
    <w:p w:rsidR="001C705E" w:rsidRDefault="001C705E" w:rsidP="001C705E">
      <w:pPr>
        <w:pStyle w:val="TextoNormal"/>
      </w:pPr>
      <w:r>
        <w:t>a) A tal efecto, debe partirse de la doctrina sentada por la Sentencia 20/1982, de 5 de mayo, «Boletín Oficial del Estado» del 18, FJ 1 y 2, en el sentido de que la congruencia se mide por el ajuste o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de forma que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La doctrina de la congruencia -añade la mencionada Sentencia- es perfectamente compatible con el principio tradicional iura novit curia, pues los Tribunales no tienen necesidad ni tampoco obligación de ajustarse en los razonamientos jurídicos que les sirven para motivar sus fallos a las alegaciones de carácter jurídico aducidas por las partes y pueden basar sus decisiones en fundamentos jurídicos distintos, siempre que no se altere la acción ejercitada.</w:t>
      </w:r>
    </w:p>
    <w:p w:rsidR="001C705E" w:rsidRDefault="001C705E" w:rsidP="001C705E">
      <w:pPr>
        <w:pStyle w:val="TextoNormal"/>
      </w:pPr>
      <w:r>
        <w:t>b) El primer vicio de incongruencia aducido por la recurrente es el referente a que la Sentencia mejora la posición de doña Manuela Cordero Giménez en relación con la que fijaba la Sentencia dictada en primera instancia, que no había sido apelada por la misma; por lo que es necesario considerar si ello ha supuesto la indefensión de la actora, al pronunciarse el juzgador sobre una cuestión no planteada en el juicio y sobre la cual no tuvo oportunidad de defenderse, con vulneración del principio de contradicción.</w:t>
      </w:r>
    </w:p>
    <w:p w:rsidR="001C705E" w:rsidRDefault="001C705E" w:rsidP="001C705E">
      <w:pPr>
        <w:pStyle w:val="TextoNormal"/>
      </w:pPr>
      <w:r>
        <w:t xml:space="preserve">Sin embargo, de las actuaciones remitidas a este Tribunal no resulta que se haya producido la indefensión alegada. En efecto, la hoy recurrente llevó a cabo en primera instancia una acumulación voluntaria de acciones -con apoyo en el art. 156 de la Ley de Enjuiciamiento Civil-, al dirigirse simultáneamente contra los dos demandados, lo que dio lugar a que tramitara un solo proceso y se dictara una sola Sentencia; y de las actuaciones de la </w:t>
      </w:r>
      <w:r>
        <w:lastRenderedPageBreak/>
        <w:t>segunda instancia, tanto del acta de la vista como de la Sentencia [antecedente 9, c) y d)] no resulta que dejasen de considerarse los diversos contratos y sus cláusulas de revalorización, de manera que en la impugnación de la parte recurrente en apelación no se considerase también incluida, al pedir la desestimación de la demanda formulada en primera instancia, los intereses de la otra parte en ella demandada.</w:t>
      </w:r>
    </w:p>
    <w:p w:rsidR="001C705E" w:rsidRDefault="001C705E" w:rsidP="001C705E">
      <w:pPr>
        <w:pStyle w:val="TextoNormal"/>
      </w:pPr>
      <w:r>
        <w:t>Cuestión distinta -que es la realmente suscitada por la actora- es la de si cabe pronunciarse, con ocasión de un recurso de apelación, sobre pretensiones que no sean las estrictamente personales de la parte recurrente, y si cabe que tales pretensiones sean objeto del proceso y subsiguiente resolución. Pero ello es un tema de legalidad procesal que no afecta a lo ahora planteado, esto es a la presencia o no de indefensión.</w:t>
      </w:r>
    </w:p>
    <w:p w:rsidR="001C705E" w:rsidRDefault="001C705E" w:rsidP="001C705E">
      <w:pPr>
        <w:pStyle w:val="TextoNormal"/>
      </w:pPr>
      <w:r>
        <w:t>c) El segundo vicio de incongruencia consistiría [antecedente 3, apartado c)] en que la Sentencia dictada en apelación ha emitido pronunciamientos no solicitados por ninguna de las partes en ambas instancias y que excedían del objeto litigioso, como es estimar que los aumentos de la renta podían ser válidos aunque las cláusulas contractuales que los permitían fueran nulas, y que en el caso debatido eran válidos porque tales aumentos no eran ilegales ni desproporcionados, temas ambos no discutidos en el pleito.</w:t>
      </w:r>
    </w:p>
    <w:p w:rsidR="001C705E" w:rsidRDefault="001C705E" w:rsidP="001C705E">
      <w:pPr>
        <w:pStyle w:val="TextoNormal"/>
      </w:pPr>
      <w:r>
        <w:t>Pues bien, la Sala tampoco observa que se haya producido una desviación de tal naturaleza que suponga una completa modificación de los términos en que se produjo el debate procesal. Pues precisamente el objeto material del proceso era la fijación de la cuantía de tales rentas, en función de la validez o no de las cláusulas de revalorización contenidas en los correspondientes contratos de arrendamiento de local de negocio y la devolución de las cantidades indebidamente cobradas, habiéndose puesto también de manifiesto la subrogación efectuada por la señora Alexánder en la posición del arrendatario.</w:t>
      </w:r>
    </w:p>
    <w:p w:rsidR="001C705E" w:rsidRDefault="001C705E" w:rsidP="001C705E">
      <w:pPr>
        <w:pStyle w:val="TextoNormal"/>
      </w:pPr>
      <w:r>
        <w:t>En estas condiciones, la Sentencia impugnada decide dentro de los límites derivados de las pretensiones contradictorias de las partes, con aplicación del principio iura novit curia, pues es lo cierto que para decidir acerca de la devolución de las cantidades indebidamente percibidas era necesario decidir cuáles eran las rentas que debían abonarse, para lo cual era preciso valorar la validez o nulidad de las cláusulas de estabilización y los efectos de la declaración de nulidad. Por ello, entendemos que no se ha producido una desviación de tal naturaleza que haya originado indefensión, por impedir la aplicación del principio de contradicción, puesto que no se ha operado una completa modificación de los términos en que se ha desarrollado el debate procesal.</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Desestimar el recurso de amparo.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uno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8" w:name="SENTENCIA_1985_15"/>
      <w:r>
        <w:lastRenderedPageBreak/>
        <w:t>SENTENCIA 15/1985, de 5 de febrero de 1985</w:t>
      </w:r>
    </w:p>
    <w:bookmarkEnd w:id="18"/>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ECLI:ES:TC:1985:15</w:t>
      </w:r>
    </w:p>
    <w:p w:rsidR="001C705E" w:rsidRDefault="001C705E" w:rsidP="001C705E">
      <w:pPr>
        <w:pStyle w:val="SntesisDescriptiva"/>
      </w:pPr>
    </w:p>
    <w:p w:rsidR="001C705E" w:rsidRDefault="001C705E" w:rsidP="001C705E">
      <w:pPr>
        <w:pStyle w:val="SntesisDescriptiva"/>
      </w:pPr>
      <w:r>
        <w:t>Recurso de amparo 360/1984. Caducidad de la acción para impugnar la negativa empresarial a readmitir a la recurrente a puesto de trabajo desempeñado en el pasado con carácter interino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Según constante doctrina del Tribunal, el derecho a la tutela judicial efectiva no se desconoce cuando se emite una Sentencia desestimatoria, como puede ser -por supuesto- la apreciación de la caducidad de la acción, con acogimiento de tal excepción, propuesta por la parte demandada, e incluso apreciada de oficio por el Tribunal en determinados supuestos. </w:t>
      </w:r>
    </w:p>
    <w:p w:rsidR="001C705E" w:rsidRDefault="001C705E" w:rsidP="001C705E">
      <w:pPr>
        <w:pStyle w:val="Extracto"/>
      </w:pPr>
    </w:p>
    <w:p w:rsidR="001C705E" w:rsidRDefault="001C705E" w:rsidP="001C705E">
      <w:pPr>
        <w:pStyle w:val="Extracto"/>
      </w:pPr>
      <w:r>
        <w:t>2.</w:t>
      </w:r>
      <w:r>
        <w:tab/>
        <w:t xml:space="preserve">Cuando el empresario entiende extinguida la relación laboral por ser un contrato de interinidad, tanto si ello es cierto como no, la acción a ejercitar es la de despido en el plazo de caducidad de veinte días, como expresa con claridad el art. 59.3 del Estatuto de los Trabajadores. </w:t>
      </w:r>
    </w:p>
    <w:p w:rsidR="001C705E" w:rsidRDefault="001C705E" w:rsidP="001C705E">
      <w:pPr>
        <w:pStyle w:val="Extracto"/>
      </w:pPr>
    </w:p>
    <w:p w:rsidR="001C705E" w:rsidRDefault="001C705E" w:rsidP="001C705E">
      <w:pPr>
        <w:pStyle w:val="Extracto"/>
      </w:pPr>
      <w:r>
        <w:t>3.</w:t>
      </w:r>
      <w:r>
        <w:tab/>
        <w:t xml:space="preserve">Como dijo el Tribunal en la STC 7/1983, de 14 de febrero de 1983, si bien es cierto que los derechos fundamentales son permanentes e imprescriptibles, ello es compatible con que para reaccionar frente a cada lesión concreta el ordenamiento limite temporalmente la vida de la correspondiente acción, sin que pueda, pues, afirmarse que la existencia de un plazo de caducidad sea incompatible con la alegación de un derecho fundamental.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360/1984, interpuesto por doña Florencia Boissier Pérez, representada por el Procurador don Jesús Alfaro Matos y asistida del Letrado don José Manuel López López, contra las Sentencias de la Magistratura de Trabajo núm. 2 de Las </w:t>
      </w:r>
      <w:r>
        <w:lastRenderedPageBreak/>
        <w:t xml:space="preserve">Palmas de Gran Canaria, de 19 de febrero de 1982 (autos 262/198), y del Tribunal Central de Trabajo, de 9 de marzo de 1984 (recurso de suplicación 487/1984). </w:t>
      </w:r>
    </w:p>
    <w:p w:rsidR="001C705E" w:rsidRDefault="001C705E" w:rsidP="001C705E">
      <w:pPr>
        <w:pStyle w:val="TextoNormal"/>
      </w:pPr>
      <w:r>
        <w:t>Han sido parte el Ministerio Fiscal y la Caja Insular de Ahorros de Gran Canaria, Lanzarote y Fuerteventura, representada por el Procurador don Santos de Gandarillas Carmona y defendida por el Letrado don Alvaro García Ormaechea, como demandada. Ha sido Ponente el Magistrado don Francisco Pera Verdaguer,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Doña Florencia Boissier Pérez prestó sus servicios en la Caja Insular de Ahorros y Monte de Piedad de Gran Canaria como Auxiliar administrativa interina desde el 1 de mayo de 1954 hasta el 1 de septiembre de 1956, en que se vio obligada a cesar, para pasar a la situación de excedencia forzosa, por matrimonio, en virtud de lo dispuesto en el art. 53 de la Reglamentación Nacional de Trabajo de Cajas de Ahorro de 27 de septiembre de 19950, conforme al cual «el personal femenino que ingrese en Cajas de Ahorro con posterioridad a la fecha de publicación de estas Ordenanzas deberá abandonar el trabajo en el momento en que contraiga matrimonio, pero tendrá derecho a reingresar si se constituyere en cabeza de familia por incapacidad o fallecimiento del marido». </w:t>
      </w:r>
    </w:p>
    <w:p w:rsidR="001C705E" w:rsidRDefault="001C705E" w:rsidP="001C705E">
      <w:pPr>
        <w:pStyle w:val="TextoNormal"/>
      </w:pPr>
      <w:r>
        <w:t xml:space="preserve">Habiendo fallecido su marido el 27 de febrero de 1980, doña Florencia Boissier solicitó su reingreso el 18 de agosto de igual año, obteniendo una respuesta verbal denegatoria en fecha no determinada durante los meses de octubre o noviembre, con fundamento en la imposibilidad de reincorporación debido a que el desempeño de su trabajo fue como interina. La actora instó demanda de conciliación ante el Instituto de Mediación, Arbitraje y Conciliación, y celebrado el intento el día 20 de febrero de 1981, sin avenencia, dedujo demanda judicial tras haber recibido carta de la Empresa, de 23 de febrero, en que se le ratificaba la imposibilidad de su reingreso. El Magistrado de Trabajo núm. 2 de Las Palmas de Gran Canaria dictó Sentencia desestimatoria de 19 de febrero de 1982, fundándose en el carácter interino de la relación laboral y en la caducidad de la acción, pues la negativa verbal de la Empresa debió estimarse, en caso de ostentar la actora un derecho de reingreso, como un acto de despido contra el que debió reclamar en el plazo de veinte días hábiles establecido en el art. 59.3 del Estatuto de los Trabajadores. </w:t>
      </w:r>
    </w:p>
    <w:p w:rsidR="001C705E" w:rsidRDefault="001C705E" w:rsidP="001C705E">
      <w:pPr>
        <w:pStyle w:val="TextoNormal"/>
      </w:pPr>
      <w:r>
        <w:t>La actora interpuso recurso de suplicación en solicitud de modificación de los hechos probados (referida a la negativa verbal de reincorporación) y de revisión del derecho aplicado, siendo desestimado por Sentencia del Tribunal Central de Trabajo de 9 de marzo de 1984. El Tribunal Central mantiene la declaración de caducidad de la acción, no pronunciándose sobre la impugnación del carácter interino del trabajo desempeñado por ser ya de innecesaria resolución.</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Contra las referidas Sentencias se interpuso el presente recurso de amparo, mediante demanda presentada el 21 de mayo de 1984, fundada sustancialmente en la vulneración del art. 14 de la Constitución Española, por cuanto se le ha negado la readmisión pedida en plazo como medio de reparar una discriminación por razón de sexo, situación que no se altera por el pretendido carácter interino (que niega) de su relación con la Empresa. En el supuesto en que dicho carácter fuera trascendente para la solución del caso habría existido una infracción del derecho a la tutela por parte del Tribunal Central de Trabajo, por no haber resuelto el motivo de suplicación por el que se impugnaba tal consideración. En cuanto a la caducidad de la acción, la demandante cuestiona su existencia por entender que </w:t>
      </w:r>
      <w:r>
        <w:lastRenderedPageBreak/>
        <w:t>no existió despido, toda vez que el derecho a reingreso no deriva del cese de una excedencia ordinaria, sino de la supresión de una situación inconstitucional.</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Admitida a trámite la demanda de amparo, y recibidas las actuaciones de la Magistratura y del Tribunal Central, y personada la Caja Insular de Ahorros de Gran Canaria, por providencia de 26 de septiembre se acordó poner de manifiesto las actuaciones a las partes y al Ministerio Fiscal para que en el plazo de veinte días presentasen sus alegaciones conforme al art. 52.1 de la Ley Orgánica de este Tribunal. </w:t>
      </w:r>
    </w:p>
    <w:p w:rsidR="001C705E" w:rsidRDefault="001C705E" w:rsidP="001C705E">
      <w:pPr>
        <w:pStyle w:val="TextoNormal"/>
      </w:pPr>
      <w:r>
        <w:t xml:space="preserve">La parte demandante reitera sustancialmente los fundamentos de la demanda, destacando que la señora Boissier había prestado servicios laborales como Auxiliar administrativa durante dos años y cinco meses en la Caja Insular de Ahorros y Monte de Piedad de Gran Canaria, que por haber contraído matrimonio fue obligada a cesar en la Empresa, pasando a la situación de excedencia forzosa por aplicación de lo dispuesto en el art. 53 de la Reglamentación Nacional de Trabajo de Cajas de Ahorro, aprobada por Orden de 27 de septiembre de 1950; situación de excedencia forzosa en la que se encontraba cuando, luego de fallecer su esposo, solicitó el reingreso en su puesto de trabajo. La recurrente destaca el carácter, a su juicio, discriminatorio del indicado art. 53 de la Reglamentación Nacional de Trabajo de Cajas de Ahorro, pues establece una discriminación, por razón del sexo, contraria al art. 14 de la Constitución, añadiendo que se encuentra también en contradicción con los arts. 32.1 y 35. 1 de la Constitución. Por consiguiente, el mentado art. 53 perdió todo su valor desde la entrada en vigor de la Constitución. Y ello es suficiente para pedir el amparo constitucional. </w:t>
      </w:r>
    </w:p>
    <w:p w:rsidR="001C705E" w:rsidRDefault="001C705E" w:rsidP="001C705E">
      <w:pPr>
        <w:pStyle w:val="TextoNormal"/>
      </w:pPr>
      <w:r>
        <w:t>Se refiere seguidamente a la doctrina contenida en las Sentencias de este Tribunal relativa a que el plazo de prescripción para pedir el reingreso en situaciones como la de la recurrente es de tres años contados a partir de la publicación y entrada en vigor de la Constitución, esto es, desde el 29 de diciembre de 1978; la señora Boissier instó la conciliación ante el IMAC el 20 de febrero de 1981, y a continuación presentó la demanda ante la Magistratura de Trabajo, por lo que no había transcurrido el plazo de tres años.</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Ministerio Fiscal, en su escrito de alegaciones, centra la problemática del recurso en la vigencia o no del contrato de trabajo en el momento de promulgarse la Constitución: Si dicho contrato estaba solamente suspendido o si se había extinguido El art. 44.1 b) de la LOTC impide entrar en la valoración de los hechos realizados por la resolución impugnada; sin embargo, expone el Fiscal, es necesario analizarlos, porque son el fundamento que determina la no aplicación de un derecho constitucional. </w:t>
      </w:r>
    </w:p>
    <w:p w:rsidR="001C705E" w:rsidRDefault="001C705E" w:rsidP="001C705E">
      <w:pPr>
        <w:pStyle w:val="TextoNormal"/>
      </w:pPr>
      <w:r>
        <w:t xml:space="preserve">La recurrente fue contratada como auxiliar interina en el puesto de una persona que se encontraba en excedencia forzosa por matrimonio, de acuerdo con el art. 53 de la Reglamentación de Trabajo. El contrato tenía el carácter de interino, y estos contratos se regulan en la Reglamentación de Trabajo de formas distintas y diferentes al celebrado con los trabajadores de plantilla. Existe una diferencia esencial que la recurrente olvida. A los contratados interinamente no se les aplica determinados preceptos, que sólo son aplicables a los trabajadores de plantilla, y uno de ellos, de exclusiva aplicación, es el que permite la excedencia. Toda la argumentación de la recurrente se funda en su pretendida situación de excedencia forzosa, y por lo tanto la subsistencia del vínculo laboral, aunque suspendido. Pero el contrato de trabajo se extinguió por su origen en el momento en que contrajo matrimonio por aplicación del art. 58 de la Reglamentación de Trabajo, por la condición de interina de la trabajadora. Se consumaron, pues, todos los efectos del vínculo laboral, se agotó el mismo y dejó de existir. A partir del despido, al que no se aplicó el art. 53 de la </w:t>
      </w:r>
      <w:r>
        <w:lastRenderedPageBreak/>
        <w:t xml:space="preserve">Reglamentación respecto a la dote, sin reclamación, no existió vínculo laboral entre la trabajadora y la Entidad. </w:t>
      </w:r>
    </w:p>
    <w:p w:rsidR="001C705E" w:rsidRDefault="001C705E" w:rsidP="001C705E">
      <w:pPr>
        <w:pStyle w:val="TextoNormal"/>
      </w:pPr>
      <w:r>
        <w:t xml:space="preserve">Expone el Ministerio Fiscal que la jurisprudencia de este Tribunal, alegada por la recurrente, se ha construido sobre la eficacia derogatoria de la Constitución respecto a las cláusulas discriminatorias, por razón del sexo, en la existencia de una relación laboral «suspendida», no respecto a las relaciones laborales extinguidas, como expresa la Sentencia de 14 de febrero de 1983: «... desde la terminación del contrato, una vez extinguido éste (y no meramente suspendido, como ocurre en el caso presente) ya no es posible pedir el reingreso». Se refieren, pues, las Sentencias a las relaciones laborales «suspendidas» en virtud de las cláusulas de la Reglamentación, que tenían carácter discriminatorio; pero la Constitución no tiene retroactividad para aquellas situaciones jurídicas que se agotaron antes de su entrada en vigor; sólo se puede aplicar a aquellas situaciones jurídicas que, nacidas con anterioridad, siguen «vivas» en el momento de su vigencia. No siendo procedente plantear el recurso de amparo en base a la supuesta excedencia forzosa que no ha existido por ser una situación «solamente» aplicable a los trabajadores de plantilla. </w:t>
      </w:r>
    </w:p>
    <w:p w:rsidR="001C705E" w:rsidRDefault="001C705E" w:rsidP="001C705E">
      <w:pPr>
        <w:pStyle w:val="TextoNormal"/>
      </w:pPr>
      <w:r>
        <w:t xml:space="preserve">Analiza el Ministerio Fiscal la tesis de la recurrente de que la Sentencia del Tribunal Central de Trabajo no otorga la tutela judicial efectiva, al no razonar sobre la cuestión, declarada por el Magistrado de Trabajo, de la interinidad; pero la referida Sentencia del Tribunal Central de Trabajo abarca los problemas planteados por los recurrentes, y entre ellos la interinidad, dando el razonamiento jurídico para no entrar en su estudio, por tratarse de una cuestión fáctica que acepta la Sentencia de suplicación. </w:t>
      </w:r>
    </w:p>
    <w:p w:rsidR="001C705E" w:rsidRDefault="001C705E" w:rsidP="001C705E">
      <w:pPr>
        <w:pStyle w:val="TextoNormal"/>
      </w:pPr>
      <w:r>
        <w:t>En el examen del tema de la caducidad de la acción el Ministerio Fiscal significa que la recurrente solicitó el reingreso en la Caja Insular de Ahorros, fallecido el marido el 27 de febrero de 1980, con posterioridad a la entrada en vigor de la Constitución, y expone que si se admitiera a título dialéctico la retroactividad de la Constitución y se aplicase la doctrina encarnada en la Sentencia del Tribunal Constitucional sobre discriminación por razón de sexo, estaríamos en presencia de un «despido», y por esta razón la fecha para ejercitar la acción solicitando la declaración de nulidad del despido, por estar la causa del mismo afectada por la discriminación prohibida en la Constitución, sería de quince días hábiles a partir de la fecha de entrada en vigor de la misma, de acuerdo con la Ley de Contrato de Trabajo, y la acción no fue ejercitada en dicho término. No es la muerte del marido la fecha para computar el ejercicio de la acción, sino la entrada en vigor de la Constitución, como reiteradamente dice el Tribunal Constitucional. Por lo tanto -concluye-, aunque se aceptasen las premisas de la recurrente sobre la retroactividad de la Constitución, no puede aceptarse la demanda de amparo.</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La representación de la Caja Insular de Ahorros de Gran Canaria, Lanzarote y Fuerteventura pone de relieve en su escrito de alegaciones que la cualidad laboral de la trabajadora era de interinidad, lo que representa una situación de provisionalidad en el puesto de trabajo, que de ninguna manera y por la voluntad de la persona que en esas condiciones se encuentra puede convertirse en empleado de plantilla. Es cierto, añade, que el Tribunal Central de Trabajo no analizó el tema de la interinidad, pero no menos cierto que dicho Tribunal entendió que el problema estaba perfectamente resuelto por la Magistratura, e incluso aceptó los argumentos de la propia Magistratura, con lo que la tesis de la Sentencia de 19 de febrero de 1982 -Magistratura de Trabajo fue asumida como propia por el Tribunal Central, y éste, en su decisión, desestimó totalmente el recurso. </w:t>
      </w:r>
    </w:p>
    <w:p w:rsidR="001C705E" w:rsidRDefault="001C705E" w:rsidP="001C705E">
      <w:pPr>
        <w:pStyle w:val="TextoNormal"/>
      </w:pPr>
      <w:r>
        <w:lastRenderedPageBreak/>
        <w:t xml:space="preserve">El tema de la caducidad -dice la parte demandada- sí fue analizado al detalle, pues no se trataba simplemente de confirmar la tesis de la Magistratura de Trabajo núm. 2 de Las Palmas, por el Tribunal Central de Trabajo. </w:t>
      </w:r>
    </w:p>
    <w:p w:rsidR="001C705E" w:rsidRDefault="001C705E" w:rsidP="001C705E">
      <w:pPr>
        <w:pStyle w:val="TextoNormal"/>
      </w:pPr>
      <w:r>
        <w:t>De todo ello concluye que doña Florencia fue objeto de despido o, si se quiere, de extinción de su relación laboral de interinidad, siendo la caducidad algo indubitado.</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 14 de noviembre se señaló para deliberación y votación del recurso el día 30 de enero de 1985.</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Este recurso de amparo plantea la presunta vulneración del art. 14 de la Constitución, por considerar discriminatorio el cese en el trabajo de la recurrente, producido en su día como consecuencia del art. 53 de la Reglamentación de Trabajo de las Cajas de Ahorros, que estableció dicho cese para la mujer trabajadora al contraer matrimonio, entendiendo la recurrente que tras la vigencia de la C.E. decae la situación de excedencia forzosa y surge el derecho a la reincorporación a la empresa.</w:t>
      </w:r>
    </w:p>
    <w:p w:rsidR="001C705E" w:rsidRDefault="001C705E" w:rsidP="001C705E">
      <w:pPr>
        <w:pStyle w:val="TextoNormal"/>
      </w:pPr>
      <w:r>
        <w:t>Pero es lo cierto que las resoluciones judiciales impugnadas no tienen el sentido denegatorio de la reincorporación que la demandante les atribuye, pues aunque la Sentencia de Magistratura declara la inexistencia del derecho a la reincorporación debido al carácter interino de la relación que unía a la actora con la empresa, y sólo «a mayor abundamiento» alude a la caducidad de la acción, es esta última la que constituye el objeto del pronunciamiento del Tribunal Central de Trabajo, que conduce a una declaración de inadmisión de la demanda, con exclusión de resolver el fondo del asunto o problema planteado, y siendo ello así, es claro que ausente en la demanda y, por tanto, en las Sentencias toda consideración afectante a discriminaciones, ciertas o pretendidas, mal pudo haberse violado el derecho fundamental que el art. 14 de la C. E. proclama, que en realidad no fue objeto del proceso previo ni respecto al cual se ha cumplido el requisito de admisibilidad del art. 44.1 c) de la LOTC.</w:t>
      </w:r>
    </w:p>
    <w:p w:rsidR="001C705E" w:rsidRDefault="001C705E" w:rsidP="001C705E">
      <w:pPr>
        <w:pStyle w:val="TextoNormal"/>
      </w:pPr>
    </w:p>
    <w:p w:rsidR="001C705E" w:rsidRDefault="001C705E" w:rsidP="001C705E">
      <w:pPr>
        <w:pStyle w:val="TextoNormal"/>
      </w:pPr>
      <w:r w:rsidRPr="001C705E">
        <w:rPr>
          <w:rStyle w:val="NumeroAFNegritaCaracter"/>
        </w:rPr>
        <w:t>2</w:t>
      </w:r>
      <w:r>
        <w:t>. Debemos, por lo tanto, circunscribirnos al examen de la invocada violación del artículo 24.1 de la C.E., cometida, según la recurrente, al no haberse abordado y resuelto por el órgano jurisdiccional la cuestión referente a la situación laboral de la interesada, ante el mismo suscitada, y conviene ya inicialmente recordar la constante doctrina de este Tribunal en el sentido de que el derecho a la tutela judicial efectiva no se desconoce cuando se emite una Sentencia desestimatoria, como puede ser -por supuesto- la apreciación de la caducidad de la acción, con acogimiento de tal excepción, propuesta por la parte demandada, e incluso apreciada de oficio por el Tribunal en determinados supuestos.</w:t>
      </w:r>
    </w:p>
    <w:p w:rsidR="001C705E" w:rsidRDefault="001C705E" w:rsidP="001C705E">
      <w:pPr>
        <w:pStyle w:val="TextoNormal"/>
      </w:pPr>
      <w:r>
        <w:t>En el caso presente, la admisión de la caducidad en las resoluciones judiciales se fundamenta en la consideración de que la negativa empresarial a readmitir a la actora constituye o equivale a un acto de despido contra el que se debió reaccionar en el plazo de veinte días que establecen los arts. 59.3 del Estatuto de los Trabajadores y 97 de la Ley de Procedimiento Laboral, tesis dilatadamente mantenida en la jurisprudencia del orden laboral, aplicada aquí una vez más por entender que la declaración de voluntad empresarial, de signo negativo, tuvo por evidente objeto la resolución de la relación laboral, y en manera alguna tan sólo significó o puso de manifiesto la no readmisión en el momento pedida.</w:t>
      </w:r>
    </w:p>
    <w:p w:rsidR="001C705E" w:rsidRDefault="001C705E" w:rsidP="001C705E">
      <w:pPr>
        <w:pStyle w:val="TextoNormal"/>
      </w:pPr>
      <w:r>
        <w:lastRenderedPageBreak/>
        <w:t>En esa misma línea de pensamiento hay que precisar que en el caso actual, según consta en el resultando de hechos probados de la Sentencia de Magistratura, la negativa de la Caja de Ahorros a readmitir a la actora se fundó en «que no era posible reincorporarla al puesto de trabajo solicitado, ya que lo prestó, en su tiempo, como interina», y según expresa el Tribunal Central de Trabajo «lo que se comunicó a la actora no fue la imposibilidad de readmitirla entonces, sino simplemente el criterio empresarial de haberse extinguido el contrato años atrás, en razón al carácter de interinidad que tuvo en su día la contratación», siendo, asimismo, de notar que la solicitud de la actora no se basó en la promulgación de la C.E. y en el consiguiente carácter discriminatorio de su excedencia, sino, como ella misma afirma, en el estricto cumplimiento de la norma, pues el fallecimiento de su marido la había convertido en cabeza de familia. Parece, pues, en suma razonable la aplicación que el Tribunal hizo de la doctrina reiteradamente sostenida.</w:t>
      </w:r>
    </w:p>
    <w:p w:rsidR="001C705E" w:rsidRDefault="001C705E" w:rsidP="001C705E">
      <w:pPr>
        <w:pStyle w:val="TextoNormal"/>
      </w:pPr>
    </w:p>
    <w:p w:rsidR="001C705E" w:rsidRDefault="001C705E" w:rsidP="001C705E">
      <w:pPr>
        <w:pStyle w:val="TextoNormal"/>
      </w:pPr>
      <w:r w:rsidRPr="001C705E">
        <w:rPr>
          <w:rStyle w:val="NumeroAFNegritaCaracter"/>
        </w:rPr>
        <w:t>3</w:t>
      </w:r>
      <w:r>
        <w:t>. Conviene también decir que en estos casos no es paradójico o contradictorio el calificar como despido a una declaración que afirma la extinción del contrato años atrás, pues lo que importa, a los fines que estamos analizando, es la voluntad empresarial de dar por extinguida la relación, sin que posea trascendencia que sea un auténtico acto de despido o consista simplemente en la afirmación de que la relación se ha extinguido por alguna de las causas previstas en la ley. Y así, cuando el empresario entiende extinguida la relación laboral por ser un contrato de interinidad, tanto si ello es cierto como no, la acción a ejercitar es la de despido, en el plazo de caducidad de veinte días, como expresa con claridad el art. 59.3 del Estatuto de los Trabajadores, y, ejercitada la acción, al Magistrado corresponde pronunciarse sobre la causa de extinción, bien en sentido afirmativo, o por contra, si se entiende que el contrato no era de interinidad, el acto empresarial se entenderá como despido en sentido estricto y el Magistrado declarará su improcedencia o su nulidad; pero siempre, en cuanto al ejercicio de la acción, lo trascendente es la voluntad expresada y existente en todos los casos.</w:t>
      </w:r>
    </w:p>
    <w:p w:rsidR="001C705E" w:rsidRDefault="001C705E" w:rsidP="001C705E">
      <w:pPr>
        <w:pStyle w:val="TextoNormal"/>
      </w:pPr>
      <w:r>
        <w:t>Cualquier oposición fundada a las resoluciones judiciales que se impugnan solo puede basarse en una distinta apreciación de los hechos, en una diferente valoración del significado de la negativa empresarial al reingreso, o en una concepción diversa sobre el tipo de acción a ejercer frente a tal negativa, cuestiones todas ellas sobre las que se han pronunciado de forma razonada los Tribunales ordinarios en ejercicio legítimo de su exclusiva competencia.</w:t>
      </w:r>
    </w:p>
    <w:p w:rsidR="001C705E" w:rsidRDefault="001C705E" w:rsidP="001C705E">
      <w:pPr>
        <w:pStyle w:val="TextoNormal"/>
      </w:pPr>
    </w:p>
    <w:p w:rsidR="001C705E" w:rsidRDefault="001C705E" w:rsidP="001C705E">
      <w:pPr>
        <w:pStyle w:val="TextoNormal"/>
      </w:pPr>
      <w:r w:rsidRPr="001C705E">
        <w:rPr>
          <w:rStyle w:val="NumeroAFNegritaCaracter"/>
        </w:rPr>
        <w:t>4</w:t>
      </w:r>
      <w:r>
        <w:t>. Así pues, apreciada y fundamentada por el Tribunal Central de Trabajo la existencia de la caducidad, es claro que no se vulnera el derecho de tutela judicial efectiva por que se omita el análisis del motivo de suplicación que pretendía negar la interinidad en virtud de la cual el Magistrado de Trabajo desestimó la demanda.</w:t>
      </w:r>
    </w:p>
    <w:p w:rsidR="001C705E" w:rsidRDefault="001C705E" w:rsidP="001C705E">
      <w:pPr>
        <w:pStyle w:val="TextoNormal"/>
      </w:pPr>
    </w:p>
    <w:p w:rsidR="001C705E" w:rsidRDefault="001C705E" w:rsidP="001C705E">
      <w:pPr>
        <w:pStyle w:val="TextoNormal"/>
      </w:pPr>
      <w:r w:rsidRPr="001C705E">
        <w:rPr>
          <w:rStyle w:val="NumeroAFNegritaCaracter"/>
        </w:rPr>
        <w:t>5</w:t>
      </w:r>
      <w:r>
        <w:t>. Finalmente habremos de referirnos a algo que parece desprenderse de las alegaciones de la recurrente en amparo, en el sentido de la incompatibilidad que ha de reconocerse entre el ejercicio de un derecho fundamental y la caducidad, o, equivalentemente, la imposibilidad de reconvertir lo que es una negativa al ejercicio de un derecho fundamental, en un despido, y lo que es una reclamación de reparación de la inconstitucionalidad en una acción de despido.</w:t>
      </w:r>
    </w:p>
    <w:p w:rsidR="001C705E" w:rsidRDefault="001C705E" w:rsidP="001C705E">
      <w:pPr>
        <w:pStyle w:val="TextoNormal"/>
      </w:pPr>
      <w:r>
        <w:t xml:space="preserve">A este respecto, cabe recordar lo declarado por este Tribunal Constitucional en su Sentencia de 14 de febrero de 1983 (y de acuerdo con ésta, en el Auto de 3 de octubre de </w:t>
      </w:r>
      <w:r>
        <w:lastRenderedPageBreak/>
        <w:t>1984), en el sentido de que si bien es cierto que los derechos fundamentales son permanentes e imprescriptibles, ello es compatible con que para reaccionar frente a cada lesión concreta el ordenamiento limite temporalmente la vida de la correspondiente acción, siendo de notar que en el caso presente no se trata de la sustitución de un plazo prescriptorio de tres años por uno de caducidad de veinte días, sin que pueda, pues, afirmarse que la existencia de un plazo de caducidad sea incompatible con la alegación de un derecho fundamental, debiendo destacarse como significativo lo que ya tenemos expuesto en orden a que la reclamante no solicitó de la Magistratura la reparación de la vulneración de un derecho fundamental, sino que instó la estricta aplicación de la norma que preveía su reingreso al erigirse en cabeza de familia, por lo que la reclamación extrajudicial y la acción ejercitada eran ajenas al derecho fundamental, mas, aunque así no fuera, el hecho es que la consideración de la negativa empresarial como despido y la exigencia del ejercicio de la correspondiente acción en el plazo de caducidad de veinte días no impiden en modo alguno el planteamiento y la reparación del derecho fundamental.</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 por doña Florencia Boissier Pérez.</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cinco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19" w:name="SENTENCIA_1985_16"/>
      <w:r>
        <w:lastRenderedPageBreak/>
        <w:t>SENTENCIA 16/1985, de 8 de febrero de 1985</w:t>
      </w:r>
    </w:p>
    <w:bookmarkEnd w:id="19"/>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ECLI:ES:TC:1985:16</w:t>
      </w:r>
    </w:p>
    <w:p w:rsidR="001C705E" w:rsidRDefault="001C705E" w:rsidP="001C705E">
      <w:pPr>
        <w:pStyle w:val="SntesisDescriptiva"/>
      </w:pPr>
    </w:p>
    <w:p w:rsidR="001C705E" w:rsidRDefault="001C705E" w:rsidP="001C705E">
      <w:pPr>
        <w:pStyle w:val="SntesisDescriptiva"/>
      </w:pPr>
      <w:r>
        <w:t>Recurso de amparo 819/1983. Contra Sentencia de la Magistratura de Trabajo que confirma sanción impuesta por la empresa, por supuesta discriminación de la libertad sindical</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recurrente no planteó su demanda en el proceso «a quo» tal y como pretende ahora, en el recurso de amparo, que lo hizo. Ante la Magistratura de Trabajo se hizo valer una discriminación referida al derecho de igualdad del art. 14 C.E., mientras que ante este Tribunal se hace hincapié en la presunta existencia de una continua discriminación por razón de su actividad sindical, atentatoria al derecho de libertad sindical del art. 28.1 C.E. La Sentencia impugnada dio respuesta a lo que al Magistrado de Trabajo se había planteado, y mal podría darla a lo que entonces no se le pidiera. Por ello, la Sentencia impugnada no ha infringido el derecho a sindicarse libremente (art. 28.1 C.E.). </w:t>
      </w:r>
    </w:p>
    <w:p w:rsidR="001C705E" w:rsidRDefault="001C705E" w:rsidP="001C705E">
      <w:pPr>
        <w:pStyle w:val="Extracto"/>
      </w:pPr>
    </w:p>
    <w:p w:rsidR="001C705E" w:rsidRDefault="001C705E" w:rsidP="001C705E">
      <w:pPr>
        <w:pStyle w:val="Extracto"/>
      </w:pPr>
      <w:r>
        <w:t>2.</w:t>
      </w:r>
      <w:r>
        <w:tab/>
        <w:t xml:space="preserve">Resulta extemporánea la queja expuesta por el demandante en su último escrito de alegaciones y consistente en una supuesta vulneración del principio de legalidad, consagrado en el art. 25.1 C.E. Planteada en un momento procesal en el que no puede ser examinada, tampoco procede que esta alegación sea contestada por el Ministerio Fiscal y por la otra parte personada en el proceso.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promovido por don Segundo Zamora Laguna, Letrado del ilustre Colegio de Abogados de Madrid, contra Sentencia dictada por la Magistratura de Trabajo núm. 3, en 22 de noviembre de 1983, en los autos núm. 1030/1983, en el que han comparecido don Rafael Rodríguez Montaut, Procurador de los Tribunales, en nombre y representación del «Banco Central, Sociedad Anónima», y el Ministerio Fiscal, siendo Ponente el Magistrado don Antonio Truyol Serra,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Por escrito ingresado en este Tribunal el 10 de diciembre de 1983, don Segundo Zamora Laguna, empleado de Banca y Letrado del ilustre Colegio de Abogados de Madrid, interpuso en nombre propio recurso de amparo frente a la Sentencia de la Magistratura de Trabajo núm. 3 de esta capital de 22 de noviembre de 1983, en los autos 1030/1983, seguidos a su propia instancia contra la empresa demandada, «Banco Central, Sociedad Anónima», basándose en los siguientes hechos y fundamentos de Derecho: </w:t>
      </w:r>
    </w:p>
    <w:p w:rsidR="001C705E" w:rsidRDefault="001C705E" w:rsidP="001C705E">
      <w:pPr>
        <w:pStyle w:val="TextoNormal"/>
      </w:pPr>
      <w:r>
        <w:t xml:space="preserve">a) El demandante de amparo, que prestaba sus servicios laborales en el «Banco Central, Sociedad Anónima», y realizaba en él actividades de asesoramiento jurídico de la Federación Provincial de Banca, Bolsa y Ahorro de Madrid, de la Unión General de Trabajadores (UGT), fue sancionado por la empresa con suspensión de empleo y sueldo por un mes, modificada posteriormente por la propia empresa en quince días, por dejar una cuenta corriente en descubierto, lo cual, según la empresa, implicaría abuso de confianza y deslealtad. </w:t>
      </w:r>
    </w:p>
    <w:p w:rsidR="001C705E" w:rsidRDefault="001C705E" w:rsidP="001C705E">
      <w:pPr>
        <w:pStyle w:val="TextoNormal"/>
      </w:pPr>
      <w:r>
        <w:t xml:space="preserve">b) Contra esta sanción, y con fecha 24 de agosto de 1983, entabló demanda ante la Magistratura de Trabajo núm. 3 de Madrid, mediante la cual, alegando que la realización de operaciones como la que ha motivado la sanción es práctica habitual y que tal sanción supone una discriminación por parte de la empresa, y que no había sido informado ni oído previamente de ella, como estipula un acuerdo suscrito por la Asociación Española de Banca con la mencionada Federación, solicitaba se dictase Sentencia por la que se declarase la nulidad o subsidiariamente la improcedencia de la sanción. </w:t>
      </w:r>
    </w:p>
    <w:p w:rsidR="001C705E" w:rsidRDefault="001C705E" w:rsidP="001C705E">
      <w:pPr>
        <w:pStyle w:val="TextoNormal"/>
      </w:pPr>
      <w:r>
        <w:t xml:space="preserve">c) Con fecha 22 de noviembre de 1983, la Magistratura de Trabajo dictó Sentencia in voce por la que se acordó rebajar a siete días la sanción de quince días de suspensión de empleo y sueldo impuesta al hoy demandante de amparo. Fundamenta Magistratura su resolución en que, «estimándose acreditados los hechos imputados al actor en la carta de sanción», carecen, no obstante, «de la trascendencia que la empresa les asigna», y que los acuerdos existentes entre el Sindicato UGT y la Asociación de Banca «en ningún caso pueden afectar a las normas de derecho público que se contienen en la Ley de Procedimiento Laboral». </w:t>
      </w:r>
    </w:p>
    <w:p w:rsidR="001C705E" w:rsidRDefault="001C705E" w:rsidP="001C705E">
      <w:pPr>
        <w:pStyle w:val="TextoNormal"/>
      </w:pPr>
      <w:r>
        <w:t xml:space="preserve">d) La presente demanda de amparo frente a dicha Sentencia alega la presunta violación de los derechos a la igualdad, a una tutela jurisdiccional efectiva y a la libre sindicación, reconocidos, respectivamente, por los arts. 14, 24 y 28 de la Constitución Española (C.E.). La violación del art. 14 resultaría, en particular, de que se sancione un hecho que constituye práctica habitual y no se haya aplicado el acuerdo de derechos sindicales. La del art. 24 se produjo al no haberse dado por parte del Magistrado un pronunciamiento sobre lo alegado. Existió violación de este derecho en el aspecto positivo de presunción de inocencia, al no quedar acreditadas las circunstancias que se requieren en la apreciación de la figura de deslealtad y abuso de confianza, y en el aspecto negativo de indefensión, ya que no se le imputan las circunstancias de conciencia, dolo o malicia en la comunicación escrita de la sanción a la que se refiere el núm. 1 del art. 55 del Estatuto de los Trabajadores en relación con el art. 100 de la Ley de Procedimiento Laboral. En cuanto al art. 28, ha sido infringido, por cuanto la sentencia no tutela el derecho a no ser discriminado por participación sindical, consagra la discriminación y se basa en ella para desestimar las pretensiones del trabajador. </w:t>
      </w:r>
    </w:p>
    <w:p w:rsidR="001C705E" w:rsidRDefault="001C705E" w:rsidP="001C705E">
      <w:pPr>
        <w:pStyle w:val="TextoNormal"/>
      </w:pPr>
      <w:r>
        <w:lastRenderedPageBreak/>
        <w:t>En consecuencia, solicita de este Tribunal que ordene el cese de las discriminaciones de que es objeto el actor, declarando la improcedencia de la sanción que se le impone o, subsidiariamente, que se repongan los autos al momento de dictarse la Sentencia, que habrá de contener decisiones sobre las discriminaciones aludidas.</w:t>
      </w:r>
    </w:p>
    <w:p w:rsidR="001C705E" w:rsidRDefault="001C705E" w:rsidP="001C705E">
      <w:pPr>
        <w:pStyle w:val="TextoNormal"/>
      </w:pPr>
    </w:p>
    <w:p w:rsidR="001C705E" w:rsidRDefault="001C705E" w:rsidP="001C705E">
      <w:pPr>
        <w:pStyle w:val="TextoNormal"/>
      </w:pPr>
      <w:r w:rsidRPr="001C705E">
        <w:rPr>
          <w:rStyle w:val="NumeroAFNegritaCaracter"/>
        </w:rPr>
        <w:t>2</w:t>
      </w:r>
      <w:r>
        <w:t>. La Sección, por providencia de 25 de enero de 1984, acordó poner de manifiesto el recurrente y al Ministerio Fiscal la posible existencia de la causa de inadmisión que regula el art. 50.2 b) de la Ley Orgánica de este Tribunal (LOTC), por cuanto la demanda pudiera carecer de contenido que justifique una decisión por parte de este Tribunal, otorgándoles, de conformidad con lo dispuesto en el art. 50 de la LOTC, un plazo común de diez días para alegaciones.</w:t>
      </w:r>
    </w:p>
    <w:p w:rsidR="001C705E" w:rsidRDefault="001C705E" w:rsidP="001C705E">
      <w:pPr>
        <w:pStyle w:val="TextoNormal"/>
      </w:pPr>
    </w:p>
    <w:p w:rsidR="001C705E" w:rsidRDefault="001C705E" w:rsidP="001C705E">
      <w:pPr>
        <w:pStyle w:val="TextoNormal"/>
      </w:pPr>
      <w:r w:rsidRPr="001C705E">
        <w:rPr>
          <w:rStyle w:val="NumeroAFNegritaCaracter"/>
        </w:rPr>
        <w:t>3</w:t>
      </w:r>
      <w:r>
        <w:t>. En escrito registrado el 30 de marzo, el recurrente insiste en lo expuesto en el de demanda, considerando que la Sentencia impugnada vulnera el derecho a la igualdad ante la ley y el derecho a la jurisdicción (arts. 14 y 24 de la C.E.), por sancionar hechos que constituyen práctica habitual y no haber anulado la discriminación de que a su juicio fue objeto, así como el derecho a la libre sindicación (art. 28 también de la C.E.), por ser su afiliación, según él, la causa de la discriminación. Añade una referencia a la Sentencia de este Tribunal (Sala Segunda) de 22 de junio de 1983, cuya doctrina sobre discriminaciones a representantes de los trabajadores afirma ser de aplicación aquí. Se queja el recurrente de que la Sentencia no ha entrado a conocer de dichas violaciones, y sólo le queda la vía del recurso de amparo.</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Las alegaciones del Ministerio Fiscal, que despachó el trámite en escrito ingresado en este Tribunal el 8 de febrero de 1984, pueden resumirse como sigue: </w:t>
      </w:r>
    </w:p>
    <w:p w:rsidR="001C705E" w:rsidRDefault="001C705E" w:rsidP="001C705E">
      <w:pPr>
        <w:pStyle w:val="TextoNormal"/>
      </w:pPr>
      <w:r>
        <w:t xml:space="preserve">a) Por lo que se refiere a la supuesta violación del derecho de libertad sindical del art. 28 de la C.E., el recurrente no era representante de los trabajadores, situación a la que la legislación y la jurisprudencia de este Tribunal otorgan una especial protección; y no se ha pretendido por el demandante que la jurisdicción laboral se pronuncie sobre las presuntas represalias sufridas a consecuencia de una actividad sindical, sino únicamente que declare la nulidad o improcedencia de la sanción impuesta. </w:t>
      </w:r>
    </w:p>
    <w:p w:rsidR="001C705E" w:rsidRDefault="001C705E" w:rsidP="001C705E">
      <w:pPr>
        <w:pStyle w:val="TextoNormal"/>
      </w:pPr>
      <w:r>
        <w:t xml:space="preserve">b) En cuanto a la invocación del principio de igualdad consagrado en el art. 14 de la C.E., se acaba de exponer que no se ve afectado, en razón a su actividad sindical, por la Sentencia impugnada, y por otra parte el recurrente no acredita que haya recibido un trato distinto al recibido por otros trabajadores en situación idéntica. </w:t>
      </w:r>
    </w:p>
    <w:p w:rsidR="001C705E" w:rsidRDefault="001C705E" w:rsidP="001C705E">
      <w:pPr>
        <w:pStyle w:val="TextoNormal"/>
      </w:pPr>
      <w:r>
        <w:t>c) Los hechos en que se basa la sanción no han sido negados por el recurrente, y en el procedimiento laboral se ha producido una actividad probatoria extensa, sobre la que ha podido libremente ejercerse el criterio del Magistrado de instancia, y destruir así la presunción de inocencia, sin que, a la vista de la actividad procesal del actor, quepa hablar de indefensión.</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La Sección, por providencia de 9 de mayo de 1984, acordó admitir a trámite la demanda y, en aplicación de lo dispuesto en el art. 51 de la LOTC, recabar de la Magistratura de Trabajo núm. 3 de Madrid remisión, en plazo que no excediera de diez días, de las actuaciones o testimonios de las mismas del recurso seguido con el núm. 1030/1983 a instancia de don Segundo Zamora Laguna contra el «Banco Central, Sociedad Anónima», e </w:t>
      </w:r>
      <w:r>
        <w:lastRenderedPageBreak/>
        <w:t>instar a emplazar previamente a quienes hubieren sido parte en el procedimiento para que en el plazo de diez días pudieran comparecer ante este Tribunal Constitucional.</w:t>
      </w:r>
    </w:p>
    <w:p w:rsidR="001C705E" w:rsidRDefault="001C705E" w:rsidP="001C705E">
      <w:pPr>
        <w:pStyle w:val="TextoNormal"/>
      </w:pPr>
    </w:p>
    <w:p w:rsidR="001C705E" w:rsidRDefault="001C705E" w:rsidP="001C705E">
      <w:pPr>
        <w:pStyle w:val="TextoNormal"/>
      </w:pPr>
      <w:r w:rsidRPr="001C705E">
        <w:rPr>
          <w:rStyle w:val="NumeroAFNegritaCaracter"/>
        </w:rPr>
        <w:t>6</w:t>
      </w:r>
      <w:r>
        <w:t>. Recibidas las actuaciones requeridas y escritos solicitando la personación del demandante de amparo, de una parte, y de otra, de don Rafael Rodríguez Montaut, Procurador de los Tribunales, en nombre y representación del «Banco Central, Sociedad Anónima», la Sección, mediante providencia de 27 de junio de 1984, acordó tener por personado y parte al «Banco Central, Sociedad Anónima», representado por el referido Procurador, y dar vista de las actuaciones recibidas a todas las partes y al Ministerio Fiscal por término de veinte días para que, conforme determina el art. 52 de la LOTC, presentasen las alegaciones que estimasen convenientes.</w:t>
      </w:r>
    </w:p>
    <w:p w:rsidR="001C705E" w:rsidRDefault="001C705E" w:rsidP="001C705E">
      <w:pPr>
        <w:pStyle w:val="TextoNormal"/>
      </w:pPr>
    </w:p>
    <w:p w:rsidR="001C705E" w:rsidRDefault="001C705E" w:rsidP="001C705E">
      <w:pPr>
        <w:pStyle w:val="TextoNormal"/>
      </w:pPr>
      <w:r w:rsidRPr="001C705E">
        <w:rPr>
          <w:rStyle w:val="NumeroAFNegritaCaracter"/>
        </w:rPr>
        <w:t>7</w:t>
      </w:r>
      <w:r>
        <w:t>. Por la representación del «Banco Central, Sociedad Anónima», se formuló escrito de alegaciones, con fecha 12 de julio, en que se afirma que la sanción impuesta al trabajador lo fue por hechos, correctamente calificados como de deslealtad y abuso de confianza, que el Magistrado de instancia consideró acreditados y que nada tienen que ver con su actividad sindical, sin que, por tanto, dicho Magistrado hubiese de pronunciarse sobre la supuesta discriminación que dice haber sufrido aquel trabajador, quien, además, no planteó esta cuestión ante la jurisdicción laboral, ni, por otra parte, era representante de los trabajadores, ni acredita haber recibido un trato distinto de otros trabajadores en situación idéntica. En el mismo escrito se alega, asimismo, el cumplimiento en el proceso a quo de todos los requisitos necesarios para apreciar la inexistencia de indefensión o de vulneración de la garantía de la presunción de inocencia. Se aporta, por último, copia del acuerdo suscrito por la Asociación Española de la Banca Privada con la Federación Estatal de Banca, Bolsa, Crédito y Ahorro de la UGT, de fecha 3 de septiembre de 1980, como documento acreditativo de que con la sanción cuestionada no se incumplieron los compromisos de información y audiencia, en caso de sanciones a sus afiliados, respecto a dicha central sindical, más aún, cuando ni siquiera consta la afiliación a la misma del demandante de amparo.</w:t>
      </w:r>
    </w:p>
    <w:p w:rsidR="001C705E" w:rsidRDefault="001C705E" w:rsidP="001C705E">
      <w:pPr>
        <w:pStyle w:val="TextoNormal"/>
      </w:pPr>
    </w:p>
    <w:p w:rsidR="001C705E" w:rsidRDefault="001C705E" w:rsidP="001C705E">
      <w:pPr>
        <w:pStyle w:val="TextoNormal"/>
      </w:pPr>
      <w:r w:rsidRPr="001C705E">
        <w:rPr>
          <w:rStyle w:val="NumeroAFNegritaCaracter"/>
        </w:rPr>
        <w:t>8</w:t>
      </w:r>
      <w:r>
        <w:t>. El demandante de amparo, en escrito de 13 de julio, reitera, básicamente, las alegaciones formuladas en sus escritos anteriores ante este Tribunal, añadiendo la invocación del principio de legalidad penal, reconocido por el art. 25.1 de la C.E., en cuanto lo considera también vulnerado en la Sentencia que impugna por la improcedencia de la calificación de los hechos como tipificables en la figura de deslealtad y abuso de confianza. Acompaña también el demandante de amparo copia de dos escritos de fecha 7 de junio de 1984, por los que se le otorga acreditación y reconocimiento de su condición de representante de la Federación de Sindicatos de Banca, Bolsa, Ahorro, Seguros y Entidades Financieras de la Confederación Nacional del Trabajo (CNT), así como una de una titulada «Alegación contra el trabajador de prácticas toleradas por la empresa», suscrita por una llamada «Asesoría Jurídica».</w:t>
      </w:r>
    </w:p>
    <w:p w:rsidR="001C705E" w:rsidRDefault="001C705E" w:rsidP="001C705E">
      <w:pPr>
        <w:pStyle w:val="TextoNormal"/>
      </w:pPr>
    </w:p>
    <w:p w:rsidR="001C705E" w:rsidRDefault="001C705E" w:rsidP="001C705E">
      <w:pPr>
        <w:pStyle w:val="TextoNormal"/>
      </w:pPr>
      <w:r w:rsidRPr="001C705E">
        <w:rPr>
          <w:rStyle w:val="NumeroAFNegritaCaracter"/>
        </w:rPr>
        <w:t>9</w:t>
      </w:r>
      <w:r>
        <w:t xml:space="preserve">. El Ministerio Fiscal, mediante escrito de 13 de julio, viene a reiterar en sustancia los razonamientos contenidos en su anterior escrito de alegaciones. Refiriéndose a la Sentencia de la Sala Segunda de este Tribunal de 22 de junio de 1983, invocada por el recurrente, afirma que no es aplicable al presente caso, por cuanto en el procedimiento laboral finalizado por la Sentencia de la Magistratura de Trabajo entonces recurrida el demandante era </w:t>
      </w:r>
      <w:r>
        <w:lastRenderedPageBreak/>
        <w:t>representante de los trabajadores de la respectiva empresa y alegaba una discriminación por su actividad sindical, pidiendo que se pusiera fin a ella, mientras que aquí lo solicitado por el actor fue únicamente la declaración de nulidad o, subsidiariamente, de improcedencia de la sanción impuesta por el «Banco Central, Sociedad Anónima». Con respecto a la invocación por el recurrente del art. 24 de la C.E., señala asimismo el Ministerio Fiscal diferencias en las alegaciones del demandante al ser formuladas ante la Magistratura de Trabajo y ante el Tribunal Constitucional; pues ante aquélla se solicitó que se declarara la nulidad o, subsidiariamente, la improcedencia de la sanción impuesta, alegándose entre otros motivos un trato discriminatorio, mientras que ante este Tribunal parece alegarse que el recurrente es objeto de una continua discriminación por razón de su actividad sindical por parte de la empresa, de la cual la sanción impuesta no es sino una manifestación concreta. Pero con ello lo que se pide al Tribunal Constitucional es que, valorando la prueba aportada, declare probados determinados hechos y deduzca de ellos unas consecuencias jurídicas favorables al autor, lo cual resulta contrario a la verdadera naturaleza del recurso de amparo. El Ministerio Fiscal acaba solicitando que se dicte sentencia denegando el amparo.</w:t>
      </w:r>
    </w:p>
    <w:p w:rsidR="001C705E" w:rsidRDefault="001C705E" w:rsidP="001C705E">
      <w:pPr>
        <w:pStyle w:val="TextoNormal"/>
      </w:pPr>
    </w:p>
    <w:p w:rsidR="001C705E" w:rsidRDefault="001C705E" w:rsidP="001C705E">
      <w:pPr>
        <w:pStyle w:val="TextoNormal"/>
      </w:pPr>
      <w:r w:rsidRPr="001C705E">
        <w:rPr>
          <w:rStyle w:val="NumeroAFNegritaCaracter"/>
        </w:rPr>
        <w:t>10</w:t>
      </w:r>
      <w:r>
        <w:t>. La Sección, mediante providencia de 19 de septiembre, acordó dar traslado de los documentos presentados por las representaciones actora y demandada a las respectivas partes, para que en el plazo común de tres días manifestasen si los reconocían como admisibles y eficaces o las razones para su impugnación.</w:t>
      </w:r>
    </w:p>
    <w:p w:rsidR="001C705E" w:rsidRDefault="001C705E" w:rsidP="001C705E">
      <w:pPr>
        <w:pStyle w:val="TextoNormal"/>
      </w:pPr>
    </w:p>
    <w:p w:rsidR="001C705E" w:rsidRDefault="001C705E" w:rsidP="001C705E">
      <w:pPr>
        <w:pStyle w:val="TextoNormal"/>
      </w:pPr>
      <w:r w:rsidRPr="001C705E">
        <w:rPr>
          <w:rStyle w:val="NumeroAFNegritaCaracter"/>
        </w:rPr>
        <w:t>11</w:t>
      </w:r>
      <w:r>
        <w:t>. El Ministerio Fiscal, en escrito de 24 de septiembre, se opuso a la admisión de los tres documentos aportados por el recurrente, los dos primeros a causa de la carencia de adveración de la firma en los mismos y ante el hecho de que nada añaden ni tienen que ver con el objeto del recurso, y el tercero, al no tener entidad como tal documento por no estar firmado y no ser su contenido sino una opinión jurídica sobre el supuesto de hecho objeto de la sentencia impugnada. En cuanto al documento presentado por «Banco Central, S. A.», se opone asimismo el Ministerio Fiscal a su admisión, dada también la falta de adveración de las firmas y ser únicamente válido como dato referente a la existencia del acuerdo que contiene.</w:t>
      </w:r>
    </w:p>
    <w:p w:rsidR="001C705E" w:rsidRDefault="001C705E" w:rsidP="001C705E">
      <w:pPr>
        <w:pStyle w:val="TextoNormal"/>
      </w:pPr>
    </w:p>
    <w:p w:rsidR="001C705E" w:rsidRDefault="001C705E" w:rsidP="001C705E">
      <w:pPr>
        <w:pStyle w:val="TextoNormal"/>
      </w:pPr>
      <w:r w:rsidRPr="001C705E">
        <w:rPr>
          <w:rStyle w:val="NumeroAFNegritaCaracter"/>
        </w:rPr>
        <w:t>12</w:t>
      </w:r>
      <w:r>
        <w:t>. La representación de «Banco Central, S. A.», en escrito de 26 de septiembre de 1984, no reconoce como admisibles y eficaces los dos primeros documentos aportados por el demandante. sobre la base de que ninguna relación guardan con el supuesto que se planteó ante la Magistratura de Trabajo. Tampoco reconoce como admisible y eficaz el tercer documento presentado por el mismo demandante, al tratarse de un escrito cuyo origen se desconoce, que contiene manifestaciones no ajustadas a la realidad y que ninguna relación guarda, tampoco, con el supuesto planteado.</w:t>
      </w:r>
    </w:p>
    <w:p w:rsidR="001C705E" w:rsidRDefault="001C705E" w:rsidP="001C705E">
      <w:pPr>
        <w:pStyle w:val="TextoNormal"/>
      </w:pPr>
    </w:p>
    <w:p w:rsidR="001C705E" w:rsidRDefault="001C705E" w:rsidP="001C705E">
      <w:pPr>
        <w:pStyle w:val="TextoNormal"/>
      </w:pPr>
      <w:r w:rsidRPr="001C705E">
        <w:rPr>
          <w:rStyle w:val="NumeroAFNegritaCaracter"/>
        </w:rPr>
        <w:t>13</w:t>
      </w:r>
      <w:r>
        <w:t>. Por providencia de 17 de octubre se acordó tener por presentados los escritos del Ministerio Fiscal y del Banco Central oponiéndose a la admisión y eficacia de los documentos presentados por la parte recurrente con el escrito de alegaciones, reservándose esta Sala para la Sentencia definitiva la valoración de la admisibilidad y eficacia de dichos documentos, dándose por conclusos los autos, que quedarán pendientes de señalamiento para cuando por turno corresponda.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14</w:t>
      </w:r>
      <w:r>
        <w:t>. Por providencia de 21 de noviembre de 1984, la Sala acordó señalar para la deliberación y votación del recurso el día 16 de enero de 1985, quedando concluido el día 30 del mismo mes.</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actor alega en su escrito de demanda, y reitera en los de alegaciones -además de acompañar el primero con antecedentes relativos a las vicisitudes de sus relaciones con la empresa en los años que lleva trabajando en ella-, que ha sido víctima de discriminaciones por razón de su actividad sindical y pide a este Tribunal que ordene el cese de las mismas y declare la improcedencia de la sanción que le fue impuesta o, subsidiariamente, que se repongan los autos al momento de dictarse la sentencia impugnada, de la que pretende que contenga decisiones sobre las discriminaciones aludidas.</w:t>
      </w:r>
    </w:p>
    <w:p w:rsidR="001C705E" w:rsidRDefault="001C705E" w:rsidP="001C705E">
      <w:pPr>
        <w:pStyle w:val="TextoNormal"/>
      </w:pPr>
    </w:p>
    <w:p w:rsidR="001C705E" w:rsidRDefault="001C705E" w:rsidP="001C705E">
      <w:pPr>
        <w:pStyle w:val="TextoNormal"/>
      </w:pPr>
      <w:r w:rsidRPr="001C705E">
        <w:rPr>
          <w:rStyle w:val="NumeroAFNegritaCaracter"/>
        </w:rPr>
        <w:t>2</w:t>
      </w:r>
      <w:r>
        <w:t>. Ahora bien, lo cierto es que en la demanda que en su día dirigió a la Magistratura de Trabajo, el hoy recurrente en amparo no alegó tales discriminaciones en la forma en que lo hace ahora. Denunciaba más bien, en aquella demanda, una discriminación consistente en que se le había sancionado por una acción de la que dice que es práctica habitual en la operativa bancaria, y asimismo el hecho de que no hubiese sido informado ni oído por la empresa antes de la imposición de la sanción, como debía hacerse, según él, con arreglo a un acuerdo suscrito por la Asociación Española de Banca Privada con la Federación Estatal de Banca, Bolsa, Crédito y Ahorro de la Unión General de Trabajadores (UGT), y pedía, en definitiva, que se declarase la nulidad o, subsidiariamente, la improcedencia de la sanción. La Magistratura de Trabajo, según se aprecia en el acta del juicio, y a la vista de los hechos alegados y las pruebas aportadas por una y otra parte, estimó acreditados los hechos imputados al actor por la empresa en la carta en que le comunicaba la sanción, si bien, no otorgándoles la trascendencia que les diera la empresa, redujo la sanción impuesta en lo que estimó adecuado, y en cuanto al acuerdo sindical aducido por el actor, señaló que no puede afectar a las normas de Derecho público que se contienen en la Ley de Procedimiento Laboral. La Magistratura de Trabajo se pronunció, pues, acerca de lo que el hoy recurrente en amparo alegó ante ella, respondiendo su sentencia a lo que se le planteó en la demanda.</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Lo que ocurre es que el recurrente no planteó su demanda en el proceso a quo tal y como pretende ahora, en el recurso de amparo, que lo hizo; no faltándole razón al Ministerio Fiscal cuando señala diferencias entre las alegaciones del recurrente ante la Magistratura de Trabajo y ante el Tribunal Constitucional. Es indudable que ante la Magistratura de Trabajo el recurrente hizo valer una discriminación referida al derecho de igualdad del art. 14 de la C.E., supuestamente producida por el hecho de que se le sancionara por un comportamiento que según él es habitual en la práctica bancaria, y no lo es menos que pidió que se declarase nula o, subsidiariamente, improcedente, la sanción de que fuera objeto; mientras que ante este Tribunal hace hincapié en la presunta existencia de una continua discriminación por razón de su actividad sindical atentatoria al derecho de libertad sindical del art. 28.1 de la C.E., resultando ser, a su juicio, la sanción impuesta por la empresa una simple manifestación de dicha discriminación, por lo que el recurrente solicita que ordenemos, como se indica en el antecedente primero d), «cesen las discriminaciones de que es </w:t>
      </w:r>
      <w:r>
        <w:lastRenderedPageBreak/>
        <w:t>objeto», y además declarar «el derecho a la improcedencia de la sanción, o, subsidiariamente, que se repongan los autos al momento de dictarse la Sentencia, que habrá de contener decisiones sobre las discriminaciones aludidas». Esta dualidad de enfoques da lugar a una ambigüedad que debe ser despejada. Porque hemos visto que la Sentencia impugnada dio respuesta a lo que al Magistrado de Trabajo se había planteado, y mal podría darla a lo que entonces no se le pidiera. De lo dicho se desprende que la Sentencia impugnada no ha infringido el derecho a sindicarse libremente, reconocido por el art. 28.1 de la Constitución. Y por esta razón no es aplicable al presente caso la doctrina de la Sentencia de esta Sala núm.  55/1983, de 22 de junio («Boletín Oficial del Estado» de 15 de julio), que en los escritos de alegaciones trae a colación el recurrente, pues prescindiendo del hecho de que el promotor del recurso resuelto por dicha Sentencia era un representante de los trabajadores de la respectiva empresa y el del actual no lo es, la reclamación de aquél se dirigía contra actos de específica discriminación por motivos sindicales, lo cual no es el caso, como hemos visto, aquí. En el supuesto que consideramos, el recurrente fue sancionado por la empresa por un hecho objetivo que la jurisdicción laboral valoró como suficientemente justificativo de sanción, sin que quepa afirmar que tal hecho no fuera la causa determinante de la referida sanción.</w:t>
      </w:r>
    </w:p>
    <w:p w:rsidR="001C705E" w:rsidRDefault="001C705E" w:rsidP="001C705E">
      <w:pPr>
        <w:pStyle w:val="TextoNormal"/>
      </w:pPr>
    </w:p>
    <w:p w:rsidR="001C705E" w:rsidRDefault="001C705E" w:rsidP="001C705E">
      <w:pPr>
        <w:pStyle w:val="TextoNormal"/>
      </w:pPr>
      <w:r w:rsidRPr="001C705E">
        <w:rPr>
          <w:rStyle w:val="NumeroAFNegritaCaracter"/>
        </w:rPr>
        <w:t>4</w:t>
      </w:r>
      <w:r>
        <w:t>. Tampoco ha sido conculcado por la Sentencia impugnada el derecho a la igualdad del art. 14 de la C.E., pues el recurrente, si bien pretende que el hecho sancionado es admitido como práctica bancaria habitual, no acredita que haya recibido un trato distinto al recibido por otros trabajadores en situación idéntica.</w:t>
      </w:r>
    </w:p>
    <w:p w:rsidR="001C705E" w:rsidRDefault="001C705E" w:rsidP="001C705E">
      <w:pPr>
        <w:pStyle w:val="TextoNormal"/>
      </w:pPr>
    </w:p>
    <w:p w:rsidR="001C705E" w:rsidRDefault="001C705E" w:rsidP="001C705E">
      <w:pPr>
        <w:pStyle w:val="TextoNormal"/>
      </w:pPr>
      <w:r w:rsidRPr="001C705E">
        <w:rPr>
          <w:rStyle w:val="NumeroAFNegritaCaracter"/>
        </w:rPr>
        <w:t>5</w:t>
      </w:r>
      <w:r>
        <w:t>. En cuanto a la invocación por el recurrente del art. 24.1, no puede en modo alguno decirse que en el proceso ante la Magistratura de Trabajo se produjera indefensión en el recurrente, pues pudo éste utilizar los medios de defensa previstos en la Ley y el proceso finalizó con una Sentencia que, después de valoradas las pruebas. daba una respuesta, razonada y formulada en Derecho, a la petición hecha por el actor.</w:t>
      </w:r>
    </w:p>
    <w:p w:rsidR="001C705E" w:rsidRDefault="001C705E" w:rsidP="001C705E">
      <w:pPr>
        <w:pStyle w:val="TextoNormal"/>
      </w:pPr>
    </w:p>
    <w:p w:rsidR="001C705E" w:rsidRDefault="001C705E" w:rsidP="001C705E">
      <w:pPr>
        <w:pStyle w:val="TextoNormal"/>
      </w:pPr>
      <w:r w:rsidRPr="001C705E">
        <w:rPr>
          <w:rStyle w:val="NumeroAFNegritaCaracter"/>
        </w:rPr>
        <w:t>6</w:t>
      </w:r>
      <w:r>
        <w:t>. Las alegaciones presentadas por el actor no conducen, en realidad, sino a un examen de los hechos que dieron lugar a la sanción impuesta, de revisar los supuestos fácticos y a la consideración que, a efectos de la sanción impuesta al trabajador, tales supuestos merecieron al Juez laboral, lo cual desbordaría los límites del recurso de amparo tal y como quedan fijados por el art. 44.1 b) de la LOTC.</w:t>
      </w:r>
    </w:p>
    <w:p w:rsidR="001C705E" w:rsidRDefault="001C705E" w:rsidP="001C705E">
      <w:pPr>
        <w:pStyle w:val="TextoNormal"/>
      </w:pPr>
    </w:p>
    <w:p w:rsidR="001C705E" w:rsidRDefault="001C705E" w:rsidP="001C705E">
      <w:pPr>
        <w:pStyle w:val="TextoNormal"/>
      </w:pPr>
      <w:r w:rsidRPr="001C705E">
        <w:rPr>
          <w:rStyle w:val="NumeroAFNegritaCaracter"/>
        </w:rPr>
        <w:t>7</w:t>
      </w:r>
      <w:r>
        <w:t>. En el último escrito de alegaciones formuladas por el demandante de amparo, alega éste, asimismo, una supuesta vulneración del principio de legalidad, consagrado por el art. 25.1 de la C.E. Dicha alegación resulta extemporánea.  Es planteada en un momento procesal en el que no cabe que sea examinada y, en su caso, que le conteste el Ministerio Fiscal y la otra parte personada en el proceso de amparo.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lastRenderedPageBreak/>
        <w:t>Ha decidido</w:t>
      </w:r>
    </w:p>
    <w:p w:rsidR="001C705E" w:rsidRDefault="001C705E" w:rsidP="001C705E">
      <w:pPr>
        <w:pStyle w:val="TextoNormalCentrado"/>
        <w:keepNext/>
      </w:pPr>
    </w:p>
    <w:p w:rsidR="001C705E" w:rsidRDefault="001C705E" w:rsidP="001C705E">
      <w:pPr>
        <w:pStyle w:val="TextoNormal"/>
      </w:pPr>
      <w:r>
        <w:t>Denegar el amparo solicitado.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ocho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0" w:name="SENTENCIA_1985_17"/>
      <w:r>
        <w:lastRenderedPageBreak/>
        <w:t>SENTENCIA 17/1985, de 9 de febrero de 1985</w:t>
      </w:r>
    </w:p>
    <w:bookmarkEnd w:id="20"/>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ECLI:ES:TC:1985:17</w:t>
      </w:r>
    </w:p>
    <w:p w:rsidR="001C705E" w:rsidRDefault="001C705E" w:rsidP="001C705E">
      <w:pPr>
        <w:pStyle w:val="SntesisDescriptiva"/>
      </w:pPr>
    </w:p>
    <w:p w:rsidR="001C705E" w:rsidRDefault="001C705E" w:rsidP="001C705E">
      <w:pPr>
        <w:pStyle w:val="SntesisDescriptiva"/>
      </w:pPr>
      <w:r>
        <w:t>Recurso de amparo 9/1983. Contra Sentencia de la Sala Sexta del Tribunal Supremo que desestimó recurso de casación por infracción de Ley con base en la supuesta infracción  de determinados requisitos procesales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derecho a la tutela judicial efectiva (art. 24.1 de la C.E.). no exige, siempre que se respete el contenido esencial del mismo, que dicha tutela se configure de una forma determinada, sino que admite múltiples posibilidades en la ordenación de jurisdicciones y procesos, y también, por tanto, de instancias y recursos. Sin embargo, cuando el legislador ha establecido un cierto sistema de recursos -configurando así la tutela judicial de un determinado modo-, el derecho reconocido en el art. 24.1 de la C.E. comprende también el de hacer uso de esos instrumentos procesales. </w:t>
      </w:r>
    </w:p>
    <w:p w:rsidR="001C705E" w:rsidRDefault="001C705E" w:rsidP="001C705E">
      <w:pPr>
        <w:pStyle w:val="Extracto"/>
      </w:pPr>
    </w:p>
    <w:p w:rsidR="001C705E" w:rsidRDefault="001C705E" w:rsidP="001C705E">
      <w:pPr>
        <w:pStyle w:val="Extracto"/>
      </w:pPr>
      <w:r>
        <w:t>2.</w:t>
      </w:r>
      <w:r>
        <w:tab/>
        <w:t xml:space="preserve">Tal doctrina es por entero aplicable a la casación, ya que, aun siendo cierto que este recurso responde, en su origen, a la finalidad de asegurar el sometimiento del Juez a la Ley, como postulado del Estado de Derecho, y hoy cumple, además, la función objetiva de fijar y unificar la interpretación jurisprudencial, es asimismo cierto que constituye también un medio a través del cual el recurrente puede pretender la tutela de sus derechos e intereses legítimos, lo que, en definitiva, significa que el recurso en cuestión es uno de los instrumentos que sirven para ejercitar el derecho reconocido en el art. de la 24 C.E. </w:t>
      </w:r>
    </w:p>
    <w:p w:rsidR="001C705E" w:rsidRDefault="001C705E" w:rsidP="001C705E">
      <w:pPr>
        <w:pStyle w:val="Extracto"/>
      </w:pPr>
    </w:p>
    <w:p w:rsidR="001C705E" w:rsidRDefault="001C705E" w:rsidP="001C705E">
      <w:pPr>
        <w:pStyle w:val="Extracto"/>
      </w:pPr>
      <w:r>
        <w:t>3.</w:t>
      </w:r>
      <w:r>
        <w:tab/>
        <w:t xml:space="preserve">El contenido garantizado en el art. 24.1 de la C.E. no se agota en el acceso al recuso, sino que comprende el derecho a obtener una resolución jurídicamente fundada, que normalmente versará sobre el fondo del asunto, si bien puede limitarse a declarar la inadmisión del recurso en el caso de que no se den los requisitos establecidos legalmente, entre los que han de incluirse, sin duda, los de carácter formal. </w:t>
      </w:r>
    </w:p>
    <w:p w:rsidR="001C705E" w:rsidRDefault="001C705E" w:rsidP="001C705E">
      <w:pPr>
        <w:pStyle w:val="Extracto"/>
      </w:pPr>
    </w:p>
    <w:p w:rsidR="001C705E" w:rsidRDefault="001C705E" w:rsidP="001C705E">
      <w:pPr>
        <w:pStyle w:val="Extracto"/>
      </w:pPr>
      <w:r>
        <w:t>4.</w:t>
      </w:r>
      <w:r>
        <w:tab/>
        <w:t xml:space="preserve">El legislador puede exigir que los supuestos de hecho de los que se derivan consecuencias jurídicas se manifiesten o se hagan constar respetando ciertas formalidades y declarar que tales consecuencias no se tendrán por producidas cuando no se hayan observado aquéllas. Ahora bien, aunque el legislador goce de un amplio margen de libertad en esta materia, tales requisitos, que suponen una limitación al ejercicio de un derecho fundamental, no pueden ser fijados arbitrariamente, sino que han de responder a la naturaleza del proceso y a las finalidades que justifican su existencia. Por la misma razón, las normas que contienen los requisitos formales han de ser aplicadas teniendo siempre presente el fin pretendido al establecer dichos requisitos, evitando cualquier exceso formalista que </w:t>
      </w:r>
      <w:r>
        <w:lastRenderedPageBreak/>
        <w:t xml:space="preserve">los convertiría en meros obstáculos procesales y en fuente de incertidumbre e imprevisibilidad para la suerte de las pretensiones en juego. </w:t>
      </w:r>
    </w:p>
    <w:p w:rsidR="001C705E" w:rsidRDefault="001C705E" w:rsidP="001C705E">
      <w:pPr>
        <w:pStyle w:val="Extracto"/>
      </w:pPr>
    </w:p>
    <w:p w:rsidR="001C705E" w:rsidRDefault="001C705E" w:rsidP="001C705E">
      <w:pPr>
        <w:pStyle w:val="Extracto"/>
      </w:pPr>
      <w:r>
        <w:t>5.</w:t>
      </w:r>
      <w:r>
        <w:tab/>
        <w:t xml:space="preserve">En el recurso de casación las exigencias formales adquieren una especial relevancia, pues los requisitos de esta naturaleza parecen consustanciales a ese instituto procesal. Ahora bien, es preciso distinguir entre el rigor formal, que viene exigido o, cuando menos, justificado por la naturaleza del mismo recurso, y un exceso formalista que no puede cumplir otra función que la de dificultar la utilización del instrumento procesal. </w:t>
      </w:r>
    </w:p>
    <w:p w:rsidR="001C705E" w:rsidRDefault="001C705E" w:rsidP="001C705E">
      <w:pPr>
        <w:pStyle w:val="Extracto"/>
      </w:pPr>
    </w:p>
    <w:p w:rsidR="001C705E" w:rsidRDefault="001C705E" w:rsidP="001C705E">
      <w:pPr>
        <w:pStyle w:val="Extracto"/>
      </w:pPr>
      <w:r>
        <w:t>6.</w:t>
      </w:r>
      <w:r>
        <w:tab/>
        <w:t xml:space="preserve">Que las citas de las disposiciones infringidas no se haya hecho siempre en el encabezamiento del motivo del recurso de casación sino en su cuerpo, y que los párrafos no se denominen «motivos» sino que se traten como submotivos de uno que los engloba, y que no se ordenen con números, sino con letras, son infracciones que no restan en absoluto claridad y precisión al recurso. Fundarse en ellas para denegar su admisión es tanto como negar el acceso a la tutela judicial.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9/1983, interpuesto por el Procurador de los Tribunales don Santos de Gandarillas y Carmona, en nombre y representación de don Enrique Carrasco Sainz y don Francisco Javier Montes Pérez, bajo la dirección del Abogado don Fernando Aguilera Luna, contra Sentencia dictada por la Sala Sexta del Tribunal Supremo el día 2 de diciembre de 1982, que desestimó recurso de casación por infracción de ley. Han comparecido el Ministerio Fiscal y el Abogado del Estado, y ha sido ponente la Magistrada doña Gloria Begué Cantón,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Con fecha 29 de junio de 1981, la Magistratura de Trabajo núm. 2 de las de Sevilla dictó Sentencia desestimatoria de demanda en reclamación de cantidad, formulada por don Enrique Carrasco Sainz y don Francisco Javier Montes Pérez contra la Universidad de Sevilla.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2</w:t>
      </w:r>
      <w:r>
        <w:t xml:space="preserve">. Frente a dicha Sentencia los demandantes interpusieron recurso de casación por infracción de ley y doctrina legal, mediante escrito cuya motivación es la siguiente: </w:t>
      </w:r>
    </w:p>
    <w:p w:rsidR="001C705E" w:rsidRDefault="001C705E" w:rsidP="001C705E">
      <w:pPr>
        <w:pStyle w:val="TextoNormal"/>
      </w:pPr>
      <w:r>
        <w:t xml:space="preserve">Motivos del recurso: </w:t>
      </w:r>
    </w:p>
    <w:p w:rsidR="001C705E" w:rsidRDefault="001C705E" w:rsidP="001C705E">
      <w:pPr>
        <w:pStyle w:val="TextoNormal"/>
      </w:pPr>
      <w:r>
        <w:t xml:space="preserve">Unico.-Fundado en el núm. primero del art. 167 de la Ley de procedimiento Laboral (LPL) por cuanto la Sentencia impugnada contiene: </w:t>
      </w:r>
    </w:p>
    <w:p w:rsidR="001C705E" w:rsidRDefault="001C705E" w:rsidP="001C705E">
      <w:pPr>
        <w:pStyle w:val="TextoNormal"/>
      </w:pPr>
      <w:r>
        <w:t xml:space="preserve">A) Violación por inaplicación total, debida con arreglo a sus arts. 1, 2 y 3 de la Orden ministerial de 25 de noviembre de 1976, que aprobó la Ordenanza Laboral para Establecimientos Sanitarios de Hospitalización, Consulta y Asistencia. </w:t>
      </w:r>
    </w:p>
    <w:p w:rsidR="001C705E" w:rsidRDefault="001C705E" w:rsidP="001C705E">
      <w:pPr>
        <w:pStyle w:val="TextoNormal"/>
      </w:pPr>
      <w:r>
        <w:t xml:space="preserve">B) Aplicación indebida, por inadecuación a los hechos, del Real Decreto de 28 de octubre de 1977. Orden ministerial de 9 de diciembre de 1977 y Orden en desarrollo de 21 de enero de 1978. </w:t>
      </w:r>
    </w:p>
    <w:p w:rsidR="001C705E" w:rsidRDefault="001C705E" w:rsidP="001C705E">
      <w:pPr>
        <w:pStyle w:val="TextoNormal"/>
      </w:pPr>
      <w:r>
        <w:t xml:space="preserve">C) Con carácter subsidiario: Violación por inaplicación del art. 29 de la Ley de Régimen Jurídico de la Administración del Estado y del art. 107 de la Ley de Jornada Máxima de 1 de julio de 1931. </w:t>
      </w:r>
    </w:p>
    <w:p w:rsidR="001C705E" w:rsidRDefault="001C705E" w:rsidP="001C705E">
      <w:pPr>
        <w:pStyle w:val="TextoNormal"/>
      </w:pPr>
      <w:r>
        <w:t xml:space="preserve">D) Con carácter subsidiario: Violación por inaplicación del art. 3, párrafo 2. x, de la Orden ministerial de 9 de diciembre de 1977. </w:t>
      </w:r>
    </w:p>
    <w:p w:rsidR="001C705E" w:rsidRDefault="001C705E" w:rsidP="001C705E">
      <w:pPr>
        <w:pStyle w:val="TextoNormal"/>
      </w:pPr>
      <w:r>
        <w:t>En relación con el presente recurso de amparo, es conveniente señalar que, respecto al apartado A), los recurrentes razonan sobre la aplicación de la mencionada Ordenanza y, en concreto, de los arts. 39 y 65 de la misma, añadiendo que los criterios por ellos mantenidos han sido seguidos por el Tribunal Central de Trabajo en procedimientos similares, en los que además fue también parte la Universidad de Sevilla (Sentencias de 3 de noviembre de 1978 y 31 de octubre de 1979). En cuanto al apartado B), los recurrentes aducen que las normas en las que se basa la Magistratura de Trabajo para desestimar la demanda no son de aplicación, pues son normas relativas al personal médico al servicio de la Seguridad Social y ellos no reúnen tal cualidad por ser personal por cuenta ajena al servicio de la Universidad de Sevilla.</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Con fecha 2 de diciembre de 1982, la Sala Sexta del Tribunal Supremo dictó Sentencia desestimando el recurso. El único considerando de la misma dice literalmente así: </w:t>
      </w:r>
    </w:p>
    <w:p w:rsidR="001C705E" w:rsidRDefault="001C705E" w:rsidP="001C705E">
      <w:pPr>
        <w:pStyle w:val="TextoNormal"/>
      </w:pPr>
      <w:r>
        <w:t>«Que el único motivo del recurso que interponen los médicos reclamantes se funda en el núm. primero del art. 167 de la Ley de Procedimiento Laboral y por estimar violación por inaplicación total de los arts. 1, 2 y 3 de la Orden de 25 de noviembre de 1976, que aprobó la Ordenanza Laboral para Establecimientos Sanitarios de Hospitalización, Consulta y.Asistencia, aplicación indebida por inadecuación a los hechos del Real Decreto de 28 de octubre de 1977, Orden ministerial de 9 de diciembre de igual año y Orden en desarrollo de 21 de enero de 1978, relativos a personal médico al servicio de la Seguridad Social; y con carácter subsidiario, violación por inaplicación del art. 29 de la Ley de Régimen Jurídico de la Administración del Estado y del art. 107 de la Ley de Jornada Máxima de 1 de julio de 1931, y asimismo, del art. 3, párrafo 2. , de la Orden ministerial de 9 de diciembre de 1977; planteamiento acumulado de diferentes conceptos de infracción, que vulnera lo dispuesto en el art. 1.720 de la Ley de Enjuiciamiento Civil para la formalización de los recursos de casación, es decir, la necesaria precisión y claridad, sin involucrar la violación por inaplicación y la aplicación indebida, y no haciendo cita genérica de normas legales; defectos procesales que conforme a reiterada doctrina de esta Sala (Sentencias de 24 de mayo de 1976, 15 de enero de 1979, 30 de marzo y 5 y 10 de abril de 1981, 11 y 27 de febrero y 10, 11 y 29 de mayo y 23 y 30 de septiembre de 1982, entre otras), son motivo para la inadmisión, y subsiguiente desestimación del recurso.»</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4</w:t>
      </w:r>
      <w:r>
        <w:t xml:space="preserve">. Mediante escrito que tiene su entrada en este Tribunal Constitucional el día 8 de enero de 1983, el Procurador de los Tribunales don Santos de Gandarillas Carmona, en nombre y representación de don Enrique Carrasco Sainz y don Francisco Javier Montes Pérez, interpone recurso de amparo contra la mencionada Sentencia, por estimar que ésta, al no entrar en el fondo de la cuestión planteada alegando que el recurso era inadmisible por falta de precisión y claridad y presunta vulneración del art. 1.720 de la L.E.C, infringe el art. 24.1 de la Constitución, que otorga el derecho a la tutela judicial efectiva sin que se produzca indefensión, máxime si se tiene en cuenta que en el presente caso no cabía recurso de apelación. En consecuencia, interesa de este Tribunal Constitucional dicte Sentencia por la que otorgue el amparo solicitado y declare nula la sentencia impugnada, disponiendo lo pertinente a fin de que el Tribunal Supremo admita el recurso interpuesto y entre a conocer del fondo del asunto. </w:t>
      </w:r>
    </w:p>
    <w:p w:rsidR="001C705E" w:rsidRDefault="001C705E" w:rsidP="001C705E">
      <w:pPr>
        <w:pStyle w:val="TextoNormal"/>
      </w:pPr>
      <w:r>
        <w:t xml:space="preserve">La representación de los recurrentes pone de manifiesto que el hecho de que la desestimación formal de los recursos de suplicación sea la excepción, mientras que en los de casación pueda considerarse la regla, como resulta del examen de los Indices del Repertorio de Jurisprudencia de Aranzadi, refleja un formalismo excesivo e inflexible por parte del Tribunal Supremo, que, al no existir un trámite previo de subsanación, supone una interpretación de las normas legales que afecta negativamente a las posibilidades de defensa de los recurrentes, amparadas por el texto constitucional, y a su derecho a una tutela judicial efectiva, contenido en dicho texto. Y es ese rigorismo formal -alega- el que ha llevado en el presente caso a la inadmisión del recurso de casación y ha producido, en consecuencia, la vulneración del art. 24 de la Constitución. </w:t>
      </w:r>
    </w:p>
    <w:p w:rsidR="001C705E" w:rsidRDefault="001C705E" w:rsidP="001C705E">
      <w:pPr>
        <w:pStyle w:val="TextoNormal"/>
      </w:pPr>
      <w:r>
        <w:t xml:space="preserve">Señala la representación de los recurrentes que el recurso de casación interpuesto no puede tacharse de «impreciso y falto de claridad»; de su tenor literal se deduce precisa y claramente lo que se pide y en qué se funda la petición, y se da exacto cumplimiento al art. 1.720 de L.E.C, que tan sólo exige la separación en párrafos separados y numerados cuando fueren dos o más los motivos del recurso. Por otra parte, el art. 167 de la LPL implícitamente define el «motivo», de forma gramaticalmente congruente, como «causa de recurso» y en el presente caso se han incluido en el mismo «motivo» los diferentes apartados por considerar que todos ellos obedecían al mismo concepto, es decir, a la misma causa de recurrir: La del número 1. del mencionado art. 167 de la LPL. </w:t>
      </w:r>
    </w:p>
    <w:p w:rsidR="001C705E" w:rsidRDefault="001C705E" w:rsidP="001C705E">
      <w:pPr>
        <w:pStyle w:val="TextoNormal"/>
      </w:pPr>
      <w:r>
        <w:t xml:space="preserve">Resulta claro y evidente, a juicio de la representación de los recurrentes, que una cuestión terminológica no puede conducir a que el órgano judicial no se pronuncia sobre el fondo del asunto, máxime en la rama social del Derecho, en la que, como reiteradamente ha sostenido el Tribunal Central de Trabajo, el rigorismo formal de todo recurso extraordinario ha de atenuarse para facilitar la defensa del trabajador. </w:t>
      </w:r>
    </w:p>
    <w:p w:rsidR="001C705E" w:rsidRDefault="001C705E" w:rsidP="001C705E">
      <w:pPr>
        <w:pStyle w:val="TextoNormal"/>
      </w:pPr>
      <w:r>
        <w:t>Finalmente, aduce la representación de los recurrentes que cuanto sea o signifique restricción de los derechos de los ciudadanos ha de interpretarse de manera restringida y que la inadmisión del recurso de casación no responde a tal criterio restrictivo.</w:t>
      </w:r>
    </w:p>
    <w:p w:rsidR="001C705E" w:rsidRDefault="001C705E" w:rsidP="001C705E">
      <w:pPr>
        <w:pStyle w:val="TextoNormal"/>
      </w:pPr>
    </w:p>
    <w:p w:rsidR="001C705E" w:rsidRDefault="001C705E" w:rsidP="001C705E">
      <w:pPr>
        <w:pStyle w:val="TextoNormal"/>
      </w:pPr>
      <w:r w:rsidRPr="001C705E">
        <w:rPr>
          <w:rStyle w:val="NumeroAFNegritaCaracter"/>
        </w:rPr>
        <w:t>5</w:t>
      </w:r>
      <w:r>
        <w:t>. Por providencia de 9 de febrero de 1983, la Sección 1.ª de la Sala Primera de este Tribunal Constitucional acuerda admitir a trámite la demanda de amparo y, en aplicación de lo dispuesto en el art. 51 de la Ley Orgánica del Tribunal Constitucional (LOTC), requerir a la Sala Sexta del Tribunal Supremo la remisión de las actuaciones, o testimonio de ellas, y el emplazamiento de quienes fueron parte en el recurso de casación.</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6</w:t>
      </w:r>
      <w:r>
        <w:t>. Mediante providencia de 23 de marzo de 1983, la Sección acuerda tener por recibidas las actuaciones y por personado el Abogado del Estado, y, en aplicación del art. 52 de la LOTC, dar vista de las mismas, por plazo común de veinte días, al Ministerio Fiscal, al Abogado del Estado y a los solicitantes de amparo para que puedan presentar las alegaciones que estimen procedentes.</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El Abogado del Estado, en su escrito de 15 de abril de 1983, señala que al no existir en la casación laboral un trámite especial de admisión como existe en la casación civil, las causas de inadmisión, basadas en el incumplimiento de los arts. 1.720 y 1.729 de la L.E.C, se convierten en causas de desestimación del recurso, y, por lo tanto, resulta ajustada a Derecho la Sentencia impugnada, que desestima el recurso de casación porque en el escrito de formalización del mismo se produce una acumulación de los diferentes conceptos de infracción, involucrando la violación por inaplicación y la aplicación indebida, y porque, asimismo, en él son citadas genéricamente las normas legales. </w:t>
      </w:r>
    </w:p>
    <w:p w:rsidR="001C705E" w:rsidRDefault="001C705E" w:rsidP="001C705E">
      <w:pPr>
        <w:pStyle w:val="TextoNormal"/>
      </w:pPr>
      <w:r>
        <w:t xml:space="preserve">A juicio del Abogado del Estado, la lectura de dicho escrito confirma plenamente los defectos de forma señalados en la mencionada Sentencia. Los recurrentes -dice- fundamentan el recurso en un motivo único, que divide en cuatro submotivos, A), B), C) y D). Respecto al A), no se indica en la rotulación del submotivo qué preceptos concretos de la Orden ministerial citada son los concretamente inaplicados por el Magistrado de instancia, si bien -al desarrollar el motivo se citan ciertamente los arts. 39 y 65 de la mencionada Orden que aprueba la Ordenanza Laboral, en relación con el art. 23 de la derogada Ley de Relaciones Laborales y 35.2 del Estatuto de los Trabajadores, y, asimismo, se invocan el art. 10 de «la derogada Ley de Contrato de Trabajo», el art. 4 de la Ley de 16 de octubre de 1942, «derogada en relación con la disposición transitoria segunda del Estatuto de los Trabajadores», y los arts. 10 y 17.1 de la «Ley de 10 de marzo de 1980». En el segundo submotivo, no se concretan los preceptos de las disposiciones citadas que se estiman indebidamente aplicados, ni realmente se razona lo indebido de la aplicación. Respecto a los dos últimos submotivos, son de carácter subsidiario y el razonamiento que contienen es totalmente hipotético. </w:t>
      </w:r>
    </w:p>
    <w:p w:rsidR="001C705E" w:rsidRDefault="001C705E" w:rsidP="001C705E">
      <w:pPr>
        <w:pStyle w:val="TextoNormal"/>
      </w:pPr>
      <w:r>
        <w:t xml:space="preserve">De lo anterior deduce el Abogado del Estado que el escrito de formalización del recurso de casación no cumple el requisito de precisión y claridad, requisito que ha de exigirse más intensamente en dicho recurso. </w:t>
      </w:r>
    </w:p>
    <w:p w:rsidR="001C705E" w:rsidRDefault="001C705E" w:rsidP="001C705E">
      <w:pPr>
        <w:pStyle w:val="TextoNormal"/>
      </w:pPr>
      <w:r>
        <w:t xml:space="preserve">Considera el Abogado del Estado que, con carácter previo al examen de la posible inconstitucionalidad de la Sentencia impugnada por vulneración del art 24.1 de la Constitución, conviene recordar la configuración legal y jurisprudencial de los requisitos de forma en la «formalización» de la casación laboral y la doctrina del Tribunal Constitucional relevante para el caso. </w:t>
      </w:r>
    </w:p>
    <w:p w:rsidR="001C705E" w:rsidRDefault="001C705E" w:rsidP="001C705E">
      <w:pPr>
        <w:pStyle w:val="TextoNormal"/>
      </w:pPr>
      <w:r>
        <w:t>Respecto a la primera cuestión, el Abogado del Estado pone de relieve que la casación no constituye una segunda o tercera instancia. La casación cumple una función política y asegura la vinculación del Juez a la Ley y al Derecho (arts. 9.1 y 117.1, de la Constitución), complementando el ordenamiento jurídico al sentar jurisprudencia (art. 1.6 del Código Civil). Esta raíz de la casación explica su carácter extraordinario y el peculiar formalismo casacional, que está al servicio del logro de una transparencia y nitidez absolutas en la formulación de las cuestiones que se someten al Tribunal Supremo. La claridad y precisión son absolutamente imprescindibles, ya que el Tribunal no puede conocer más que de los estrictos motivos casacionales, y sólo cuando estos son formulados de modo claro y preciso puede discernir si el punto es de aquellos a los que alcanzan sus poderes. Las exi</w:t>
      </w:r>
      <w:r>
        <w:lastRenderedPageBreak/>
        <w:t xml:space="preserve">gencias formales, pues, contenidas en los arts. 1.720 y 1.729 de la L.E.C, deben ser estrictamente observadas. </w:t>
      </w:r>
    </w:p>
    <w:p w:rsidR="001C705E" w:rsidRDefault="001C705E" w:rsidP="001C705E">
      <w:pPr>
        <w:pStyle w:val="TextoNormal"/>
      </w:pPr>
      <w:r>
        <w:t xml:space="preserve">Así lo ha reconocido la jurisprudencia laboral, a pesar de que la Sala Sexta del Tribunal Supremo ha «atenuado» de manera acusada el rigorismo casacional, pronunciándose incluso «a mayor abundamiento» sobre la cuestión de fondo, no obstante haber desestimado el recurso por defectos formales. Dicha jurisprudencia la sintetiza el Abogado del Estado en los siguientes términos: a) que no pueden citarse genéricamente como infringidas leyes o disposiciones, sino que ha de concretarse el precepto infringido y el concepto en que lo haya sido, y que cuando un artículo comprende varios números o párrafos, debe decirse concretamente cuál se reputa infringido; b) que se articulen «tantos motivos como preceptos conculcados», sin que quepa conjuntar o acumular «en un solo motivo» distintos conceptos de infracción (violación, interpretación errónea, aplicación indebida), ni enunciar alternativas de infracción por distintos «conceptos», debiéndose precisar «cuál de las formas de vulneración se entiende cometida». </w:t>
      </w:r>
    </w:p>
    <w:p w:rsidR="001C705E" w:rsidRDefault="001C705E" w:rsidP="001C705E">
      <w:pPr>
        <w:pStyle w:val="TextoNormal"/>
      </w:pPr>
      <w:r>
        <w:t xml:space="preserve">En cuanto a la jurisprudencia del Tribunal Constitucional a tal respecto, el Abogado del Estado la sintetiza en los siguientes puntos: </w:t>
      </w:r>
    </w:p>
    <w:p w:rsidR="001C705E" w:rsidRDefault="001C705E" w:rsidP="001C705E">
      <w:pPr>
        <w:pStyle w:val="TextoNormal"/>
      </w:pPr>
      <w:r>
        <w:t xml:space="preserve">a) La tutela a que se refiere el art. 24.1 de la Constitución «no significa que para todas las cuestiones esté abierto necesariamente un recurso como es el de casación, calificado legalmente de extraordinario», siendo el «control de admisibilidad indispensable en un recurso de esta naturaleza». </w:t>
      </w:r>
    </w:p>
    <w:p w:rsidR="001C705E" w:rsidRDefault="001C705E" w:rsidP="001C705E">
      <w:pPr>
        <w:pStyle w:val="TextoNormal"/>
      </w:pPr>
      <w:r>
        <w:t xml:space="preserve">b) El Tribunal Constitucional «no controla la violación de la Ley, sino la violación de la Constitución», y únicamente podría otorgar el amparo en la medida en que no sólo juzgara errónea o excesivamente formalista la jurisprudencia sobre defectos de forma en la casación laboral, sino que considerara también que una «interpretación tradicional y venerable» violaría la Constitución; en lo que se trata de mera interpretación el Tribunal Supremo usa del «margen de apreciación» que debe entendérsele conferido por la Constitución. </w:t>
      </w:r>
    </w:p>
    <w:p w:rsidR="001C705E" w:rsidRDefault="001C705E" w:rsidP="001C705E">
      <w:pPr>
        <w:pStyle w:val="TextoNormal"/>
      </w:pPr>
      <w:r>
        <w:t xml:space="preserve">c) No existe «norma o principio alguno en la Constitución que obligue a la existencia de doble instancia o de unos determinados recursos en materia laboral», por lo que «es posible la inexistencia de recursos o condicionar los previstos al cumplimiento de determinados requisitos, perteneciendo al ámbito de libertad del legislador establecer unos u otros en la forma que considere oportuno», si bien «no goza de absoluta libertad, ya que constitucionalmente no son admisibles aquellos obstáculos que puedan estimarse excesivos, que sean producto de un innecesario formalismo y que no se compaginen con el derecho a la justicia o que no aparezcan como justificados o proporcionados conforme a las finalidades para las que se establezcan». </w:t>
      </w:r>
    </w:p>
    <w:p w:rsidR="001C705E" w:rsidRDefault="001C705E" w:rsidP="001C705E">
      <w:pPr>
        <w:pStyle w:val="TextoNormal"/>
      </w:pPr>
      <w:r>
        <w:t xml:space="preserve">d) El derecho a la tutela jurisdiccional efectiva comprende el de obtener una resolución fundada en derecho, favorable o no a la pretensión del actor, que podrá ser de inadmisión si concurre causa legal para ello y así lo acuerda el Juez o Tribunal en aplicación razonada de la misma. </w:t>
      </w:r>
    </w:p>
    <w:p w:rsidR="001C705E" w:rsidRDefault="001C705E" w:rsidP="001C705E">
      <w:pPr>
        <w:pStyle w:val="TextoNormal"/>
      </w:pPr>
      <w:r>
        <w:t xml:space="preserve">Sobre estas bases el Abogado del Estado interesa de este Tribunal Constitucional deniegue totalmente el amparo solicitado, razonando en los siguientes términos: </w:t>
      </w:r>
    </w:p>
    <w:p w:rsidR="001C705E" w:rsidRDefault="001C705E" w:rsidP="001C705E">
      <w:pPr>
        <w:pStyle w:val="TextoNormal"/>
      </w:pPr>
      <w:r>
        <w:t xml:space="preserve">a) Es constitucionalmente lícito que el legislador, justificada y razonablemente, condicione un recurso al cumplimiento de ciertos requisitos, por lo que si estos no se cumplen, no se produce indefensión alguna por el hecho de que el órgano judicial no entre en el fondo del asunto. </w:t>
      </w:r>
    </w:p>
    <w:p w:rsidR="001C705E" w:rsidRDefault="001C705E" w:rsidP="001C705E">
      <w:pPr>
        <w:pStyle w:val="TextoNormal"/>
      </w:pPr>
      <w:r>
        <w:t xml:space="preserve">b) No cabe comparar el recurso de casación con el de suplicación en relación con el mayor rigorismo formal exigido al primero, dada la diferente naturaleza de uno y otro, </w:t>
      </w:r>
      <w:r>
        <w:lastRenderedPageBreak/>
        <w:t xml:space="preserve">derivada a su vez de la diferente posición del Tribunal Supremo (Sala Sexta) y del Tribunal Central de Trabajo. </w:t>
      </w:r>
    </w:p>
    <w:p w:rsidR="001C705E" w:rsidRDefault="001C705E" w:rsidP="001C705E">
      <w:pPr>
        <w:pStyle w:val="TextoNormal"/>
      </w:pPr>
      <w:r>
        <w:t xml:space="preserve">c) El derecho a la tutela jurisdiccional efectiva no otorga un derecho incondicionado a obtener una decisión de fondo y, por lo tanto, la desestimación de un recurso por razones formales no viola este derecho ni produce indefensión en la medida en que encuentre una base en la Ley, ajustada ésta a la Constitución o repose en una interpretación razonable de la misma. </w:t>
      </w:r>
    </w:p>
    <w:p w:rsidR="001C705E" w:rsidRDefault="001C705E" w:rsidP="001C705E">
      <w:pPr>
        <w:pStyle w:val="TextoNormal"/>
      </w:pPr>
      <w:r>
        <w:t xml:space="preserve">d) La interpretación simplificada del art. 1.720 de la L.E.C que hacen los recurrentes -y que oponen a la tradicional interpretación de la Sala Sexta del Tribunal Supremo- desconoce la propia letra del mencionado artículo y su relación con el 1.729, especialmente en los núms. 4 y 6. </w:t>
      </w:r>
    </w:p>
    <w:p w:rsidR="001C705E" w:rsidRDefault="001C705E" w:rsidP="001C705E">
      <w:pPr>
        <w:pStyle w:val="TextoNormal"/>
      </w:pPr>
      <w:r>
        <w:t xml:space="preserve">La interpretación dada a los mencionados artículos por el Tribunal Supremo es absolutamente lícita, razonable y plausible, al entender que la exigencia de precisión y claridad de las citas legales o jurisprudenciales y de su concepto, en relación con la exigencia de separación en párrafos, impone no ya la cita del artículo o párrafo o apartado concreto de un artículo, sino el que se numeren y separen «tantos motivos cuantos preceptos conculcados» y que, como regla, no se acumulen en un solo motivo diversos «conceptos» de infracción y menos en relación de dudosa compatibilidad o con razonamientos hipotéticos. «Precisión» y «claridad» en el art. 1.720 de la L.E.C son conceptos indeterminados para cuya interpretación existe ex propia natura un margen de libertad, especialmente amplio cuando la interpretación la realiza el órgano que culmina el poder judicial y que al decidir un recurso extraordinario sienta jurisprudencia, con función de nomofilaxis, razones todas que justifican un mayor rigorismo formal. </w:t>
      </w:r>
    </w:p>
    <w:p w:rsidR="001C705E" w:rsidRDefault="001C705E" w:rsidP="001C705E">
      <w:pPr>
        <w:pStyle w:val="TextoNormal"/>
      </w:pPr>
      <w:r>
        <w:t>En el caso que nos ocupa -concluye el Abogado del Estado-, la tradicional interpretación de los arts. 1.720 y 1.729 de la L.E.C respecto a los requisitos formales del escrito de formalización de la casación no contraviene o viola el art. 24 de la Constitución. Tales exigencias formales sólo imponen una carga de especial cuidado y diligencia a la parte que recurre en casación, de ningún modo excesiva o irrazonable si se tiene en cuenta el significado de la casación, y el recurso de amparo, como el Tribunal Constitucional ha declarado reiteradas veces, se da contra las violaciones de ciertos derechos fundamentales, no para remediar omisiones o negligencias procesales de la parte.</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El Ministerio Fiscal, en su escrito de alegaciones de 20 de abril de 1983, considera que la Sentencia impugnada vulnera el art. 24.1 de la Constitución al oponer a la admisión del recurso de casación un obstáculo formal que puede calificarse de excesivo y desproporcionado en sus efectos respecto a la finalidad que con él se pretende. Por ello estima que procede conceder el amparo solicitado, anulando la Sentencia de la Sala Sexta del Tribunal Supremo de 2 de diciembre de 1982, y reponiendo las actuaciones en momento adecuado para que la Sala dicte otra en la que resuelva el recurso de casación interpuesto. </w:t>
      </w:r>
    </w:p>
    <w:p w:rsidR="001C705E" w:rsidRDefault="001C705E" w:rsidP="001C705E">
      <w:pPr>
        <w:pStyle w:val="TextoNormal"/>
      </w:pPr>
      <w:r>
        <w:t xml:space="preserve">El Ministerio Fiscal aduce las siguientes razones: </w:t>
      </w:r>
    </w:p>
    <w:p w:rsidR="001C705E" w:rsidRDefault="001C705E" w:rsidP="001C705E">
      <w:pPr>
        <w:pStyle w:val="TextoNormal"/>
      </w:pPr>
      <w:r>
        <w:t xml:space="preserve">a) El recurso de casación es una institución altamente formalizada; las normas que lo rigen son rigurosas y su cumplimiento escrupulosamente exigido. A diferencia de lo que ocurre en la apelación, el recurso extraordinario de casación, en sus dos modalidades, no procede sino por unos determinados motivos, taxativamente formulados por la Ley, lo que abre un amplio campo a su inadmisibilidad y origina con notable frecuencia la desestimación de dichos recursos por defectos de forma. </w:t>
      </w:r>
    </w:p>
    <w:p w:rsidR="001C705E" w:rsidRDefault="001C705E" w:rsidP="001C705E">
      <w:pPr>
        <w:pStyle w:val="TextoNormal"/>
      </w:pPr>
      <w:r>
        <w:t xml:space="preserve">Este formalismo, como denuncian los recurrentes en su escrito, puede en ocasiones resultar excesivo, máxime tratándose de un proceso de las características del laboral; ya la </w:t>
      </w:r>
      <w:r>
        <w:lastRenderedPageBreak/>
        <w:t xml:space="preserve">Sala Sexta del Tribunal Supremo, en algunas de sus sentencias, ha procurado soslayar las graves consecuencias que podrían derivarse de rigurosas exigencias formales. </w:t>
      </w:r>
    </w:p>
    <w:p w:rsidR="001C705E" w:rsidRDefault="001C705E" w:rsidP="001C705E">
      <w:pPr>
        <w:pStyle w:val="TextoNormal"/>
      </w:pPr>
      <w:r>
        <w:t xml:space="preserve">b) El Tribunal Constitucional ha tenido ocasión de manifestarse respecto a los posibles excesos formalistas en materia de casación y suplicación y las consecuencias que en cuanto a la vulneración del derecho a obtener la tutela judicial efectiva pueden derivarse. Así ha afirmado que dicho derecho puede restringirse en la medida en que la restricción actúa al servicio de la efectividad o promoción de otros bienes o derechos fundamentales y no existe norma alguna en la Constitución que obligue a la existencia de una doble instancia o de unos determinados recursos en materia laboral, pero que, cuando la Ley ha establecido tales recursos, no pueden admitirse obstáculos que puedan estimarse excesivos, que sean producto de un innecesario formalismo, o que no aparezcan justificados o proporcionados conforme a las finalidades que establecen. </w:t>
      </w:r>
    </w:p>
    <w:p w:rsidR="001C705E" w:rsidRDefault="001C705E" w:rsidP="001C705E">
      <w:pPr>
        <w:pStyle w:val="TextoNormal"/>
      </w:pPr>
      <w:r>
        <w:t xml:space="preserve">c) De acuerdo con la doctrina anterior, el problema estriba en determinar si los denunciados defectos del escrito de formalización del recurso de casación, vistos a la luz de las normas constitucionales en general y, en concreto, del derecho de todos a obtener la efectiva tutela judicial, tienen una trascendencia real que justifique la inadmisión del recurso o, por el contrario, resulta desproporcionado atribuirles tal efecto. </w:t>
      </w:r>
    </w:p>
    <w:p w:rsidR="001C705E" w:rsidRDefault="001C705E" w:rsidP="001C705E">
      <w:pPr>
        <w:pStyle w:val="TextoNormal"/>
      </w:pPr>
      <w:r>
        <w:t xml:space="preserve">A este respecto el Ministerio Fiscal analiza los requisitos exigidos por el art. 1.720 de la L.E.C en relación con el caso de autos. </w:t>
      </w:r>
    </w:p>
    <w:p w:rsidR="001C705E" w:rsidRDefault="001C705E" w:rsidP="001C705E">
      <w:pPr>
        <w:pStyle w:val="TextoNormal"/>
      </w:pPr>
      <w:r>
        <w:t xml:space="preserve">En cuanto a la necesidad de expresar el párrafo del art. 167 de la Ley de Procedimiento Laboral en que se halle comprendido el motivo del recurso, a su juicio es correcto el planteamiento de los recurrentes, pues el único motivo del recurso es el del núm. 1 del mencionado artículo, dado que, como se indica en el escrito de formalización, la causa del disentimiento con la Sentencia de la Magistratura de Trabajo es la aplicación indebida de unas normas y, en consecuencia, la inaplicación de otras distintas. </w:t>
      </w:r>
    </w:p>
    <w:p w:rsidR="001C705E" w:rsidRDefault="001C705E" w:rsidP="001C705E">
      <w:pPr>
        <w:pStyle w:val="TextoNormal"/>
      </w:pPr>
      <w:r>
        <w:t xml:space="preserve">También estima que han satisfecho los recurrentes el requisito de citar con precisión y claridad la Ley o doctrina legal que se crea infringida y el concepto en que lo haya sido, pues en el escrito, y separadas a través de las letras A, B y C, se distingue entre «aplicación indebida» e «inaplicación», y, si bien en el encabezamiento del apartado A) no se citan artículos concretos, en el desarrollo del mismo se precisan los artículos a que se hace referencia (arts. 39 y 65 de la Orden de 25 de noviembre de 1976 mencionada). </w:t>
      </w:r>
    </w:p>
    <w:p w:rsidR="001C705E" w:rsidRDefault="001C705E" w:rsidP="001C705E">
      <w:pPr>
        <w:pStyle w:val="TextoNormal"/>
      </w:pPr>
      <w:r>
        <w:t xml:space="preserve">Por último, el escrito clarifica los distintos fundamentos del recurso en cuatro apartados diferenciados, por lo que también cumple con el requisito de que, siendo dos o más los motivos del recurso, se expresen en párrafos separados y numerados. </w:t>
      </w:r>
    </w:p>
    <w:p w:rsidR="001C705E" w:rsidRDefault="001C705E" w:rsidP="001C705E">
      <w:pPr>
        <w:pStyle w:val="TextoNormal"/>
      </w:pPr>
      <w:r>
        <w:t>De lo anterior deduce el Ministerio Fiscal que en el mencionado escrito de formalización aparece expresamente y de una forma clara que los demandantes no estiman aplicables al supuesto de hecho las normas elegidas por el Magistrado de Trabajo y cuál era a su parecer la normativa aplicable, con carácter principal y con carácter subsidiario, así como las razones en que fundamentan su posición, por lo que -concluye- los defectos imputados al escrito de formalización no privan a éste de la claridad y precisión necesarias para enmarcar el cuadro de actividad dentro del cual ha de desenvolverse la Sala en la decisión del recurso, que es lo que constituye la verdadera finalidad de las exigencias formales contenidas en el art. 1.720 de la L.E.C.</w:t>
      </w:r>
    </w:p>
    <w:p w:rsidR="001C705E" w:rsidRDefault="001C705E" w:rsidP="001C705E">
      <w:pPr>
        <w:pStyle w:val="TextoNormal"/>
      </w:pPr>
    </w:p>
    <w:p w:rsidR="001C705E" w:rsidRDefault="001C705E" w:rsidP="001C705E">
      <w:pPr>
        <w:pStyle w:val="TextoNormal"/>
      </w:pPr>
      <w:r w:rsidRPr="001C705E">
        <w:rPr>
          <w:rStyle w:val="NumeroAFNegritaCaracter"/>
        </w:rPr>
        <w:t>9</w:t>
      </w:r>
      <w:r>
        <w:t xml:space="preserve">. Por su parte, la representación de los recurrentes, insistiendo en su planteamiento inicial, aduce que, aun cuando el derecho reconocido en el art. 24. 1 de la Constitución normalmente consiste en obtener una decisión que recaiga sobre el fondo, también puede ocurrir, como ha señalado reiteradamente el Tribunal Constitucional, que no entre en él </w:t>
      </w:r>
      <w:r>
        <w:lastRenderedPageBreak/>
        <w:t>por diversas razones, pero esas razones de excepción han de ser verdaderamente razonables, lo que no sucede en el presente caso. A su juicio, la desestimación del recurso de casación ha privado a sus representados de los derechos constitucionalmente protegidos en el art. 24 en virtud de un rigorismo formal, jurisprudencialmente definido, que, sin proteger bien jurídico alguno, restringe los derechos del peticionario de justicia, desbordando ampliamente los preceptos legales en que tal doctrina se basa.</w:t>
      </w:r>
    </w:p>
    <w:p w:rsidR="001C705E" w:rsidRDefault="001C705E" w:rsidP="001C705E">
      <w:pPr>
        <w:pStyle w:val="TextoNormal"/>
      </w:pPr>
    </w:p>
    <w:p w:rsidR="001C705E" w:rsidRDefault="001C705E" w:rsidP="001C705E">
      <w:pPr>
        <w:pStyle w:val="TextoNormal"/>
      </w:pPr>
      <w:r w:rsidRPr="001C705E">
        <w:rPr>
          <w:rStyle w:val="NumeroAFNegritaCaracter"/>
        </w:rPr>
        <w:t>10</w:t>
      </w:r>
      <w:r>
        <w:t>. Por providencia de 23 de enero de 1985, se fija el día 30 del mismo mes para la deliberación de la presente sentencia.</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derecho a la tutela judicial efectiva, reconocido en el art. 24.1 de la Constitución, no exige, siempre que se respete el contenido esencial del mismo, que dicha tutela se configure de una forma determinada, sino que admite múltiples posibilidades en la ordenación de jurisdicciones y procesos y también, por tanto, de instancias y recursos, de acuerdo con la naturaleza de las pretensiones cuya satisfacción se inste y de las normas que las fundamentan.</w:t>
      </w:r>
    </w:p>
    <w:p w:rsidR="001C705E" w:rsidRDefault="001C705E" w:rsidP="001C705E">
      <w:pPr>
        <w:pStyle w:val="TextoNormal"/>
      </w:pPr>
      <w:r>
        <w:t>Sin embargo, como ya hemos declarado en nuestra Sentencia 19/1983, de 14 de marzo («Boletín Oficial del Estado» núm. 87, de 12 de abril), cuando el legislador ha establecido un cierto sistema de recursos -configurando así la tutela judicial de un determinado modo- el derecho reconocido en el art. 24.1 de la Constitución comprende también el de hacer uso de esos instrumentos procesales.</w:t>
      </w:r>
    </w:p>
    <w:p w:rsidR="001C705E" w:rsidRDefault="001C705E" w:rsidP="001C705E">
      <w:pPr>
        <w:pStyle w:val="TextoNormal"/>
      </w:pPr>
      <w:r>
        <w:t>Tal doctrina es por entero aplicable a la casación, como ha señalado también este Tribunal en anteriores Sentencias. Y ello porque, aun siendo cierto que el recurso de casación responde en su origen a la finalidad de asegurar el sometimiento del Juez a la Ley, como postulado del Estado de Derecho, y hoy cumple además la función objetiva de fijar y unificar la interpretación jurisprudencial, es asimismo cierto que constituye también un medio a través del cual el recurrente puede pretender la tutela de sus derechos e intereses legítimos, lo que. en definitiva, significa que el recurso en cuestión es uno de los instrumentos que sirven para ejercitar el derecho reconocido en el art.  24 de la Constitución.</w:t>
      </w:r>
    </w:p>
    <w:p w:rsidR="001C705E" w:rsidRDefault="001C705E" w:rsidP="001C705E">
      <w:pPr>
        <w:pStyle w:val="TextoNormal"/>
      </w:pPr>
    </w:p>
    <w:p w:rsidR="001C705E" w:rsidRDefault="001C705E" w:rsidP="001C705E">
      <w:pPr>
        <w:pStyle w:val="TextoNormal"/>
      </w:pPr>
      <w:r w:rsidRPr="001C705E">
        <w:rPr>
          <w:rStyle w:val="NumeroAFNegritaCaracter"/>
        </w:rPr>
        <w:t>2</w:t>
      </w:r>
      <w:r>
        <w:t>. El contenido garantizado en el mencionado precepto no se agota en el acceso al recurso, sino que comprende el derecho a obtener una resolución jurídicamente fundada que normalmente versará sobre el fondo del asunto, si bien puede limitarse, como reiteradamente ha señalado este Tribunal, a declarar la inadmisión del recurso en el caso de que no se den los requisitos establecidos legalmente, entre los que han de incluirse, sin duda, los de carácter formal.</w:t>
      </w:r>
    </w:p>
    <w:p w:rsidR="001C705E" w:rsidRDefault="001C705E" w:rsidP="001C705E">
      <w:pPr>
        <w:pStyle w:val="TextoNormal"/>
      </w:pPr>
      <w:r>
        <w:t>El legislador, teniendo en cuenta la naturaleza y finalidad del proceso y en aras de la certeza y seguridad jurídicas, puede exigir, y con frecuencia así lo hace, que los supuestos de hecho de los que se derivan consecuencias jurídicas se manifiesten o se hagan constar respetando ciertas formalidades, y declarar que tales consecuencias no se tendrán por producidas cuando no se hayan observado aquéllas. Ahora bien, aunque el legislador goce de un amplio margen de libertad en esta materia, tales requisitos, que suponen una limitación al ejercicio de un derecho fundamental, no pueden ser fijados arbitrariamente, sino que han de responder a la naturaleza del proceso y a las finalidades que justifican su existencia.</w:t>
      </w:r>
    </w:p>
    <w:p w:rsidR="001C705E" w:rsidRDefault="001C705E" w:rsidP="001C705E">
      <w:pPr>
        <w:pStyle w:val="TextoNormal"/>
      </w:pPr>
      <w:r>
        <w:lastRenderedPageBreak/>
        <w:t>Por la misma razón, las normas que contienen los requisitos formales han de ser aplicadas teniendo siempre presente el fin pretendido al establecer dichos requisitos, evitando cualquier exceso formalista que los convertiría en meros obstáculos procesales y en fuente de incertidumbre e imprevisibilidad para la suerte de las pretensiones en juego. Así lo ha puesto de relieve este Tribunal Constitucional en su Sentencia 57/1984, de 8 de mayo, en la misma línea mantenida en Sentencias anteriores.</w:t>
      </w:r>
    </w:p>
    <w:p w:rsidR="001C705E" w:rsidRDefault="001C705E" w:rsidP="001C705E">
      <w:pPr>
        <w:pStyle w:val="TextoNormal"/>
      </w:pPr>
    </w:p>
    <w:p w:rsidR="001C705E" w:rsidRDefault="001C705E" w:rsidP="001C705E">
      <w:pPr>
        <w:pStyle w:val="TextoNormal"/>
      </w:pPr>
      <w:r w:rsidRPr="001C705E">
        <w:rPr>
          <w:rStyle w:val="NumeroAFNegritaCaracter"/>
        </w:rPr>
        <w:t>3</w:t>
      </w:r>
      <w:r>
        <w:t>. En el recurso de casación las exigencias formales adquieren una especial relevancia, pues los requisitos de esta naturaleza parecen consustanciales a ese instituto procesal, según es opinión unánime de la doctrina y de la jurisprudencia casacional.  Precisamente la razón última por la que el Abogado del Estado insta la desestimación del presente recurso de amparo es la de que el formalismo es absolutamente imprescindible para que el recurso de casación pueda cumplir su función.</w:t>
      </w:r>
    </w:p>
    <w:p w:rsidR="001C705E" w:rsidRDefault="001C705E" w:rsidP="001C705E">
      <w:pPr>
        <w:pStyle w:val="TextoNormal"/>
      </w:pPr>
      <w:r>
        <w:t>Pero, de acuerdo con las consideraciones anteriores, es preciso distinguir entre el rigor formal que viene exigido, o cuando menos justificado, por la naturaleza misma del recurso y que, como ha señalado la Sala Sexta del Tribunal Supremo en su Sentencia de 6 de junio de 1979, sirve «para enmarcar el cuadro de actividad dentro del cual ha de desenvolverse la Sala en la decisión del recurso», y un exceso formalista que no puede cumplir otra función que la de dificultar la utilización del instrumento procesal. Y es en ese terreno donde el recurrente sitúa la posible vulneración del art. 24 de la Constitución.</w:t>
      </w:r>
    </w:p>
    <w:p w:rsidR="001C705E" w:rsidRDefault="001C705E" w:rsidP="001C705E">
      <w:pPr>
        <w:pStyle w:val="TextoNormal"/>
      </w:pPr>
    </w:p>
    <w:p w:rsidR="001C705E" w:rsidRDefault="001C705E" w:rsidP="001C705E">
      <w:pPr>
        <w:pStyle w:val="TextoNormal"/>
      </w:pPr>
      <w:r w:rsidRPr="001C705E">
        <w:rPr>
          <w:rStyle w:val="NumeroAFNegritaCaracter"/>
        </w:rPr>
        <w:t>4</w:t>
      </w:r>
      <w:r>
        <w:t>. El art. 1.720 de la L.E.C, en su redacción anterior a la Ley vigente 34/1984, de 6 de agosto, de reforma urgente de la L.E.C, exige en su párrafo primero que en el escrito interponiendo el recurso de casación se exprese el párrafo del art. 1.692 en que se halle comprendido y se cite con precisión y claridad la ley o doctrina legal que se estime infringida y el concepto en que lo haya sido. Y el art. 1.729 de la misma Ley establece en su apartado 4. y no 6. que no habrá lugar a la admisión del recurso cuando no se hayan citado con precisión y claridad las leyes que se consideren infringidas y el concepto en que lo hayan sido, y cuando al alegar la infracción de una ley que contenga varias disposiciones no se cite concretamente la disposición o artículo que se suponga infringido.</w:t>
      </w:r>
    </w:p>
    <w:p w:rsidR="001C705E" w:rsidRDefault="001C705E" w:rsidP="001C705E">
      <w:pPr>
        <w:pStyle w:val="TextoNormal"/>
      </w:pPr>
      <w:r>
        <w:t>A diferencia de lo que ocurre en otros ordenamientos de nuestra misma cultura jurídica, la citada normativa, aplicable al presente caso, exige que se especifique no sólo el precepto que se considere infringido, sino también el modo en que lo ha sido, de manera que el recurrente ha de concretar si la infracción ha consistido en violación, interpretación errónea o aplicación indebida de la correspondiente norma, expresiones contenidas en el art.  1.692.1, de la L.E.C, y que han sido interpretadas jurisprudencialmente como tres conceptos distintos de infracción. A este deber de calificar la infracción mediante las mencionadas expresiones -que reproduce literalmente el -art. 167.1 de la Ley de procedimiento Laboral, aplicable al caso de autos- se une el de hacerlo sólo con arreglo a uno de tales conceptos, porque la jurisprudencia entiende que éstos son distintos e incompatibles entre sí, de modo que un mismo precepto legal no puede ser infringido más que por uno de ellos.</w:t>
      </w:r>
    </w:p>
    <w:p w:rsidR="001C705E" w:rsidRDefault="001C705E" w:rsidP="001C705E">
      <w:pPr>
        <w:pStyle w:val="TextoNormal"/>
      </w:pPr>
      <w:r>
        <w:t xml:space="preserve">Sobre la base de esa diferenciación y contraposición de los conceptos de infracción, nuestra jurisprudencia exige que cada uno de ellos se formule como motivo distinto -porque distintos han de ser también los preceptos afectados-, mediante párrafos separados y numerados, lo que significa que la exigencia del párrafo 2. del art. 1.720 de la L.E.C -que ordena expresar así los motivos o fundamentos cuando fuesen dos o mas- se traslada y aplica a esos diferentes conceptos que la Ley procesal. al enumerar los motivos de recurso de casación por infracción de ley o doctrina legal, yuxtapone en el art. 1.692.1 de la L.E.C. </w:t>
      </w:r>
      <w:r>
        <w:lastRenderedPageBreak/>
        <w:t>A esta exigencia de expresión de los conceptos en párrafos separados y numerados se refiere, sin duda, la Sentencia objeto del presente recurso de amparo cuando fundamenta la inadmisión del recurso de casación en un «planteamiento acumulado de diferentes conceptos de infracción» v recuerda la necesidad de que el recurso se formalice «sin involucrar la violación por inaplicación y la aplicación indebida».</w:t>
      </w:r>
    </w:p>
    <w:p w:rsidR="001C705E" w:rsidRDefault="001C705E" w:rsidP="001C705E">
      <w:pPr>
        <w:pStyle w:val="TextoNormal"/>
      </w:pPr>
      <w:r>
        <w:t>En el caso que nos ocupa no es preciso examinar si la interpretación jurisprudencial de las normas procesales es conforme a la Constitución y responde al mandato positivo que, como reiteradamente ha afirmado este Tribunal Constitucional, obliga a interpretar la normativa aplicable en el sentido más favorable para la efectividad del derecho fundamental, cuyo contenido normal es el de obtener una resolución de fondo fundada en derecho, pues sólo en el caso de que las exigencias formales, fijadas jurisprudencialmente, se interpretaran a su vez con extremado formalismo podría decirse que han sido infringidas en el presente recurso. Está claro que en éste no se ha producido la «amalgama» de conceptos que denuncia la Sentencia antes citada, y, además, sólo en apariencia se ha incumplido el deber de exponer los conceptos en párrafos separados y numerados. El escrito de formalización del recurso de casación, cuyo contenido hemos recogido en el antecedente segundo, contiene un motivo único fundado en el núm. 1. del art.  167 de la Ley de Procedimiento Laboral, pero de inmediato se da entrada en él a cuatro submotivos ordenados con las letras A, B, C y D, de modo que resulta una nítida separación externa de cuatro fundamentos, motivos del recurso, de cuatro diferentes infracciones que se alegan en fundamentación de lo que se solicita. Cierto que el art. 1.720 de la L.E.C exige que cada motivo se exponga en párrafo aparte, pero esto no quiere decir que necesariamente dicho párrafo haya de ir encabezado por la expresión «motivo» o «fundamento», ni veda tampoco un tratamiento de algunos de ellos como submotivos -claramente diferenciados entre sí- de un «motivo único», proceder que, por cierto, viene avalado por el texto literal del art. 167 de la Ley de Procedimiento Laboral.  Del mismo modo, la exigencia del art. 1.720 -separación y numeración- ha de entenderse cumplida cuando los párrafos se acompañan de letras y no de números, porque lo que importa en definitiva no es cómo se denomina cada uno de los fundamentos ni cuál sea el signo con que se les ordena, sino que haya «claridad y precisión», exponiéndose separadamente y en orden correlativo cada una de las infracciones que se denuncian como fundamentos del recurso.</w:t>
      </w:r>
    </w:p>
    <w:p w:rsidR="001C705E" w:rsidRDefault="001C705E" w:rsidP="001C705E">
      <w:pPr>
        <w:pStyle w:val="TextoNormal"/>
      </w:pPr>
      <w:r>
        <w:t>Igualmente cabe concluir que los recurrentes han cumplido la exigencia legal de citar concretamente la disposición o artículo que se suponga infringido.  Cuando los recurrentes comienzan denunciando la «violación por inaplicación total debida con arreglo a sus arts. 1, 2 y 3 de la Orden ministerial de 25 de noviembre de 1976, que aprobó la Ordenanza Laboral para Establecimientos Sanitarios de Hospitalización, Consulta y Asistencia» (apartado A) no mencionan, es verdad, en el encabezamiento los preceptos de la Orden que estiman infringidos, pero lo hacen cuando, a continuación. después de fundamentar la aplicabilidad de la repetida Orden, citan expresamente los arts.  34 y 65 como aquellos que debieron aplicarse para determinar lo que constituye la cuestión de fondo del recurso: La determinación de las horas trabajadas en exceso y el criterio a seguir para calcular la correspondiente retribución.  Tampoco hay mención de artículos y preceptos cuando los recurrentes invocan la «aplicación indebida, por inadecuación a las normas, del Real Decreto de 28 de octubre de 1977, Orden ministerial de 9 de diciembre de 1977 y Orden en desarrollo de 21 de enero de 1978» (apartado B), pero tal cita no parece razonablemente exigible cuando lo que se rechaza no es tan sólo un precepto u otro, sino la aplicabilidad de la normativa en su conjunto. Sí se hace tal invocación precisa cuando se denuncia ««con carácter subsidiario, violación por aplicación del art. 24 de la Ley de Jornada Má</w:t>
      </w:r>
      <w:r>
        <w:lastRenderedPageBreak/>
        <w:t>xima de 1 de julio de 1931» (apartado C), y, por último, «con carácter subsidiario: Violación por inaplicación del art. 3, párrafo 2. , de la Orden ministerial de 9 de diciembre de 1977» (apartado D), motivo este último en el que se afirma que, aun considerando aplicable el régimen de dicha Orden ministerial, lo que antes se ha negado, no debió aplicarse el precepto concreto que ahora sí se cita.  Hay, en consecuencia, una identificación clara y precisa de las normas que se estiman infringidas, aun cuando en la primera de las motivaciones del recurso los preceptos concretos no se mencionan en el encabezamiento del párrafo, sino en su cuerpo.</w:t>
      </w:r>
    </w:p>
    <w:p w:rsidR="001C705E" w:rsidRDefault="001C705E" w:rsidP="001C705E">
      <w:pPr>
        <w:pStyle w:val="TextoNormal"/>
      </w:pPr>
    </w:p>
    <w:p w:rsidR="001C705E" w:rsidRDefault="001C705E" w:rsidP="001C705E">
      <w:pPr>
        <w:pStyle w:val="TextoNormal"/>
      </w:pPr>
      <w:r w:rsidRPr="001C705E">
        <w:rPr>
          <w:rStyle w:val="NumeroAFNegritaCaracter"/>
        </w:rPr>
        <w:t>5</w:t>
      </w:r>
      <w:r>
        <w:t>. Si el recurrente en casación tiene el deber de motivar su recurso en términos que identifiquen claramente la infracción que denuncia para de ese modo «enmarcar el cuadro de la actividad dentro del cual ha de desenvolverse la Sala en decisión del mismo», está claro que los demandantes de amparo han afrontado correctamente esa carga: Han determinado clara y precisamente qué preceptos creen que se les debieron aplicar y cuál es el fundamento de su pretensión, y han determinado en iguales términos las normas cuya aplicación reclaman. Y lo han hecho, además, ateniéndose a las formalidades legal y jurisprudencialmente fijadas: Citando las disposiciones en términos bien concretos, no «amalgamando» conceptos de infracción, y exponiendo éstos en párrafos separados y ordenados. Que aquella cita no se haya hecho siempre en el encabezamiento del motivo, sino en su cuerpo, y que estos párrafos no se denominen «motivos» sino que se traten como submotivos de uno que los engloba, y que no se ordenen con números sino con letras, son infracciones que no restan en absoluto claridad y precisión al escrito. Fundarse en ellas para denegar su admisión es tanto como negar el acceso a la tutela judicial por motivos que no guardan relación con la peculiar naturaleza del recurso de casación, infringiéndose así el derecho que a todos reconoce el art. 24.1 de la Constitución.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solicitado por don Enrique Carrasco Sainz y don Francisco Javier Montes Pérez, y en su virtud:</w:t>
      </w:r>
    </w:p>
    <w:p w:rsidR="001C705E" w:rsidRDefault="001C705E" w:rsidP="001C705E">
      <w:pPr>
        <w:pStyle w:val="TextoNormal"/>
      </w:pPr>
      <w:r>
        <w:t>1. Declarar la nulidad de la Sentencia dictada por la Sala Sexta del Tribunal Supremo, de 2 de diciembre de 1982.</w:t>
      </w:r>
    </w:p>
    <w:p w:rsidR="001C705E" w:rsidRDefault="001C705E" w:rsidP="001C705E">
      <w:pPr>
        <w:pStyle w:val="TextoNormal"/>
      </w:pPr>
      <w:r>
        <w:t>2. Retrotraer las actuaciones al momento inmediatamente anterior a dictarla.</w:t>
      </w:r>
    </w:p>
    <w:p w:rsidR="001C705E" w:rsidRDefault="001C705E" w:rsidP="001C705E">
      <w:pPr>
        <w:pStyle w:val="TextoNormal"/>
      </w:pPr>
      <w:r>
        <w:t>3. Reconocer el derecho de los recurrentes a que no se inadmita el recurso de casación por los motivos contenidos en el considerando único de la Sentencia anulada, quedando restablecidos en su derecho mediante la nueva Sentencia que habrá de dictar la mencionada Sala.</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nueve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1" w:name="SENTENCIA_1985_18"/>
      <w:r>
        <w:lastRenderedPageBreak/>
        <w:t>SENTENCIA 18/1985, de 11 de febrero de 1985</w:t>
      </w:r>
    </w:p>
    <w:bookmarkEnd w:id="21"/>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ECLI:ES:TC:1985:18</w:t>
      </w:r>
    </w:p>
    <w:p w:rsidR="001C705E" w:rsidRDefault="001C705E" w:rsidP="001C705E">
      <w:pPr>
        <w:pStyle w:val="SntesisDescriptiva"/>
      </w:pPr>
    </w:p>
    <w:p w:rsidR="001C705E" w:rsidRDefault="001C705E" w:rsidP="001C705E">
      <w:pPr>
        <w:pStyle w:val="SntesisDescriptiva"/>
      </w:pPr>
      <w:r>
        <w:t>Recurso de amparo 439/1984. Contra Sentencia de la Audiencia Provincial de Zaragoza que condenó a los recurrentes al pago de indemnización como herederos del responsable civil subsidiario, alegando indefensión por falta de emplazamiento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Los herederos de los responsables civiles subsidiarios adquieren esa misma condición por prescripción expresa del art. 105 del Código Penal, de manera que resultan, en tal sentido, legitimados pasivamente en el procedimiento penal, siendo necesaria su citación y ostentando el derecho a que se les comunique la causa al efecto de su calificación, como se deriva del art. 652 de la L.E.Cr. </w:t>
      </w:r>
    </w:p>
    <w:p w:rsidR="001C705E" w:rsidRDefault="001C705E" w:rsidP="001C705E">
      <w:pPr>
        <w:pStyle w:val="Extracto"/>
      </w:pPr>
    </w:p>
    <w:p w:rsidR="001C705E" w:rsidRDefault="001C705E" w:rsidP="001C705E">
      <w:pPr>
        <w:pStyle w:val="Extracto"/>
      </w:pPr>
      <w:r>
        <w:t>2.</w:t>
      </w:r>
      <w:r>
        <w:tab/>
        <w:t xml:space="preserve">Como se dijo en STC 4/1982 de 8 de febrero, el derecho a la tutela judicial efectiva comporta la exigencia de que en ningún caso pueda producirse indefensión, lo que indudablemente significa que en todo proceso judicial debe respetarse el derecho de defensa contradictoria de las partes contendientes o que legalmente deban serlo; derecho extensible a la acción civil derivada de delito, aunque de forma matizada, pues tiene en su desarrollo menor alcance que el de la acción criminal, por estar limitada al peculiar objeto indemnizatorio o de resarcimiento. </w:t>
      </w:r>
    </w:p>
    <w:p w:rsidR="001C705E" w:rsidRDefault="001C705E" w:rsidP="001C705E">
      <w:pPr>
        <w:pStyle w:val="Extracto"/>
      </w:pPr>
    </w:p>
    <w:p w:rsidR="001C705E" w:rsidRDefault="001C705E" w:rsidP="001C705E">
      <w:pPr>
        <w:pStyle w:val="Extracto"/>
      </w:pPr>
      <w:r>
        <w:t>3.</w:t>
      </w:r>
      <w:r>
        <w:tab/>
        <w:t xml:space="preserve">En el presente asunto no ha habido el menor asomo de indefensión. Si las notificaciones se efectuaron a uno de los responsables civiles, el emplazamiento estaba concebido en responsables civiles, el emplazamiento estaba concebido en términos plurales, y al comparecer sólo el notificado expresamente lo hizo de modo que, cuando menos, creaba algo más que la mera apariencia de estar actuando en nombre de todos, puesto que se le dio cuenta de la resolución que declaraba la responsabilidad civil subsidiaria y del emplazamiento dirigido a la totalidad de los herederos.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lastRenderedPageBreak/>
        <w:t>SENTENCIA</w:t>
      </w:r>
    </w:p>
    <w:p w:rsidR="001C705E" w:rsidRDefault="001C705E" w:rsidP="001C705E">
      <w:pPr>
        <w:pStyle w:val="TextoNormalCentrado"/>
        <w:keepNext/>
      </w:pPr>
    </w:p>
    <w:p w:rsidR="001C705E" w:rsidRDefault="001C705E" w:rsidP="001C705E">
      <w:pPr>
        <w:pStyle w:val="TextoNormal"/>
      </w:pPr>
      <w:r>
        <w:t>En el recurso de amparo promovido por doña Agustina García Martín y don Benigno, doña María Teresa y doña Adoración Sanjoaquín García, representados por la Procuradora doña Pilar García Gutiérrez y bajo la dirección del Abogado don Javier Checa Bosque, contra la Sentencia de la Sección Primera de la Audiencia Provincial de Zaragoza de 26 de mayo de 1984, que, como herederos del responsable civil subsidiario les condenó a indemnizar a la Mutua Patronal de Accidentes de Trabajo «Asepeyo»; habiendo sido parte en el presente proceso de amparo la referida Mutua, representada por el Procurador don Alejandro García Yuste y asistida del Abogado don Antonio Fuertes Leganés, e intervenido el Ministerio Fiscal; siendo Ponente el Magistrado don Francisco Rubio Llorente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Como consecuencia de una colisión producida el 30 de marzo de 1981 por un camión de una empresa dedicada al transporte de mercancías, que pertenecía a don José Sanjoaquín Izquierdo, y de la que resultaron, además de daños, lesiones del ayudante del conductor que fue atendido en las instalaciones sanitarias de «Asepeyo» con la que aquél tenía concertado la cobertura de accidentes de trabajo en la actividad del transporte, se siguieron Diligencias Preparatorias con el núm. 15/1982 del Juzgado de Instrucción de Tarazona.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Habiendo fallecido don José Sanjoaquín Izquierdo antes de la celebración del juicio oral, el Juez de Instrucción de Tarazona se dirigió mediante exhorto al Juez Decano de Zaragoza, interesando que se practicara la diligencia consistente en notificar a los «familiares del responsable civil subsidiario José Sanjoaquín Izquierdo, calle Silvestre Pérez, 31 (hijo, Benigno Sanjoaquín García), como herederos del mismo» el Auto que se acompañaba, en el que se decretaba la responsabilidad civil subsidiaria, y emplazarles para que comparecieran en la causa con Abogado y Procurador; notificación y emplazamiento que se verificaron el 10 de febrero de 1983, en presencia de don Benigno Sanjoaquín García, quien el día 12 del mismo mes compareció ante la Secretaría del Juzgado a fin de designar Abogado y Procurador que lo representasen. En el mismo acto, el señor Sanjoaquín García puso en conocimiento del Juzgado que, de acuerdo con su Compañía de Seguros, «Aurora, Compañía Anónima de Seguros», habían llegado a un entendimiento con dos de los perjudicados, cifrado en la renuncia de los mismos a toda clase de acciones que pudieran corresponderles, al haber sido debidamente indemnizados. </w:t>
      </w:r>
    </w:p>
    <w:p w:rsidR="001C705E" w:rsidRDefault="001C705E" w:rsidP="001C705E">
      <w:pPr>
        <w:pStyle w:val="TextoNormal"/>
      </w:pPr>
      <w:r>
        <w:t>Por Auto de 29 de abril de 1983, el Juzgado de Tarazona, en atención a que los perjudicados citados habían renunciado a las indemnizaciones que el Ministerio Fiscal había solicitado para ellos, acordó reformar la declaración de responsabilidad civil subsidiaria de don José Sanjoaquín Izquierdo, en el sentido de exigirle una fianza por la suma de 1.979.459 pesetas, así como requerir a los familiares de aquél para que, conforme a lo acordado, prestasen la indicada fianza.</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Evacuado el correspondiente trámite de conclusiones, en el que la defensa de don Benigno Sanjoaquín García negó su legitimidad (legitimación) en el procedimiento, ya en el propio juicio oral, la acusación particular, ejercitada por «Asepeyo», solicitó, como </w:t>
      </w:r>
      <w:r>
        <w:lastRenderedPageBreak/>
        <w:t>cuestión previa, la suspensión de aquél, «por haber fallecido el responsable civil y haberse citado a uno de sus hijos», y denegada tal petición, en las conclusiones definitivas del Ministerio Fiscal y de dicha acusación, la petición de responsabilidad civil se hizo extensiva a los herederos del que lo era con carácter de subsidiario.</w:t>
      </w:r>
    </w:p>
    <w:p w:rsidR="001C705E" w:rsidRDefault="001C705E" w:rsidP="001C705E">
      <w:pPr>
        <w:pStyle w:val="TextoNormal"/>
      </w:pPr>
    </w:p>
    <w:p w:rsidR="001C705E" w:rsidRDefault="001C705E" w:rsidP="001C705E">
      <w:pPr>
        <w:pStyle w:val="TextoNormal"/>
      </w:pPr>
      <w:r w:rsidRPr="001C705E">
        <w:rPr>
          <w:rStyle w:val="NumeroAFNegritaCaracter"/>
        </w:rPr>
        <w:t>4</w:t>
      </w:r>
      <w:r>
        <w:t>. El Juzgado de Instrucción, con fecha de 3 de diciembre de 1983 dictó Sentencia en la que declaraba no haber lugar a decretar dicha responsabilidad civil a favor de la parte acusadora «Asepeyo» como consecuencia de la asistencia sanitaria prestada al lesionado. Pero apelada la Sentencia, la Audiencia Provincial, por la suya de 26 de mayo de 1984, condena «... al responsable civil subsidiario José Sanjoaquín Sánchez (equivocando, sin duda, el segundo apellido, debiendo constar el de Izquierdo), y por fallecimiento del mismo, a sus herederos a indemnizar a "Asepeyo" en la cantidad de 1.936.259 pesetas».</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La Procuradora doña Pilar García Gutiérrez, en nombre y representación de doña Agustina García Martín y de los hermanos don Benigno, doña María Teresa y doña Adoración Sanjoaquín García, por medio de escrito presentado el 19 de junio de 1984, interpuso recurso de amparo contra la referida Sentencia de la Audiencia Provincial de Zaragoza de 26 de mayo de 1984. En la demanda se invoca la vulneración del art. 24.1 y 2 de la Constitución, por cuanto se ha negado la tutela judicial efectiva y se ha producido la indefensión de los hoy promoventes del amparo, en tanto que herederos testamentarios de don José Sanjoaquín Izquierdo, según escritura de manifestación de herencia otorgada ante Notario, que han sido condenados sin haber sido oídos y sin ser informados de la acusación formulada contra ellos y por consiguiente, sin haber podido defenderse, al no haber sido citados a juicio, ni emplazados para comparecer, pese a lo cual fueron condenados por la Audiencia al pago de la indemnización civil señalada. </w:t>
      </w:r>
    </w:p>
    <w:p w:rsidR="001C705E" w:rsidRDefault="001C705E" w:rsidP="001C705E">
      <w:pPr>
        <w:pStyle w:val="TextoNormal"/>
      </w:pPr>
      <w:r>
        <w:t xml:space="preserve">Por lo expuesto, los demandantes suplican Sentencia que declare la nulidad de la de la Sección Primera de la Audiencia Provincial de Zaragoza de 26 de mayo de 1984, dictada en el rollo de apelación núm. 44/1983, así como la de todas las actuaciones seguidas en dicho órgano judicial y en las Diligencias Preparatorias núm. 15/1982 del Juzgado de Instrucción de Tarazona, retrotrayéndolas al momento procesal del emplazamiento y ordenar a dicho Juzgado que efectúe dicho emplazamiento por término de tres días para la personación en autos de los recurrentes, a fin de que designen Abogado y Procurador que los defiendan, informándoles de la acusación deducida. </w:t>
      </w:r>
    </w:p>
    <w:p w:rsidR="001C705E" w:rsidRDefault="001C705E" w:rsidP="001C705E">
      <w:pPr>
        <w:pStyle w:val="TextoNormal"/>
      </w:pPr>
      <w:r>
        <w:t>Por medio de otrosí interesan asimismo la suspensión de la ejecución de la Sentencia.</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Admitida a trámite la demanda, se recabaron las actuaciones y se emplazó a quienes hubieran sido parte en el procedimiento. </w:t>
      </w:r>
    </w:p>
    <w:p w:rsidR="001C705E" w:rsidRDefault="001C705E" w:rsidP="001C705E">
      <w:pPr>
        <w:pStyle w:val="TextoNormal"/>
      </w:pPr>
      <w:r>
        <w:t>El Procurador don Alejandro García Yuste, en nombre y representación de «Asepeyo», Mutua Patronal de Accidentes de Trabajo, en escrito de 20 de julio de 1984, solicitó se le tuviera por parte en el presente recurso de amparo.</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La Sección Tercera acordó tener por personado y parte al Procurador don Alejandro García Yuste, en nombre y representación de «Asepeyo», y dar vista a las partes y al Ministerio Fiscal para que en el plazo de veinte días pudieran presentar las alegaciones que estimasen pertinentes. </w:t>
      </w:r>
    </w:p>
    <w:p w:rsidR="001C705E" w:rsidRDefault="001C705E" w:rsidP="001C705E">
      <w:pPr>
        <w:pStyle w:val="TextoNormal"/>
      </w:pPr>
      <w:r>
        <w:lastRenderedPageBreak/>
        <w:t>Por otra parte, la Sala Segunda, en Auto de 26 de julio de 1984, tras examinar las alegaciones de los demandantes y del Ministerio Fiscal, acordó acceder a la suspensión solicitada, una vez se hubiera constituido caución suficiente.</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Los recurrentes, al evacuar el trámite de alegaciones, insistieron en las razones desarrolladas en la demanda. </w:t>
      </w:r>
    </w:p>
    <w:p w:rsidR="001C705E" w:rsidRDefault="001C705E" w:rsidP="001C705E">
      <w:pPr>
        <w:pStyle w:val="TextoNormal"/>
      </w:pPr>
      <w:r>
        <w:t xml:space="preserve">El Ministerio Fiscal, en escrito de 11 de octubre de 1984, interesa del Tribunal Constitucional dicte Sentencia por la que desestime el amparo solicitado por don Benigno Sanjoaquín García, que intervino en los dos procedimientos, conoció de las acusaciones formuladas y tuvo ocasión de defenderse, y conceda el amparo a doña Angustias García Martín y doña Adoración y doña María Teresa Sanjoaquín García. </w:t>
      </w:r>
    </w:p>
    <w:p w:rsidR="001C705E" w:rsidRDefault="001C705E" w:rsidP="001C705E">
      <w:pPr>
        <w:pStyle w:val="TextoNormal"/>
      </w:pPr>
      <w:r>
        <w:t xml:space="preserve">En escrito de 23 de octubre de 1984, la representación de «Asepeyo» solicitó que se declarara la improcedencia de las peticiones contenidas en el recurso de amparo, estimando que, por parte de los juzgadores, se han seguido todos los requisitos procedimentales, pues todas sus diligencias estuvieron encaminadas a notificar y emplazar a los herederos del declarado responsable civil subsidiario, siendo citado como tal don Benigno Sanjoaquín García, evidenciando el hecho de que se les entregara las actuaciones para su calificación provisional el conocimiento que tuvieron del sumario incoado, por lo que no puede hablarse de indefensión. </w:t>
      </w:r>
    </w:p>
    <w:p w:rsidR="001C705E" w:rsidRDefault="001C705E" w:rsidP="001C705E">
      <w:pPr>
        <w:pStyle w:val="TextoNormal"/>
      </w:pPr>
      <w:r>
        <w:t>Por providencia de 5 de diciembre de 1984 se señaló para deliberación y votación el día 30 de enero de 1985.</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demanda de amparo plantea como tema del recurso, al que pueden reconducirse las diferentes violaciones denunciadas, la eventual indefensión producida por la ausencia de emplazamiento y participación en el juicio de los herederos de don José Sanjoaquín Izquierdo, quienes en Sentencia de la Audiencia Provincial de Zaragoza, resultaron condenados a abonar una indemnización como responsables civiles subsidiarios.</w:t>
      </w:r>
    </w:p>
    <w:p w:rsidR="001C705E" w:rsidRDefault="001C705E" w:rsidP="001C705E">
      <w:pPr>
        <w:pStyle w:val="TextoNormal"/>
      </w:pPr>
    </w:p>
    <w:p w:rsidR="001C705E" w:rsidRDefault="001C705E" w:rsidP="001C705E">
      <w:pPr>
        <w:pStyle w:val="TextoNormal"/>
      </w:pPr>
      <w:r w:rsidRPr="001C705E">
        <w:rPr>
          <w:rStyle w:val="NumeroAFNegritaCaracter"/>
        </w:rPr>
        <w:t>2</w:t>
      </w:r>
      <w:r>
        <w:t>. Ciertamente, los herederos de los responsables civiles subsidiarios adquieren esa misma condición por prescripción expresa del art. 105 del Código Penal, de manera que resultan, en tal sentido, legitimados pasivamente en el procedimiento penal con el alcance y contenido propio de la acción que se ejercite. En consecuencia, es necesaria su citación y ostentan el derecho a que se les comunique la causa al efecto de su clasificación, como se deriva del art. 652 de la L.E.Cr., y para las diligencias preparatorias, del art.  791, regla séptima, también de la L.E.Cr, que dispone su emplazamiento, con entrega de la copia de los escritos de calificación de los acusadores, para que en el plazo de tres días comparezcan en la causa con Abogado y Procurador que les defienda y represente. Con la importante secuela de que, siendo el indicado momento procesal el oportuno para la proposición de pruebas, su omisión implica la vulneración del derecho a la defensa.</w:t>
      </w:r>
    </w:p>
    <w:p w:rsidR="001C705E" w:rsidRDefault="001C705E" w:rsidP="001C705E">
      <w:pPr>
        <w:pStyle w:val="TextoNormal"/>
      </w:pPr>
      <w:r>
        <w:t xml:space="preserve">El propio Tribunal Constitucional ha señalado la trascendencia, a los efectos del amparo, de habilitar la oportunidad de defensa para los responsables civiles, en su Sentencia 4/1982, de 8 de febrero, al decir que el derecho fundamental acogido en el art.  24.2 de la C.E. a obtener la tutela efectiva de los Jueces y Tribunales, predicable de todos los sujetos jurídicos, en el ejercicio de sus derechos e intereses legítimos, comporta la exigencia de que «en ningún caso pueda producirse indefensión»; lo que indudablemente significa que </w:t>
      </w:r>
      <w:r>
        <w:lastRenderedPageBreak/>
        <w:t>en todo proceso judicial debe respetarse el derecho de defensa contradictoria de las partes contendientes, o que legalmente debieran serlo.  Este derecho constitucionalizado es extensible a la acción civil derivada de delito, aunque de forma matizada, pues tiene en su desarrollo menor alcance que el de la acción criminal, por estar limitada al peculiar objeto indemnizatorio o de resarcimiento.</w:t>
      </w:r>
    </w:p>
    <w:p w:rsidR="001C705E" w:rsidRDefault="001C705E" w:rsidP="001C705E">
      <w:pPr>
        <w:pStyle w:val="TextoNormal"/>
      </w:pPr>
    </w:p>
    <w:p w:rsidR="001C705E" w:rsidRDefault="001C705E" w:rsidP="001C705E">
      <w:pPr>
        <w:pStyle w:val="TextoNormal"/>
      </w:pPr>
      <w:r w:rsidRPr="001C705E">
        <w:rPr>
          <w:rStyle w:val="NumeroAFNegritaCaracter"/>
        </w:rPr>
        <w:t>3</w:t>
      </w:r>
      <w:r>
        <w:t>. La doctrina acabada de exponer y, consecuentemente, el derecho constitucional sobre el que versan no se han visto contradichos, y ello es de una total evidencia, en el caso de don Benigno Sanjoaquín García, respecto de quien la existencia de contradicción procesal suficiente se comprueba con un somero examen de las actuaciones procesales que constan documentalmente, pues compareció en el proceso penal representado por Procurador y asistido de Letrado, evacuando el trámite de conclusiones y habiendo sido parte en todas las fases del juicio. De modo que, bajo ningún concepto, el referido demandante ha podido experimentar lesión alguna en sus derechos constitucionales.</w:t>
      </w:r>
    </w:p>
    <w:p w:rsidR="001C705E" w:rsidRDefault="001C705E" w:rsidP="001C705E">
      <w:pPr>
        <w:pStyle w:val="TextoNormal"/>
      </w:pPr>
    </w:p>
    <w:p w:rsidR="001C705E" w:rsidRDefault="001C705E" w:rsidP="001C705E">
      <w:pPr>
        <w:pStyle w:val="TextoNormal"/>
      </w:pPr>
      <w:r w:rsidRPr="001C705E">
        <w:rPr>
          <w:rStyle w:val="NumeroAFNegritaCaracter"/>
        </w:rPr>
        <w:t>4</w:t>
      </w:r>
      <w:r>
        <w:t>. En cuanto a los restantes recurrentes, el análisis detenido de las diferentes actuaciones permite disipar plenamente las dudas que podrían concitarse en torno a si han sufrido o no indefensión.</w:t>
      </w:r>
    </w:p>
    <w:p w:rsidR="001C705E" w:rsidRDefault="001C705E" w:rsidP="001C705E">
      <w:pPr>
        <w:pStyle w:val="TextoNormal"/>
      </w:pPr>
      <w:r>
        <w:t>Por Auto del Juzgado de Instrucción de Tarazona, de 21 de diciembre de 1982 (obrante en autos al folio 92), se decretó la responsabilidad civil subsidiaria de don José Sanjoaquín Izquierdo, y el mismo día se acordó que se le notificara dicho Auto y se le emplazase, compareciendo su hijo, don Benigno Sanjoaquín García, al objeto de manifestar que su padre había fallecido.  Posteriormente, el 1 de febrero de 1983, el Juzgado de Instrucción de Tarazona dictó una providencia en la que ordenaba se librase exhorto al Juzgado de Instrucción Decano de Zaragoza para que se notificase a los familiares de don José Sanjoaquín Izquierdo, como herederos, al Auto antes citado y se les emplazara a los fines acordados (folio 100). Efectuado el exhorto, interesando que se realizaran las diligencias indicadas (folio 104), en él se mencionaba a don Benigno Sanjoaquín, en la forma que queda recogida en los antecedentes de sta Sentencia quien fue notificado del repetido Auto y emplazado para comparecer en término de tres días ante el Juzgado de Instrucción de Tarazona (folio 106). Por lo tanto, es claro que el Juzgado acordó el emplazamiento de los herederos del responsable civil subsidiario y si la notificación se dirigió sólo a uno de ellos los comprendía a todos; precisamente, al compareciente, don Benigno Sanjoaquín, se le informó del Auto que declaraba la responsabilidad de su padre y del emplazamiento de sus herederos, de modo que todos ellos pudieron tener conocimiento de dicha declaración y oportunidad de designar Abogado y Procurador que les defendiera y representase.</w:t>
      </w:r>
    </w:p>
    <w:p w:rsidR="001C705E" w:rsidRDefault="001C705E" w:rsidP="001C705E">
      <w:pPr>
        <w:pStyle w:val="TextoNormal"/>
      </w:pPr>
      <w:r>
        <w:t>Pero es que además, en su segunda comparecencia ante el Juzgado, resulta evidente que don Benigno Sanjoaquín habla en nombre de todos los herederos, cuando expresamente relata el acuerdo al que todos ellos han llegado con los perjudicados y con su compañía de seguros (folio 107). A ello hay que añadir que en la providencia del Juzgado de Tarazona de 17 de febrero de 1983 se tienen por designados apud acta Abogado y Procurador «para defender y representar al responsable civil subsidiario» (folio 109) y el equívoco de quién sea éste se deshace si se tiene en cuenta que la compañía aseguradora del vehículo accidentado («Aurora, Sociedad Anónima»), cuyo emplazamiento fue pedido por el defensor del conductor, sustituyó en la póliza de seguro al fallecido, don José Sanjoaquín, por su esposa, doña Agustina García Martín, que es ahora uno de los recurrentes (folio 139).</w:t>
      </w:r>
    </w:p>
    <w:p w:rsidR="001C705E" w:rsidRDefault="001C705E" w:rsidP="001C705E">
      <w:pPr>
        <w:pStyle w:val="TextoNormal"/>
      </w:pPr>
      <w:r>
        <w:t xml:space="preserve">Por último, en las dos Sentencias recaídas existen elementos sobrados para fortalecer más, si cabe, la convicción de que la indefensión alegada no ha tenido lugar. Así, en la </w:t>
      </w:r>
      <w:r>
        <w:lastRenderedPageBreak/>
        <w:t>resolución del Juzgado de Tarazona se cita como parte al responsable civil subsidiario, don José Sanjoaquín Izquierdo, y por fallecimiento de éste sus herederos. compareciendo en Autos su hijo, don Benigno Sanjoaquín. De donde se deduce de manera fehaciente que éste, don Benigno Sanjoaquín, actuó en nombre de todos los herederos, que se vieron beneficiados por el fallo absolutorio, no porque se negara su condición de responsables subsidiarios, sino porque el Juzgado entendió que la Compañía «Asepeyo» no tenía derecho a ser indemnizada de los gastos.</w:t>
      </w:r>
    </w:p>
    <w:p w:rsidR="001C705E" w:rsidRDefault="001C705E" w:rsidP="001C705E">
      <w:pPr>
        <w:pStyle w:val="TextoNormal"/>
      </w:pPr>
    </w:p>
    <w:p w:rsidR="001C705E" w:rsidRDefault="001C705E" w:rsidP="001C705E">
      <w:pPr>
        <w:pStyle w:val="TextoNormal"/>
      </w:pPr>
      <w:r w:rsidRPr="001C705E">
        <w:rPr>
          <w:rStyle w:val="NumeroAFNegritaCaracter"/>
        </w:rPr>
        <w:t>5</w:t>
      </w:r>
      <w:r>
        <w:t>. Como consecuencia de las consideraciones anteriores, se llega a la conclusión de que en el presente asunto no ha habido el menor asomo de indefensión. El Juzgado de Tarazona ha actuado en todo momento correctamente, acordando el emplazamiento de los herederos del responsable civil, que se han comportado como tales al pactar con dos perjudicados. Si las notificaciones se efectuaron a uno de ellos, el emplazamiento estaba concebido en términos plurales, y al comparecer sólo el notificado expresamente, lo hizo de modo que cuando menos, creaba algo más que la mera apariencia de estar actuando en nombre de todos, puesto que se le dio cuenta de la resolución que declaraba la responsabilidad civil subsidiaria y del emplazamiento dirigido a la totalidad de los herederos.</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promovido por doña Agustina García Martín y don Benigno, doña María Teresa y doña Adoración Sanjoaquín García.</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once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2" w:name="SENTENCIA_1985_19"/>
      <w:r>
        <w:lastRenderedPageBreak/>
        <w:t>SENTENCIA 19/1985, de 13 de febrero de 1985</w:t>
      </w:r>
    </w:p>
    <w:bookmarkEnd w:id="22"/>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ECLI:ES:TC:1985:19</w:t>
      </w:r>
    </w:p>
    <w:p w:rsidR="001C705E" w:rsidRDefault="001C705E" w:rsidP="001C705E">
      <w:pPr>
        <w:pStyle w:val="SntesisDescriptiva"/>
      </w:pPr>
    </w:p>
    <w:p w:rsidR="001C705E" w:rsidRDefault="001C705E" w:rsidP="001C705E">
      <w:pPr>
        <w:pStyle w:val="SntesisDescriptiva"/>
      </w:pPr>
      <w:r>
        <w:t>Recurso de amparo 98/1984. Despido por incumplimiento de obligaciones laborales debido a la alegada incompatibilidad de las mismas con la práctica religiosa de la recurrente.</w:t>
      </w:r>
    </w:p>
    <w:p w:rsidR="001C705E" w:rsidRDefault="001C705E" w:rsidP="001C705E">
      <w:pPr>
        <w:pStyle w:val="SntesisDescriptiva"/>
      </w:pPr>
    </w:p>
    <w:p w:rsidR="001C705E" w:rsidRDefault="001C705E" w:rsidP="001C705E">
      <w:pPr>
        <w:pStyle w:val="SntesisAnaltica"/>
      </w:pPr>
      <w:r>
        <w:t>Supuesta violación del art. 16 de la C.E.</w:t>
      </w:r>
    </w:p>
    <w:p w:rsidR="001C705E" w:rsidRDefault="001C705E" w:rsidP="001C705E">
      <w:pPr>
        <w:pStyle w:val="SntesisAnaltica"/>
      </w:pPr>
    </w:p>
    <w:p w:rsidR="001C705E" w:rsidRDefault="001C705E" w:rsidP="001C705E">
      <w:pPr>
        <w:pStyle w:val="Extracto"/>
      </w:pPr>
      <w:r>
        <w:t>1.</w:t>
      </w:r>
      <w:r>
        <w:tab/>
        <w:t xml:space="preserve">Aunque es evidente que el respeto a los derechos fundamentales y libertades públicas garantizados por la Constitución es un componente esencial del orden público, y que, en consecuencia, han de tenerse por nulas las estipulaciones contradichas incompatibles con este respeto, no se sigue de ahí, de modo alguno, que la invocación de estos derechos o libertades puede ser utilizada por una de las partes contratantes para imponer a la otra las modificaciones de la redacción contractual que considere oportunas. </w:t>
      </w:r>
    </w:p>
    <w:p w:rsidR="001C705E" w:rsidRDefault="001C705E" w:rsidP="001C705E">
      <w:pPr>
        <w:pStyle w:val="Extracto"/>
      </w:pPr>
    </w:p>
    <w:p w:rsidR="001C705E" w:rsidRDefault="001C705E" w:rsidP="001C705E">
      <w:pPr>
        <w:pStyle w:val="Extracto"/>
      </w:pPr>
      <w:r>
        <w:t>2.</w:t>
      </w:r>
      <w:r>
        <w:tab/>
        <w:t xml:space="preserve">El derecho fundamental recogido en el art. 16 de la C.E. comprende, junto a las modalidades de la libertad de conciencia y la de pensamiento, íntimas y también exteriorizadas, una libertad de acción respecto de las cuales el art. 16. 2 establece un acotamiento negativo en cuanto dispone que «nadie podrá ser obligado a declarar sobre su conciencia, religión o creencias». </w:t>
      </w:r>
    </w:p>
    <w:p w:rsidR="001C705E" w:rsidRDefault="001C705E" w:rsidP="001C705E">
      <w:pPr>
        <w:pStyle w:val="Extracto"/>
      </w:pPr>
    </w:p>
    <w:p w:rsidR="001C705E" w:rsidRDefault="001C705E" w:rsidP="001C705E">
      <w:pPr>
        <w:pStyle w:val="Extracto"/>
      </w:pPr>
      <w:r>
        <w:t>3.</w:t>
      </w:r>
      <w:r>
        <w:tab/>
        <w:t xml:space="preserve">Cuando una empresa no dispensa a un trabajador del régimen laboral establecido respecto a la jornada de trabajo, para posibilitarle el cumplimiento de sus deberes religiosos, podrá existir una incompatibilidad entre los deberes religiosos, en cuanto imponga la inactividad laboral, y la ejecución del trabajo o el cumplimiento de obligaciones laborales, pero no una coercibilidad contraria al principio de neutralidad que debe presidir, en la materia, la conducta del empresario. </w:t>
      </w:r>
    </w:p>
    <w:p w:rsidR="001C705E" w:rsidRDefault="001C705E" w:rsidP="001C705E">
      <w:pPr>
        <w:pStyle w:val="Extracto"/>
      </w:pPr>
    </w:p>
    <w:p w:rsidR="001C705E" w:rsidRDefault="001C705E" w:rsidP="001C705E">
      <w:pPr>
        <w:pStyle w:val="Extracto"/>
      </w:pPr>
      <w:r>
        <w:t>4.</w:t>
      </w:r>
      <w:r>
        <w:tab/>
        <w:t xml:space="preserve">Partiendo del régimen de jornada establecida con carácter general para una empresa, el otorgamiento de un descanso semanal distinto supondría una excepcionalidad que, aunque pudiera estimarse como razonable, comportaría la legitimidad del otorgamiento de esta dispensa del régimen general, pero no la imperatividad de su imposición al empresario. </w:t>
      </w:r>
    </w:p>
    <w:p w:rsidR="001C705E" w:rsidRDefault="001C705E" w:rsidP="001C705E">
      <w:pPr>
        <w:pStyle w:val="Extracto"/>
      </w:pPr>
    </w:p>
    <w:p w:rsidR="001C705E" w:rsidRDefault="001C705E" w:rsidP="001C705E">
      <w:pPr>
        <w:pStyle w:val="Extracto"/>
      </w:pPr>
      <w:r>
        <w:t>5.</w:t>
      </w:r>
      <w:r>
        <w:tab/>
        <w:t xml:space="preserve">Que el descanso semanal corresponde en España, como en los pueblos de civilización cristiana, al domingo obedece a que tal día es el que por mandato religioso y por tradición se ha acogido en estos pueblos; esto no puede llevar a la creencia de que se trata del mantenimiento de una institución con origen causal único religioso, pues es evidente, de la legislación, que el descanso semanal es una institución secular y laboral, que si comprende el domingo como regla general de descanso semanal es porque este día de la semana es el consagrado por tradición.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lastRenderedPageBreak/>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promovido por doña Margarita Vila Costas, representada por el Procurador don Juan Luis Pérez-Mulet y Suárez, y dirigida por el Abogado don Manuel Jiménez de Parga, contra la Sentencia del Tribunal Central de Trabajo de fecha 2 de diciembre de 1983, recaída en recurso de suplicación, dimanante de proceso por despido laboral, seguido entre la señora Vila Costas y la empresa «lndustrial Dik, Sociedad Anónima», habiendo comparecido en el amparo esta empresa representada por el Procurador don Antonio Rafael Rodríguez Muñoz y dirigida por el Abogado don Manuel Veloso Rodríguez, y el Ministerio Fiscal, habiendo sido Ponente el Presidente de la Sala, don Jerónimo Arozamena Sierra, quien expresa el parecer de la misma.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Procurador don Juan Luis Pérez-Mulet y Suárez, en nombre de doña Margarita Vila Costas, interpuso el 14 de febrero de 1984 recurso de amparo contra la Sentencia del Tribunal Central de Trabajo de 2 de diciembre de 1983, que estimó el recurso de suplicación deducido contra la Sentencia de la Magistratura de Trabajo núm. 2 de Vigo de 14 de marzo de 1983, recaída en proceso sobre despido. Los hechos en que se fundamenta la demanda son los siguientes: </w:t>
      </w:r>
    </w:p>
    <w:p w:rsidR="001C705E" w:rsidRDefault="001C705E" w:rsidP="001C705E">
      <w:pPr>
        <w:pStyle w:val="TextoNormal"/>
      </w:pPr>
      <w:r>
        <w:t xml:space="preserve">A) La señora Vila Costas, que prestaba servicios como estampadora especializada en la empresa «lndustrial Dik, Sociedad Anónima», recibió el 9 de diciembre de 1982 carta de despido por abandono de puesto de trabajo y ausencias injustificadas. Promovido proceso por despido, fue fallado por el Magistrado de Trabajo de Vigo número 2, que declaró la nulidad radical de despido, por entender que era discriminatorio, contra lo dispuesto en el art. 14 de la Constitución (en lo sucesivo C.E.) y 4.2 c) del Estatuto de los Trabajadores (en lo sucesivo ET), despedir a un miembro de la Iglesia Adventista del Séptimo Día por negarse a trabajar desde la puesta del sol del viernes. </w:t>
      </w:r>
    </w:p>
    <w:p w:rsidR="001C705E" w:rsidRDefault="001C705E" w:rsidP="001C705E">
      <w:pPr>
        <w:pStyle w:val="TextoNormal"/>
      </w:pPr>
      <w:r>
        <w:t xml:space="preserve">B) «lndustrial Dik, Sociedad Anónima», interpuso recurso de suplicación que el Tribunal Central de Trabajo resolvió estimando el recurso, y con revocación de la Sentencia suplicada declaro procedente el despido. </w:t>
      </w:r>
    </w:p>
    <w:p w:rsidR="001C705E" w:rsidRDefault="001C705E" w:rsidP="001C705E">
      <w:pPr>
        <w:pStyle w:val="TextoNormal"/>
      </w:pPr>
      <w:r>
        <w:t>C) Entre otros, se consignan como hechos probados que trabajaba la señora Vila Costas, para la empresa, desde el 20 de septiembre de 1971 y que en fecha 4 de septiembre de 1982 fue bautizada según el rito de la Iglesia Adventista del Séptimo Día, convirtiéndose desde esta fecha en miembro practicante de la misma; que por imponerle sus creencias religiosas la inactividad laboral desde la puesta del sol del viernes a la del sábado, la acto</w:t>
      </w:r>
      <w:r>
        <w:lastRenderedPageBreak/>
        <w:t>ra se ve imposibilitada durante tales días de cumplir adecuadamente con su precepto adventista, por lo que pidió el cambio de turno o una ausencia con pérdida de salario con compensación en otras horas, que la empresa no admitió, por lo que abandonó su puesto y fue despedida.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El recurso de amparo se fundamenta por la actora en el motivo siguiente: </w:t>
      </w:r>
    </w:p>
    <w:p w:rsidR="001C705E" w:rsidRDefault="001C705E" w:rsidP="001C705E">
      <w:pPr>
        <w:pStyle w:val="TextoNormal"/>
      </w:pPr>
      <w:r>
        <w:t xml:space="preserve">Violación de la libertad religiosa, derecho fundamental garantizado por el art. 16 de la C.E.; violación que tiene su origen directo e inmediato en la Sentencia del Tribunal Central de Trabajo. </w:t>
      </w:r>
    </w:p>
    <w:p w:rsidR="001C705E" w:rsidRDefault="001C705E" w:rsidP="001C705E">
      <w:pPr>
        <w:pStyle w:val="TextoNormal"/>
      </w:pPr>
      <w:r>
        <w:t xml:space="preserve">Para sostener este motivo hizo las siguientes alegaciones: </w:t>
      </w:r>
    </w:p>
    <w:p w:rsidR="001C705E" w:rsidRDefault="001C705E" w:rsidP="001C705E">
      <w:pPr>
        <w:pStyle w:val="TextoNormal"/>
      </w:pPr>
      <w:r>
        <w:t xml:space="preserve">A) El artículo 16.1 garantiza la libertad religiosa. No precisa este precepto el contenido esencial de la libertad religiosa, pero la doctrina, de forma unánime, considera que esta libertad abarca: La posibilidad de adherirse o no a una confesión religiosa, el cambio de adscripción, la manifestación pública y privada de las propias convicciones, la práctica del culto, la difusión, enseñanza, asociación y prácticas litúrgicas concretas. </w:t>
      </w:r>
    </w:p>
    <w:p w:rsidR="001C705E" w:rsidRDefault="001C705E" w:rsidP="001C705E">
      <w:pPr>
        <w:pStyle w:val="TextoNormal"/>
      </w:pPr>
      <w:r>
        <w:t xml:space="preserve">B) Invoca la Ley orgánica 7/1980, de 5 de julio, de libertad religiosa (art. 2.1), la Declaración Universal de los Derechos Humanos (art. 18), el Pacto Internacional de Derechos Civiles y Políticos (art. 18), Convenio para la Protección de los Derechos Humanos y de las Libertades Fundamentales (art. 9). </w:t>
      </w:r>
    </w:p>
    <w:p w:rsidR="001C705E" w:rsidRDefault="001C705E" w:rsidP="001C705E">
      <w:pPr>
        <w:pStyle w:val="TextoNormal"/>
      </w:pPr>
      <w:r>
        <w:t xml:space="preserve">C) Añade que dadas estas normas del ordenamiento interno y los preceptos de la Ley orgánica 7/1980, la Sentencia del Tribunal Central de Trabajo infringe la libertad religiosa de doña Margarita Vila Costas, que tiene derecho a practicar los actos de culto y conmemorar las festividades en la forma establecida por la Iglesia Adventista del Séptimo Día, que impone a sus fieles la prohibición de actividad laboral desde la puesta del sol del viernes a la puesta del sol del sábado de cada semana; la recurrente se limitó a ejercer su derecho individual de libertad religiosa y por eso se ausentó del lugar de su trabajo, después de haber intentado llegar a un acuerdo con la empresa. </w:t>
      </w:r>
    </w:p>
    <w:p w:rsidR="001C705E" w:rsidRDefault="001C705E" w:rsidP="001C705E">
      <w:pPr>
        <w:pStyle w:val="TextoNormal"/>
      </w:pPr>
      <w:r>
        <w:t xml:space="preserve">D) El art. 3.1 de la Ley Orgánica de Libertad Religiosa nos señala los límites de la libertad: a) protección del derecho de los demás. No aplicable al presente caso, pues ni los restantes trabajadores, ni la empresa misma, resultaban afectados por un cambio de horario, que, según se recoge en los «hechos probados» de la Sentencia había sido establecido para otros operarios: b) salvaguardia de la seguridad, de la salud y de la moralidad pública, como elementos constitutivos del orden público protegido por la Ley en el ámbito de una sociedad democrática. Doña Margarita Vila Costas, en el ejercicio de los derechos dimanantes de la libertad religiosa y de culto no atentó ni contra la seguridad, ni contra la salud, ni contra la moralidad pública. </w:t>
      </w:r>
    </w:p>
    <w:p w:rsidR="001C705E" w:rsidRDefault="001C705E" w:rsidP="001C705E">
      <w:pPr>
        <w:pStyle w:val="TextoNormal"/>
      </w:pPr>
      <w:r>
        <w:t xml:space="preserve">E) Añade que la Sentencia del Tribunal Central invoca el concepto de la mayoría social para limitar el ejercicio de la libertad religiosa y dice que sobre la improcedencia del concepto «mayoría social» para limitar el ejercicio de la libertad religiosa, invoca las Sentencias de este Tribunal de 26 de enero de 1981, 13 de mayo y 12 de noviembre de 1982, interpretando el postulado del artículo 16.3 de la C.E.: «Ninguna confesión tendrá carácter estatal.» Con esa «mayoría social» que utiliza el TCT se llega a una situación en la que la confesión más extendida en una sociedad se convierte en confesión estatal. </w:t>
      </w:r>
    </w:p>
    <w:p w:rsidR="001C705E" w:rsidRDefault="001C705E" w:rsidP="001C705E">
      <w:pPr>
        <w:pStyle w:val="TextoNormal"/>
      </w:pPr>
      <w:r>
        <w:t xml:space="preserve">F) Se apoya la Sentencia del Tribunal Central de Trabajo en el artículo 6 del Convenio 106 de la Organización Internacional del Trabajo, relativo al descanso dominical y hace una transcripción errónea de la norma, pues el apartado 3 del art. 6 del Convenio de la OIT dice: «El período de descanso semanal coincidirá siempre que sea posible, con el día de la semana consagrado al descanso por la tradición o las costumbres del país o de la región», </w:t>
      </w:r>
      <w:r>
        <w:lastRenderedPageBreak/>
        <w:t xml:space="preserve">y la Sentencia del Tribunal Central de Trabajo ha sustituido ««la región»» por ««la religión»» y sobre esta base errónea se construye su razonamiento. No se recoge en la Sentencia del TCT el precepto contenido en el apartado 4 del mismo art. 6 del citado Convenio 106 de la OIT: «Las tradiciones y costumbres de las minorías religiosas serán respetadas, siempre que sea posible.» Si para el Tribunal Central de Trabajo el núm. 3 del art. 6 es un «mandato constitucional», a pesar del condicionante «siempre que sea posible», tendría el TCT haber estimado que el núm. 4 del mismo artículo es otro mandato constitucional, que obliga a respetar a las tradiciones y costumbres de las minorías religiosas. </w:t>
      </w:r>
    </w:p>
    <w:p w:rsidR="001C705E" w:rsidRDefault="001C705E" w:rsidP="001C705E">
      <w:pPr>
        <w:pStyle w:val="TextoNormal"/>
      </w:pPr>
      <w:r>
        <w:t xml:space="preserve">3 El recurso de amparo fue admitido por providencia de 21 de marzo de 1984 y una vez cumplido lo que dispone el art. 51 de la LOTC y no admitido como coadyuvante de la actora a la Unión de Iglesias Cristianas Adventistas del Séptimo Día de España, se pasó al trámite de alegaciones escritas de la actora, de la empresa comparecida como parte y del Ministerio Fiscal: </w:t>
      </w:r>
    </w:p>
    <w:p w:rsidR="001C705E" w:rsidRDefault="001C705E" w:rsidP="001C705E">
      <w:pPr>
        <w:pStyle w:val="TextoNormal"/>
      </w:pPr>
      <w:r>
        <w:t xml:space="preserve">A) La actora, después de ratificar la demanda, citó la Sentencia de este Tribunal 22/1984, de 17 de febrero, que contiene una doctrina desarrollada en estudios recientes de los que hace una amplia cita, a lo que añade que es interesante la reciente enmienda introducida por el Congreso de los Estados Unidos en las normas sobre cumplimiento de obligaciones religiosas por los empleados de las empresas, y se refiere también a otras consideraciones hechas por la Unión de Iglesias que pretendió comparecer como coadyuvante y que no fue admitida. </w:t>
      </w:r>
    </w:p>
    <w:p w:rsidR="001C705E" w:rsidRDefault="001C705E" w:rsidP="001C705E">
      <w:pPr>
        <w:pStyle w:val="TextoNormal"/>
      </w:pPr>
      <w:r>
        <w:t xml:space="preserve">B) El Ministerio Fiscal se opuso al otorgamiento del amparo por las siguientes razones: </w:t>
      </w:r>
    </w:p>
    <w:p w:rsidR="001C705E" w:rsidRDefault="001C705E" w:rsidP="001C705E">
      <w:pPr>
        <w:pStyle w:val="TextoNormal"/>
      </w:pPr>
      <w:r>
        <w:t xml:space="preserve">a) El despido se ha declarado únicamente por incumplimiento de obligaciones contractuales, esto es, por causas laborales, y no por pertenecer la actora a una confesión religiosa determinada. </w:t>
      </w:r>
    </w:p>
    <w:p w:rsidR="001C705E" w:rsidRDefault="001C705E" w:rsidP="001C705E">
      <w:pPr>
        <w:pStyle w:val="TextoNormal"/>
      </w:pPr>
      <w:r>
        <w:t xml:space="preserve">b) El derecho de libertad religiosa no es absoluto en sí mismo, teniendo, por el contrario, sus límites: En el orden público; los demás derechos y libertades fundamentales; el límite genérico del art. 10.1 de la Constitución, y, en el presente caso viene dado por la aplicación de un mandato constitucional, cual es el art. 35.2 de la Constitución, limitación que no supone vulneración del art. 16.1. </w:t>
      </w:r>
    </w:p>
    <w:p w:rsidR="001C705E" w:rsidRDefault="001C705E" w:rsidP="001C705E">
      <w:pPr>
        <w:pStyle w:val="TextoNormal"/>
      </w:pPr>
      <w:r>
        <w:t xml:space="preserve">c) En el ámbito laboral los principios respecto al límite de la libertad religiosa son los recogidos en el art. 6 del Convenio OIT 106, en el que se establece que el descanso semanal coincidirá, siempre que sea posible, con el día señalado por la tradición o las costumbres del país o de la región. </w:t>
      </w:r>
    </w:p>
    <w:p w:rsidR="001C705E" w:rsidRDefault="001C705E" w:rsidP="001C705E">
      <w:pPr>
        <w:pStyle w:val="TextoNormal"/>
      </w:pPr>
      <w:r>
        <w:t xml:space="preserve">d) La interpretación realizada por el Tribunal Central de Trabajo del art. 37.1 del Estatuto de los Trabajadores en relación con el Convenio 106 es correcta y constitucional. </w:t>
      </w:r>
    </w:p>
    <w:p w:rsidR="001C705E" w:rsidRDefault="001C705E" w:rsidP="001C705E">
      <w:pPr>
        <w:pStyle w:val="TextoNormal"/>
      </w:pPr>
      <w:r>
        <w:t xml:space="preserve">C) El Procurador don Antonio Rafael Rodríguez Muñoz, en nombre de «Industrial Dik, sociedad Anónima» se opuso al otorgamiento del amparo. haciendo las siguientes alegaciones: </w:t>
      </w:r>
    </w:p>
    <w:p w:rsidR="001C705E" w:rsidRDefault="001C705E" w:rsidP="001C705E">
      <w:pPr>
        <w:pStyle w:val="TextoNormal"/>
      </w:pPr>
      <w:r>
        <w:t xml:space="preserve">a) Al factum de la Sentencia impugnada nada tiene que objetar; por el contrario, lo acepta y dice que de él deriva necesariamente el despido, y consiguiente extinción del contrato de trabajo por incumplimiento de las obligaciones contractuales de la actora. </w:t>
      </w:r>
    </w:p>
    <w:p w:rsidR="001C705E" w:rsidRDefault="001C705E" w:rsidP="001C705E">
      <w:pPr>
        <w:pStyle w:val="TextoNormal"/>
      </w:pPr>
      <w:r>
        <w:t xml:space="preserve">b) Se trata de un contrato, nacido de la libre voluntad de las partes, con fuerza de ley entre las partes contratantes, que la actora ha incumplido. Nadie discute, añade, la libertad religiosa de la actora, ni su problema individual de conciencia; nadie la ha discriminado dándole un trato diferente por razón de su conversión a la Iglesia Adventista; pues de lo que se trata es de un problema de conciencia de la recurrente que pretende resolverlo acatando las reglas de su religión, que no se conjugan con las normas del contrato, preexistente y con validez no discutida, problema que no puede resolverlo imponiendo esas reglas a </w:t>
      </w:r>
      <w:r>
        <w:lastRenderedPageBreak/>
        <w:t xml:space="preserve">la otra parte contratante. Precisamente, lo que garantiza la Constitución es que nadie pueda imponer a los demás sus creencias religiosas, citando al respecto los arts. 2.1 a) y 6.1 de la Ley orgánica 7/1980, de 5 de julio, el art. 10.1 de la Constitución, y lo que dispone el art. 37.1 del Estatuto de los Trabajadores en cuanto establece el descanso dominical, conforme con nuestra costumbre, salvo que por disposición legal, convenio o contrato, se regule otro régimen de descanso laboral para actividades concretas. </w:t>
      </w:r>
    </w:p>
    <w:p w:rsidR="001C705E" w:rsidRDefault="001C705E" w:rsidP="001C705E">
      <w:pPr>
        <w:pStyle w:val="TextoNormal"/>
      </w:pPr>
      <w:r>
        <w:t xml:space="preserve">c) El art. 14 de la Constitución proscribe la discriminación. La empresa mantiene ante la recurrente la misma actitud, antes y después de la conversión de la misma a la Iglesia Adventista; resulta claro que lo pretendido es un trato favorable en razón a su nueva creencia religiosa, en contra de la tesis de la empresa de no discriminarla en absoluto. En realidad, lo que pretende la recurrente es plantear la cuestión de si el descanso semanal es precepto de la religión católica. Pero no es ésta la verdadera cuestión, porque si en España se ha establecido el descanso dominical no es en acatamiento a ningún precepto religioso, sino por respeto a una costumbre social. </w:t>
      </w:r>
    </w:p>
    <w:p w:rsidR="001C705E" w:rsidRDefault="001C705E" w:rsidP="001C705E">
      <w:pPr>
        <w:pStyle w:val="TextoNormal"/>
      </w:pPr>
      <w:r>
        <w:t xml:space="preserve">d) En cuanto al Convenio OIT 106 es de destacar, en primer lugar, que solo es aplicable al descanso semanal en el comercio y en las oficinas y la empresa aquí se dedica a otra actividad; que lo fundamental de dicho Convenio es establecer un descanso semanal, ininterrumpido, al menos, de veinticuatro horas, dictando para ello varias reglas, la última de las cuales es la concesión simultánea a todas las personas, siendo ello posible, e inmediatamente señala que coincidirá, siendo posible, con el día de la semana consagrado al descanso por la tradición o la costumbre del país o de la región. Añade que, aunque se quisiera olvidar que la organización del trabajo es facultad de la dirección de la empresa, la pretensión de la recurrente conduciría a una discriminación para los demás productores de la empresa, ya que su descanso contaría desde la tarde del viernes hasta el lunes siguiente, mientras que los demás compañeros de trabajo sólo tendrían la parte del sábado y el domingo: alterándose, además, el régimen de trabajo, pues el personal obrero ocupa, en cada turno, la maquinaria toda con que se trabaja en el taller, por lo que, ni queda máquina libre que pudiera trabajar ella fuera de la jornada, ni puede trabajar en la empresa fuera de dicha jornada. </w:t>
      </w:r>
    </w:p>
    <w:p w:rsidR="001C705E" w:rsidRDefault="001C705E" w:rsidP="001C705E">
      <w:pPr>
        <w:pStyle w:val="TextoNormal"/>
      </w:pPr>
      <w:r>
        <w:t>4. Por providencia del 28 de noviembre de 1984 se señaló para la deliberación y fallo el día 23 de enero de 1985, quedando concluido el día 30.</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Dice la demandante de amparo que la Sentencia del Tribunal Central de Trabajo ha incurrido en violación de su derecho o libertad religiosa recogido en el art. 16 de la Constitución, y que esta vulneración se habría producido por no haber declarado nulo el despido de que, apreciando las causas a) y b) del apartado 2. del art. 54 del Estatuto de los Trabajadores, se dispuso por la empresa para la cual prestaba sus servicios. Reconoce la demandante que dejó de asistir al trabajo, y que, en este aspecto no cumplió las prescripciones obligatorias en orden a la jornada de trabajo, pero que esto lo hizo -después de intentar sin éxito que la empresa consintiera en un cambio de régimen-, en razón a sus creencias religiosas y pertenencia a la Iglesia Adventista del Séptimo Día, que le imponen la inactividad laboral desde la puesta del sol del viernes a la del sábado. Busca en este motivo religioso una justificación de su conducta, y, en realidad, que, junto a la reintegración en el trabajo con los efectos inherentes al despido nulo, se reconozca su derecho al descanso semanal no en el domingo, como viene establecido con carácter general, sino en los días </w:t>
      </w:r>
      <w:r>
        <w:lastRenderedPageBreak/>
        <w:t>que su religión proscribe toda actividad laboral. El problema se centra así entre una alegada incompatibilidad entre la práctica religiosa y el cumplimiento de las obligaciones laborales, pues en la argumentación de la demandante se viene, en definitiva, a sostener que pertenece al contenido esencial de la libertad religiosa el que prevalezca ante los deberes laborales, y, por tanto, en la idea del demandante que tenga que conciliarse la organización del trabajo en la empresa -que considera factible sin trastorno grave- a la práctica religiosa.</w:t>
      </w:r>
    </w:p>
    <w:p w:rsidR="001C705E" w:rsidRDefault="001C705E" w:rsidP="001C705E">
      <w:pPr>
        <w:pStyle w:val="TextoNormal"/>
      </w:pPr>
      <w:r>
        <w:t>Situada así en sus precisos términos la cuestión se hace fácil su respuesta, pues, aunque es evidente que el respeto a los derechos fundamentales y libertades públicas garantizados por la Constitución es un componente esencial del orden público, y que, en consecuencia, han de tenerse por nulas las estipulaciones contractuales incompatibles con este respeto, no se sigue de ahí, en modo alguno, que la invocación de estos derechos o libertades puede ser utilizada por una de las partes contratantes para imponer a la otra las modificaciones de la relación contractual que considere oportunas. En el contrato de trabajo que liga a la recurrente con la empresa en la que presta sus servicios, no se ha denunciado la existencia de cláusula o estipulación alguna, que, en sí misma o en la interpretación o aplicación que de ella se hace, pueda resultar lesiva para los derechos fundamentales de la recurrente, y así lo que ésta pretende no es la anulación total o parcial del contrato, sino que se le dispense del cumplimiento de las obligaciones que libremente aceptó y que considera ajustadas a derecho, de manera que no se extraiga de su incumplimiento la necesaria consecuencia del despido. Se evidencia con ello que la idea que subyace a toda la argumentación de la recurrente es la de que un cambio puramente fáctico (el de sus ideas o creencias religiosas), en cuanto que es manifestación de una libertad constitucionalmente garantizada, provoca la modificación de los contratos por ella suscritos. cuyo cumplimiento sólo será exigible, en la medida en que no sea incompatible con las obligaciones que su nueva confesión religiosa le impone, llevando así (sin duda, con la mayor buena fe y movida seguramente de profunda religiosidad) el principio de la sujeción de todos a la Constitución (art. 9.1) a extremos inaceptables por contrarios a principios que, como el de seguridad jurídica, son también objeto de garantía constitucional (art. 9.3).</w:t>
      </w:r>
    </w:p>
    <w:p w:rsidR="001C705E" w:rsidRDefault="001C705E" w:rsidP="001C705E">
      <w:pPr>
        <w:pStyle w:val="TextoNormal"/>
      </w:pPr>
      <w:r>
        <w:t>Aunque bastarían estas consideraciones para llevarnos a una conclusión que niega la pretensión de la recurrente, conviene examinar ésta también, prescindiendo de lo dicho, desde su propio punto de vista.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Empecemos por decir que el derecho fundamental recogido en el art. 16 de la Constitución comprende, junto a las modalidades de la libertad de conciencia y la de pensamiento, íntimas y también exteriorizadas, una libertad de acción respecto de las cuales el art. 16.2 establece un acotamiento negativo en cuanto dispone que «nadie podrá ser obligado a declarar sobre su conciencia, religión o creencias». No se trata, en el caso de que conocemos.  de que se haya negado a la demandante esa libertad íntima, por lo demás incoercible, y tampoco que se haya negado la exteriorización de esas creencias o convicciones religiosas o que se haya cuestionado el acotamiento negativo que hemos dicho.  De lo que se trata es que la Empresa no la ha dispensado del régimen laboral que, respecto a la jornada de trabajo, tiene establecido, de modo que, bien entendido, no la ha posibilitado el cumplimiento de sus deberes religiosos, que es algo sustancialmente bien distinto de una actuación coercitiva impeditiva de la práctica religiosa. Podrá existir -no hay inconveniente en reconocerlo- una incompatibilidad entre los deberes religiosos, en cuanto impongan la inactividad laboral y la ejecución del trabajo o el cumplimiento de obligaciones laborales, pero no una coercibilidad contraria al principio de neutralidad que debe presidir, en la </w:t>
      </w:r>
      <w:r>
        <w:lastRenderedPageBreak/>
        <w:t>materia, la conducta del empresario. En este punto de la argumentación, el tema conduce a la relación del art. 16, en cuanto reconoce, con otras, la libertad religiosa, con otros preceptos constitucionales, cual es art. 14, en cuanto proscribe todo trato discriminatorio por razón de las condiciones o circunstancias que establece en fórmula abierta. Y es que el art. 14, al proclamar la igualdad ante la Ley de todas las personas y prohibir cualquier discriminación por razón de «religión»», está mostrando un núcleo de conexiones de los arts. 16 y 14.  Vamos a estudiar el recurso desde esta conexión para indagar si en la conducta empresarial que la jurisdicción laboral ha ratificado declarando el incumplimiento de obligaciones del trabajador, y, por tanto, que el despido fue procedente, se detecta violación del art. 16 en conexión con el art. 14.</w:t>
      </w:r>
    </w:p>
    <w:p w:rsidR="001C705E" w:rsidRDefault="001C705E" w:rsidP="001C705E">
      <w:pPr>
        <w:pStyle w:val="TextoNormal"/>
      </w:pPr>
    </w:p>
    <w:p w:rsidR="001C705E" w:rsidRDefault="001C705E" w:rsidP="001C705E">
      <w:pPr>
        <w:pStyle w:val="TextoNormal"/>
      </w:pPr>
      <w:r w:rsidRPr="001C705E">
        <w:rPr>
          <w:rStyle w:val="NumeroAFNegritaCaracter"/>
        </w:rPr>
        <w:t>3</w:t>
      </w:r>
      <w:r>
        <w:t>. El descanso mínimo semanal de día y medio ininterrumpido que dice el art.  37.1 del Estatuto de los Trabajadores se organiza en la empresa de que se trata con arreglo a la regla general, según la cual, se comprende el «domingo»» en ese descanso, regla que pertenece al ámbito de lo dispositivo, pues cabe que por convenio colectivo o contrato de trabajo se pacte una regulación distinta. Es este precepto, juntamente con el art. 17.1, también del Estatuto, y que declara nulos y sin efectos, entre otros, los pactos individuales y las decisiones unilaterales del empresario que contengan discriminaciones favorables o adversas en el empleo, así como en materia de retribuciones, jornadas y demás condiciones del trabajo. por circunstancias de sexo, origen, estado civil, raza, condición social, ideas religiosas, etc., el que podría llevar a la idea de cuando se defiende un trato distinto en materia de jornada, por pertenecer a una determinada creencia religiosa, no se trata de asegurar un trato igualitario, sino cabalmente, todo lo contrario, cual dispensarle de la jornada normal, en cuanto al descanso semanal, por razón de su creencia religiosa. Partiendo del régimen de jornada establecida con carácter general para la empresa, el otorgamiento de un descanso semanal distinto supondría una excepcionalidad, que, aunque pudiera estimarse como razonable, comportaría la legitimidad del otorgamiento de esta dispensa del régimen general, pero no la imperatividad de su imposición al empresario. El problema tiene, sin embargo, otra variante, cual es si el descanso semanal, instituido, por lo general, en un período que comprende el domingo, tiene o no una conceptuación religiosa que pueda hacer cuestionable que la Ley establezca un régimen favorable para unos creyentes y desfavorable para otros. partiendo de que la libertad religiosa comporta. en aplicación del principio de igualdad.  el tratamiento paritario de las distintas confesiones.</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análisis del factor religioso en la legislación laboral requiere referirse, aunque de modo sucinto, a la evolución de la legislación al respecto, arrancando de la Ley de 3 de abril de 1904, y a partir de ella, las posteriores hasta llegar al Estatuto de los Trabajadores, coincidentes en establecer una interrupción periódica, que comprende el «domingo». Que el descanso semanal corresponda en España, como en los pueblos decivilización cristiana, al domingo, obedece a que tal día es el que por mandato religioso y por tradición se ha acogido en estos pueblos; esto no puede llevar a la creencia de que se trata del mantenimiento de una institución con origen causal único religioso, pues, aunque la cuestión se haya debatido y se haya destacado el origen o la motivación religiosa del descanso semanal, recayente en un período que comprenda el domingo, es inequívoco en el Estatuto de los Trabajadores, y en la precedente (Ley de Relaciones Laborales) y las más anteriores, con la excepción de la Ley de Descanso Dominical de 1940, que el descanso semanal es una institución secular y laboral, que si comprende el «domingo»» como regla general de descanso semanal es porque este día de la semana es el consagrado por la tradición. Este </w:t>
      </w:r>
      <w:r>
        <w:lastRenderedPageBreak/>
        <w:t>es el sentido del descanso semanal en la Ley de 1904, y en el Real Decreto-ley de 8 de junio de 1925 que sustituye a esta Ley y adapta la legislación española al Convenio 14 de la OIT, y estos principios de laicidad de la institución no resultan alterados por la Ley de Jornada Máxima Legal de 1931, y vuelven a inspirar la legislación de 1976 (la Ley de Relaciones Laborales), superada la etapa confesional que supuso la Ley de Descanso Dominical de 13 de julio de 1940, de la que se ha dicho autorizadamente que, «aparte su acusado espíritu social, tiene también un cierto espíritu religioso, muy diferente al que informó las Leyes de 1904 y 1925». Esta secularización -no podía ser de otro modo, dada la aconfesionalidad que proclama el art. 16 de la Constitución- se mantiene en el art. 37.1 del Estatuto de los Trabajadores, que dispone que «los trabajadores tendrán derecho a un descanso mínimo semanal de día y medio ininterrumpido que, como regla general comprenderá a la tarde del sábado o, en su caso, la mañana del lunes y el día completo del domingo», a lo que seguidamente añade la posibilidad de modificar esta regla general -dispositiva, en este sentido- por convenio colectivo, contrato de trabajo (también por disposición legal o autorización de la autoridad competente), con lo que está remitiendo a la voluntad concordada de las partes la fijación del día de descanso. Puesto que la voluntad de las partes no se limita en la Ley, ni en cuanto al contenido  del acuerdo ni en cuanto a su causa justificadora, el Estatuto otorga carácter dispositivo a la determinación del día del descanso. que es, por tanto, indiferente para el legislador. La tesis de la demandante conduce a configurar el descanso semanal como institución marcadamente religiosa -que no es, como hemos visto, en la legislación-, o desde la perspectiva de la disponibilidad que hemos dicho, a dejarlo a la voluntad de una de las partes, lo que obviamente, no es posible, por muy respetables que sean -y lo son- sus convicciones religiosas.</w:t>
      </w:r>
    </w:p>
    <w:p w:rsidR="001C705E" w:rsidRDefault="001C705E" w:rsidP="001C705E">
      <w:pPr>
        <w:pStyle w:val="TextoNormal"/>
      </w:pPr>
    </w:p>
    <w:p w:rsidR="001C705E" w:rsidRDefault="001C705E" w:rsidP="001C705E">
      <w:pPr>
        <w:pStyle w:val="TextoNormal"/>
      </w:pPr>
      <w:r w:rsidRPr="001C705E">
        <w:rPr>
          <w:rStyle w:val="NumeroAFNegritaCaracter"/>
        </w:rPr>
        <w:t>5</w:t>
      </w:r>
      <w:r>
        <w:t>. Se ha invocado en la demanda el Convenio núm. 106 de la OIT (art. 6.3), convenio relativo al descanso semanal en el comercio y en las oficinas, aunque más pertinente -dado el sector al que pertenece la empresa- aparece la cita del Convenio núm. 14 de la OIT (art. 2. 3), que es el relativo a la aplicación del descanso semanal en las empresas industriales. De todos modos, uno y otro responden a la misma idea, y, en lo sustancial, a redacciones equivalentes.  Dispone el art. 2.3 del Convenio número 14 que «el descanso coincidirá, siempre que sea posible, con los días consagrados por la tradición o la costumbre del país o de la región». Fue este Convenio el que en parte determino el Real Decreto-ley de 8 de junio de 1925, para adaptar la legislación española al indicado Convenio, aprobado por la Tercera Conferencia de la OIT. La preferencia del Estatuto de los Trabajadores (y anteriormente la legislación a la que nos hemos referido en el fundamento precedente) por el «domingo», lo es por ser éste el día tradicional y generalizado del descanso.  La fijación del «domingo» es, desde esta perspectiva, el desarrollo laboral e interno del art. 2.3 del Convenio número 14 del art. 6.3 del Convenio núm.  106.  Correspondiendo a nuestra tradición el descanso en domingo, es éste el día señalado preferentemente. La finalidad de una preferencia general es, por lo demás, patente, pues mediante la coincidencia del descanso laboral, y los que vacan las oficinas públicas, los centros escolares, etc., se facilita mejor el cumplimiento de los objetivos del descanso.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 por doña Margarita Vila Costas.</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trece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3" w:name="SENTENCIA_1985_20"/>
      <w:r>
        <w:lastRenderedPageBreak/>
        <w:t>SENTENCIA 20/1985, de 14 de febrero de 1985</w:t>
      </w:r>
    </w:p>
    <w:bookmarkEnd w:id="23"/>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ECLI:ES:TC:1985:20</w:t>
      </w:r>
    </w:p>
    <w:p w:rsidR="001C705E" w:rsidRDefault="001C705E" w:rsidP="001C705E">
      <w:pPr>
        <w:pStyle w:val="SntesisDescriptiva"/>
      </w:pPr>
    </w:p>
    <w:p w:rsidR="001C705E" w:rsidRDefault="001C705E" w:rsidP="001C705E">
      <w:pPr>
        <w:pStyle w:val="SntesisDescriptiva"/>
      </w:pPr>
      <w:r>
        <w:t>Recurso de inconstitucionalidad 687/1983. Promovido por el Defensor del Pueblo contra el inciso "más representativas, de conformidad con la disposición adicional sexta de la Ley 8/1980 de 10 de marzo, del Estatuto de los Trabajadores...", contenido en el capítulo 04, art. 48, concepto 483, del anexo III, Sección 19 (Trabajo y Seguridad Social), Servicio 01, de la ley 9/1983 de 13 de julio, de Presupuestos Generales del Estado para 1983. Voto particular</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Reiterando lo establecido en las SSTC 23/1983, de 25 de marzo, y 99/1983, de 16 de noviembre, ha de afirmarse que cualquier actuación del Estado en relación a los Sindicatos ha de respetar la libertad sindical, y por ello el Tribunal ya ha indicado que la libertad sindical comprende el derecho a que la Administración Pública no se injiera o interfiera en la actividad de las organizaciones sindicales, y el derecho de éstas a no ser discriminadas por parte de la Administración de modo arbitrario o irrazonable. </w:t>
      </w:r>
    </w:p>
    <w:p w:rsidR="001C705E" w:rsidRDefault="001C705E" w:rsidP="001C705E">
      <w:pPr>
        <w:pStyle w:val="Extracto"/>
      </w:pPr>
    </w:p>
    <w:p w:rsidR="001C705E" w:rsidRDefault="001C705E" w:rsidP="001C705E">
      <w:pPr>
        <w:pStyle w:val="Extracto"/>
      </w:pPr>
      <w:r>
        <w:t>2.</w:t>
      </w:r>
      <w:r>
        <w:tab/>
        <w:t xml:space="preserve">El derecho a la libertad sindical comprende el derecho de las organizaciones sindicales a no ser tratadas de forma discriminatoria por los poderes públicos, discriminación que se produce cuando la desigualdad está desprovista de una justificación objetiva y razonable, que debe apreciarse en relación a la finalidad y efectos de la medida considerada, debiendo darse una relación razonable de proporcionalidad entre los medios empleados y la finalidad perseguida. </w:t>
      </w:r>
    </w:p>
    <w:p w:rsidR="001C705E" w:rsidRDefault="001C705E" w:rsidP="001C705E">
      <w:pPr>
        <w:pStyle w:val="Extracto"/>
      </w:pPr>
    </w:p>
    <w:p w:rsidR="001C705E" w:rsidRDefault="001C705E" w:rsidP="001C705E">
      <w:pPr>
        <w:pStyle w:val="Extracto"/>
      </w:pPr>
      <w:r>
        <w:t>3.</w:t>
      </w:r>
      <w:r>
        <w:tab/>
        <w:t xml:space="preserve">La defensa y promoción de los intereses económicos y sociales de los trabajadores se atribuye por la Constitución a todos los Sindicatos sin distinción; por lo que corresponde a los órganos del Estado demandados en el procedimiento constitucional la carga de ofrecer la justificación que posee el diferente trato legal. </w:t>
      </w:r>
    </w:p>
    <w:p w:rsidR="001C705E" w:rsidRDefault="001C705E" w:rsidP="001C705E">
      <w:pPr>
        <w:pStyle w:val="Extracto"/>
      </w:pPr>
    </w:p>
    <w:p w:rsidR="001C705E" w:rsidRDefault="001C705E" w:rsidP="001C705E">
      <w:pPr>
        <w:pStyle w:val="Extracto"/>
      </w:pPr>
      <w:r>
        <w:t>4.</w:t>
      </w:r>
      <w:r>
        <w:tab/>
        <w:t xml:space="preserve">Como ya ha afirmado el Tribunal, la libertad de sindicación y de afiliación que reconoce el art. 28.1 de la C.E., ha de protegerse tanto frente a los actos que directamente atentan contra ella, por medio de coacción, mandato imperativo o imposición de obligación, como en lo que se refiere a las más larvadas violaciones indirectas que puedan existir en aquellos casos que se produce una presión para que los trabajadores adopten una actitud, que, al nacer de una presión, deja de ser libre.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w:t>
      </w:r>
      <w:r>
        <w:lastRenderedPageBreak/>
        <w:t>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inconstitucionalidad núm. 687/1983, promovido por el Defensor del Pueblo, contra el inciso «más representativas, de conformidad con la disposición adicional sexta de la Ley 8/1980, de 10 de marzo, del Estatuto de los Trabajadores...», contenido en el capítulo 04, art. 48, concepto 483, del anexo 111, sección 19 (Trabajo y Seguridad Social), servicio 01, de la Ley 9/198 3, de 13 de julio, de Presupuestos Generales del Estado para 1983, publicada en el «Boletín Oficial del Estado» del día 14 de julio. Ha sido parte el Gobierno de la Nación, representado por el Abogado del Estado, y Ponente el Magistrado don Rafael Gómez-Ferrer Morant,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En 14 de octubre de 1983, el Defensor del Pueblo, en ejercicio de la legitimación conferida por los arts. 162.1 de la Constitución, 23.1 de la Ley Orgánica del Tribunal constitucional (LOTC) y 29 de la Ley orgánica del Defensor del Pueblo, interpone recurso de inconstitucionalidad contra el inciso «más representativas de conformidad con la disposición adicional sexta de la Ley 8/1980, de 10 de marzo, del Estatuto de los Trabajadores...», contenido en el capítulo 04, art. 48, concepto 483, del anexo 111, sección 19 (Trabajo y Seguridad Social), servicio 01, de la Ley 9/1983, de 13 de julio, de Presupuestos Generales del Estado para 1983, publicado en el «Boletín Oficial del Estado» de 14 de julio de 1983, por estimar que el mismo vulnera los arts. 28.1, 7 y 14 de la Constitución, con la súplica de que se dicte en su día Sentencia por la que se declare la inconstitucionalidad del mismo. </w:t>
      </w:r>
    </w:p>
    <w:p w:rsidR="001C705E" w:rsidRDefault="001C705E" w:rsidP="001C705E">
      <w:pPr>
        <w:pStyle w:val="TextoNormal"/>
      </w:pPr>
      <w:r>
        <w:t>La lectura de los Presupuestos Generales del Estado para el ejercicio económico de 1983, aprobados por la Ley 9/1983, de 13 de julio, acredita que el inciso impugnado se incluye en el Estado de Gastos, en concreto en la sección 19 correspondiente al Ministerio de Trabajo y Seguridad Social, servicio 01 («Ministerio y Servicios Generales»), capítulo 04 («Transferencias corrientes»), art. 48 («A familias e instituciones sin fines de lucro»), concepto 483, con un total en miles de pesetas de 896.000.</w:t>
      </w:r>
    </w:p>
    <w:p w:rsidR="001C705E" w:rsidRDefault="001C705E" w:rsidP="001C705E">
      <w:pPr>
        <w:pStyle w:val="TextoNormal"/>
      </w:pPr>
    </w:p>
    <w:p w:rsidR="001C705E" w:rsidRDefault="001C705E" w:rsidP="001C705E">
      <w:pPr>
        <w:pStyle w:val="TextoNormal"/>
      </w:pPr>
      <w:r w:rsidRPr="001C705E">
        <w:rPr>
          <w:rStyle w:val="NumeroAFNegritaCaracter"/>
        </w:rPr>
        <w:t>2</w:t>
      </w:r>
      <w:r>
        <w:t>. Como antecedentes de su recurso, el Defensor del Pueblo se refiere a la Ley 44/1982, de 26 de diciembre, de Presupuestos Generales del Estado para 1982, y a las diversas vicisitudes a que dio lugar su aplicación, incluidas las Sentencias de la Sección 1.ª de lo Contencioso-Administrativo de la Audiencia Nacional de 16 de octubre de 1982 y del Tribunal Supremo de 28 de febrero de 1983; asimismo expone la tramitación previa seguida para la interposición del recurso a partir del escrito dirigido al Defensor del Pue</w:t>
      </w:r>
      <w:r>
        <w:lastRenderedPageBreak/>
        <w:t xml:space="preserve">blo por el Secretario general de la Confederación Unión Sindical Obrera (USO), y concreta el texto completo del párrafo en el que se encuentra el inciso impugnado, que es el siguiente: </w:t>
      </w:r>
    </w:p>
    <w:p w:rsidR="001C705E" w:rsidRDefault="001C705E" w:rsidP="001C705E">
      <w:pPr>
        <w:pStyle w:val="TextoNormal"/>
      </w:pPr>
      <w:r>
        <w:t xml:space="preserve">«A las Centrales Sindicales más representativas, de conformidad con la disposición adicional sexta de la Ley 8/1980, de 10 de marzo, del Estatuto de los Trabajadores, en proporción a su representatividad, según los resultados globales a que hace referencia el art. 75.5 de dicha Ley, para la realización de actividades socioculturales, promoción de los trabajadores, organización de actividades de carácter formativo y otras, dentro de los fines propios de aquéllas.» </w:t>
      </w:r>
    </w:p>
    <w:p w:rsidR="001C705E" w:rsidRDefault="001C705E" w:rsidP="001C705E">
      <w:pPr>
        <w:pStyle w:val="TextoNormal"/>
      </w:pPr>
      <w:r>
        <w:t>La redacción transcrita tiene en consideración la errata contenida en la publicación de los Presupuestos Generales del Estado en el «Boletín Oficial del Estado» de 14 de julio de 1983, ya que en la misma se hace constar el año 1982, en vez del de 1980, como año de promulgación del Estatuto de los Trabajadores.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Los fundamentos de Derecho del recurso son los siguientes: </w:t>
      </w:r>
    </w:p>
    <w:p w:rsidR="001C705E" w:rsidRDefault="001C705E" w:rsidP="001C705E">
      <w:pPr>
        <w:pStyle w:val="TextoNormal"/>
      </w:pPr>
      <w:r>
        <w:t xml:space="preserve">a) El Defensor del Pueblo parte de que el principio de igualdad -art. 14 de la Constitución- y la libertad sindical -art. 28.1 -, que estima vulnerados, no sólo son nociones inseparables sino términos recíprocamente referibles, citando en apoyo de esta tesis las Sentencias del Tribunal Constitucional 65/1982 y 23/1983. </w:t>
      </w:r>
    </w:p>
    <w:p w:rsidR="001C705E" w:rsidRDefault="001C705E" w:rsidP="001C705E">
      <w:pPr>
        <w:pStyle w:val="TextoNormal"/>
      </w:pPr>
      <w:r>
        <w:t xml:space="preserve">b) A continuación el escrito se refiere al principio de igualdad ante la Ley, efectuando diversas consideraciones acerca del alcance del mismo de acuerdo con la doctrina sentada por este Tribunal en sus Sentencias de 2 de julio, 10 y 16 de noviembre, todas ellas de 1981, y de 26 de febrero de 1982, indicando que en este mismo sentido es necesario tener en cuenta las Sentencias de la Sección 1.ª de la Audiencia Nacional de 16 de octubre de 1982 y del Tribunal Supremo de 28 de febrero de 1983 antes mencionadas. </w:t>
      </w:r>
    </w:p>
    <w:p w:rsidR="001C705E" w:rsidRDefault="001C705E" w:rsidP="001C705E">
      <w:pPr>
        <w:pStyle w:val="TextoNormal"/>
      </w:pPr>
      <w:r>
        <w:t xml:space="preserve">c) La libertad sindical es objeto de consideración, seguidamente, poniendo de manifiesto que se encuentra consagrada en los arts. 7 y 28.1 de la Constitución, estimando que el segundo posee vis absorbente o integradora respecto del primero, conclusión que apoya en el Convenio 87 de la OIT, para concluir que ambos preceptos han de gozar de la protección reforzada establecida por el art. 53. 1 y 2 de la Constitución. Después de aludir al art. 9.2 de la Constitución -en cuanto se refiere a la libertad e igualdad real y efectiva-, cuyo contenido confluye a su juicio con los artículos 3, 8.2 y 11 del citado Convenio 87, el Defensor del Pueblo pone de manifiesto que la Constitución formula un amplísimo reconocimiento de la libertad sindical, constituyéndola en fuente de todos los derechos de significación colectivos en el ámbito de relaciones laborales, de forma tal que comprende dos derechos subjetivos, el de libertad sindical individual y el de libertad sindical colectiva; por último, efectúa diversas consideraciones acerca de la libertad sindical, a partir de los Convenios internacionales y de las Sentencias del Tribunal de 23/1983, de 25 de marzo, y 37/1983, de 11 de mayo. </w:t>
      </w:r>
    </w:p>
    <w:p w:rsidR="001C705E" w:rsidRDefault="001C705E" w:rsidP="001C705E">
      <w:pPr>
        <w:pStyle w:val="TextoNormal"/>
      </w:pPr>
      <w:r>
        <w:t>d) En función de las consideraciones anteriores el problema que se plantea en el recurso, según indica el Defensor del Pueblo, es doble: En primer lugar, el relativo a si la diferencia de trato establecida en la Ley 9/1983, por la que las Centrales Sindicales que no sean las «más representativas» quedan excluidas de la percepción de la subvención consignada, tiene una justificación suficiente que la libere de un carácter discriminatorio; y en segundo término, si la diferencia de trato establecida por el legislador vulnera derechos y libertades reconocidos en la Constitución y, en concreto, el de libertad sindical proclamado en el art. 28.1 de la misma. Si bien, con carácter previo al examen de ambas cuestiones, el Defensor del Pueblo sostiene que la disposición adicional sexta del Estatuto de los Tra</w:t>
      </w:r>
      <w:r>
        <w:lastRenderedPageBreak/>
        <w:t xml:space="preserve">bajadores no es, de ninguna manera, habilitante para aplicarla a distintos supuestos de los contemplados en la misma, citando en apoyo de su tesis las Sentencias 53/1982 y 65/1982. </w:t>
      </w:r>
    </w:p>
    <w:p w:rsidR="001C705E" w:rsidRDefault="001C705E" w:rsidP="001C705E">
      <w:pPr>
        <w:pStyle w:val="TextoNormal"/>
      </w:pPr>
      <w:r>
        <w:t xml:space="preserve">e) En cuanto a la primera cuestión formulada, el Defensor del Pueblo se refiere a los supuestos en que es posible otorgar a las organizaciones sindicales «más representativas» determinados privilegios o ventajas, sin que ello produzca discriminación en relación con las demás organizaciones sindicales. Después de aludir a la Sentencia 52/1982 del Tribunal Constitucional, y a diversas decisiones del Comité de Libertad Sindical del Consejo de Administración de la OIT, sostiene que no hay ninguna conexión lógica (de causa a efecto) entre la finalidad de la disposición adicional sexta del Estatuto de los Trabajadores y la finalidad de la subvención; que la concesión de una subvención económica a favor de determinadas Centrales Sindicales, y no a otras, incide frontalmente en el derecho de libertad sindical, en cuanto canaliza, predispone, estimula y promueve la elección por parte del trabajador de aquellas Centrales Sindicales que por gozar de un apoyo financiero están en condiciones de ofrecer mejores prestaciones asistenciales y servicios de defensa; y, por último, que la concesión por los poderes públicos de ventajas o privilegios a unos sindicatos en detrimento de otros, siempre que sobrepase los supuestos de una prioridad en materia de representación, afecta a la libertad sindical y, desde luego, en ninguna norma o texto de la OIT, ni del Comité de Libertad Sindical, se justifica la concesión de ventajas económicas a unos sindicatos en contra de otros que ejercen legítimamente sus funciones. </w:t>
      </w:r>
    </w:p>
    <w:p w:rsidR="001C705E" w:rsidRDefault="001C705E" w:rsidP="001C705E">
      <w:pPr>
        <w:pStyle w:val="TextoNormal"/>
      </w:pPr>
      <w:r>
        <w:t>f) Antes de sentar las conclusiones a que llega, el Defensor del Pueblo analiza las consecuencias reales de la aplicación del texto legal impugnado, en relación con los resultados de las últimas elecciones sindicales celebradas, para sostener que la consecuencia esencial de la diferencia de trato es que las Centrales u Organizaciones Sindicales que estén desarrollando legítimamente funciones sindicales representativas, que han obtenido suficiente número de representantes sindicales para participar en negociaciones de convenios colectivos en ámbitos provinciales e, incluso, nacionales (en cumplimiento del art. 87 del Estatuto de los Trabajadores), en determinadas ramas de la producción, son excluidas de la subvención consignada de los fondos públicos, encontrándose las Centrales Sindicales minoritarias con mayores dificultades para realizar actividades que son consideradas dignas de interés por el legislador y merecedoras de apoyo económico, disfavor que afecta a todo el sector laboral que no está representado por las Centrales Sindicales favorecidas por la subvención. Tal disfavor, más allá de su significación económica, afecta al valor del pluralismo que consagra la Constitución, cuya defensa obliga a que se otorgue un trato equitativo a la pluralidad de organizaciones existentes, y se conculca cuando se dificulten las condiciones de ejercicio de sus derechos a las minorías, privilegiando a las mayorías; es más, el art. 9.3 de la Constitución impone a los poderes públicos el deber de promover las condiciones para que la igualdad sea real y efectiva.</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En virtud de los fundamentos anteriores, y como conclusión de los mismos, el Defensor del Pueblo entiende que en el caso examinado: </w:t>
      </w:r>
    </w:p>
    <w:p w:rsidR="001C705E" w:rsidRDefault="001C705E" w:rsidP="001C705E">
      <w:pPr>
        <w:pStyle w:val="TextoNormal"/>
      </w:pPr>
      <w:r>
        <w:t xml:space="preserve">a) Se ha concedido a las Organizaciones Sindicales más representativas privilegios que exceden de una prioridad en materia de representación en las negociaciones colectivas, consultas con los Gobiernos o incluso en materia de designación de los Delegados ante Organismos Internacionales» (informe 36, caso 190, párrafo 193). </w:t>
      </w:r>
    </w:p>
    <w:p w:rsidR="001C705E" w:rsidRDefault="001C705E" w:rsidP="001C705E">
      <w:pPr>
        <w:pStyle w:val="TextoNormal"/>
      </w:pPr>
      <w:r>
        <w:t xml:space="preserve">b) La concesión de un beneficio económico con destino a ciertos Sindicatos y con exclusión de todos los demás, genera un indiscutible trato de favor y «es susceptible de permitir futuras actuaciones de injerencia» (Sentencia de la Audiencia Nacional de 16 de octubre de 1982). </w:t>
      </w:r>
    </w:p>
    <w:p w:rsidR="001C705E" w:rsidRDefault="001C705E" w:rsidP="001C705E">
      <w:pPr>
        <w:pStyle w:val="TextoNormal"/>
      </w:pPr>
      <w:r>
        <w:lastRenderedPageBreak/>
        <w:t xml:space="preserve">c) El trato de favor así legalizado, en tanto en cuanto sitúa a ciertas Centrales Sindicales en una situación de privilegio dentro del universo sindical de referencia, engendra una desigualdad jurídica y de hecho, de innegable relevancia. </w:t>
      </w:r>
    </w:p>
    <w:p w:rsidR="001C705E" w:rsidRDefault="001C705E" w:rsidP="001C705E">
      <w:pPr>
        <w:pStyle w:val="TextoNormal"/>
      </w:pPr>
      <w:r>
        <w:t xml:space="preserve">d) La ventaja otorgada a las Centrales Sindicales «más representativas» no tiene una justificación objetiva y razonable, y no se funda en «elementos que no ofrezcan posibilidad de parcialidad o abuso», al quedar excluidos de la ayuda económica de los fondos públicos Organizaciones Sindicales que están cumpliendo legítimamente sus funciones propias como Sindicatos. </w:t>
      </w:r>
    </w:p>
    <w:p w:rsidR="001C705E" w:rsidRDefault="001C705E" w:rsidP="001C705E">
      <w:pPr>
        <w:pStyle w:val="TextoNormal"/>
      </w:pPr>
      <w:r>
        <w:t xml:space="preserve">e) El disfavor con que la Ley de Presupuestos Generales del Estado para 1983 trata a las Organizaciones Sindicales no mayoritarias es contrario al deber impuesto a los poderes públicos en el art. 9.2 de la Constitución de «promover las condiciones para que la libertad y la igualdad del individuo y de los grupos en que se integra sean reales y efectivas». </w:t>
      </w:r>
    </w:p>
    <w:p w:rsidR="001C705E" w:rsidRDefault="001C705E" w:rsidP="001C705E">
      <w:pPr>
        <w:pStyle w:val="TextoNormal"/>
      </w:pPr>
      <w:r>
        <w:t>f) La exclusión de la ventaja otorgada a las Centrales Sindicales «más representativas» al resto de los Sindicatos, que ejercen sus funciones legítimamente, pone en peligro derechos esenciales comprendidos en la libertad sindical, como los de libre afiliación, derecho de no sindicación y derecho de fundación de Sindicatos, pues puede conllevar una indirecta presión en el ejercicio de los derechos sindicales por parte de los poderes públicos y puede conducir a una orientación de la afiliación hacia los Sindicatos no excluidos.</w:t>
      </w:r>
    </w:p>
    <w:p w:rsidR="001C705E" w:rsidRDefault="001C705E" w:rsidP="001C705E">
      <w:pPr>
        <w:pStyle w:val="TextoNormal"/>
      </w:pPr>
    </w:p>
    <w:p w:rsidR="001C705E" w:rsidRDefault="001C705E" w:rsidP="001C705E">
      <w:pPr>
        <w:pStyle w:val="TextoNormal"/>
      </w:pPr>
      <w:r w:rsidRPr="001C705E">
        <w:rPr>
          <w:rStyle w:val="NumeroAFNegritaCaracter"/>
        </w:rPr>
        <w:t>5</w:t>
      </w:r>
      <w:r>
        <w:t>. Por providencia de 19 de octubre de 1983, la Sección Segunda acordó admitir el recurso, dar traslado del mismo al Congreso de los Diputados y al Senado por conducto de sus Presidentes, y al Gobierno por conducto del Ministerio de Justicia, a fin de que pudieran personarse en el procedimiento y formular las alegaciones que estimaran oportunas, así como publicar en el «Boletín Oficial del Estado» la formalización del recurso.</w:t>
      </w:r>
    </w:p>
    <w:p w:rsidR="001C705E" w:rsidRDefault="001C705E" w:rsidP="001C705E">
      <w:pPr>
        <w:pStyle w:val="TextoNormal"/>
      </w:pPr>
    </w:p>
    <w:p w:rsidR="001C705E" w:rsidRDefault="001C705E" w:rsidP="001C705E">
      <w:pPr>
        <w:pStyle w:val="TextoNormal"/>
      </w:pPr>
      <w:r w:rsidRPr="001C705E">
        <w:rPr>
          <w:rStyle w:val="NumeroAFNegritaCaracter"/>
        </w:rPr>
        <w:t>6</w:t>
      </w:r>
      <w:r>
        <w:t>. El Presidente del Congreso dirigió comunicación al Tribunal en 27 de octubre de 1983, manifestando que no haría uso de las facultades de personación y formulación de alegaciones.</w:t>
      </w:r>
    </w:p>
    <w:p w:rsidR="001C705E" w:rsidRDefault="001C705E" w:rsidP="001C705E">
      <w:pPr>
        <w:pStyle w:val="TextoNormal"/>
      </w:pPr>
    </w:p>
    <w:p w:rsidR="001C705E" w:rsidRDefault="001C705E" w:rsidP="001C705E">
      <w:pPr>
        <w:pStyle w:val="TextoNormal"/>
      </w:pPr>
      <w:r w:rsidRPr="001C705E">
        <w:rPr>
          <w:rStyle w:val="NumeroAFNegritaCaracter"/>
        </w:rPr>
        <w:t>7</w:t>
      </w:r>
      <w:r>
        <w:t>. El Presidente del Senado solicitó en escrito de 3 de noviembre de 1983 que se tuviera por personada a dicha Cámara y por ofrecida su colaboración a los efectos del art. 88.1 de la Ley Orgánica del Tribunal Constitucional.</w:t>
      </w:r>
    </w:p>
    <w:p w:rsidR="001C705E" w:rsidRDefault="001C705E" w:rsidP="001C705E">
      <w:pPr>
        <w:pStyle w:val="TextoNormal"/>
      </w:pPr>
    </w:p>
    <w:p w:rsidR="001C705E" w:rsidRDefault="001C705E" w:rsidP="001C705E">
      <w:pPr>
        <w:pStyle w:val="TextoNormal"/>
      </w:pPr>
      <w:r w:rsidRPr="001C705E">
        <w:rPr>
          <w:rStyle w:val="NumeroAFNegritaCaracter"/>
        </w:rPr>
        <w:t>8</w:t>
      </w:r>
      <w:r>
        <w:t>. Por escrito de 8 de noviembre de 1983, el Abogado del Estado se personó en el procedimiento, y solicitó prórroga del plazo para alegaciones, que le fue otorgada por providencia de 10 de noviembre de 1983.</w:t>
      </w:r>
    </w:p>
    <w:p w:rsidR="001C705E" w:rsidRDefault="001C705E" w:rsidP="001C705E">
      <w:pPr>
        <w:pStyle w:val="TextoNormal"/>
      </w:pPr>
    </w:p>
    <w:p w:rsidR="001C705E" w:rsidRDefault="001C705E" w:rsidP="001C705E">
      <w:pPr>
        <w:pStyle w:val="TextoNormal"/>
      </w:pPr>
      <w:r w:rsidRPr="001C705E">
        <w:rPr>
          <w:rStyle w:val="NumeroAFNegritaCaracter"/>
        </w:rPr>
        <w:t>9</w:t>
      </w:r>
      <w:r>
        <w:t xml:space="preserve">. Por escrito de 22 de noviembre de 1983, el Abogado del Estado formula escrito de alegaciones por el que suplica se dicte Sentencia por la que se desestime el recurso interpuesto y se declare la plena conformidad a la Constitución del precepto impugnado. Esta posición se fundamenta en los argumentos siguientes: </w:t>
      </w:r>
    </w:p>
    <w:p w:rsidR="001C705E" w:rsidRDefault="001C705E" w:rsidP="001C705E">
      <w:pPr>
        <w:pStyle w:val="TextoNormal"/>
      </w:pPr>
      <w:r>
        <w:t xml:space="preserve">a) En primer lugar, el Abogado del Estado niega toda relevancia como precedentes jurisprudenciales a la Sentencia de la Audiencia Nacional de 16 de octubre de 1982 y a la del Tribunal Supremo de 28 de febrero de 1983, que se refieren a un supuesto distinto, pues el contenido de las mismas consiste en anular los actos impugnados por contravenir la Ley de Presupuestos que ordenaba la distribución de determinadas cantidades entre los Sindicatos en función de su representatividad. </w:t>
      </w:r>
    </w:p>
    <w:p w:rsidR="001C705E" w:rsidRDefault="001C705E" w:rsidP="001C705E">
      <w:pPr>
        <w:pStyle w:val="TextoNormal"/>
      </w:pPr>
      <w:r>
        <w:lastRenderedPageBreak/>
        <w:t xml:space="preserve">b) En segundo término, el Abogado del Estado se refiere a la libertad sindical consagrada en los arts. 7 y 28.1 de la Constitución, que rebasa un simple planteamiento liberal al confiar a los Sindicatos y asociaciones empresariales competencias básicas dentro de la ordenación social del trabajo y de la constitución jurídica laboral. Así se desprende del art. 7 de la Constitución, cuyo emplazamiento sumado al amplio reconocimiento de la libertad sindical en el art. 28, impiden dejar reducido el significado de aquél a una simple fórmula de habilitación a los Sindicatos para que puedan defender y promover los intereses que les son propios, pues este efecto estaría ya implícito en el reconocimiento de la libertad asociativa general. Ni siquiera es necesario el art. 7 para reconocer a los Sindicatos la titularidad de un derecho fundamental a existir y funcionar. El significado del precepto se centra en el reconocimiento de los intereses propios de los Sindicatos como coadyuvantes a la consecución de los intereses públicos y, por consiguiente, susceptibles de medidas de estímulo y apoyo por los poderes públicos. A consecuencia de ello, los Sindicatos asumen una especie de status público en sentido sociológico; son colaboradores y partícipes de una labor pública en cuanto representativos de intereses organizados, perteneciendo dicha representación a los presupuestos elementales de toda democracia parlamentaria, y especialmente a la idea del Estado social. Este papel institucional ha sido reconocido por el Tribunal en su Sentencia 70/1980. </w:t>
      </w:r>
    </w:p>
    <w:p w:rsidR="001C705E" w:rsidRDefault="001C705E" w:rsidP="001C705E">
      <w:pPr>
        <w:pStyle w:val="TextoNormal"/>
      </w:pPr>
      <w:r>
        <w:t xml:space="preserve">El art. 7 de la Constitución sitúa a los Sindicatos en el marco del pluralismo político y les reconoce como entes subjetivos cualificadamente habilitados para el desempeño de funciones de integración social. Los Sindicatos se convierten así en una pieza básica del orden social y lo que se espera de ellos en su funcionamiento, y lo que constitucionalmente se demanda del Estado al regularlos u ordenarlos, es la consecución de la máxima eficacia en el desempeño de tales funciones. </w:t>
      </w:r>
    </w:p>
    <w:p w:rsidR="001C705E" w:rsidRDefault="001C705E" w:rsidP="001C705E">
      <w:pPr>
        <w:pStyle w:val="TextoNormal"/>
      </w:pPr>
      <w:r>
        <w:t xml:space="preserve">El Tribunal Constitucional en su Sentencia de 2 de febrero de 1981, parangonando con los partidos políticos a los Sindicatos de trabajadores y asociaciones de empresarios, los califica de «asociaciones de relevancia constitucional» lo que implica la yuxtaposición a la sustancia asociativa del derecho, de un papel activo al que van ligados determinadas cargas y beneficios. Este papel activo refleja un elemento organizativo que debe ser reconocido y estimulado por el Estado. Tal acción de estímulo y en especial la económica debe lógicamente basarse en el mismo principio que rige toda la actividad financiera: La consecución de la máxima eficacia con el mínimo coste. Esta es la cobertura que ofrece el texto constitucional; los medios para cumplir estos objetivos pertenecen al poder legislativo, que puede elegir cualquier camino siempre que se cumpla el objetivo de la máxima eficacia y no se altere el núcleo esencial de cualquier derecho fundamental. </w:t>
      </w:r>
    </w:p>
    <w:p w:rsidR="001C705E" w:rsidRDefault="001C705E" w:rsidP="001C705E">
      <w:pPr>
        <w:pStyle w:val="TextoNormal"/>
      </w:pPr>
      <w:r>
        <w:t xml:space="preserve">c) La «máxima eficacia» en el ejercicio de las funciones reconocidas a los Sindicatos no es, a juicio del Abogado del Estado, una simple directiva inducible más o menos vagamente del enunciado constitucional del art. 7, ni este precepto se puede presentar como un mandato desligado del art. 28.1 de la Constitución, al reconocer la libertad sindical. La demanda acierta cuando vincula ambos preceptos a la consagración de la libertad sindical, pero se debe discrepar en el sentido de que la incorporación del art. 7 representa algo más que la mera consagración de un derecho de libertad. Considerado el art. 7 como una derivación del principio o cláusula del Estado Social, cabe seguir dos alternativas: O bien entender que cuando entra en juego dicha cláusula, la determinación de lo que es igual o desigual, adecuado o inadecuado, debe ser medido en función de sus exigencias, o bien considerar que la cláusula de Estado Social amplía el alcance material de los derechos fundamentales. </w:t>
      </w:r>
    </w:p>
    <w:p w:rsidR="001C705E" w:rsidRDefault="001C705E" w:rsidP="001C705E">
      <w:pPr>
        <w:pStyle w:val="TextoNormal"/>
      </w:pPr>
      <w:r>
        <w:lastRenderedPageBreak/>
        <w:t xml:space="preserve">Esta última perspectiva se reflejaría en el siguiente razonamiento: Si la libertad sindical como derecho fundamental postula entre sus consecuencias la eficaz actuación de los Sindicatos, este postulado podrá entrar en colisión relativa con otros derechos del mismo rango, en cuyo caso, como no hay derechos fundamentales ilimitados, será necesario proceder a una ponderación de los valores en juego en cada caso. Planteada así la cuestión, el Abogado del Estado entiende que no se ha producido una vulneración de la libertad sindical. La subvención no perjudica la libertad sindical negativa, pues no alcanza el grado de coacción suficiente para considerarla una obligación indirecta o una medida de presión (Sentencias del Tribunal 66/1982 y 12/1983). No puede omitirse que la demanda mantiene una posición individualista, y para tal posición sólo deben estimarse vulnerados los derechos de libertad por aquellas injerencias que afecten de manera inmediata al ejercicio del derecho, lo que no sucede con la medida de estímulo que se deja de dar. Si por el contrario se reconoce que la libertad sindical tiene también un significado colectivo, pensado en favor de los Sindicatos, para el logro de la máxima eficacia en las funciones que de ellos cabe esperar, la libertad sindical no sólo no se habrá visto lesionada, sino que habrá sido favorecida por una actuación positiva del poder público. Desde cualquier aspecto, pues, el principio de libertad sindical sale bien librado del examen más crítico. </w:t>
      </w:r>
    </w:p>
    <w:p w:rsidR="001C705E" w:rsidRDefault="001C705E" w:rsidP="001C705E">
      <w:pPr>
        <w:pStyle w:val="TextoNormal"/>
      </w:pPr>
      <w:r>
        <w:t xml:space="preserve">d) La funcionalidad de las organizaciones sindicales y el desempeño de los objetivos sociales que reconoce la Constitución, ha llevado a las Leyes a establecer criterios selectivos que, por afectar al propio hacer de los Sindicatos y a su «legitimación» en las tareas de colaboración social, representan medidas de limitación mucho más intensas desde el punto de vista de la igualdad que la que refleja la medida legislativa impugnada. Estas limitaciones, como la estatuida en el art. 87 del Estatuto de los Trabajadores (convenios colectivos) o en la disposición adicional sexta del mismo texto (representación institucional) se han justificado por el Tribunal con base en criterios de eficacia cuya última ratio debe buscarse en que tal eficacia es componente ineludible del propio derecho fundamental de los Sindicatos a existir y funcionar (Sentencias 53/1982 y 65/1982). La demanda trata de obviar dicha conclusión señalando que la disposición adicional sexta no puede aplicarse a supuestos distintos del previsto, pero ello sólo sería cierto si no se hubiera promulgado la norma impugnada. </w:t>
      </w:r>
    </w:p>
    <w:p w:rsidR="001C705E" w:rsidRDefault="001C705E" w:rsidP="001C705E">
      <w:pPr>
        <w:pStyle w:val="TextoNormal"/>
      </w:pPr>
      <w:r>
        <w:t xml:space="preserve">e) En cuanto a la pretendida lesión del principio de igualdad, debe examinarse bajo la perspectiva de la técnica subvencional dentro de las medidas de fomento. La subvención presenta dificultades para una exacta aplicación del principio de igualdad, pues con frecuencia tiene por misión el primar posiciones o situaciones singulares dentro de un género, con arreglo a criterios que no pueden dejar de ser inevitablemente discrecionales. Examinada la subvención impugnada, toda su problemática se reduce a determinar si la concentración en favor de los Sindicatos más representativos lesiona el principio de igualdad. </w:t>
      </w:r>
    </w:p>
    <w:p w:rsidR="001C705E" w:rsidRDefault="001C705E" w:rsidP="001C705E">
      <w:pPr>
        <w:pStyle w:val="TextoNormal"/>
      </w:pPr>
      <w:r>
        <w:t xml:space="preserve">En relación con este punto, el Abogado del Estado expone que, como ya ha razonado, la eficacia en la acción de los Sindicatos no es un simple resultado deseable, sino un componente de un derecho fundamental: El derecho de los Sindicatos constituidos a desplegar con eficacia las funciones que la sociedad debe esperar de ellos. De esta forma tal concepto asume relevancia constitucional y puede ser utilizado por el legislador como criterio diferenciador, como tertium comparationis. El problema se sitúa entonces en juzgar la idoneidad de la ecuación «eficacia» y «representatividad». Dado que la mayor representatividad de un Sindicato refleja su índole presumible de eficacia, habrá de ser posible no sólo distribuir la subvención en función de la representatividad, sino excluir aquellos supuestos de representatividad mínima que no permiten presumir que la subvención alcance </w:t>
      </w:r>
      <w:r>
        <w:lastRenderedPageBreak/>
        <w:t xml:space="preserve">para ellos idéntico grado de eficacia. La subvención cumpliría con el principio de igualdad (de no darse la exclusión) sólo cuando pudiera presumirse la identidad de eficacia entre todos los subvencionados; si se acepta de antemano que la subvención ha de tener menor eficacia para los Sindicatos menos representativos, postular una subvención que conduzca a un desigual resultado sería atentar al principio de igualdad, respecto de su genuino y auténtico parámetro. </w:t>
      </w:r>
    </w:p>
    <w:p w:rsidR="001C705E" w:rsidRDefault="001C705E" w:rsidP="001C705E">
      <w:pPr>
        <w:pStyle w:val="TextoNormal"/>
      </w:pPr>
      <w:r>
        <w:t xml:space="preserve">La desigualdad en el tratamiento de los Sindicatos responde a reglas objetivas y se funda en elementos que no ofrecen posibilidades de parcialidad o abuso, que es el principio más insistentemente destacado por la OIT. El fundamento de la desigualdad se encuentra en las mismas razones que la admitida entre los partidos políticos en cuanto a la valoración del voto y las subvenciones a los mismos. Se trata de una razón de eficacia, que es inherente tanto al mecanismo subvencional como al significado institucional y social de los Sindicatos; la eficacia de la acción cooperadora de las organizaciones sindicales no puede ser la misma en las grandes centrales con implantación efectiva que en los pequeños y dispersos grupos sindicales, ni siquiera en proporción a su representatividad, precisamente porque todas las centrales sindicales, como todos los partidos, son siempre representativos cuando esta representatividad tiene como fundamental vara de medida el resultado del sufragio. Es muy significativo el ejemplo judicial norteamericano donde se cuestionaron las subvenciones a los partidos políticos, estableciendo el Tribunal Supremo que las subvenciones aumentaban más que restringían la libre expresión y tenían como fin facilitar y ampliar la discusión y participación públicas, excluyendo a los partidos marginales para no fomentar candidaturas frívolas, crear un sistema de partidos fragmentados y alentar un irrefrenado fraccionalismo. </w:t>
      </w:r>
    </w:p>
    <w:p w:rsidR="001C705E" w:rsidRDefault="001C705E" w:rsidP="001C705E">
      <w:pPr>
        <w:pStyle w:val="TextoNormal"/>
      </w:pPr>
      <w:r>
        <w:t>Las medidas de fomento, por su propia naturaleza, alteran de alguna medida las situaciones que espontáneamente ofrecería la realidad si no existiera la intervención. Pero tal alteración tiende a crear las condiciones adecuadas para la mayor efectividad de un derecho fundamental, tratando desigualmente a situaciones desiguales desde el punto de vista de una medida que, como la de la eficacia, se integra en el propio derecho fundamental, comprimiendo la igualdad en una medida mínima, inferior desde luego a la existente en otras Instituciones sociales con relevancia constitucional semejante a las organizaciones sindicales.</w:t>
      </w:r>
    </w:p>
    <w:p w:rsidR="001C705E" w:rsidRDefault="001C705E" w:rsidP="001C705E">
      <w:pPr>
        <w:pStyle w:val="TextoNormal"/>
      </w:pPr>
    </w:p>
    <w:p w:rsidR="001C705E" w:rsidRDefault="001C705E" w:rsidP="001C705E">
      <w:pPr>
        <w:pStyle w:val="TextoNormal"/>
      </w:pPr>
      <w:r w:rsidRPr="001C705E">
        <w:rPr>
          <w:rStyle w:val="NumeroAFNegritaCaracter"/>
        </w:rPr>
        <w:t>10</w:t>
      </w:r>
      <w:r>
        <w:t>. Por providencia del día 7 de febrero del corriente, se señaló para deliberación y votación del presente recurso el día 14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Defensor del Pueblo entiende que el inciso impugnado vulnera los arts.  14, 28.1 y 7 de la Constitución, al estimar que viola el principio de igualdad y la libertad sindical, tesis que no comparte el Abogado del Estado.</w:t>
      </w:r>
    </w:p>
    <w:p w:rsidR="001C705E" w:rsidRDefault="001C705E" w:rsidP="001C705E">
      <w:pPr>
        <w:pStyle w:val="TextoNormal"/>
      </w:pPr>
    </w:p>
    <w:p w:rsidR="001C705E" w:rsidRDefault="001C705E" w:rsidP="001C705E">
      <w:pPr>
        <w:pStyle w:val="TextoNormal"/>
      </w:pPr>
      <w:r w:rsidRPr="001C705E">
        <w:rPr>
          <w:rStyle w:val="NumeroAFNegritaCaracter"/>
        </w:rPr>
        <w:t>2</w:t>
      </w:r>
      <w:r>
        <w:t>. La libertad sindical se encuentra reconocida en el art. 28.1 de la Constitución, el cual establece que todos tienen derecho a sindicarse libremente, y especifica, por lo que aquí interesa, que la libertad sindical comprende el derecho a fundar Sindicatos y a afiliarse al de su elección, y que nadie puede ser obligado a afiliarse a un Sindicato. Por su parte, el art.  7 de la Constitución trata de los Sindicatos de los trabajadores -y de las Asociaciones empresariales- señalando que contribuyen a la defensa y promoción de los intereses eco</w:t>
      </w:r>
      <w:r>
        <w:lastRenderedPageBreak/>
        <w:t>nómicos y sociales que les son propios; y añade que su creación y el ejercicio de su actividad son libres dentro del respeto a la Constitución y a la Ley, y que su estructura interna y funcionamiento deberán ser democráticos.</w:t>
      </w:r>
    </w:p>
    <w:p w:rsidR="001C705E" w:rsidRDefault="001C705E" w:rsidP="001C705E">
      <w:pPr>
        <w:pStyle w:val="TextoNormal"/>
      </w:pPr>
      <w:r>
        <w:t>La Constitución reconoce, según acredita la mera lectura de dichos preceptos, la libertad para la creación de Sindicatos y la libertad de los Sindicatos en el ejercicio de su actividad. De aquí que ha de afirmarse que cualquier actuación del Estado en relación a los Sindicatos ha de respetar la libertad sindical, y por ello el Tribunal, al resolver los recursos de amparo que se han formulado frente a actos de la Administración, ha indicado que la libertad sindical comprende el derecho a que la Administración Pública no se injiera o interfiera en la actividad de las organizaciones sindicales y el derecho de éstas a no ser discriminadas por parte de la Administración de modo arbitrario o irrazonable (Sentencia de la Sala Primera núm. 23/1983, de 25 de marzo, «Boletín Oficial del Estado» de 27 de abril, F.J.2, y Sentencia de la Sala Segunda número 99/1983, de 16 de noviembre, «Boletín Oficial del Estado» de 14 de diciembre, F.J.2).</w:t>
      </w:r>
    </w:p>
    <w:p w:rsidR="001C705E" w:rsidRDefault="001C705E" w:rsidP="001C705E">
      <w:pPr>
        <w:pStyle w:val="TextoNormal"/>
      </w:pPr>
      <w:r>
        <w:t>En esta línea de razonamiento debemos afirmar que el derecho a la libertad sindical comprende el derecho de las organizaciones sindicales a no ser tratadas de forma discriminatoria por los poderes públicos, discriminación que se produce cuando la desigualdad está desprovista de una justificación objetiva y razonable, que debe apreciarse en relación a la finalidad y efectos de la medida considerada, debiendo darse una relación razonable de proporcionalidad entre los medios empleados y la finalidad perseguida.</w:t>
      </w:r>
    </w:p>
    <w:p w:rsidR="001C705E" w:rsidRDefault="001C705E" w:rsidP="001C705E">
      <w:pPr>
        <w:pStyle w:val="TextoNormal"/>
      </w:pPr>
    </w:p>
    <w:p w:rsidR="001C705E" w:rsidRDefault="001C705E" w:rsidP="001C705E">
      <w:pPr>
        <w:pStyle w:val="TextoNormal"/>
      </w:pPr>
      <w:r w:rsidRPr="001C705E">
        <w:rPr>
          <w:rStyle w:val="NumeroAFNegritaCaracter"/>
        </w:rPr>
        <w:t>3</w:t>
      </w:r>
      <w:r>
        <w:t>. En el presente caso, la finalidad perseguida por la norma es la de estimular -por medio de una subvención- «la realización de actividades socioculturales, promoción de los trabajadores, organización de actividades de carácter formativo y otras, dentro de los fines propios de aquéllas» (las Centrales Sindicales), a cuyo efecto otorga la totalidad de la subvención «a las Centrales Sindicales más representativas, de conformidad con la disposición adicional sexta de la Ley 8/1980, de 10 de marzo, del Estatuto de los Trabajadores, en proporción a su representatividad, según los resultados globales a que hace referencia el art. 75.5 de dicha Ley». El Defensor del Pueblo entiende que la exclusión de todas las demás Centrales Sindicales es discriminatoria, mientras el Abogado del Estado sostiene que la desigualdad no es discriminatoria por fundamentarse en el criterio de la máxima eficacia.</w:t>
      </w:r>
    </w:p>
    <w:p w:rsidR="001C705E" w:rsidRDefault="001C705E" w:rsidP="001C705E">
      <w:pPr>
        <w:pStyle w:val="TextoNormal"/>
      </w:pPr>
      <w:r>
        <w:t>Para resolver la cuestión planteada, a la luz de la doctrina expuesta, debe partirse del carácter y función que corresponde a los Sindicatos dentro del sistema constitucional, de acuerdo con lo dispuesto por el art. 7 de la Constitución, el cual establece que los Sindicatos de trabajadores contribuyen a la defensa y promoción de los intereses económicos y sociales que les son propios; debiendo señalarse que, con fundamento en este artículo, el Tribunal ha puesto de manifiesto su carácter de Asociaciones de relevancia constitucional (Sentencia de la Sala Primera de 2 de febrero de 1981, en recurso de amparo 98/1980, «Boletín Oficial del Estado» de 24 de febrero, F.J.  1), y asimismo la trascendencia de las funciones que de acuerdo con la Constitución les corresponden (Sentencias de la Sala Segunda núm. 70/1982, de 29 de noviembre, «Boletín Oficial del Estado» de 29 de diciembre, F.J.3, y núm. 4/1983, de 28 de enero, «Boletín Oficial del Estado» de 17 de febrero, F.J.3: Sentencia de la Sala Primera núm.  37/1983, de 11 de mayo, F.J.2).</w:t>
      </w:r>
    </w:p>
    <w:p w:rsidR="001C705E" w:rsidRDefault="001C705E" w:rsidP="001C705E">
      <w:pPr>
        <w:pStyle w:val="TextoNormal"/>
      </w:pPr>
      <w:r>
        <w:t xml:space="preserve">La defensa y promoción de los intereses económicos y sociales de los trabajadores se atribuye por la Constitución a todos los Sindicatos, sin distinción. La finalidad de la norma impugnada es la de ayudar a la consecución de los fines sindicales de acuerdo con un sistema de lista abierto, que no excluye por ello la finalidad de defensa, pero que pone el </w:t>
      </w:r>
      <w:r>
        <w:lastRenderedPageBreak/>
        <w:t>acento en los fines de promoción -que cita expresamente- dentro de los cuales han de incluirse las actividades socio-culturales y de formación si partimos, como es obligado, de la distinción que efectúa el art. 7 de la Constitución entre la defensa y promoción de los intereses.</w:t>
      </w:r>
    </w:p>
    <w:p w:rsidR="001C705E" w:rsidRDefault="001C705E" w:rsidP="001C705E">
      <w:pPr>
        <w:pStyle w:val="TextoNormal"/>
      </w:pPr>
      <w:r>
        <w:t>Pues bien, siendo esto así, y estando confiada la consecución de tales fines por la Constitución a todos los Sindicatos, sin distinción alguna de carácter expreso, corresponde a los órganos del Estado demandados en el procedimiento constitucional la carga de ofrecer la justificación que posee el diferente trato legal.</w:t>
      </w:r>
    </w:p>
    <w:p w:rsidR="001C705E" w:rsidRDefault="001C705E" w:rsidP="001C705E">
      <w:pPr>
        <w:pStyle w:val="TextoNormal"/>
      </w:pPr>
      <w:r>
        <w:t>El Abogado del Estado, partiendo del carácter de los Sindicatos, de la significación colectiva -junto a la individualidad- de la libertad sindical, y de las funciones de integración social que les atribuye el art. 7 de la Constitución, sostiene que la desigualdad se fundamenta en el criterio de la máxima eficacia para la consecución de tales fines, ya que la eficacia no puede ser la misma en las grandes centrales con implantación efectiva que en los pequeños y dispersos grupos sindicales.</w:t>
      </w:r>
    </w:p>
    <w:p w:rsidR="001C705E" w:rsidRDefault="001C705E" w:rsidP="001C705E">
      <w:pPr>
        <w:pStyle w:val="TextoNormal"/>
      </w:pPr>
      <w:r>
        <w:t>Pero no es éste el problema que aquí se suscita, dado que la cuestión a decidir es si constituye un trato discriminatorio la inclusión, con carácter exclusivo, de los Sindicatos más representativos a que se refiere la disposición adicional sexta del Estatuto de los Trabajadores (ET), la cual establece que «a efectos de ostentar representación institucional en defensa de intereses generales de los trabajadores o de los empresarios ante la Administración Pública u otras Entidades u Organismos de carácter nacional que la tengan prevista, se entenderá que gozan de esta capacidad representativa las organizaciones sindicales con el 10 por 100 o más (15 por 100 para las de Comunidad Autónoma) de los miembros de los Comités de Empresa y Delegados de personal».</w:t>
      </w:r>
    </w:p>
    <w:p w:rsidR="001C705E" w:rsidRDefault="001C705E" w:rsidP="001C705E">
      <w:pPr>
        <w:pStyle w:val="TextoNormal"/>
      </w:pPr>
      <w:r>
        <w:t>Planteada así la cuestión, debemos señalar que la finalidad de la subvención es tan amplia y puede cumplirse con actividades tan diversas, que no permite sostener que para su consecución, incluso de acuerdo con un parámetro de máxima eficacia (en la hipótesis de que pudiera ser aplicable para justificar la desigualdad de trato en materia de libertades públicas), sea un criterio objetivo y razonable el de atribuirla en exclusiva a las Centrales más representativas mencionadas, como medida proporcionada. Máxime cuando se observa que la disposición adicional sexta del ET contempla y resuelve un problema completamente distinto, como es el de determinar qué organizaciones sindicales tienen capacidad representativa «a los efectos de ostentar la representación institucional de los intereses de los trabajadores» ante la Administración Pública u otras Entidades u Organismos que la tengan prevista, es decir, responde a un supuesto en que la capacidad representativa ha de otorgarse a un número limitado de organizaciones, en cuanto se trata de concretar la participación de los Sindicatos en el ejercicio de funciones públicas.</w:t>
      </w:r>
    </w:p>
    <w:p w:rsidR="001C705E" w:rsidRDefault="001C705E" w:rsidP="001C705E">
      <w:pPr>
        <w:pStyle w:val="TextoNormal"/>
      </w:pPr>
      <w:r>
        <w:t xml:space="preserve">Por otra parte, la subvención de que se trata incidirá en el orden competitivo entre los Sindicatos, al ir dirigida en exclusiva a los situados en el vértice de los que han obtenido mejores resultados en las elecciones, con lo cual se les situará en una posición superior a los demás para ofrecer mejores servicios a los trabajadores, más allá de los medios propios de que dispongan y de cualquier criterio que tome en consideración la proporcionalidad de los resultados de las elecciones o los costes que puede suponerles la participación en el ejercicio de funciones públicas o cualquier otro extremo que se justifique como no discriminatorio; con lo cual se puede producir además una inducción o presión indirecta para la afiliación de los trabajadores a determinados Sindicatos. En este sentido, la Sentencia de la Sala Segunda de 22 de febrero de 1983 (núm. 12/1983, «Boletín Oficial del Estado» de 23 de marzo, F.J.1) indicaba que la libertad de sindicación y de afiliación, que reconoce el art. 28.1 de la Constitución, ha de protegerse tanto frente a los actos que directamente atenten </w:t>
      </w:r>
      <w:r>
        <w:lastRenderedPageBreak/>
        <w:t>contra ella, por medio de coacción, mandato imperativo o imposición de obligación, como en lo que se refiere a las más larvadas violaciones indirectas que puedan existir en aquellos casos en que se produce una presión para que los trabajadores adopten una actitud que, al nacer de una presión, deja de ser libre.</w:t>
      </w:r>
    </w:p>
    <w:p w:rsidR="001C705E" w:rsidRDefault="001C705E" w:rsidP="001C705E">
      <w:pPr>
        <w:pStyle w:val="TextoNormal"/>
      </w:pPr>
    </w:p>
    <w:p w:rsidR="001C705E" w:rsidRDefault="001C705E" w:rsidP="001C705E">
      <w:pPr>
        <w:pStyle w:val="TextoNormal"/>
      </w:pPr>
      <w:r w:rsidRPr="001C705E">
        <w:rPr>
          <w:rStyle w:val="NumeroAFNegritaCaracter"/>
        </w:rPr>
        <w:t>4</w:t>
      </w:r>
      <w:r>
        <w:t>. La vulneración de la libertad sindical -art. 28.1, en conexión con el 7 de la Constitución- ya razonada nos permite entrar a considerar cuál debe ser el contenido del fallo.</w:t>
      </w:r>
    </w:p>
    <w:p w:rsidR="001C705E" w:rsidRDefault="001C705E" w:rsidP="001C705E">
      <w:pPr>
        <w:pStyle w:val="TextoNormal"/>
      </w:pPr>
      <w:r>
        <w:t>En el presente caso se impugna únicamente el inciso «más representativas, de conformidad con la disposición adicional sexta de la Ley 8/1980, de 10 de marzo, del Estatuto de los Trabajadores», por lo que, de acuerdo con el art.  39.1 de la LOTC, procede declarar su inconstitucionalidad y nulidad. El Tribunal no estima necesario declarar la inconstitucionalidad, por conexión o consecuencia, de todo el párrafo en que se encuentra el inciso mencionado, dado que la previsión presupuestaria, una vez suprimido, responde a un criterio de proporcionalidad que, al no ser discriminatorio, no es incompatible con la Constitución.</w:t>
      </w:r>
    </w:p>
    <w:p w:rsidR="001C705E" w:rsidRDefault="001C705E" w:rsidP="001C705E">
      <w:pPr>
        <w:pStyle w:val="TextoNormal"/>
      </w:pPr>
      <w:r>
        <w:t>Por otra parte, como es claro, la mención del art. 75.5 «de dicha Ley» que contiene el indicado párrafo no queda afectada por la presente Sentencia, por lo que tal Ley es la núm. 8/1980, de 10 de marzo, del Estatuto de los Trabajadores.</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Estimar el recurso de inconstitucionalidad y, en consecuencia, declarar la inconstitucionalidad y nulidad del inciso «más representativas, de conformidad con la disposición adicional sexta de la Ley 8/1980, de 10 de marzo, del Estatuto de los Trabajadores», contenido en la sección 19, servicio 01, capítulo 04, artículo 48, concepto 483, del estado de gastos de los Presupuestos Generales del Estado para el ejercicio de 1983, aprobados por la Ley 9/1983, de 13 de julio.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catorce de febrero de mil novecientos ochenta y cinco.</w:t>
      </w:r>
    </w:p>
    <w:p w:rsidR="001C705E" w:rsidRDefault="001C705E" w:rsidP="001C705E">
      <w:pPr>
        <w:pStyle w:val="ParrafoNormal"/>
      </w:pPr>
    </w:p>
    <w:p w:rsidR="001C705E" w:rsidRDefault="001C705E" w:rsidP="001C705E">
      <w:pPr>
        <w:pStyle w:val="TextoNormalNegritaCentrado"/>
        <w:keepNext/>
      </w:pPr>
      <w:r>
        <w:t>Voto particular que formula el Magistrado don Francisco Rubio Llorente</w:t>
      </w:r>
    </w:p>
    <w:p w:rsidR="001C705E" w:rsidRDefault="001C705E" w:rsidP="001C705E">
      <w:pPr>
        <w:pStyle w:val="TextoNormalNegritaCentrado"/>
        <w:keepNext/>
      </w:pPr>
    </w:p>
    <w:p w:rsidR="001C705E" w:rsidRDefault="001C705E" w:rsidP="001C705E">
      <w:pPr>
        <w:pStyle w:val="TextoNormal"/>
      </w:pPr>
      <w:r>
        <w:t>Disiento de la decisión adoptada por la mayoría del Tribunal en el presente asunto, no porque entienda que el texto sometido a nuestra consideración es constitucionalmente irreprochable, sino, muy al contrario, por ser, a mi juicio, constitucionalmente inaceptable la totalidad de la partida presupuestaria y no sólo el inciso que de ella se elimina.</w:t>
      </w:r>
    </w:p>
    <w:p w:rsidR="001C705E" w:rsidRDefault="001C705E" w:rsidP="001C705E">
      <w:pPr>
        <w:pStyle w:val="TextoNormal"/>
      </w:pPr>
      <w:r>
        <w:t>A este disentimiento respecto del contenido de la decisión se une mi discrepancia en lo que toca a las razones que al mismo conducen, que podrían llevar, en otras circunstancias, a resultados que, a mi juicio, deben ser evitados.</w:t>
      </w:r>
    </w:p>
    <w:p w:rsidR="001C705E" w:rsidRDefault="001C705E" w:rsidP="001C705E">
      <w:pPr>
        <w:pStyle w:val="TextoNormal"/>
      </w:pPr>
      <w:r>
        <w:lastRenderedPageBreak/>
        <w:t>Muy sintéticamente expuestas, esas razones son, de una parte, la de que el criterio utilizado para determinar qué Sindicatos han de beneficiarse de la subvención es inadecuada al fin perseguido: de la otra, la de que, al concederse la subvención a algunos Sindicatos, pero no a todos, los excluidos son víctimas de una discriminación que viola la igualdad y, con ella, la libertad sindical. Prescindiendo de que ambas razones no son enteramente congruentes (si toda subvención diferencial es discriminatoria, huelga examinar la racionalidad del criterio seguido para establecer la diferencia) cada una de ellas, aisladamente considerada, puede llevar a conclusiones que, a mi juicio no se adecuan por entero a las exigencias de nuestra Constitución.  La primera de ellas implica el riesgo de convertir a este Tribunal en juez de la oportunidad, asumiendo una función que debe ser dejada al legislador; la segunda parece proscribir todo sistema subvencional que no utilice criterios igualitarios y, en consecuencia, impide que los poderes políticos empleen esta vía para procurar indirectamente una determinada estructura sindical, sin daño para la libertad. Como a mi juicio esta procura resulta enteramente legitima, tanto al amparo de la cláusula del Estado social de Derecho (art. 1.1 de la C.  E.)  como en ejecución del mandato contenido en el art. 9.2 de la C.E., y, de otra parte, ha de reconocerse al legislador un amplio margen de libertad que, en cuanto no lesione a la Constitución, este Tribunal no puede reducir, ambas consecuencias lógicamente posibles son igualmente inadecuadas.</w:t>
      </w:r>
    </w:p>
    <w:p w:rsidR="001C705E" w:rsidRDefault="001C705E" w:rsidP="001C705E">
      <w:pPr>
        <w:pStyle w:val="TextoNormal"/>
      </w:pPr>
      <w:r>
        <w:t>Al margen de ello, como señalo al principio, el texto impugnado es, sin embargo, constitucionalmente inválido, pero ello no porque nosotros podamos pronunciarnos sobre la justicia o injusticia del criterio seguido por el legislador para adoptar una determinada medida de fomento y, menos aún, porque estas medidas redunden en beneficio sólo de algunas Centrales Sindicales, sino lisa y llanamente porque la forma adoptada para ello es constitucionalmente inadmisible.</w:t>
      </w:r>
    </w:p>
    <w:p w:rsidR="001C705E" w:rsidRDefault="001C705E" w:rsidP="001C705E">
      <w:pPr>
        <w:pStyle w:val="TextoNormal"/>
      </w:pPr>
      <w:r>
        <w:t>A mi entender, y sin necesidad de entrar en el complejo problema del alcance que debe concederse al principio de legalidad respecto de las medidas de fomento, en general, toda medida de este género que incida sobre la actividad de instituciones que, o son titulares de derechos constitucionalmente garantizados, o tienen relevancia constitucional por ser el marco necesario para que los individuos ejerzan los derechos y libertades que la Constitución les asegura, sólo puede adoptarse en virtud de Ley, por exigencia de lo dispuesto en el art. 53.1 de la C.E. Puede discutirse si esta Ley ha de ser o no general y si la Ley de Presupuestos puede o no ser considerada como Ley en el sentido implicado por la mencionada reserva, pero creo que está fuera de toda discusión la necesidad de que sea auténtica Ley, esto es, norma jurídica que delimite supuestos de hecho y señale consecuencias jurídicas.</w:t>
      </w:r>
    </w:p>
    <w:p w:rsidR="001C705E" w:rsidRDefault="001C705E" w:rsidP="001C705E">
      <w:pPr>
        <w:pStyle w:val="TextoNormal"/>
      </w:pPr>
      <w:r>
        <w:t>Nada de eso sucede en este caso. Lo que se impugna no es una Ley general, ni un artículo de la Ley de Presupuestos, sino una partida del presupuesto de gastos (sección 19, servicio 01, capítulo 04, artículo 48, concepto 483), que, como es lógico, constituye una simple autorización al Gobierno para realizar un gasto. Ni esa partida configura un supuesto de hecho abierto, sino una referencia concreta a sujetos determinados, ni de ella nace obligación alguna jurídicamente exigible para el Gobierno ni, en consecuencia, tampoco derecho alguno para los Sindicatos.</w:t>
      </w:r>
    </w:p>
    <w:p w:rsidR="001C705E" w:rsidRDefault="001C705E" w:rsidP="001C705E">
      <w:pPr>
        <w:pStyle w:val="TextoNormal"/>
      </w:pPr>
      <w:r>
        <w:t>Muchas otras razones podrían añadirse, pero basten las expuestas. Me limitaré, para concluir, a señalar que la admisión de la constitucionalidad formal de este modo de acordar subvenciones, obligaría a entender que esta misma forma era también utilizable para fijar las subvenciones destinadas a otras Instituciones que, como los partidos políticos o, en otro orden de cosas, los Centros docentes privados, ocupan desde el punto de vista constitucional una posición análoga a la de los Sindicatos.</w:t>
      </w:r>
    </w:p>
    <w:p w:rsidR="001C705E" w:rsidRDefault="001C705E" w:rsidP="001C705E">
      <w:pPr>
        <w:pStyle w:val="TextoNormal"/>
      </w:pPr>
      <w:r>
        <w:lastRenderedPageBreak/>
        <w:t>Madrid, a catorce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4" w:name="SENTENCIA_1985_21"/>
      <w:r>
        <w:lastRenderedPageBreak/>
        <w:t>SENTENCIA 21/1985, de 15 de febrero de 1985</w:t>
      </w:r>
    </w:p>
    <w:bookmarkEnd w:id="24"/>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ECLI:ES:TC:1985:21</w:t>
      </w:r>
    </w:p>
    <w:p w:rsidR="001C705E" w:rsidRDefault="001C705E" w:rsidP="001C705E">
      <w:pPr>
        <w:pStyle w:val="SntesisDescriptiva"/>
      </w:pPr>
    </w:p>
    <w:p w:rsidR="001C705E" w:rsidRDefault="001C705E" w:rsidP="001C705E">
      <w:pPr>
        <w:pStyle w:val="SntesisDescriptiva"/>
      </w:pPr>
      <w:r>
        <w:t>Cuestión de inconstitucionalidad 184/1983. En relación con el art. 504.  2.2.ª y 3 del Código de Comercio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Cuando el Juez «a quo» propone la cuestión de inconstitucionalidad a las partes y al Ministerio Fiscal sobre una norma, no es posible extender en el Auto dirigido al Tribunal Constitucional el objeto de la cuestión a una segunda norma. Iniciado el planteamiento de la cuestión por el órgano judicial en la fase y en los términos del art. 35.1 de la LOTC, el objeto de la cuestión ha de permanecer inalterable y no puede ser ampliado en el Auto a que se refiere el párrafo 2. del mismo artículo, ya que las partes y el Ministerio Fiscal sólo han podido pronunciarse sobre el objeto contenido en la providencia que en su momento se les dirigió. </w:t>
      </w:r>
    </w:p>
    <w:p w:rsidR="001C705E" w:rsidRDefault="001C705E" w:rsidP="001C705E">
      <w:pPr>
        <w:pStyle w:val="Extracto"/>
      </w:pPr>
    </w:p>
    <w:p w:rsidR="001C705E" w:rsidRDefault="001C705E" w:rsidP="001C705E">
      <w:pPr>
        <w:pStyle w:val="Extracto"/>
      </w:pPr>
      <w:r>
        <w:t>2.</w:t>
      </w:r>
      <w:r>
        <w:tab/>
        <w:t xml:space="preserve">El trámite del art. 35.2 de la LOTC está ordenado a garantizar que las partes del proceso «a quo», y el Ministerio Fiscal, puedan contribuir a depurar el control de inconstitucionalidad al alegar sobre la pertinencia de plantear la cuestión, alegaciones que fundamentalmente habrán de versar, por un lado, sobre la vinculación entre la norma citada por el Juez como cuestionable, y los supuestos de hecho que se dan en el caso, y de otro, sobre el juicio de conformidad entre la norma y la Constitución. </w:t>
      </w:r>
    </w:p>
    <w:p w:rsidR="001C705E" w:rsidRDefault="001C705E" w:rsidP="001C705E">
      <w:pPr>
        <w:pStyle w:val="Extracto"/>
      </w:pPr>
    </w:p>
    <w:p w:rsidR="001C705E" w:rsidRDefault="001C705E" w:rsidP="001C705E">
      <w:pPr>
        <w:pStyle w:val="Extracto"/>
      </w:pPr>
      <w:r>
        <w:t>3.</w:t>
      </w:r>
      <w:r>
        <w:tab/>
        <w:t xml:space="preserve">Es un supuesto necesario en ambos aspectos la previa identificación de la norma cuestionable y el posterior respeto por parte del Juez de ese límite objetivo en su eventual Auto de planteamiento, que en cuanto exceda del objeto fijado en el trámite abierto a las partes incurre en transgresión del art. 35.2 de la LOTC, al impedir la alegación de las partes y del Ministerio Fiscal sobre ese plus añadido, es decir, sobre la norma añadida extemporaneamente. </w:t>
      </w:r>
    </w:p>
    <w:p w:rsidR="001C705E" w:rsidRDefault="001C705E" w:rsidP="001C705E">
      <w:pPr>
        <w:pStyle w:val="Extracto"/>
      </w:pPr>
    </w:p>
    <w:p w:rsidR="001C705E" w:rsidRDefault="001C705E" w:rsidP="001C705E">
      <w:pPr>
        <w:pStyle w:val="Extracto"/>
      </w:pPr>
      <w:r>
        <w:t>4.</w:t>
      </w:r>
      <w:r>
        <w:tab/>
        <w:t xml:space="preserve">Existen en el ámbito de los procesos civiles y mercantiles y, en particular, en los procesos sumarios ejecutivos situaciones en las que se produce una aminoración de los mecanismos de defensa que no constituye indefensión en el sentido del art. 24 de la C.E., porque ni la indefensión es total ni la aminoración de la defensa es definitiva, ni tal disminución es ajena a la voluntad de quien la padece, sino que deriva de la celebración de un previo negocio jurídico. </w:t>
      </w:r>
    </w:p>
    <w:p w:rsidR="001C705E" w:rsidRDefault="001C705E" w:rsidP="001C705E">
      <w:pPr>
        <w:pStyle w:val="Extracto"/>
      </w:pPr>
    </w:p>
    <w:p w:rsidR="001C705E" w:rsidRDefault="001C705E" w:rsidP="001C705E">
      <w:pPr>
        <w:pStyle w:val="Extracto"/>
      </w:pPr>
      <w:r>
        <w:t>5.</w:t>
      </w:r>
      <w:r>
        <w:tab/>
        <w:t>Existen en la letra de cambio unos mecanismos formales que constituyen la esencia misma de la institución y cuyo respeto o cuyo incumplimiento significan beneficios (o aun privilegios) para una parte, en la misma medida que cargas (o perjuicios) para las otras, de tal manera que la alteración de unos y otros mecanismos destruiría la función que la letra desempeña como título de ejecución pri</w:t>
      </w:r>
      <w:r>
        <w:lastRenderedPageBreak/>
        <w:t xml:space="preserve">vilegiada, con gran quebranto para la seguridad y la agilidad del tráfico mercantil. </w:t>
      </w:r>
    </w:p>
    <w:p w:rsidR="001C705E" w:rsidRDefault="001C705E" w:rsidP="001C705E">
      <w:pPr>
        <w:pStyle w:val="Extracto"/>
      </w:pPr>
    </w:p>
    <w:p w:rsidR="001C705E" w:rsidRDefault="001C705E" w:rsidP="001C705E">
      <w:pPr>
        <w:pStyle w:val="Extracto"/>
      </w:pPr>
      <w:r>
        <w:t>6.</w:t>
      </w:r>
      <w:r>
        <w:tab/>
        <w:t xml:space="preserve">El aceptante, por la propia aceptación de la letra, se obliga a pagarla a su vencimiento, con lo que puede entenderse que se obliga a atender debidamente a la presentación de la misma en la fecha y lugar correspondientes. Una vez inatendida la letra a su vencimiento por parte del aceptante, sería obviamente injusto poner en manos de éste un arma tal como la ausencia del domicilio o su negativa a identificarse o a hacerse cargo de la cédula, y que esto lograse impedir el protesto de la cambial y, con ello, produjera su perjuicio.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la cuestión de inconstitucionalidad núm. 184/1983, promovida por el Juzgado de Primera Instancia e Instrucción núm. 2 de Avilés, por supuesta inconstitucionalidad del art. 504.2.2.ª y 3 del Código de Comercio por contradicción con el art. 24.1 de la Constitución. Han sido parte el Abogado del Estado, en representación del Gobierno, y el Fiscal General del Estado, y ponente el Magistrado don Francisco Tomás y Valiente,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24 de marzo de 1983 tuvo entrada en este Tribunal un oficio del Juzgado de Primera Instancia e Instrucción número 2 de los de Avilés por el que se remitía el Auto de 18 de marzo del titular de dicho Juzgado por el que planteaba cuestión de inconstitucionalidad «de la norma establecida en el art. 504.2.2.ª y 3.ª del Código de Comercio por posible contradicción del mismo con la prescripción de la indefensión establecida en el art. 24.1 de la Constitución Española». Se adjuntaban asimismo fotocopias de la documentación pertinente al caso, adveradas por el correspondiente certificado del Secretario del Juzgado. Los antecedentes de hecho previos al Auto de 18 de marzo de 1983 son los siguientes: </w:t>
      </w:r>
    </w:p>
    <w:p w:rsidR="001C705E" w:rsidRDefault="001C705E" w:rsidP="001C705E">
      <w:pPr>
        <w:pStyle w:val="TextoNormal"/>
      </w:pPr>
      <w:r>
        <w:t>El Notario de Avilés don Rafael Bergillos Arjona, por acta de 7 de diciembre de 1981, declaró protestada por falta de pago una letra de cambio en la que figuraba como libradora «Talleres Mancisidor, Sociedad Limitada», y como librada-aceptante doña Aniceta Gon</w:t>
      </w:r>
      <w:r>
        <w:lastRenderedPageBreak/>
        <w:t xml:space="preserve">zález Fernández. Por diligencia de notificación extendida por el Notario tras el acta se hizo constar haber sido notificado el protesto «mediante cédula en forma legal que ofreció don Julio Rodríguez González, por mi designación, en el lugar y a la persona idóneos, según el Código de Comercio y el tenor del efecto que resultaron ser: Cofradía de Pescadores de Avilés; donde no conocen a la librada por lo que se dirige a una empleada de dicha Cofradía, la cual no facilitó su nombre y que no se hizo cargo de ella». Formulada por «Talleres Mancisidor, Sociedad Limitada», demanda de juicio ejecutivo contra doña Aniceta González Fernández, el Juez de Primera Instancia núm. 2 de Avilés despachó ejecución contra los bienes de la demandada por Auto de 24 de febrero de 1983. </w:t>
      </w:r>
    </w:p>
    <w:p w:rsidR="001C705E" w:rsidRDefault="001C705E" w:rsidP="001C705E">
      <w:pPr>
        <w:pStyle w:val="TextoNormal"/>
      </w:pPr>
      <w:r>
        <w:t>Comunicado por la Procuradora de la Sociedad demandante el domicilio de la demandada, se practicó en el mismo el 24 de febrero de 1983 diligencia de requerimiento, embargo y citación de remate, manifestando en aquel acto doña Aniceta González Fernández, que firmó la diligencia, que ninguno de los bienes embargados era de su propiedad. Transcurrido el término de tres días sin haber comparecido la demandada para oponerse a la ejecución, la misma fue declarada en rebeldía por providencia de 1 de marzo de 1983; dicha providencia fue notificada a la demandada en estrados ante dos testigos. El Juez, encontrándose las actuaciones en plazo para dictar sentencia, confirió a las partes por providencia de 4 de marzo de 1983 y al Ministerio Fiscal termino de diez días para que alegaran sobre la pertinencia de plantear cuestión de inconstitucionalidad del art. 504.2. 3. del Código de Comercio; providencia que, por lo que respecta a la demandada, fue notificada en el Juzgado leyéndola ante dos testigos. Por posterior diligencia de 8 de marzo de 1983 se hizo saber a la demandada, por medio de cédula entregada en su domicilio a quien dijo ser su hija, la existencia del procedimiento y del embargo trabado a los efectos del art. 144 del Reglamento Hipotecario. El Fiscal, por escrito de 14 de marzo de 1983, entendió que, sin perjuicio de las críticas que fundadamente pueden hacerse a la actual redacción del art. 504 del Código de Comercio, no procedía promover cuestión de inconstitucionalidad, por faltar el requisito de contradicción con preceptos constitucionales y concretamente con el art. 24.1 de la Constitución «al no producirse la necesaria indefensión». Las partes del juicio ejecutivo seguido ante el Juzgado con el núm. 108/1983 dejaron transcurrir el plazo conferido al efecto sin formular alegaciones.</w:t>
      </w:r>
    </w:p>
    <w:p w:rsidR="001C705E" w:rsidRDefault="001C705E" w:rsidP="001C705E">
      <w:pPr>
        <w:pStyle w:val="TextoNormal"/>
      </w:pPr>
    </w:p>
    <w:p w:rsidR="001C705E" w:rsidRDefault="001C705E" w:rsidP="001C705E">
      <w:pPr>
        <w:pStyle w:val="TextoNormal"/>
      </w:pPr>
      <w:r w:rsidRPr="001C705E">
        <w:rPr>
          <w:rStyle w:val="NumeroAFNegritaCaracter"/>
        </w:rPr>
        <w:t>2</w:t>
      </w:r>
      <w:r>
        <w:t>. Concluido el plazo abierto por su providencia de 4 de marzo, el Juez, por el ya citado Auto de 18 de marzo, acordó plantear a este Tribunal Constitucional la cuestión de inconstitucionalidad. Tras la oportuna referencia a los supuestos fácticos, el Juez razona su planteamiento en nueve considerandos que, sintéticamente expuestos, contienen los siguientes argumentos. En orden a los requisitos que la Constitución y la LOTC exigen para el correcto planteamiento de una cuestión de inconstitucionalidad, el Juez de Avilés razona en primer lugar diciendo que el carácter preconstitucional de la norma no impide el planteamiento de la cuestión, como ha afirmado este Tribunal en sus Sentencias de 2 de febrero de 1981 y de 1 de junio del mismo año. Por lo que concierne al llamado juicio de relevancia el Juez señala que si se considera inconstitucional la norma cuestionada, el protesto practicado en el caso no podría tenerse por bien notificado. En efecto, del acta notarial se colige que una persona no investida de fe pública notarial fue designada por el Notario para entregar la cédula a la persona de la librada-aceptante, y aquel emisario manifestó al Notario haber intentado la entrega de la cédula a una persona no identificada que, además, se negó a recibirla. De ello se deriva la probabilidad de que la aceptante no haya podido conocer el protesto, lo cual a su vez le acarrearía la privación de la posibilidad de alegar la falsedad de su firma, alegación que impediría que prosperara la demanda ejecuti</w:t>
      </w:r>
      <w:r>
        <w:lastRenderedPageBreak/>
        <w:t xml:space="preserve">va. Si de ahí se concluyera la nulidad de la notificación, es claro que ello haría perder a la letra su carácter de título ejecutivo, con la consiguiente nulidad del juicio. Por el contrario, «de mantenerse la adecuación de la norma cuestionada a los principios ratificados en el art. 24 de la C.E.» se impondría una Sentencia estimatoria y se mandaría seguir adelante la ejecución. El Juez entiende que él puede plantear de oficio esta incidencia de la norma del 504 del C. de C. en la Constitución, aunque la posible nulidad de la notificación por inconstitucionalidad de la norma no haya sido alegada por la aceptante, que permanece en rebeldía. </w:t>
      </w:r>
    </w:p>
    <w:p w:rsidR="001C705E" w:rsidRDefault="001C705E" w:rsidP="001C705E">
      <w:pPr>
        <w:pStyle w:val="TextoNormal"/>
      </w:pPr>
      <w:r>
        <w:t xml:space="preserve">La posible inconstitucionalidad del art. 504.2.2.ª y 3 del C. de C. descansa en los siguientes datos y razones. La norma cuya constitucionalidad se cuestiona se infiere del 504.2.2.ª y 3 del C. de C. en cuanto allí se dispone que se tendrá por hecha la notificación del protesto aun cuando sea hecha o intentada por persona designada por el Notario a persona que, encontrándose en el domicilio en que corresponda hacer el protesto, ni se identifica ni se hace cargo de la cédula. El art. 24 de la C. E. proscribe la indefensión, pero el Juez entiende que aquel precepto del Código de Comercio «puede dar lugar a la conculcación de intereses legítimos del obligado al pago de la letra protestada sin que éste disponga de la posibilidad efectiva para ejercer los medios legales suficientes para su defensa». En apoyo de la tesis de inconstitucional da , de Avilés cita la STC 1/1983, de 13 de enero, en especial por cuanto las exigencias allí requeridas sobre citaciones y notificaciones la propia Sentencia dice que rigen, más allá del marco estrictamente jurisdiccional, en relación con actos o procedimientos previos y preparatorios del proceso cuyos efectos trascienden al proceso. Ahora bien, el protesto cumple en nuestro ordenamiento la función de permitir la acción ejecutiva, por lo que es posible caracterizarlo como un acto previo y preparatorio, de carácter obligatorio, para las actuaciones judiciales del juicio ejecutivo, todo lo cual obliga a extender la protección constitucional de la proscripción de la indefensión a la fase preprocesal del protesto. Ahora bien, el art. 504 permite que haga la notificación del protesto persona carente de fe pública, y la falta de fehaciencia en ese acto que va a afectar jurisdiccionalmente al aceptante, minoriza la defensa de los derechos de éste, tanto más cuanto que el art. 504 no obliga a consignar en el acta el nombre de la persona designada por el Notario para efectuar la notificación. Aún más: El citado precepto da validez a la notificación realizada a persona hallada en el domicilio, aunque no conste su identificación, y, lo que es más fundamental, admite como hecha la notificación, aunque conste que aquella persona no ha querido recibir la cédula. En este supuesto la posibilidad de que el aceptante no conozca el protesto se convierte en alta probabilidad, por lo que la hipótesis fáctica es ostensiblemente inconstitucional, ya que no sólo no se produce la entrega de la cédula, sino que se hace constar la no entrega de la misma. El Juez de Avilés entiende por todo ello y por la doctrina sentada por la STC de 31 de marzo de 19 81 y 20 de octubre de 1982, que es obvio el desvío del 504 respecto de la propugnada por el Tribunal Constitucional. En el mismo Auto el Juez analiza los argumentos del Ministerio Fiscal en los que se apoyó para pedir el no planteamiento de la cuestión. El Fiscal alegó que aun siendo cierto que la legislación en cuestión reúne aquellas deficiencias que censura el TC, ello no implica inconstitucionalidad, porque la indefensión se deriva de la ausencia del aceptante de su domicilio, a lo que el Juez de Avilés rearguye diciendo que la imposición de la carga de estar en su domicilio al aceptante no viene exigida por ningún precepto legal; en el mismo sentido afirma el Auto que lo que se cuestiona no es la practicabilidad del protesto, «sino que se legalice como bien efectuada una notificación que no garantiza la fehaciencia y la realidad de la entrega de la cédula a persona identificada», de donde puede derivarse </w:t>
      </w:r>
      <w:r>
        <w:lastRenderedPageBreak/>
        <w:t>para el aceptante la imposibilidad de utilizar en el proceso ejecutivo la tacha de falsedad de la firma.</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La Sección Cuarta, por providencia de 6 de abril de 1983, acordó admitir a trámite la cuestión y abrir el plazo común para alegaciones previsto en el art. 37.2 de la LOTC, así como publicar en el «Boletín Oficial del Estado» la incoación de la misma. Sólo presentaron alegaciones el Abogado del Estado en representación del Gobierno y el Fiscal General del Estado. </w:t>
      </w:r>
    </w:p>
    <w:p w:rsidR="001C705E" w:rsidRDefault="001C705E" w:rsidP="001C705E">
      <w:pPr>
        <w:pStyle w:val="TextoNormal"/>
      </w:pPr>
      <w:r>
        <w:t xml:space="preserve">Concluye su escrito el Abogado del Estado pidiendo que se dicte Sentencia declarando «la conformidad a la Constitución de los preceptos cuestionados». No obstante, antes de examinar el fondo de la cuestión, analiza los aspectos concernientes al planteamiento de la misma y, en especial, si se produce en este caso la dependencia del fallo del Juez a quo respecto a la aplicación del precepto cuya constitucionalidad se cuestiona. El Juez de Avilés basa su duda en las consecuencias de indefensión que pueden derivarse para la aceptante de una letra al darse por hecha la notificación del protesto en el supuesto de que se niegue a recibirla la persona no identificada que se indica en el acta como hallada en el domicilio. Ello se conecta con la STC 1/1983. Pero, señala el Abogado del Estado, tal Sentencia asocia la indefensión a la no recepción del acto de comunicación y la naturaleza recepticia de éste como garantía de la defensión. Ahora bien, en el caso que da origen a la cuestión ocurre que quien supuestamente padecería la indefensión, que es la aceptante de la letra doña Aniceta González, aparece en las actuaciones procesales no obstante su declaración de rebeldía en el juicio ejecutivo y aun con anterioridad a ella y, más en concreto, en la diligencia de requerimiento, embargo y citación de remate, doña Aniceta, que la suscribe personalmente, ni niega haber conocido el protesto, ni aduce falsedad de su firma en la aceptación. Por tanto, el supuesto de la indefensión no concurre en el caso, por lo que hay que preguntarse si un órgano judicial puede plantear una cuestión de inconstitucionalidad con fundamento en una eventual posibilidad de indefensión, a lo que el Abogado del Estado (en adelante AE°) responde negativamente, tanto por los perjuicios que tal planteamiento produciría indebidamente a la otra parte, en este caso la libradora del título, como sobre todo, porque, como ya se dijo en la STC 17/1981, FJ 1, la cuestión de inconstitucionalidad es un instrumento para el control concreto de la constitucionalidad cuya trascendencia obliga a extremar las garantías sobre su recto planteamiento. El AE° entiende por todo ello que en este caso no se respeta la esencia del «control concreto de la constitucionalidad», porque el órgano judicial efectúa su razonamiento «con entera abstracción del litigio» en el que hubiera debido aplicarse la norma cuestionada, por lo que la cuestión ha de entenderse mal planteada. </w:t>
      </w:r>
    </w:p>
    <w:p w:rsidR="001C705E" w:rsidRDefault="001C705E" w:rsidP="001C705E">
      <w:pPr>
        <w:pStyle w:val="TextoNormal"/>
      </w:pPr>
      <w:r>
        <w:t xml:space="preserve">El AE° realiza a continuación unas consideraciones sobre la naturaleza del protesto como acto formal de reserva de derechos, que constituye una carga para el tenedor de la letra, y de la notificación del protesto, que suele ser entendida como elemento esencial del protesto. Este es así un acto complejo en el que se integran el protesto en sentido estricto, la notificación de la declaración de protesto y la documentación de la notificación (arts. 521.1, 504.1, 505, 504.2, 504.3. del C. de C.). El AE° pasa a examinar los efectos jurídicos que se anudan a la realización del protesto o a la ausencia del mismo, destacando los que para el destinatario de la notificación puede suponer su no recepción. Tras afirmar que el protesto de la letra tiene un contenido de derecho sustantivo y no procesal, a pesar de su efecto reflejo en el ámbito procesal, efecto por lo demás no peculiar del protesto, analiza las consecuencias que para el destinatario de la notificación puede comportar la no recepción de la cédula. Al margen de otros supuestos que no hacen al caso, alega el AE° que </w:t>
      </w:r>
      <w:r>
        <w:lastRenderedPageBreak/>
        <w:t xml:space="preserve">«desde el punto de vista del Derecho sustantivo la no recepción de la notificación del protesto por falta de pago ninguna consecuencia perjudicial puede ocasionar al aceptante», puesto que si no ha pagado debió y debe pagar, conozca o no la notificación del protesto. Desde el punto de vista procesal que aquí es el relevante, los efectos de la no recepción de la cédula consisten en que el deudor incumplidor formalmente aceptante, al no poder oponer la tacha de falsedad en la aceptación, queda sometido por voluntad del tenedor al despacho de ejecución y consiguiente embargo (art. 521. 3 del C. de C. y art. 1.429.4 de la L.E.C.), pero, añade el representante del Gobierno, estas afirmaciones deben, sin embargo, matizarse. En primer lugar, destacando que el efecto señalado en el auto -la sumisión, sin previa audiencia, al despacho de ejecución- no resulta realmente de la no recepción de la cédula de notificación del protesto, sino del negocio cambiario y de la realidad, acreditada fehacientemente en el ejemplar de la letra donde figura la aceptación incorporada al protesto (art. 504.1.3. del C. de C.), de no haberse verificado el pago. Por otro lado la consecuencia, plenamente congruente con la naturaleza de titulo ejecutivo que tiene la letra de cambio, consistirá en tener que soportar el despacho de la ejecución, pero no necesariamente el embargo ya que el aceptante podrá impedirlo atendiendo al requerimiento judicial de pago (art. 1.442 de la L.E.C.) o consignando el importe reclamado (art. 1.446 de la L.E.C.). Finalmente es de subrayar la dimensión temporal del efecto ocasionado, consistente tan sólo en no poder oponer la tacha de falsedad antes de que se notifique la cédula de citación de remate (art. 1.459 de la L.E.C.) puesto que, como resulta del art. 1.464.1 de la L.E.C., la oposición en el juicio ejecutivo sí permitirá al aceptante excepcionar la falsedad de su firma. </w:t>
      </w:r>
    </w:p>
    <w:p w:rsidR="001C705E" w:rsidRDefault="001C705E" w:rsidP="001C705E">
      <w:pPr>
        <w:pStyle w:val="TextoNormal"/>
      </w:pPr>
      <w:r>
        <w:t xml:space="preserve">Finalmente, el AE° analiza directamente los argumentos contenidos en el considerando quinto del Auto del Juzgado de Avilés relativos a las dudas sobre la constitucionalidad del art. 504.2.2.ª y 3 del C. de C., argumentos que el Auto ordena en cuatro apartados. Los dos primeros se refieren a la posibilidad de que la notificación del protesto se efectúe no por el Notario sino por quien el designe, y la posibilidad de que en el acta no se consigne la persona del notificador. A lo primero responde el AE° que aunque al notificador designado por el Notario no le alcance la fe pública de éste, la aseveración del notificador aparecerá revestida con una presunción de veracidad. A lo segundo señala que la identificación del notificador si no está legalmente impuesta tampoco está legalmente excluida del acta y precisamente el acta del caso presente demuestra que esa identificación del notificador se produce en ocasiones. Pero lo nuclear son los puntos c) y d) del considerando quinto del Auto, que centran las dudas de constitucionalidad en el hecho de que se tiene por efectuada la notificación del protesto incluso a través de una persona cuya identificación no se exige al ser hallada en el domicilio [punto c)], y aun en el caso de que esa persona se niegue a recibir la cédula [punto d)]. </w:t>
      </w:r>
    </w:p>
    <w:p w:rsidR="001C705E" w:rsidRDefault="001C705E" w:rsidP="001C705E">
      <w:pPr>
        <w:pStyle w:val="TextoNormal"/>
      </w:pPr>
      <w:r>
        <w:t xml:space="preserve">Respecto al punto c), el AE°, con apoyo doctrinal expresa y liberalmente citado, indica cuál es el principal fundamento del mecanismo de notificación cuestionado. El Derecho Mercantil establece una presunción en contra del aceptante que nace no del protesto ni de su notificación, sino de la aceptación misma, como reconocimiento de la deuda y de su vencimiento en día conocido. Llegado éste y efectuado el acto de la notificación en el domicilio que, dentro del orden del 505 del C. de C. viene, al menos, por omisión, señalado por el librado, la eficacia del título no puede quedar enervada ni por la ausencia del librado en el domicilio, ni por el comportamiento de quienes se nieguen a identificarse o a recibir la cedula [hipótesis esta a la que se refiere el punto d) del considerando del Auto]. </w:t>
      </w:r>
    </w:p>
    <w:p w:rsidR="001C705E" w:rsidRDefault="001C705E" w:rsidP="001C705E">
      <w:pPr>
        <w:pStyle w:val="TextoNormal"/>
      </w:pPr>
      <w:r>
        <w:t>En cuanto a la aplicación al caso de la doctrina sentada en la STC 1/1983, F.J.3. , el AE°, respecto a la extensión del art. 24 de la C.E. más allá del orden estrictamente juris</w:t>
      </w:r>
      <w:r>
        <w:lastRenderedPageBreak/>
        <w:t xml:space="preserve">diccional, apunta que los efectos del protesto se mueven primordialmente en el ámbito del derecho sustantivo; no debe olvidarse tampoco que el reforzamiento de las garantías del aceptante irían por fuerza en debilitamiento de las posibilidades de realización de su derecho por el acreedor, protegido por el mecanismo de la letra. Nótese también que el mecanismo cuestionado implica una falta de diligencia del librado aceptante, pues sólo entra en juego el art. 504.2.2.ª y 3 cuando ha resultado inviable la notificación personal en el domicilio indicado por el destinatario. Además, a la luz de otra resolución de este Tribunal, la Sentencia de 18 de diciembre de 1981, y sin necesidad de forzar el paralelismo entre el juicio ejecutivo hipotecario y el ejecutivo cambiario, resulta claro que si el primer procedimiento superó la prueba de su constitucionalidad, con mayor motivo ha de mantenerse la adecuación a la Constitución del ejecutivo cambiario incluyendo la repercusión procesal de la posible notificación no recepticia del protesto. Aquí, como en el ejecutivo hipotecario, la función que el Ordenamiento asigna a la letra determina que el tenedor de la cambial tenga una mejor posición procesal que los restantes titulares de créditos, posición que se traduce en la fuerza ejecutiva extraordinaria del efecto aceptado con la correlativa disminución de las posibilidades de contención para el aceptante. </w:t>
      </w:r>
    </w:p>
    <w:p w:rsidR="001C705E" w:rsidRDefault="001C705E" w:rsidP="001C705E">
      <w:pPr>
        <w:pStyle w:val="TextoNormal"/>
      </w:pPr>
      <w:r>
        <w:t>La función que desempeña la letra como titulo de ejecución privilegiada, y los principios de seguridad y de agilidad que por naturaleza han de regir en el tráfico mercantil no se compadecen con la inconstitucionalidad imputada al 504.2.2.ª y 3 del C. de C., a pesar del riesgo, presente en cualquier institución jurídica, de una posible falsedad de la aceptación, frente al cual, el ordenamiento permite, como se dijo, la reacción del perjudicado tanto a través del 1.464.1 de la L.E.C. en el juicio ejecutivo, como incluso por la vía penal.</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En su escrito de alegaciones, el Fiscal General del Estado comienza por examinar si desde el plano procesal la cuestión está correctamente planteada y, tras detenido análisis, concluye postulando la declaración de improcedencia de la cuestión por defectos en su planteamiento puesto que: a) propuesta inicialmente la cuestión en orden a determinados preceptos del Código de Comercio, se ha extendido a otros, en aspectos en que, alguno de ellos, no guarda relación directa ni indirecta con el que inicialmente sirvió de base al órgano judicial; b) la audiencia de las partes ha sido defectuosamente producida puesto que: 1. la demandada no ha sido oída; 2. actor y Ministerio Fiscal han sido oídos en orden a la presunta inconstitucionalidad de la regla tercera del núm. 2 del art. 504 del Código de Comercio; sin embargo, la cuestión se plantea en definitiva tanto en orden a dicho precepto como al 504.2.2.ª, que, en su aspecto esencial, no guarda relación con el 504.2. 3.ª, entendiendo por aspecto esencial la intervención de persona autorizada por el Notario; c) el hecho de que el Ministerio Fiscal, en su pretensión de defensa de la legalidad, tanto constitucional como ordinaria, en su dictamen haya buceado en las diversas facetas que el art. 504 del Código de Comercio ofrece, no subsana el defecto de planteamiento por parte del órgano judicial. </w:t>
      </w:r>
    </w:p>
    <w:p w:rsidR="001C705E" w:rsidRDefault="001C705E" w:rsidP="001C705E">
      <w:pPr>
        <w:pStyle w:val="TextoNormal"/>
      </w:pPr>
      <w:r>
        <w:t xml:space="preserve">No obstante, pasa a analizar los problemas de fondo, y, en primer término, el de la intervención en la notificación del protesto de persona distinta del Notario, en los términos del 504.2.2.ª del C. de C. A este respecto el Fiscal recuerda que el Código distingue entre el protesto, que «necesariamente ha de producir y produce el Notario», y su notificación que se plasma por medio de diligencia (no de acta) y que, del mismo modo como apuntan el art. 80.1 de la LPA y los preceptos correspondientes de las leyes procesales ordinarias, la entrega de la cédula de notificación puede llevarse a cabo por muy diferentes medios y personas, incluso funcionarios que no sean fedatarios. Que este sistema de notificación del </w:t>
      </w:r>
      <w:r>
        <w:lastRenderedPageBreak/>
        <w:t xml:space="preserve">protesto pueda producir prácticas viciosas o corruptelas, no implica de suyo que el ordenamiento legal sea en si mismo improcedente o incluso contrario a la Constitución. </w:t>
      </w:r>
    </w:p>
    <w:p w:rsidR="001C705E" w:rsidRDefault="001C705E" w:rsidP="001C705E">
      <w:pPr>
        <w:pStyle w:val="TextoNormal"/>
      </w:pPr>
      <w:r>
        <w:t xml:space="preserve">El siguiente problema que analiza el Fiscal viene determinado por la eficacia de la notificación tanto cuando ésta se hace a persona que se niegue a dar su nombre, como cuando se resista a hacerse cargo de la cédula (art. 504.3 del C. de C.). Es cierto que en estos últimos supuestos puede que el destinatario de la notificación, aquí el librado aceptante, desconozca que se ha producido el protesto. Ahora bien, hay que comprender que en torno a la letra, su protesto y los pasos posteriores de carácter ejecutivo existen dos tipos de intereses, los del librado y los del tenedor del título, y dada la especialidad de éste aquella tensión -salvo siempre la posibilidad de defensa del librado- ha de resolverse en favor del título. Lo cual no implica, ni siquiera en las hipótesis del 504.3 del C. de C., violación constitucional ni «actividad sorpresiva» del librador o indefensión del librado, ya que éste al aceptar la letra sabía que ésta existía, cuál era su importe, cuál era su domicilio y cuál era la fecha de su vencimiento. Sólo queda al margen el supuesto de falsedad de la firma del aparente aceptante, supuesto anormal con trascendencia penal. Lo normal no es eso, sino que el legislador provea instrumentos pertinentes para evitar que el librado pueda, soslayando la notificación del protesto, lograr el perjuicio del efecto, para lo cual es lógico y bastante exigir, en esencia, que la notificación del protesto se intente en el domicilio o domicilios a tal fin señalados sucesivamente por el 505 del Código. </w:t>
      </w:r>
    </w:p>
    <w:p w:rsidR="001C705E" w:rsidRDefault="001C705E" w:rsidP="001C705E">
      <w:pPr>
        <w:pStyle w:val="TextoNormal"/>
      </w:pPr>
      <w:r>
        <w:t xml:space="preserve">En relación con el contraste de los preceptos cuestionados con el art. 24. 1 de la C.E. el Fiscal pone de manifiesto en primer lugar, por lo que respecta a la tutela efectiva, que ésta es exigible sólo a los Jueces y Tribunales y que su lesión sólo puede producirse en el seno de la actuación judicial. Por lo demás, ésta comienza en relación con los títulos ejecutivos a partir del examen de la documentación y actuaciones extrajudiciales de que habla el art. 1.440 de la L.E.C. en su referencia al art. 1.467, núm. 2, de la misma Ley; en virtud de tales preceptos el Juez podrá rechazar la demanda de ejecución, sin necesidad de plantear la cuestión de inconstitucionalidad, si entiende que, al haberse realizado la notificación por persona designada por el Notario y a persona no identificada o que no quiso hacerse cargo de la cédula, se lesionaron derechos protegibles del librado, como son en concreto los del art. 24 de la Constitución. De ahí que no debió acudir en este caso al planteamiento de la cuestión de inconstitucionalidad. Finalmente, y por lo que concierne a la indefensión del librado aceptante, el Fiscal señala que aquél, tras el embargo y ya en la fase contradictoria, puede oponer en el juicio sumario ejecutivo las excepciones del 1.464 en sus cinco primeros números más los motivos de nulidad del 1.467 (cfr. art. 1.465 de la L.E.C.): Esto es, el librado puede salvar así las dificultades que para él pudieron nacer al no entenderse con él la notificación. En el juicio puede oponer las excepciones y eventualmente vencer en primera instancia o en apelación, todo ello sin perjuicio de la posibilidad que el deudor librado aceptante derrotado en el juicio sumario ejecutivo tiene, en virtud de la no producción de cosa juzgada de sus sentencias según el art. 1.479 de la L.E.C., de promover el juicio plenario ordinario o declarativo sobre la misma cuestión. Todo ello demuestra que el librado cuenta con instrumentos múltiples precisamente de carácter judicial para reaccionar contra las consecuencias perjudiciales que le haya podido deparar la aplicación de las normas ahora cuestionada, y evitar con tales instrumentos la indefensión que proscribe el art. 24.1 del texto constitucional, como en casos asimilables al que ahora nos ocupa señaló el TC en su Sentencia 41/1981, de 18 de diciembre, al resolver el Pleno los recursos de amparo previamente acumulados y avocados. </w:t>
      </w:r>
    </w:p>
    <w:p w:rsidR="001C705E" w:rsidRDefault="001C705E" w:rsidP="001C705E">
      <w:pPr>
        <w:pStyle w:val="TextoNormal"/>
      </w:pPr>
      <w:r>
        <w:lastRenderedPageBreak/>
        <w:t>En conclusión el Fiscal pide que se dicte Sentencia declarando improcedente la cuestión «tanto por defecto formal, como por no resultar los preceptos del C. de C. invocados opuestos a los de la C.E. asimismo relacionados».</w:t>
      </w:r>
    </w:p>
    <w:p w:rsidR="001C705E" w:rsidRDefault="001C705E" w:rsidP="001C705E">
      <w:pPr>
        <w:pStyle w:val="TextoNormal"/>
      </w:pPr>
    </w:p>
    <w:p w:rsidR="001C705E" w:rsidRDefault="001C705E" w:rsidP="001C705E">
      <w:pPr>
        <w:pStyle w:val="TextoNormal"/>
      </w:pPr>
      <w:r w:rsidRPr="001C705E">
        <w:rPr>
          <w:rStyle w:val="NumeroAFNegritaCaracter"/>
        </w:rPr>
        <w:t>5</w:t>
      </w:r>
      <w:r>
        <w:t>. La representación procesal en el juicio a quo de la parte allí demandante, formuló a 27 de noviembre de 1984 un escrito al Juzgado núm. 2 de Avilés exponiéndole los perjuicios que le ocasionaba la prolongada suspensión de los Autos, como consecuencia del planteamiento de la cuestión de inconstitucionalidad, al no poder hacer efectiva entre tanto la deuda contra la deudora allí demandada. El Juez de Avilés remitió copia de aquel escrito junto con atento oficio suyo dirigido al Presidente de este Tribunal, fechado a 10 de diciembre de 1984. La Sección Cuarta, por providencia de 9 de enero de 1985, acordó tener como partes en este proceso constitucional al AE° y al Fiscal General del Estado, así como tener por formuladas sus alegaciones. Acordó también incorporar a los Autos el citado oficio del Juez de Avilés, del que se le acusará recibo, y declarar conclusos los Autos pendientes para señalamiento de deliberación y votación.</w:t>
      </w:r>
    </w:p>
    <w:p w:rsidR="001C705E" w:rsidRDefault="001C705E" w:rsidP="001C705E">
      <w:pPr>
        <w:pStyle w:val="TextoNormal"/>
      </w:pPr>
    </w:p>
    <w:p w:rsidR="001C705E" w:rsidRDefault="001C705E" w:rsidP="001C705E">
      <w:pPr>
        <w:pStyle w:val="TextoNormal"/>
      </w:pPr>
      <w:r w:rsidRPr="001C705E">
        <w:rPr>
          <w:rStyle w:val="NumeroAFNegritaCaracter"/>
        </w:rPr>
        <w:t>6</w:t>
      </w:r>
      <w:r>
        <w:t>. El 7 de febrero último, el Pleno señaló para deliberación y fallo el día 14 de los corrientes.</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En la STC 17/1981, este Tribunal ya dijo que la «posibilidad de decretar la inadmisibilidad en trámite previo no excluye, en modo alguno, la facultad del Tribunal para hacer mediante Sentencia un pronunciamiento de la misma naturaleza cuando las razones que impiden entrar a resolver sobre la validez de la norma cuestionada no son aparentes prima facie» (FJ segundo). Sin prejuzgar todavía cuál vaya a ser el sentido y el alcance de nuestro pronunciamiento al respecto, sí parece obligado que examinemos con todo detenimiento si en este caso se han cumplido, o por el contrario faltan, «las condiciones procesales» para el correcto planteamiento de la cuestión, o si ésta es «notoriamente infundada» (art. 37.1 de la LOTC), ya que tanto el AE° como el Fiscal General en sus respectivos escritos de alegaciones en el trámite del art. 37.2 de la LOTC, sostienen tras extensos razonamientos que la cuestión está mal planteada y piden que por Sentencia declaremos su improcedencia.</w:t>
      </w:r>
    </w:p>
    <w:p w:rsidR="001C705E" w:rsidRDefault="001C705E" w:rsidP="001C705E">
      <w:pPr>
        <w:pStyle w:val="TextoNormal"/>
      </w:pPr>
      <w:r>
        <w:t xml:space="preserve">Los argumentos del AE° a este propósito no son convincentes, porque en realidad no conducen a probar la inexistencia del juicio de relevancia exigido por el art. 35.1 de la LOTC, sino a demostrar (con éxito o no, punto que ahora no analizamos) que, en su opinión, tal juicio de relevancia es inconsistente porque ni la indefensión se ha producido de hecho, ni en este caso, ni en el protesto en general, se dan los requisitos que para la citación previa a la conciliación se indicaron en la STC 1/1983 de la Sala Segunda. Ahora bien, esto implica razonar sobre el fondo y razonar por cierto frente a un extenso considerando -el noveno y último- del Auto de planteamiento en el que el Juez a quo se refiere con cuidado y con claridad «a la incidencia que en la decisión del proceso puede tener la validez de la norma cuya constitucionalidad se cuestiona», y lo hace en términos tales que no permiten en absoluto decir que la cuestión suscitada «fuere notariamente infundada» (art. 37.1 de la LOTC), ni, menos todavía, que falte el juicio de relevancia, o que, como el AE° afirma, el Juez a quo haya actuado «con entera abstracción del litigio», lo que implicaría ir más allá del control concreto que es ciertamente el propio fin de las cuestiones de </w:t>
      </w:r>
      <w:r>
        <w:lastRenderedPageBreak/>
        <w:t>inconstitucionalidad. Esta no ha incurrido en ninguno de estos defectos y, por lo que a ellos concierne, no podría declararse su improcedencia.</w:t>
      </w:r>
    </w:p>
    <w:p w:rsidR="001C705E" w:rsidRDefault="001C705E" w:rsidP="001C705E">
      <w:pPr>
        <w:pStyle w:val="TextoNormal"/>
      </w:pPr>
      <w:r>
        <w:t>Más atención requiere la argumentación del Fiscal sobre las condiciones procesales y formales del planteamiento, pues entiende que la parte demandada en el juicio a quo no ha sido oída y ha sido mal citada, y, por otra parte, que la cuestión fue inicialmente planteada en unos términos y se ha extendido después a otros preceptos. En orden al primer problema, no es posible aceptar la alegación del Fiscal. En efecto, es cierto que la parte demandada en el juicio sumario ejecutivo, esto es, la librada-aceptante de la letra de cambio, no ha formulado alegaciones en el trámite del art. 35.2 de la LOTC; también lo es que el Juzgado de Avilés conocía con seguridad su domicilio, que le había sido facilitado días antes por la parte demandante, y que en tal domicilio se había efectuado el día 24 de febrero la diligencia de requerimiento, embargo y citación de remate, diligencia en la que aparece la demandada en persona para decir que los bienes embargados no son de su propiedad y para firmarla; consta asimismo en los Autos que, pese a ello, la providencia de 4 de marzo por la que se confirió a las partes plazo común para que alegasen sobre la pertinencia de plantear la cuestión., le fue notificada a la parte demandada aquel mismo día en estrados y ante dos testigos. Pero aun siendo, como es, todo esto así, de ahí no es posible inferir ninguna anormalidad procedimental por parte del órgano judicial, pues no hay que olvidar que transcurridos los tres días útiles de que habla el art. 1.461 de la L.E.C.  después de efectuada la citación de remate, la demandada no compareció, por lo que, en cumplimiento del art. 1.462 de la misma Ley procesal, el Juez de Avilés, por providencia de 1 de marzo, procedió a declararla en rebeldía, indicándose en el texto impreso de tal providencia (donde se rellenan mecanográficamente tan sólo los datos del caso) que la notificación «de este proveído y demás que se dicten» se efectuará en estrados, decisión que significa el exacto cumplimiento del art.  281 de la L.E.C.  Si las partes del juicio ejecutivo no han alegado sobre la pertinencia de la cuestión de inconstitucionalidad, dato sobre el que ya informaba el Auto de planteamiento en su resultando tercero, no por ello se ha incurrido en defecto de planteamiento, pues fueron citadas en forma y dispusieron del plazo común legalmente previsto por el art. 35.2 de la LOTC.</w:t>
      </w:r>
    </w:p>
    <w:p w:rsidR="001C705E" w:rsidRDefault="001C705E" w:rsidP="001C705E">
      <w:pPr>
        <w:pStyle w:val="TextoNormal"/>
      </w:pPr>
    </w:p>
    <w:p w:rsidR="001C705E" w:rsidRDefault="001C705E" w:rsidP="001C705E">
      <w:pPr>
        <w:pStyle w:val="TextoNormal"/>
      </w:pPr>
      <w:r w:rsidRPr="001C705E">
        <w:rPr>
          <w:rStyle w:val="NumeroAFNegritaCaracter"/>
        </w:rPr>
        <w:t>2</w:t>
      </w:r>
      <w:r>
        <w:t>. Conviene examinar por separado el problema de la identificación de la norma o normas cuestionadas, por lo cual, y antes de comprobar si la actuación del órgano judicial ha sido o no formalmente correcta, es necesario analizar, aun a riesgo de incurrir en prolijidad, la estructura del art. 504 del Código de Comercio en su vigente redacción, que es la que le dio la Ley 47/1967, de 22 de julio, y que debemos examinar en el texto publicado en el «Boletín Oficial del Estado» de 24 de julio de aquel año, página 10461.</w:t>
      </w:r>
    </w:p>
    <w:p w:rsidR="001C705E" w:rsidRDefault="001C705E" w:rsidP="001C705E">
      <w:pPr>
        <w:pStyle w:val="TextoNormal"/>
      </w:pPr>
      <w:r>
        <w:t xml:space="preserve">El art. 504 consta de tres apartados, numerados en el texto del «Boletín Oficial del Estado» como 1 (con guarismo), dos y tres. El apartado 1 contiene los requisitos para la válida y eficaz formalización del protesto que están designados con letras, del primero al cuarto. El apartado dos (sic, con letras) se refiere a la notificación del protesto y a la cédula por medio de la cual se practicará aquélla, cédula que deberá cumplir dos formalidades enumeradas, con letras, como primera y segunda. El apartado tres se refiere a la necesaria consignación en el acta del protesto de determinadas circunstancias y vicisitudes concernientes a la entrega de la cédula de notificación (punto central de esta cuestión); se refiere también este apartado tres a otras posibles manifestaciones que aquí no interesan. Así, pues, cuando se quiera hacer referencia a la formalidad segunda de la cédula de notificación, que es la relativa a la entrega domiciliaria de la cédula «por el Notario o por quien éste designe para ello», deberá citarse como art.  504, dos, segunda, con letras, para mayor </w:t>
      </w:r>
      <w:r>
        <w:lastRenderedPageBreak/>
        <w:t>claridad, o, como art. 504.2.2.ª Del mismo modo, si se quiere aludir a la norma concerniente a la consignación en el acta del protesto de que la cédula se entregó a persona que no se identificó o que tal persona no identificada se negó a hacerse cargo de la cédula, la cita correcta será art. 504, tres, o, si se prefiere, art. 504.3.  Si se quiere hacer referencia a ambos preceptos la cita deberá ser art. 504.  Dos, segunda, y tres, o art. 504.2.2.ª y 3 del C. de Comercio.</w:t>
      </w:r>
    </w:p>
    <w:p w:rsidR="001C705E" w:rsidRDefault="001C705E" w:rsidP="001C705E">
      <w:pPr>
        <w:pStyle w:val="TextoNormal"/>
      </w:pPr>
      <w:r>
        <w:t>El Juez de Avilés, en la providencia de 4 de marzo cita la norma como «artículo 504.2.3. ». En el Auto de 18 de marzo se refiere, en el resultando tercero (alusivo precisamente al trámite abierto por aquella providencia a las partes), al «art. 504.2.2.  y 3. »; en el considerando segundo identifica el objeto de la cuestión como «art. 504. Dos, formalidades segunda y tercera»; finalmente, en la parte dispositiva del Auto se dice «art. 504.2.2.ª y 3.ª», expresión que se repite en el oficio de remisión dirigido al Presidente de este Tribunal.</w:t>
      </w:r>
    </w:p>
    <w:p w:rsidR="001C705E" w:rsidRDefault="001C705E" w:rsidP="001C705E">
      <w:pPr>
        <w:pStyle w:val="TextoNormal"/>
      </w:pPr>
      <w:r>
        <w:t>Lo primero que se puede concluir tras tan minucioso análisis es que el texto del Auto, sobre todo atendiendo a su considerando segundo, pone de manifiesto que según el titular del órgano judicial proponente el art. 504. Dos del C.  de C. contiene una primera, una segunda y una tercera formalidad, lo cual no corresponde con la realidad, pues el 504. Dos, sólo contiene una primera (y subdividida) y una segunda (sin subdivisiones) formalidad de la cédula, siendo el párrafo siguiente, cualquiera que pudiera ser su designación ordinal, no una formalidad más de la cédula, sino una norma relativa a la necesidad de consignar en el acta del protesto determinadas circunstancias de hecho. Esta imperfecta cita e identificación de las normas a las que se refiere el Auto del Juez no es irrelevante, pero tampoco conduciría, sin más, a que este Tribunal considerase mal planteada la cuestión, porque, al margen de errores formales, el texto del Auto permite concluir, sin duda razonable, que al dirigirse al Tribunal Constitucional, el Juez de Avilés ha querido plantear y ha planteado la constitucionalidad de dos normas: Una, la relativa a que la cédula de notificación pueda ser entregada por persona designada por el Notario (art. 504. Dos, segunda); otra, la de que la notificación se considere bien hecha aunque la cédula se entregue a persona no identificada o esa persona no identificada no haya querido hacerse cargo de la cédula (art.  504.  Tres). Defectos formales al margen, la identificación ante el Tribunal Constitucional de las normas cuestionadas puede considerarse suficiente.</w:t>
      </w:r>
    </w:p>
    <w:p w:rsidR="001C705E" w:rsidRDefault="001C705E" w:rsidP="001C705E">
      <w:pPr>
        <w:pStyle w:val="TextoNormal"/>
      </w:pPr>
      <w:r>
        <w:t>Pero si comparamos este contenido del Auto de 18 de marzo con el de la providencia del día 4 de aquel mes, se comprueba que los objetos de ambas resoluciones no coinciden, pues en la providencia se habla del «art.  504.2.3x». No sería fácil identificar la norma sobre cuya posible inconstitucionalidad se dirige el Juez a las partes si nos hubiéramos de fijar sólo en esa cita numérica, puesto que, como se ha visto, el apartado 2 del artículo 504 no tiene un subapartado 3. Pero en la providencia hay una identificación inequívoca de cuál es la norma allí citada, pues tras la mención anterior, el Juez añade «que ordena tener por hecha la notificación del protesto en el supuesto de negativa a recibir la persona que indica la cédula sin constancia tampoco de su identidad». La única norma sobre la que el Juez centró la posible inconstitucionalidad al dirigirse a las partes en el trámite del art. 35.1 fue, pues, la del art. 504. Tres, en su primer punto; así debió citarla (art. 504. Tres o art. 504. 3) y no como subapartado 3. del apartado 2; pero la identificación escrita, aun no siendo tampoco muy precisa ni muy clara gramaticalmente, es suficiente para entender cuál fue entonces el objeto de la cuestión, que se circunscribía sólo a esa única norma.</w:t>
      </w:r>
    </w:p>
    <w:p w:rsidR="001C705E" w:rsidRDefault="001C705E" w:rsidP="001C705E">
      <w:pPr>
        <w:pStyle w:val="TextoNormal"/>
      </w:pPr>
      <w:r>
        <w:t xml:space="preserve">Así lo entendió, por lo demás, el Fiscal al evacuar el trámite de alegaciones, pues, tras sintetizar el contenido de la providencia, expresa que lo que «se somete a informe del Ministerio Fiscal» es la norma del 504.2.3. (sic) «en los términos que resulta de su contenido </w:t>
      </w:r>
      <w:r>
        <w:lastRenderedPageBreak/>
        <w:t>expresado en la anterior providencia», y, aunque formula una observación de pasada y muy breve respecto a que la reforma de la Ley 47/1967 «puede censurarse como demasiado favorable para los fedatarios (Bercovitz, 1970)», no es la norma contenida en el 504. Dos, segunda la que analiza ni sobre cuya inconstitucionalidad se pronuncia, sino sólo la norma del art. 504. Tres, del C. de C., en los términos literalmente descritos en la providencia.</w:t>
      </w:r>
    </w:p>
    <w:p w:rsidR="001C705E" w:rsidRDefault="001C705E" w:rsidP="001C705E">
      <w:pPr>
        <w:pStyle w:val="TextoNormal"/>
      </w:pPr>
      <w:r>
        <w:t>Tampoco hay entre ambas normas una conexión lógica necesaria, ni una es un prius lógico respecto de la otra, de modo tal que pudiera plantearse el Tribunal el problema de si, centrada desde la providencia de 4 de marzo la cuestión de inconstitucionalidad sobre el 504. Tres, tal planteamiento arrastraba por fuerza la inconstitucionalidad del 504. Dos, segunda, pues de lo ya expuesto se infiere que el 504.2. segunda y el 504. Tres, aun referidos ambos al protesto como acto complejo, contienen preceptos relativos a secuencias sucesivas (la entrega de la cédula y lo que se debe consignar en el acta del protesto), a documentos diferentes (la cédula y el acta) y a sujetos distintos (la persona designada por el Notario y la persona que no se identifica y/o se niega a hacerse cargo de la cédula). Son, en suma, normas distintas, y como la cuestión se propuso a las partes del juicio a quo y al Ministerio Fiscal sólo sobre una de ellas, no es posible extender en el Auto dirigido al Tribunal Constitucional el objeto de la cuestión a una segunda norma, en este caso la del 504. Dos, segunda, porque iniciado el planteamiento de la cuestión por el órgano judicial en la fase y en los términos del art.  35.1 de la LOTC, el objeto de la cuestión ha de permanecer inalterable y no puede ser ampliado en el Auto al que se refiere el párrafo segundo del mismo artículo, único modo de hacer efectiva la posibilidad de que las partes y el Ministerio Fiscal se hayan pronunciado sobre la pertinencia del planteamiento de la inconstitucionalidad de una norma determinada, ya que más allá del objeto contenido en la providencia que en su momento se les dirigió no han podido obviamente pronunciarse.</w:t>
      </w:r>
    </w:p>
    <w:p w:rsidR="001C705E" w:rsidRDefault="001C705E" w:rsidP="001C705E">
      <w:pPr>
        <w:pStyle w:val="TextoNormal"/>
      </w:pPr>
      <w:r>
        <w:t>El trámite del art. 35.2 de la LOTC está ordenado a garantizar que no sólo las partes del proceso a quo, sino también el Ministerio Fiscal (quien, como ocurre en este caso interviene en él sin haberlo hecho en el juicio previo), puedan contribuir a depurar el control de inconstitucionalidad al alegar sobre «la pertinencia de plantear» la cuestión, alegaciones que fundamentalmente habrán de versar -por un lado- sobre la vinculación entre la norma citada por el Juez como cuestionable y los supuestos de hecho que se den en el caso, y, de otro lado, sobre el juicio de conformidad entre la norma y la Constitución.  En el primer sentido, las alegaciones servirán para comprobar si el Juez a quo propone un control concreto, esto es, ceñido al caso; en el segundo aspecto, las alegaciones podrán contribuir a que el órgano judicial vea disipadas o confirmadas sus dudas respecto a la inconstitucionalidad. Pero es un supuesto lógico necesario en ambos aspectos la previa identificación de la norma cuestionable y el posterior respeto por parte del Juez de ese límite objetivo en su eventual Auto de planteamiento, que, en cuanto exceda del objeto normativo fijado en el trámite abierto a las partes, incurre en transgresión del 35.2 de la LOTC al impedir la alegación de las partes y del Ministerio Fiscal sobre ese plus añadido, es decir, sobre la norma introducida extemporáneamente. En consecuencia, y por lo que concierne a la presente cuestión, hay que considerarla correctamente planteada por lo que respecta a la norma del 504. Tres del C. de C. (desde «se consignarán ...», hasta «...  hecha la notificación»), en los términos contenidos en la providencia de 4 de marzo, y en los con aquellos coincidentes del Auto de 18 de marzo, pero sólo respecto a tal norma, siendo improcedente la extensión del planteamiento a la norma del 504. Dos, segunda del mismo Código, por lo que se tiene por no planteada respecto a ella y por no formuladas las consideraciones que a ella se refieren en el Auto del Juzgado proponente.</w:t>
      </w:r>
    </w:p>
    <w:p w:rsidR="001C705E" w:rsidRDefault="001C705E" w:rsidP="001C705E">
      <w:pPr>
        <w:pStyle w:val="TextoNormal"/>
      </w:pPr>
    </w:p>
    <w:p w:rsidR="001C705E" w:rsidRDefault="001C705E" w:rsidP="001C705E">
      <w:pPr>
        <w:pStyle w:val="TextoNormal"/>
      </w:pPr>
      <w:r w:rsidRPr="001C705E">
        <w:rPr>
          <w:rStyle w:val="NumeroAFNegritaCaracter"/>
        </w:rPr>
        <w:t>3</w:t>
      </w:r>
      <w:r>
        <w:t>. Ciñéndonos al objeto de la cuestión así delimitado son tres los problemas que deberemos resolver sucesivamente, siguiendo un orden lógico que coincide con el del Auto de planteamiento. En él se considera extensible a este caso y en general a las formalidades del protesto lo que la Sala Segunda de este Tribunal dicte en su Sentencia 1/1983, de 13 de enero. El segundo problema es si el 504. Tres del C. de C. al dar validez a la notificación hecha a persona que no se identifica al ser hallada en el domicilio del protesto, viola el art. 24 de la C. E., produciendo la indefensión del aceptante. El último problema a examinar es si viola por la misma razón el mismo precepto constitucional la norma del 504. Tres del C. de C. al considerar válida la notificación «aun cuando conste que aquella persona no ha querido recibir la cédula».</w:t>
      </w:r>
    </w:p>
    <w:p w:rsidR="001C705E" w:rsidRDefault="001C705E" w:rsidP="001C705E">
      <w:pPr>
        <w:pStyle w:val="TextoNormal"/>
      </w:pPr>
      <w:r>
        <w:t>En los considerandos tercero y cuarto del Auto se caracteriza el protesto «como un acto preparatorio previo, de carácter obligatorio, para las actuaciones jurisdiccionales del juicio ejecutivo»; se extiende a él lo dicho en la STC 1/1983 respecto a que el art. 24.1 de la C.E., al proscribir la indefensión, es aplicable también «a los procedimientos que siendo preparatorios y previos, de carácter obligatorio, se insertan en el conjunto de actos precisos para la tutela de los derechos o intereses legítimos»; y, finalmente, se considera que, en consecuencia, el carácter recepticio de la citación para el acto de conciliación previa a un proceso laboral por despido (en virtud del cual se consideró en aquella Sentencia que se había producido indefensión al citado por el IMAC por correo y sin constancia de la recepción) ha de aplicarse también a la cédula de notificación del protesto.</w:t>
      </w:r>
    </w:p>
    <w:p w:rsidR="001C705E" w:rsidRDefault="001C705E" w:rsidP="001C705E">
      <w:pPr>
        <w:pStyle w:val="TextoNormal"/>
      </w:pPr>
      <w:r>
        <w:t>En primer lugar es necesario observar que no es posible asimilar en cuanto a su carácter procesal la citación para el acto de conciliación ante el IMAC y la cédula de notificación del protesto de una letra de cambio. En efecto, como señala el Abogado del Estado, el protesto tiene un contenido de Derecho sustantivo en cuanto es un acto formal de reserva de derechos a favor del tenedor de la letra, sin perjuicio de lo cual el protesto cumple la función esencial de prueba preconstituida en orden a que se requirió el pago de la letra, presentándola en el lugar y en el momento debidos, pese a lo cual no se pagó; es decir, constituye tanto una carga impuesta al tenedor, como una prueba preconstituida, por todo lo cual tiene un carácter sustantivo y unos efectos procesales, lo que no puede decirse del acto de conciliación al proceso laboral con cuya citación se trata de asimilar la cédula de notificación del protesto.</w:t>
      </w:r>
    </w:p>
    <w:p w:rsidR="001C705E" w:rsidRDefault="001C705E" w:rsidP="001C705E">
      <w:pPr>
        <w:pStyle w:val="TextoNormal"/>
      </w:pPr>
      <w:r>
        <w:t>Es de advertir además que mientras que en el hecho de no recibir por correo la citación para la conciliación remitida por el IMAC, el citado, que fue parte en el recurso de amparo como demandante y antes en el laboral como demandado, no tuvo participación alguna en el hecho de no estar en el domicilio fijado en la letra, que el aceptante conoce, durante el día fijado para el vencimiento y pago, día que también el aceptante conoce y aceptó, sí que le cabe a éste una responsabilidad derivada de la misma fuerza del título ejecutivo por él aceptado en su día. Ello nos lleva a analizar si se produce indefensión en el sentido proscrito por el art. 24.1 de la C.E., cuando se dan los supuestos acotados por el Juez proponente en el 504. Tres del C. de C., lo cual aproxima nuestro problema presente más que al resuelto en la STC 1/1983, a los acumulados y decididos en la STC 41/1981, de 18 de diciembre, en relación con el procedimiento de ejecución hipotecaria. No es ocioso recordar ahora que allí dijimos que en tal proceso sumario «se limita extraordinariamente la contradicción procesal, pero ello no significa que se produzca indefensión» (FJ5); y a tal conclusión llegaba entonces el Pleno de este Tribunal, entre otras razones, porque «lo expeditivo de la ejecución no elimina la posibilidad de contradicción que sigue abierta en el juicio ordinario» (FJ6), y también porque «el constituyente de la hipoteca ha consentido la posi</w:t>
      </w:r>
      <w:r>
        <w:lastRenderedPageBreak/>
        <w:t>ción en que el título ejecutivo le sitúa, ya que tal posición deriva de un negocio jurídico» por él libre y previamente celebrado (FJ7).</w:t>
      </w:r>
    </w:p>
    <w:p w:rsidR="001C705E" w:rsidRDefault="001C705E" w:rsidP="001C705E">
      <w:pPr>
        <w:pStyle w:val="TextoNormal"/>
      </w:pPr>
      <w:r>
        <w:t>Sin forzar tampoco la aproximación entre el caso presente y los de la Sentencia que acabamos de glosar, sí podemos decir que existen en el ámbito de los procesos civiles y mercantiles y, en particular, en los procesos sumarios ejecutivos, situaciones en las que se produce una aminoración de los mecanismos de defensa que no constituye indefensión en el sentido del art. 24 de la C.E., porque ni la indefensión es total ni la aminoración de la defensa es definitiva ni tal disminución es ajena a la voluntad de quien la padece, sino que deriva de la celebración de un previo negocio jurídico.</w:t>
      </w:r>
    </w:p>
    <w:p w:rsidR="001C705E" w:rsidRDefault="001C705E" w:rsidP="001C705E">
      <w:pPr>
        <w:pStyle w:val="TextoNormal"/>
      </w:pPr>
      <w:r>
        <w:t>Veamos ahora hasta qué punto la validez de la notificación de la cédula del protesto produce en el subsiguiente proceso sumario ejecutivo consecuencias de indefensión o de disminución de defensa al aceptante incompatibles con el derecho fundamental reconocido en el art. 24.1 de la Constitución, cuando la notificación se realiza en la forma permitida por el 504. Tres del Código, esto es, en los supuestos cuya constitucionalidad cuestiona el Juez proponente.</w:t>
      </w:r>
    </w:p>
    <w:p w:rsidR="001C705E" w:rsidRDefault="001C705E" w:rsidP="001C705E">
      <w:pPr>
        <w:pStyle w:val="TextoNormal"/>
      </w:pPr>
    </w:p>
    <w:p w:rsidR="001C705E" w:rsidRDefault="001C705E" w:rsidP="001C705E">
      <w:pPr>
        <w:pStyle w:val="TextoNormal"/>
      </w:pPr>
      <w:r w:rsidRPr="001C705E">
        <w:rPr>
          <w:rStyle w:val="NumeroAFNegritaCaracter"/>
        </w:rPr>
        <w:t>4</w:t>
      </w:r>
      <w:r>
        <w:t>. El supuesto del 504. Tres del C. de C. se da tanto en el caso que dio lugar a esta cuestión como en términos generales después de que se haya intentado, sin éxito, la entrega de la cédula de notificación al librado aceptante en el domicilio que corresponda con arreglo al art. 505, domicilio conocido por el librado aceptante que, en cuanto tal, firmó la letra con conocimiento de la fecha de su vencimiento y de su domicilio (arts. 444, 446 y 478 del Código).  Existen en la letra de cambio unos mecanismos formales que constituyen la esencia misma de la institución y cuyo respeto o cuyo incumplimiento significan beneficios (o aun privilegios) para una parte, en la misma medida que cargas (o perjuicios) para la otra, de tal manera que la alteración de unos y otros mecanismos destruiría la función que la letra desempeña como título de ejecución privilegiada, con grave quebranto para la seguridad y la agilidad del tráfico mercantil. Del análisis de aquellos preceptos del Código de Comercio que acabamos de citar y de las anteriores reflexiones debemos concluir que no es que trate de imponerse -como viene a decirse en el auto- un «arresto» domiciliario por un día al aceptante hasta la llegada del Notario o del emisario notarial, sino que el aceptante, por la propia aceptación de la letra, se obliga a pagarla a su vencimiento, con lo que puede entenderse que se obliga a atender debidamente a la presentación de la misma en la fecha y lugar correspondientes. Una vez inatendida la letra a su vencimiento por parte del aceptante, sería obviamente injusto poner en manos de éste un arma tal como la ausencia del domicilio o su negativa a identificarse o a hacerse cargo de la cédula, y que ésta lograse impedir el protesto de la cambial y, con ello, produjera su perjuicio. Pues aun admitiendo el carácter de actos previos al proceso y preparatorios del mismo del protesto y su notificación, sería en tal caso el tenedor de la letra, y no el aceptante, quien padecería grave perjuicio si el segundo pudiese impedir, a su arbitrio, o que el primero preparase mediante tales actos un medio para la defensa de sus intereses en el futuro juicio ejecutivo, perjuicio que dañaría muy gravemente a la letra de cambio como institución. Ello demuestra no sólo la racionalidad de la norma que da por hecha la notificación en los supuestos del art. 504.  Tres del C.  de C., sino la imposibilidad de exigir el carácter recepticio de la cédula de notificación del protesto, extendiendo a ella lo dicho a propósito de la citación para conciliación.</w:t>
      </w:r>
    </w:p>
    <w:p w:rsidR="001C705E" w:rsidRDefault="001C705E" w:rsidP="001C705E">
      <w:pPr>
        <w:pStyle w:val="TextoNormal"/>
      </w:pPr>
      <w:r>
        <w:t xml:space="preserve">Queda finalmente por examinar el supuesto límite derivable del juego del 504.  Tres del C. de C. y el principal argumento del Juez proponente para cuestionar la inconstitucionalidad de la norma. No cabe duda de que el aceptante puede, con ocasión de la notificación </w:t>
      </w:r>
      <w:r>
        <w:lastRenderedPageBreak/>
        <w:t>del protesto, examinar la letra y hacer manifestaciones congruentes con el mismo (art. 506.1 del Código de Comercio), entre las cuales destaca la tacha de falsedad en su firma, tacha que impide por sí sola que el tenedor de la letra pueda instar, y que el supuesto aceptante tachador tenga que soportar, sin audiencia previa, el despacho de ejecución y subsiguiente embargo (arts. 506.1 y 521.3 del Código de Comercio y 1.429.4. de la L.E.C.). Por ello viene a argumentarse que el dar por notificado el protesto cuando no sólo no existe recepción de la cédula, sino que incluso se hace constar la efectiva no entrega de la misma, impide al aceptante adoptar los medios suficientes para su defensa o, más aún, para obviar mediante la tacha de falsedad el juicio mismo. Esto es cierto y en ello consiste la principal disminución de la defensa del librado y del aceptante.  Sin embargo, debe recordarse que el juicio ejecutivo consta, una vez realizado el embargo, de una segunda fase, en la que se da audiencia al demandado, tras haber sido éste citado de remate para que se persone y se oponga a la ejecución, si lo estima pertinente (arts. 1.459 y ss. de la L.E.C.). Y que, entre las excepciones que puede oponer el demandado, figura la «falsedad del título ejecutivo o del acto que le hubiere dado fuerza de tal» (arts.  1.464.1.ª y 1.465 de la L.E.C.). De ahí que, aun en el supuesto de que el protesto se tuviese por notificado al aparente aceptante, de forma tal que le impidiese tener conocimiento del mismo y tachar, en su caso, de falsedad la firma de aceptación, el aparente y falso aceptante no quedaría indefenso, pues dispondría todavía de momento procesal oportuno para formular la excepción correspondiente.</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Que no ha lugar a que se pronuncie acerca de la constitucionalidad del art.  504. Dos, segunda del Código de Comercio.</w:t>
      </w:r>
    </w:p>
    <w:p w:rsidR="001C705E" w:rsidRDefault="001C705E" w:rsidP="001C705E">
      <w:pPr>
        <w:pStyle w:val="TextoNormal"/>
      </w:pPr>
      <w:r>
        <w:t>2. Que la norma contenida en el art. 504. Tres del Código de Comercio no es contraria al art. 24.1 de la Constitución.</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quince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5" w:name="SENTENCIA_1985_22"/>
      <w:r>
        <w:lastRenderedPageBreak/>
        <w:t>SENTENCIA 22/1985, de 15 de febrero de 1985</w:t>
      </w:r>
    </w:p>
    <w:bookmarkEnd w:id="25"/>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ECLI:ES:TC:1985:22</w:t>
      </w:r>
    </w:p>
    <w:p w:rsidR="001C705E" w:rsidRDefault="001C705E" w:rsidP="001C705E">
      <w:pPr>
        <w:pStyle w:val="SntesisDescriptiva"/>
      </w:pPr>
    </w:p>
    <w:p w:rsidR="001C705E" w:rsidRDefault="001C705E" w:rsidP="001C705E">
      <w:pPr>
        <w:pStyle w:val="SntesisDescriptiva"/>
      </w:pPr>
      <w:r>
        <w:t>Recurso de amparo 104/1984. Contra Sentencia de la Sala de lo Contencioso-Administrativo de la Audiencia Nacional que declaró la inadmisibilidad de recurso contencioso- administrativo por falta de competencia.</w:t>
      </w:r>
    </w:p>
    <w:p w:rsidR="001C705E" w:rsidRDefault="001C705E" w:rsidP="001C705E">
      <w:pPr>
        <w:pStyle w:val="SntesisDescriptiva"/>
      </w:pPr>
    </w:p>
    <w:p w:rsidR="001C705E" w:rsidRDefault="001C705E" w:rsidP="001C705E">
      <w:pPr>
        <w:pStyle w:val="SntesisAnaltica"/>
      </w:pPr>
      <w:r>
        <w:t>Derogación del art. 88 a) de la LJCA por considerarlo lesivo para el derecho a la tutela judicial efectiva. Voto particular</w:t>
      </w:r>
    </w:p>
    <w:p w:rsidR="001C705E" w:rsidRDefault="001C705E" w:rsidP="001C705E">
      <w:pPr>
        <w:pStyle w:val="SntesisAnaltica"/>
      </w:pPr>
    </w:p>
    <w:p w:rsidR="001C705E" w:rsidRDefault="001C705E" w:rsidP="001C705E">
      <w:pPr>
        <w:pStyle w:val="Extracto"/>
      </w:pPr>
      <w:r>
        <w:t>1.</w:t>
      </w:r>
      <w:r>
        <w:tab/>
        <w:t xml:space="preserve">Para que el cambio de criterio de un órgano judicial respecto de su propia competencia pueda significar una violación de la igualdad ante la Ley y, por tanto, una discriminación, no basta con demostrar que a dos supuestos idénticos se han atribuido consecuencias jurídicas distintas, sino también que esa diferencia en la aplicación de la norma está motivada por un propósito discriminatorio y no es resultado, simplemente, de una más exacta comprensión de los preceptos legales. </w:t>
      </w:r>
    </w:p>
    <w:p w:rsidR="001C705E" w:rsidRDefault="001C705E" w:rsidP="001C705E">
      <w:pPr>
        <w:pStyle w:val="Extracto"/>
      </w:pPr>
    </w:p>
    <w:p w:rsidR="001C705E" w:rsidRDefault="001C705E" w:rsidP="001C705E">
      <w:pPr>
        <w:pStyle w:val="Extracto"/>
      </w:pPr>
      <w:r>
        <w:t>2.</w:t>
      </w:r>
      <w:r>
        <w:tab/>
        <w:t xml:space="preserve">La efectividad del principio de conservación de las normas como principio inspirador de nuestra doctrina no alcanza, como es obvio, hasta el extremo de permitirnos ignorar o desfigurar el sentido de enunciados legales meridianos. </w:t>
      </w:r>
    </w:p>
    <w:p w:rsidR="001C705E" w:rsidRDefault="001C705E" w:rsidP="001C705E">
      <w:pPr>
        <w:pStyle w:val="Extracto"/>
      </w:pPr>
    </w:p>
    <w:p w:rsidR="001C705E" w:rsidRDefault="001C705E" w:rsidP="001C705E">
      <w:pPr>
        <w:pStyle w:val="Extracto"/>
      </w:pPr>
      <w:r>
        <w:t>3.</w:t>
      </w:r>
      <w:r>
        <w:tab/>
        <w:t xml:space="preserve">El Tribunal ha afirmado reiteradamente que el derecho a la tutela judicial efectiva se satisface con una decisión fundada en Derecho, que puede ser de inadmisión. Esto no impide que el Tribunal examine la conformidad con la Constitución de las normas en que la decisión de inadmisión se apoya, pues en modo alguno podría entenderse que da satisfacción plena al derecho de acción que la Constitución garantiza a todos «uti cives», un sistema que estableciese condiciones de admisión artificiales o arbitrarias por no responder a ninguna finalidad que el legislador, dentro del «marco» de la Constitución, pueda legítimamente perseguir. En el ámbito del recurso contencioso-administrativo, la libre facultad de declarar en la Sentencia la inadmisión del recurso por incompetencia del órgano no es compatible con el derecho a un acceso sin obstáculos innecesarios a la tutela judicial efectiva; y por tanto al art. 82 a) de la LJCA, que atribuye dicha facultad a los Tribunales de este orden ha de entenderse derogado por la Constitución. </w:t>
      </w:r>
    </w:p>
    <w:p w:rsidR="001C705E" w:rsidRDefault="001C705E" w:rsidP="001C705E">
      <w:pPr>
        <w:pStyle w:val="Extracto"/>
      </w:pPr>
    </w:p>
    <w:p w:rsidR="001C705E" w:rsidRDefault="001C705E" w:rsidP="001C705E">
      <w:pPr>
        <w:pStyle w:val="Extracto"/>
      </w:pPr>
      <w:r>
        <w:t>4.</w:t>
      </w:r>
      <w:r>
        <w:tab/>
        <w:t xml:space="preserve">Ni las sanciones encubiertas tienen cabida en un Estado de Derecho, ni cabe presumir que quien incurre en un error procesal obra así por negligencia o contumacia.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 xml:space="preserve">La Sala Segunda del Tribunal Constitucional, compuesta por don Jerónimo Arozamena Sierra, Presidente, y don Francisco Rubio Llorente, don Luis Díez-Picazo y Ponce de </w:t>
      </w:r>
      <w:r>
        <w:lastRenderedPageBreak/>
        <w:t>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promovido por don José María Ruiz Molina, representado por el Procurador don José Sánchez Jáuregui y bajo la dirección del Abogado don Luis Roldán Rodríguez, respecto de la Sentencia de la Sección Segunda de la Sala de lo Contencioso-Administrativo de la Audiencia Nacional que declaró la inadmisibilidad del recurso contencioso-administrativo, y en el que ha comparecido el Ministerio Fiscal y el Abogado del Estado, siendo Ponente el Magistrado don Francisco Rubio Llorente,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Por escrito que tuvo entrada en el Tribunal Constitucional el día 16 de febrero de 1984, don José Sánchez Jáuregui, Procurador de los Tribunales, interpuso recurso de amparo constitucional, en nombre y representación de don José María Ruiz Molina, contra la Sentencia de 20 de enero de 1984, de la Sala de lo Contencioso-Administrativo de la Audiencia Nacional, que declaró la inadmisibilidad del recurso contencioso-administrativo número 23.004, interpuesto en su día por el hoy recurrente en amparo. </w:t>
      </w:r>
    </w:p>
    <w:p w:rsidR="001C705E" w:rsidRDefault="001C705E" w:rsidP="001C705E">
      <w:pPr>
        <w:pStyle w:val="TextoNormal"/>
      </w:pPr>
      <w:r>
        <w:t>Pide el demandante que se declare por el Tribunal la nulidad de la Sentencia recurrida por violar sus derechos fundamentales al Juez ordinario, predeterminado por la Ley, a la tutela judicial de sus derechos e intereses legítimos y a no ser discriminado, derechos declarados en los arts. 24 y 14 de la Constitución. Se solicita, asimismo, que por la Sala sentenciadora se proceda a determinar la cuestión de competencia en su día formulada por el actor, resolviendo lo que procesalmente procediere en orden a la remisión de las actuaciones al Tribunal competente y a su conocimiento por la misma Sala.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demanda se fundamenta en los siguientes hechos: </w:t>
      </w:r>
    </w:p>
    <w:p w:rsidR="001C705E" w:rsidRDefault="001C705E" w:rsidP="001C705E">
      <w:pPr>
        <w:pStyle w:val="TextoNormal"/>
      </w:pPr>
      <w:r>
        <w:t xml:space="preserve">a) El ahora solicitante de amparo, Capitán de Ingenieros retirado, en situación militar de «servicios civiles» y destinado en la Dirección Provincial de Barcelona del Ministerio de Cultura, formuló una reclamación, con fecha 1 de junio de 1981, al Ministerio de Cultura, sobre percibo de determinadas retribuciones. Transcurridos más de tres meses sin recibir notificación de la oportuna resolución, el señor Ruiz Molina denunció la mora, y transcurridos tres meses más interpuso recurso de reposición contra la desestimación presunta de su petición. </w:t>
      </w:r>
    </w:p>
    <w:p w:rsidR="001C705E" w:rsidRDefault="001C705E" w:rsidP="001C705E">
      <w:pPr>
        <w:pStyle w:val="TextoNormal"/>
      </w:pPr>
      <w:r>
        <w:t xml:space="preserve">b) El día 17 de marzo de 1982, el señor Ruiz Molina interpuso contra dicha desestimación presunta, recurso contencioso-administrativo, ante la Sala de este orden jurisdiccional de la Audiencia Nacional, por entender que lo que impugnaba era un acto presunto de un </w:t>
      </w:r>
      <w:r>
        <w:lastRenderedPageBreak/>
        <w:t xml:space="preserve">Ministerio en materia de personal funcionario. Dicho recurso fue admitido a trámite por providencia de la referida Sala, de 25 de marzo del siguiente. </w:t>
      </w:r>
    </w:p>
    <w:p w:rsidR="001C705E" w:rsidRDefault="001C705E" w:rsidP="001C705E">
      <w:pPr>
        <w:pStyle w:val="TextoNormal"/>
      </w:pPr>
      <w:r>
        <w:t xml:space="preserve">c) Con posterioridad, el 17 de mayo del mismo año, le fue notificada Resolución de la Subsecretaría del Ministerio de Cultura, de 16 de abril, por la que se desestimaba expresamente su petición. Interpuesto recurso de reposición ante el Ministerio de Cultura y transcurrido el plazo legalmente señalado sin recibir contestación, solicitó de la Sala de la Audiencia Nacional la ampliación del recurso interpuesto a la aludida Resolución, ampliación que le fue concedida por providencia de 9 de julio de 1982. </w:t>
      </w:r>
    </w:p>
    <w:p w:rsidR="001C705E" w:rsidRDefault="001C705E" w:rsidP="001C705E">
      <w:pPr>
        <w:pStyle w:val="TextoNormal"/>
      </w:pPr>
      <w:r>
        <w:t xml:space="preserve">d) Notificada posteriormente la resolución del Subsecretario de Cultura, de 5 de octubre de 1982, por la que se desestimó expresamente el recurso de reposición últimamente citado (notificación en la que se hacía constar que contra la misma podría interponerse, dentro del plazo de dos meses, recurso contencioso-administrativo ante la Sala correspondiente de la Audiencia Territorial de Madrid o de Barcelona, a su elección), el señor Ruiz Molina entendió que el Tribunal competente para conocer del asunto era la Sala de la Audiencia Nacional y a ésta solicitó, con fecha 19 de octubre siguiente, la ampliación del recurso inicialmente interpuesto a la última resolución indicada. En dicha solicitud se planteó a la Sala, según el recurrente, una cuestión de competencia que la misma debía de resolver, bien aceptando la propia competencia, bien rechazándola y remitiendo entonces las actuaciones a la Sala correspondiente de la Audiencia Territorial, para que, conforme a lo dispuesto en el art. 8.3, de la Ley Jurisdiccional, siguiera ante ella el curso de los autos. La Sala de la Audiencia acordó la ampliación solicitada mediante providencia de 15 de noviembre de 1982. </w:t>
      </w:r>
    </w:p>
    <w:p w:rsidR="001C705E" w:rsidRDefault="001C705E" w:rsidP="001C705E">
      <w:pPr>
        <w:pStyle w:val="TextoNormal"/>
      </w:pPr>
      <w:r>
        <w:t>e) Por Sentencia de 20 de enero de 1984, la Sala de la Audiencia Nacional declaró inadmisible el recurso, por entender que era incompetente para resolverlo, habida cuenta de que las resoluciones impugnadas, expresas y presuntas, habían sido dictadas y eran imputables, respectivamente, al Subsecretario del Ministerio de Cultura, es decir, a un órgano de nivel inferior al Ministro, circunstancia ésta determinante de la competencia de las Audiencias Territoriales.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La fundamentación en Derecho de la demanda de amparo puede resumirse como sigue: </w:t>
      </w:r>
    </w:p>
    <w:p w:rsidR="001C705E" w:rsidRDefault="001C705E" w:rsidP="001C705E">
      <w:pPr>
        <w:pStyle w:val="TextoNormal"/>
      </w:pPr>
      <w:r>
        <w:t xml:space="preserve">a) Entiende el recurrente que la Sentencia impugnada ha violado los derechos fundamentales reconocidos en los arts. 24 y 14 de la Constitución, en la medida en que le ha privado, respectivamente, de su derecho al Tribunal de Justicia predeterminado por la Ley y a obtener la tutela judicial efectiva, así como de su derecho a la igualdad, toda vez que otras Sentencias de la misma Sala han admitido, e incluso estimado, otros recursos, reconociendo a los demandantes (de la misma condición y circunstancia funcionariales que él) el mismo derecho que reclamó y del que se vio privado. </w:t>
      </w:r>
    </w:p>
    <w:p w:rsidR="001C705E" w:rsidRDefault="001C705E" w:rsidP="001C705E">
      <w:pPr>
        <w:pStyle w:val="TextoNormal"/>
      </w:pPr>
      <w:r>
        <w:t xml:space="preserve">b) Por lo que respecta al primero de los preceptos constitucionales invocados, el demandante, tras citar el art. 8.2 y 3 de la Ley Jurisdiccional y señalar que cuando se interpone ante una Sala de lo Contencioso-Administrativo un recurso que por su materia es competencia de otra, viene siendo habitual que la Sala incompetente remita las actuaciones a la competente, afirma que, en caso de considerarse incompetente, la Sala de la Audiencia Nacional debió remitir las actuaciones a la Sala competente de la Audiencia Territorial. Al no hacer esto, y sí conceder la ampliación solicitada, admitiendo implícitamente su competencia, pero dictando luego Sentencia declarando la inadmisibilidad del recurso por incompetencia, ha privado al ahora solicitante de amparo de los derechos antes mencionados, reconocidos en el art. 24 de la norma fundamental. </w:t>
      </w:r>
    </w:p>
    <w:p w:rsidR="001C705E" w:rsidRDefault="001C705E" w:rsidP="001C705E">
      <w:pPr>
        <w:pStyle w:val="TextoNormal"/>
      </w:pPr>
      <w:r>
        <w:lastRenderedPageBreak/>
        <w:t>c) En lo relativo al segundo de los preceptos constitucionales invocados, el recurrente manifiesta que la propia Sala de la Audiencia Nacional, ha admitido y estimado los recursos números 14.398 y 14.431 promovidos, respectivamente, por otros militares también en la situación de «servicios civiles» y que formularon idéntica pretensión, impugnando también estos recurrentes resoluciones dictadas por el Subsecretario de un Departamento ministerial (el de Interior, en estos casos). Dice a este respecto el demandante que no cabe argüir que en estos últimos recursos la resolución impugnada fue dictada por el Subsecretario en el ejercicio de facultades delegadas por el Ministro y que, en cambio, en el caso que ahora se considera no ocurrió así, puesto que, siendo la materia objeto de debate de la misma, también debió serlo la competencia para resolver el asunto planteado.</w:t>
      </w:r>
    </w:p>
    <w:p w:rsidR="001C705E" w:rsidRDefault="001C705E" w:rsidP="001C705E">
      <w:pPr>
        <w:pStyle w:val="TextoNormal"/>
      </w:pPr>
    </w:p>
    <w:p w:rsidR="001C705E" w:rsidRDefault="001C705E" w:rsidP="001C705E">
      <w:pPr>
        <w:pStyle w:val="TextoNormal"/>
      </w:pPr>
      <w:r w:rsidRPr="001C705E">
        <w:rPr>
          <w:rStyle w:val="NumeroAFNegritaCaracter"/>
        </w:rPr>
        <w:t>4</w:t>
      </w:r>
      <w:r>
        <w:t>. Por providencia de 21 de marzo de 1984, la Sección Tercera acordó admitir a tramite la demanda de amparo y reclamar de la Audiencia Nacional la remisión de las actuaciones correspondientes, así como el emplazamiento de las partes. Por la misma providencia se requirió, igualmente, del Ministerio de Cultura la remisión de las actuaciones del expediente tramitado a instancia del recurrente.</w:t>
      </w:r>
    </w:p>
    <w:p w:rsidR="001C705E" w:rsidRDefault="001C705E" w:rsidP="001C705E">
      <w:pPr>
        <w:pStyle w:val="TextoNormal"/>
      </w:pPr>
    </w:p>
    <w:p w:rsidR="001C705E" w:rsidRDefault="001C705E" w:rsidP="001C705E">
      <w:pPr>
        <w:pStyle w:val="TextoNormal"/>
      </w:pPr>
      <w:r w:rsidRPr="001C705E">
        <w:rPr>
          <w:rStyle w:val="NumeroAFNegritaCaracter"/>
        </w:rPr>
        <w:t>5</w:t>
      </w:r>
      <w:r>
        <w:t>. Recibidas las actuaciones requeridas, la Sección, por providencia de 30 de mayo, acordó dar vista de las mismas a las partes y al Ministerio Fiscal, concediendo un plazo de veinte días para la formulación de las alegaciones.</w:t>
      </w:r>
    </w:p>
    <w:p w:rsidR="001C705E" w:rsidRDefault="001C705E" w:rsidP="001C705E">
      <w:pPr>
        <w:pStyle w:val="TextoNormal"/>
      </w:pPr>
    </w:p>
    <w:p w:rsidR="001C705E" w:rsidRDefault="001C705E" w:rsidP="001C705E">
      <w:pPr>
        <w:pStyle w:val="TextoNormal"/>
      </w:pPr>
      <w:r w:rsidRPr="001C705E">
        <w:rPr>
          <w:rStyle w:val="NumeroAFNegritaCaracter"/>
        </w:rPr>
        <w:t>6</w:t>
      </w:r>
      <w:r>
        <w:t>. En su escrito de 18 de junio, la representación del demandante de amparo se ratificó en su totalidad en lo manifestado en la demanda, reiterando su solicitud de que se dictase Sentencia en los términos entonces demandados.</w:t>
      </w:r>
    </w:p>
    <w:p w:rsidR="001C705E" w:rsidRDefault="001C705E" w:rsidP="001C705E">
      <w:pPr>
        <w:pStyle w:val="TextoNormal"/>
      </w:pPr>
    </w:p>
    <w:p w:rsidR="001C705E" w:rsidRDefault="001C705E" w:rsidP="001C705E">
      <w:pPr>
        <w:pStyle w:val="TextoNormal"/>
      </w:pPr>
      <w:r w:rsidRPr="001C705E">
        <w:rPr>
          <w:rStyle w:val="NumeroAFNegritaCaracter"/>
        </w:rPr>
        <w:t>7</w:t>
      </w:r>
      <w:r>
        <w:t>. El mismo día 18 evacuó sus alegaciones el Ministerio Fiscal. Se afirma en éstas, en primer lugar, que respecto de la alegada vulneración del derecho a la igualdad, el recurrente no ha satisfecho el requisito procesal dispuesto en el art. 44.1 a) de la LOTC, toda vez que la Sentencia impugnada era recurrible, por este mismo motivo, a través del recurso de revisión previsto, para lo que aquí interesa, en el art. 102.1 b) de la Ley Jurisdiccional. Este defecto en la interposición de la demanda llevaría, pues, a su desestimación por inadmisibilidad del recurso. En cuanto a la pretendida conculcación del derecho al Juez ordinario, dice el Ministerio Fiscal que se trata de una queja carente de dimensión constitucional, según doctrina del propio Tribunal Constitucional. Por lo demás, la doctrina establecida por la Sala sería irreprochable de acuerdo con las normas reguladoras de la competencia en el orden contencioso-administrativo, normas éstas que le correspondía conocer al recurrente, máxime tras de la expresa indicación al efecto de la Resolución del Subsecretario del Ministerio de Cultura, del 5 de octubre. Por último, si bien es cierto que las Salas de lo Contencioso-Administrativo pueden apreciar de oficio su competencia, no lo es menos que se trata, en este caso, no de un «deber», sino de una «facultad», sin que nada impida al Tribunal, en ejercicio de la expresa previsión del art. 82 a) de la Ley Jurisdiccional, reconocerse incompetente en Sentencia en la que se disponga, por lo mismo, la inadmisibilidad del recurso. Por todo ello solicita el Ministerio Fiscal la desestimación del presente recurso de amparo.</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Por escrito de 26 de junio formuló sus alegaciones el Abogado del Estado, pudiendo las mismas resumirse del modo que sigue: </w:t>
      </w:r>
    </w:p>
    <w:p w:rsidR="001C705E" w:rsidRDefault="001C705E" w:rsidP="001C705E">
      <w:pPr>
        <w:pStyle w:val="TextoNormal"/>
      </w:pPr>
      <w:r>
        <w:lastRenderedPageBreak/>
        <w:t xml:space="preserve">a) Comienza por advertir el Abogado del Estado que el recurrente ha incumplido la exigencia dispuesta en el art. 44.1 a) de la LOTC, puesto que no interpuso contra la Sentencia que ataca el recurso extraordinario de revisión, recurso posible en este caso y a través del que se podría haber alcanzado la reparación de la lesión aducida. En todo caso, esta última sería inexistente, no dándose la identidad afirmada por el actor entre la sentencia que recurre y las que cita como término de referencia, ya que en estas últimas se enjuician Resoluciones del Subsecretario del Ministerio del Interior, dictadas de modo expreso en el ejercicio de facultades delegadas, circunstancia que no se dio en el presente caso. Citando jurisprudencia del Tribunal Constitucional, afirma el Abogado del Estado que, aun reconociendo que la Sala de la Audiencia Nacional hubiera fallado en este caso de modo distinto a otro, no por ello habría de entenderse producida una violación del art. 14 de la Constitución, porque, al margen de la posible utilización del recurso extraordinario de revisión, tales modificaciones son posibles en mérito mismo de la evolución de la doctrina jurisprudencial. </w:t>
      </w:r>
    </w:p>
    <w:p w:rsidR="001C705E" w:rsidRDefault="001C705E" w:rsidP="001C705E">
      <w:pPr>
        <w:pStyle w:val="TextoNormal"/>
      </w:pPr>
      <w:r>
        <w:t xml:space="preserve">b) Tampoco viola la Sentencia impugnada el art. 24 de la Constitución porque, según también doctrina del Tribunal Constitucional, este precepto no resulta conculcado cuando se obtiene por la parte, como aquí ocurrió, una resolución fundada en derecho, decisión que puede ser de inadmisión cuando así proceda. No puede entrar el Tribunal Constitucional a fiscalizar la interpretación al efecto realizada por el Tribunal a quo cuando tal fundamentación exista, siendo claro, por lo demás, que en el orden contencioso-administrativo, la señalada declaración de incompetencia puede adoptarse por el juzgador no sólo en el trámite de admisión, sino también en el de alegaciones previas o, como aquí ocurrió, en el momento mismo de dictarse Sentencia. </w:t>
      </w:r>
    </w:p>
    <w:p w:rsidR="001C705E" w:rsidRDefault="001C705E" w:rsidP="001C705E">
      <w:pPr>
        <w:pStyle w:val="TextoNormal"/>
      </w:pPr>
      <w:r>
        <w:t xml:space="preserve">c) Considera el Abogado del Estado, en otro orden de ideas, que nunca podrá considerarse vulnerado el derecho a la tutela judicial efectiva cuando, como en este caso, fue el propio interesado quien, al insistir en su criterio acerca de la competencia de un órgano judicial, provocó la decisión judicial que ahora combate. El recurrente mostró falta de diligencia al no seguir las indicaciones que al efecto se le hicieron en la resolución de 5 de octubre de 1982, remitiéndole, caso de que ejercitase su derecho al recurso, a las Audiencias Territoriales de Madrid o de Barcelona, a su elección. </w:t>
      </w:r>
    </w:p>
    <w:p w:rsidR="001C705E" w:rsidRDefault="001C705E" w:rsidP="001C705E">
      <w:pPr>
        <w:pStyle w:val="TextoNormal"/>
      </w:pPr>
      <w:r>
        <w:t>Por lo expuesto, solicita el Abogado del Estado la denegación del amparo.</w:t>
      </w:r>
    </w:p>
    <w:p w:rsidR="001C705E" w:rsidRDefault="001C705E" w:rsidP="001C705E">
      <w:pPr>
        <w:pStyle w:val="TextoNormal"/>
      </w:pPr>
    </w:p>
    <w:p w:rsidR="001C705E" w:rsidRDefault="001C705E" w:rsidP="001C705E">
      <w:pPr>
        <w:pStyle w:val="TextoNormal"/>
      </w:pPr>
      <w:r w:rsidRPr="001C705E">
        <w:rPr>
          <w:rStyle w:val="NumeroAFNegritaCaracter"/>
        </w:rPr>
        <w:t>9</w:t>
      </w:r>
      <w:r>
        <w:t>. En providencia de 17 de octubre, la Sala Segunda tuvo por formuladas las alegaciones resumidas, señalando para deliberación y votación del recurso el día 12 de diciembre.</w:t>
      </w:r>
    </w:p>
    <w:p w:rsidR="001C705E" w:rsidRDefault="001C705E" w:rsidP="001C705E">
      <w:pPr>
        <w:pStyle w:val="TextoNormal"/>
      </w:pPr>
    </w:p>
    <w:p w:rsidR="001C705E" w:rsidRDefault="001C705E" w:rsidP="001C705E">
      <w:pPr>
        <w:pStyle w:val="TextoNormal"/>
      </w:pPr>
      <w:r w:rsidRPr="001C705E">
        <w:rPr>
          <w:rStyle w:val="NumeroAFNegritaCaracter"/>
        </w:rPr>
        <w:t>10</w:t>
      </w:r>
      <w:r>
        <w:t>. En nueva providencia, dictada el 19 de diciembre, la misma Sala, haciendo uso de lo dispuesto en el art. 84 de la LOTC, acordó oír a las partes, en el plazo común de diez días y con suspensión del de dictar Sentencia, a fin de que manifestasen lo que estimaren procedente sobre la posible fundamentación de la decisión del recurso en la incompatibilidad del art. 82 a) de la LJCA con el art. 24.1 de la Constitución.</w:t>
      </w:r>
    </w:p>
    <w:p w:rsidR="001C705E" w:rsidRDefault="001C705E" w:rsidP="001C705E">
      <w:pPr>
        <w:pStyle w:val="TextoNormal"/>
      </w:pPr>
    </w:p>
    <w:p w:rsidR="001C705E" w:rsidRDefault="001C705E" w:rsidP="001C705E">
      <w:pPr>
        <w:pStyle w:val="TextoNormal"/>
      </w:pPr>
      <w:r w:rsidRPr="001C705E">
        <w:rPr>
          <w:rStyle w:val="NumeroAFNegritaCaracter"/>
        </w:rPr>
        <w:t>11</w:t>
      </w:r>
      <w:r>
        <w:t>. El 3 de enero 198 5 formuló sus alegaciones la representación actora, afirmando la manifiesta incompatibilidad del citado art. 82. a) con el art. 24.1 de la Constitución en la medida en que aquel precepto contradice el derecho a la tutela efectiva por parte de Jueces y Tribunales, así como el derecho al Juez predeterminado por la Ley en un proceso dotado de todas las garantías.</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12</w:t>
      </w:r>
      <w:r>
        <w:t xml:space="preserve">. Con fecha 8 de enero formuló el Ministerio Fiscal sus alegaciones, que pueden resumirse así: </w:t>
      </w:r>
    </w:p>
    <w:p w:rsidR="001C705E" w:rsidRDefault="001C705E" w:rsidP="001C705E">
      <w:pPr>
        <w:pStyle w:val="TextoNormal"/>
      </w:pPr>
      <w:r>
        <w:t xml:space="preserve">a) Es preciso recordar, ante todo, la doctrina del Tribunal Constitucional acerca de la derogación de normas preconstitucionales por incompatibilidad con la Constitución misma. De esta doctrina se desprenden tres conclusiones: En primer lugar, que han de apurarse todas las posibilidades de interpretar la norma preconstitucional en modo conforme con la Constitución, constatándose su derogación sólo cuando tal conciliación sea imposible; en segundo lugar, que el juicio de derogación ha de hacerse desde la óptica del caso planteado, limitándose a lo que éste exija; por último, que las causas de inadmisión en la Ley Jurisdiccional no pueden entenderse contrarias a la Constitución, siempre que no afecten al contenido esencial de los derechos fundamentales. </w:t>
      </w:r>
    </w:p>
    <w:p w:rsidR="001C705E" w:rsidRDefault="001C705E" w:rsidP="001C705E">
      <w:pPr>
        <w:pStyle w:val="TextoNormal"/>
      </w:pPr>
      <w:r>
        <w:t xml:space="preserve">b) El art. 82 a) de esta Ley no es otra cosa que una consecuencia, si bien tardía, de la improrrogabilidad de la jurisdicción contencioso-administrativa, rasgo éste que no se da en otros órdenes jurisdiccionales. Sobre esta base, la inconstitucionalidad de esta disposición sólo podría apreciarse en el caso de que, inadmitida la demanda en Sentencia, tal inadmisión deviniera realmente desestimación de la pretensión, al no poder el actor replantearla ante el Tribunal competente, llegándose así a una auténtica denegación de justicia. Ahora bien, de la Ley Jurisdiccional no se desprende necesariamente que el interesado no pueda reproducir su demanda en estos casos, si bien se ha de reconocer que declarar la incompetencia en el momento postrero de la Sentencia origina dificultades que se hubieran evitado si se hubiera hecho con anterioridad, remitiendo las actuaciones al órgano competente. A este respecto es de considerar la doctrina del Tribunal Supremo en diversas Sentencias en las que, anulando decisiones de inadmisión por incompetencia ex art. 82 a), se ordena la retroacción del proceso al momento anterior al fallo para que se dicte auto de incompetencia, remitiéndose lo actuado al Tribunal competente. Con todo, si bien una terminación del proceso conforme al art. 82 a) origina las dificultades señaladas, no parece que éstas constituyan una verdadera indefensión ni que, por lo mismo, lleven a considerar la derogación del precepto. </w:t>
      </w:r>
    </w:p>
    <w:p w:rsidR="001C705E" w:rsidRDefault="001C705E" w:rsidP="001C705E">
      <w:pPr>
        <w:pStyle w:val="TextoNormal"/>
      </w:pPr>
      <w:r>
        <w:t xml:space="preserve">c) Lo anterior habría de completarse con dos observaciones más. Es la primera que, en el presente caso, la situación en la que el recurrente ha terminado encontrándose se debió a su propia inhabilidad. De otra parte, estableciendo el art. 81.1 de la Ley Jurisdiccional que la Sentencia puede ser de inadmisión, ha de observarse que las causas que determinan ésta, si no advertidas con anterioridad, no devienen por ello causas de desestimación del recurso, como ocurre en otros ámbitos jurisdiccionales, lo que llevaría al posible replanteamiento del recurso ante el Tribunal competente. </w:t>
      </w:r>
    </w:p>
    <w:p w:rsidR="001C705E" w:rsidRDefault="001C705E" w:rsidP="001C705E">
      <w:pPr>
        <w:pStyle w:val="TextoNormal"/>
      </w:pPr>
      <w:r>
        <w:t xml:space="preserve">d) Así, si la Audiencia Territorial hubiera de admitir en este caso dicho replanteamiento no cabría hablar de indefensión. Para posibilidar dicho nuevo examen habría de entenderse interrumpido el plazo de caducidad que establece el art. 58 de la Ley Jurisdiccional con la interposición de la demanda inicial. Si este replanteamiento de la demanda resultara inadmitido, la indefensión habría de imputarse no ya al precepto cuestionado, sino al rechazo mismo de la acción por parte del órgano competente. Por otra parte, si en el caso presente hubiera ya transcurrido el plazo dispuesto por el citado art. 58, contado desde la Sentencia de inadmisión, bien podría el Tribunal Constitucional (análogamente a como lo hizo en el Auto 152/1983), prescribir que dicho plazo se contase sólo desde la notificación de su propia Sentencia. </w:t>
      </w:r>
    </w:p>
    <w:p w:rsidR="001C705E" w:rsidRDefault="001C705E" w:rsidP="001C705E">
      <w:pPr>
        <w:pStyle w:val="TextoNormal"/>
      </w:pPr>
      <w:r>
        <w:t xml:space="preserve">Concluyendo sus alegaciones, señala el Ministerio Fiscal que el art. 82 a) de la LJCA no es, en sí mismo, opuesto al art. 24.1 de la Constitución, pudiéndose, sin grandes esfuerzos, conciliar el fallo de inadmisión dictado en su virtud con el derecho a la tutela judicial. </w:t>
      </w:r>
      <w:r>
        <w:lastRenderedPageBreak/>
        <w:t>La indefensión sólo estaría, en su caso, en el rechazo por la Audiencia Territorial del replanteamiento de la pretensión. Todo ello, en fin, sin olvidar que, en el caso presente, la invocada indefensión es producto de los propios errores del recurrente.</w:t>
      </w:r>
    </w:p>
    <w:p w:rsidR="001C705E" w:rsidRDefault="001C705E" w:rsidP="001C705E">
      <w:pPr>
        <w:pStyle w:val="TextoNormal"/>
      </w:pPr>
    </w:p>
    <w:p w:rsidR="001C705E" w:rsidRDefault="001C705E" w:rsidP="001C705E">
      <w:pPr>
        <w:pStyle w:val="TextoNormal"/>
      </w:pPr>
      <w:r w:rsidRPr="001C705E">
        <w:rPr>
          <w:rStyle w:val="NumeroAFNegritaCaracter"/>
        </w:rPr>
        <w:t>13</w:t>
      </w:r>
      <w:r>
        <w:t xml:space="preserve">. El 7 de enero, el Abogado del Estado formuló alegaciones que, resumidas, pueden exponerse en los términos siguientes: </w:t>
      </w:r>
    </w:p>
    <w:p w:rsidR="001C705E" w:rsidRDefault="001C705E" w:rsidP="001C705E">
      <w:pPr>
        <w:pStyle w:val="TextoNormal"/>
      </w:pPr>
      <w:r>
        <w:t xml:space="preserve">a) Comienza el Abogado del Estado aludiendo a la doctrina sentada por el Tribunal respecto de la apreciación de la derogación, por obra de la Constitución, de disposiciones de Ley, doctrina que subraya la necesidad de procurar una interpretación conforme a la Constitución antes de llegar a aquella conclusión y que, en otro orden de ideas, admite sólo tal constatación de la incompatibilidad entre Constitución y Ley preconstitucional cuando ello sea necesario para la resolución del recurso de amparo. Pues bien, en el presente caso, y de acuerdo con las alegaciones ya formuladas, podría llegarse a la desestimación del recurso por razones de fondo y sin necesidad de considerar el aludido problema de derogación. Reitera, así, el Abogado del Estado que el recurrente pudo promover, en su día, recurso de revisión, sin perjuicio de su deber inicial de deducir el pertinente recurso contencioso ante la Sala designada en el acto administrativo impugnado. La queja por el empleo del art. 82 a) de la LJCA olvida que lo que establece el art. 8.3 de la misma Ley no es una imposición al Tribunal, sino una facultad de éste y supone, además, desconocer la propia doctrina del Tribunal Constitucional sobre la compatibilidad de las Sentencias de inadmisión con el derecho a la tutela judicial efectiva. </w:t>
      </w:r>
    </w:p>
    <w:p w:rsidR="001C705E" w:rsidRDefault="001C705E" w:rsidP="001C705E">
      <w:pPr>
        <w:pStyle w:val="TextoNormal"/>
      </w:pPr>
      <w:r>
        <w:t>b) A mayor abundamiento, ha de reiterarse que, de conformidad también con la doctrina del Tribunal Constitucional, el administrado debe hacer valer sus pretensiones ante quien proceda y como corresponda, de acuerdo con el ordenamiento jurídico, lo que no se hizo en este caso, en el que la solicitud de amparo es consecuencia, no de la regulación contenida en el art. 82 a) de la LJCA, sino de la propia actividad del recurrente, carente de la necesaria diligencia. Por todo ello, no cabe considerar ahora vulnerado el derecho a la tutela judicial por el artículo referido. Entender lo contrario -termina señalando el Abogado del Estado- implicaría, en el presente caso, un premio a la contumacia y a la negligencia de los administrados.</w:t>
      </w:r>
    </w:p>
    <w:p w:rsidR="001C705E" w:rsidRDefault="001C705E" w:rsidP="001C705E">
      <w:pPr>
        <w:pStyle w:val="TextoNormal"/>
      </w:pPr>
    </w:p>
    <w:p w:rsidR="001C705E" w:rsidRDefault="001C705E" w:rsidP="001C705E">
      <w:pPr>
        <w:pStyle w:val="TextoNormal"/>
      </w:pPr>
      <w:r w:rsidRPr="001C705E">
        <w:rPr>
          <w:rStyle w:val="NumeroAFNegritaCaracter"/>
        </w:rPr>
        <w:t>14</w:t>
      </w:r>
      <w:r>
        <w:t>. Por providencia dictada el 16 de enero, la Sección Tercera de la Sala Segunda acordó tener por formuladas las alegaciones anteriores, señalando para la continuación de la deliberación y votación del recurso el día 30 de enero, quedando concluida el 13 de febrero.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Antes de entrar en el análisis del presente recurso, y antes incluso de considerar la excepción que tanto el Abogado del Estado como el Ministerio Fiscal oponen a su admisión, es indispensable delimitar con precisión cuál es la pretensión que en él se deduce, pues, aunque la demanda es clara en sus términos literales, e irreprochable por tanto desde el punto de vista de la exigencia que impone el art. 49 de la LOTC, adolece de una cierta contradicción interna que, de no ser eliminada, puede inducir fácilmente a error.</w:t>
      </w:r>
    </w:p>
    <w:p w:rsidR="001C705E" w:rsidRDefault="001C705E" w:rsidP="001C705E">
      <w:pPr>
        <w:pStyle w:val="TextoNormal"/>
      </w:pPr>
      <w:r>
        <w:t>La demanda imputa, en efecto, a la Sentencia impugnada la violación de tres distintos derechos fundamentales; dos de ellos (el derecho a la tutela judicial efectiva y el derecho al Juez ordinario predeterminado por la Ley) garantizados por el art. 24 de la C.E y el ter</w:t>
      </w:r>
      <w:r>
        <w:lastRenderedPageBreak/>
        <w:t>cero (el derecho a la igualdad ante la Ley, sin sufrir discriminación) por el art. 14 de la misma Ley fundamental. La petición que para remediar tales presuntas vulneraciones se nos hace es, sin embargo, la de que declaremos la obligación de la Audiencia Nacional de determinar, antes de dictar Sentencia en el recurso contencioso-administrativo número 23.004, cuál es el órgano competente para conocer del mismo y, en consecuencia, o bien a pronunciarse ella misma en la subsiguiente Sentencia sobre el fondo, o bien, si considera que la competencia es de la Audiencia Territorial, a remitir a ésta los autos, para que mediante Sentencia resuelva la cuestión planteada.</w:t>
      </w:r>
    </w:p>
    <w:p w:rsidR="001C705E" w:rsidRDefault="001C705E" w:rsidP="001C705E">
      <w:pPr>
        <w:pStyle w:val="TextoNormal"/>
      </w:pPr>
      <w:r>
        <w:t>Un somero análisis basta para evidenciar que esta petición no es congruente ni con la alegada violación del principio o derecho de igualdad, ni con la supuesta vulneración del derecho al Juez ordinario predeterminado por la Ley, infracciones ambas que, en la causa petendi aparecen como estrechamente conexas entre sí. Es claro, en efecto, que si fuera el restablecimiento en estos derechos fundamentales lo pretendido por el recurrente, no tendría sentido alguno que pidiese de nosotros una declaración que obligase a la Audiencia Nacional a determinar por sí, antes de dictar Sentencia, cuál es el órgano competente y, menos aún, a remitir las actuaciones a la Audiencia Territorial si entendiese que es de ésta la competencia. La alegación de que la Sentencia impugnada infringe el principio de igualdad y el derecho al Juez ordinario predeterminado por la Ley, parte, como premisa necesaria, del supuesto de que el órgano competente para conocer sobre el fondo del recurso contencioso-administrativo intentado por el señor Ruiz Molina es precisamente la Audiencia Nacional y esta premisa queda destruida por el propio recurrente al incorporar a su demanda, como fórmula eficaz para el restablecimiento de su derecho, la petición de que la decisión sobre el fondo de la contienda contencioso-administrativa sea remitida por la Audiencia Nacional a la Territorial, pues al conocer ésta de su recurso, se estará substrayendo este conocimiento al órgano que él juzga ser el Juez ordinario predeterminado por la Ley para este asunto y se le estará dispensando un trato distinto al que, según él afirma, se ha dispensado a otros ciudadanos en idénticas circunstancias.</w:t>
      </w:r>
    </w:p>
    <w:p w:rsidR="001C705E" w:rsidRDefault="001C705E" w:rsidP="001C705E">
      <w:pPr>
        <w:pStyle w:val="TextoNormal"/>
      </w:pPr>
      <w:r>
        <w:t>Al poner de relieve esta contradicción interna de la demanda se hace patente, pues, que de los distintos argumentos que en ella se aducen, el único que es congruente con la petición que se hace y el único que, por consiguiente, puede ser considerado como fundamento de ella, es el de que, al declarar su falta de competencia en la Sentencia y no, antes de ella, mediante Auto, la Audiencia Nacional ha violado el derecho fundamental del recurrente a recibir «la tutela efectiva de los Jueces y Tribunales en el ejercicio de sus derechos e intereses legítimos ...» (art. 24.1 de la C.E.). Los restantes argumentos utilizados en la demanda para intentar reforzar la pretensión pasan así a un segundo plano que, si no dispensa su análisis, condiciona enérgicamente la eficacia, tanto favorable como desfavorable, que los resultados de éste puedan tener respecto de la pretensión del actor.</w:t>
      </w:r>
    </w:p>
    <w:p w:rsidR="001C705E" w:rsidRDefault="001C705E" w:rsidP="001C705E">
      <w:pPr>
        <w:pStyle w:val="TextoNormal"/>
      </w:pPr>
    </w:p>
    <w:p w:rsidR="001C705E" w:rsidRDefault="001C705E" w:rsidP="001C705E">
      <w:pPr>
        <w:pStyle w:val="TextoNormal"/>
      </w:pPr>
      <w:r w:rsidRPr="001C705E">
        <w:rPr>
          <w:rStyle w:val="NumeroAFNegritaCaracter"/>
        </w:rPr>
        <w:t>2</w:t>
      </w:r>
      <w:r>
        <w:t>. Una vez depurada la pretensión deducida es preciso examinar y resolver la excepción de inadmisibilidad opuesta tanto por el Abogado del Estado como por el Ministerio Fiscal, quienes consideran que al no haber intentado el señor Ruiz Molina el recurso de revisión ante el Tribunal Supremo antes de venir ante nosotros en demanda de amparo, ha incumplido el requisito que establece el art. 44. 1 a) de la LOTC; la causa de inadmisión que de ello resulta debería operar en este trámite como motivo de desestimación.</w:t>
      </w:r>
    </w:p>
    <w:p w:rsidR="001C705E" w:rsidRDefault="001C705E" w:rsidP="001C705E">
      <w:pPr>
        <w:pStyle w:val="TextoNormal"/>
      </w:pPr>
      <w:r>
        <w:t xml:space="preserve">La simple aplicación de la doctrina expuesta en nuestra Sentencia 61/1983, de 11 de julio, que el Abogado del Estado cita en apoyo de su alegato, bastaría para rechazarlo, pues en este recurso, como en el que aquella Sentencia resolvió, la violación del art. 14 de la C.E. no es la única vulneración de derechos protegidos por el amparo constitucional que </w:t>
      </w:r>
      <w:r>
        <w:lastRenderedPageBreak/>
        <w:t>se dice producida y, en consecuencia, no cabe considerar el recurso de revisión fundamentado en el motivo que señala el art. 102.1 b) de la Ley de la Jurisdicción Contencioso-Administrativa, como vía adecuada para remediar la lesión que el recurrente afirma haber sufrido, y, por tanto, tampoco como recurso utilizable y necesario para cumplir con el requisito impuesto por el art. 44.1 a) de la LOTC.</w:t>
      </w:r>
    </w:p>
    <w:p w:rsidR="001C705E" w:rsidRDefault="001C705E" w:rsidP="001C705E">
      <w:pPr>
        <w:pStyle w:val="TextoNormal"/>
      </w:pPr>
      <w:r>
        <w:t>A este argumento, que por sí mismo basta para desechar la excepción, cabe agregar otros dos que conducen a idéntico resultado. El primero de ellos es una simple derivación del análisis efectuado en el punto anterior, pues si la concesión de lo que en la demanda de amparo se nos pide no requiere que se dé al recurrente un trato igual al recibido por los otros funcionarios que él identifica, es evidente que la búsqueda de una restauración de la igualdad supuestamente perdida no es un camino obligado para conseguir lo que se pretende, y, por tanto, tampoco un requisito que haya de satisfacerse antes de acudir ante este Tribunal en demanda de amparo. En segundo lugar, además, conviene precisar que ni siquiera en todos aquellos supuestos en los que se aduce, como único título de la petición de amparo, la vulneración del art. 14 de la C.E., y la petición que se hace es congruente con este título, será requisito necesario, impuesto por el art. 44.1 c) de la LOTC, acudir previamente al recurso de revisión, pues este recurso, cuando se formula con apoyo en el motivo expuesto en el apartado b) del art. 102.1 de la LJCA, no lleva necesariamente a casar la Sentencia frente a la que se formula, si se la considera fundada en derecho, y no permite casar tampoco, claro está, aquellas otras Sentencias firmes que sirven como término de comparación, pero que no son objeto del recurso.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El recurrente imputa a la Sentencia de la Sala de lo Contencioso-Administrativo de la Audiencia Nacional un quebrantamiento de su derecho fundamental al Juez ordinario predeterminado por la Ley (art. 24.2 de la C.E.)  y a no ser discriminado (art.  14 de la misma norma fundamental). Ya antes hemos señalado la irrelevancia, para el proceso de amparo constitucional de estas supuestas infracciones. Aunque bastaría con ello para prescindir en nuestro razonamiento de esos alegatos, parece conveniente añadir algunas puntualizaciones. Hay que añadir así, en lo que toca al derecho reconocido en el primer inciso del art. 24.2, que la Sentencia recurrida no pudo violar este precepto, pues motivó suficientemente su resolución de inadmisión por falta de competencia, y las reglas que rigen ésta han de ser interpretadas por los Jueces y Tribunales integrados en la jurisdicción ordinaria, sin que corresponda a este Tribunal «entrar a analizar si la causa de inadmisión apreciada por el Tribunal ordinario se dio o no en el proceso correspondiente» (Sentencia de 11 de octubre de 1982, Sala Segunda, fundamento jurídico primero). Cosa bien distinta es que, aun sin que ello implique violación del derecho al Juez ordinario predeterminado por la Ley, el cambio de criterio de la Audiencia Nacional respecto de su propia competencia puede significar una violación de la igualdad ante la Ley y, por tanto, una discriminación. Es necesario advertir, sin embargo, que para que tal ocurra no basta con demostrar que a dos supuestos idénticos se han atribuido consecuencias jurídicas distintas, sino también que esa diferencia en la aplicación de la norma está motivada por un propósito discriminatorio y no es resultado, simplemente, de una más exacta comprensión de los preceptos legales. Aunque la existencia de algunos elementos diferenciales relevantes entre las comunicaciones enviadas al recurrente por el Subsecretario del Ministerio de Cultura y las remitidas a funcionarios de su propio Ministerio por el Ministerio del Interior no puede ser pasada por alto al resolver sobre la existencia o inexistencia de igualdad entre los supuestos de hecho que se intenta comparar, tampoco, aunque existiera esa igualdad, sería necesariamente discriminatoria la diferencia de trato, si la interpretación y aplicación que </w:t>
      </w:r>
      <w:r>
        <w:lastRenderedPageBreak/>
        <w:t>ahora se hace de la norma resulta correcta.  La más clara demostración de que es razonable entenderlo así y de que por tanto la supuesta discriminación no ha existido nos la ofrece el propio recurrente al proponer en su demanda, como petitum de ella, una fórmula que, de ser acogida en nuestra Sentencia, preservaría la diferencia que denuncia.</w:t>
      </w:r>
    </w:p>
    <w:p w:rsidR="001C705E" w:rsidRDefault="001C705E" w:rsidP="001C705E">
      <w:pPr>
        <w:pStyle w:val="TextoNormal"/>
      </w:pPr>
    </w:p>
    <w:p w:rsidR="001C705E" w:rsidRDefault="001C705E" w:rsidP="001C705E">
      <w:pPr>
        <w:pStyle w:val="TextoNormal"/>
      </w:pPr>
      <w:r w:rsidRPr="001C705E">
        <w:rPr>
          <w:rStyle w:val="NumeroAFNegritaCaracter"/>
        </w:rPr>
        <w:t>4</w:t>
      </w:r>
      <w:r>
        <w:t>. Llegados a este punto, es claro que la primera cuestión que hemos de resolver para decidir sobre la concesión o denegación del amparo que se nos pide es la de si al declarar en la Sentencia su propia incompetencia para conocer del recurso contencioso-administrativo deducido por el señor Ruiz Molina, la Audiencia Nacional ha infringido o no el derecho de este ciudadano a una tutela judicial efectiva. Para situar adecuadamente la cuestión y despejar, al tiempo, las dudas que el Ministerio Fiscal y el Abogado del Estado abrigan sobre la responsabilidad que el propio recurrente pudo tener en el sentido de la decisión judicial, comenzaremos por resumir aquí de nuevo, y desde el punto de vista que ahora interesa, el desarrollo de las actuaciones que llevaron a ella.</w:t>
      </w:r>
    </w:p>
    <w:p w:rsidR="001C705E" w:rsidRDefault="001C705E" w:rsidP="001C705E">
      <w:pPr>
        <w:pStyle w:val="TextoNormal"/>
      </w:pPr>
      <w:r>
        <w:t>La Sentencia recurrida puso término a un proceso en el que el actor, aun manteniendo una pretensión unitaria, fue ampliando su objeto a medida que iban recayendo resoluciones sobre aquélla en vía administrativa. Así, el recurso inicial, contra el acto presunto del Ministro de Cultura, fue ampliado, por providencia de 9 de julio de 1982, extendiéndolo a la impugnación de la resolución desestimatoria del 16 de abril, dictada por la Subsecretaría del Ministerio de Cultura, y la misma denegación, por silencio, del recurso de reposición que contra ésta se interpuso. También, y posteriormente, el demandante de amparo solicitó de la Sala de la Audiencia Nacional que el mismo recurso se ampliase a la resolución del 5 de octubre del mismo año, acto éste que desestimó de modo expreso la reposición frente a cuya denegación presunta ya se había ampliado el recurso contencioso. Hasta el momento en que se le notificó esta última Resolución, el actor había dirigido todas sus actuaciones administrativas -solicitudes y recursos- al Ministro de Cultura, por entender que era éste el competente en unos casos y en otros. Incluso cuando se interpuso el recurso contencioso, fue contra un acto presunto del Ministro contra el que la acción se dirigió, en la interpretación que el recurrente hizo entonces de las reglas de competencia en el orden contencioso-administrativo.  Y este mismo entendimiento hizo también que el actor, una vez admitido el recurso por la Sala, solicitara y consiguiera la ampliación del mismo, atacando la Resolución de 16 de abril firmada por el Subsecretario del Ministerio, pero que el recurrente creyó imputable directamente al Ministro, según las reglas de la delegación de facultades administrativas. Todas estas actuaciones administrativas y judiciales del actor pudieron ser erróneas -y ello no debe discutirse aquí ahora-, pero lo cierto es que, equivocadas o no, no impidieron que su recurso ante la jurisdicción fuese admitido a trámite y posteriormente ampliado, en dos ocasiones sucesivas. Tan sólo la citada Resolución de 5 de octubre alumbraba una interpretación distinta a la del actor, pues en ella se le informaba de la posibilidad de recurrir frente a la misma «ante la Sala correspondiente de la Audiencia Territorial de Madrid o de Barcelona, a su elección», con expresa cita de los preceptos correspondientes de la Ley jurisdiccional. Por contradecir esta indicación su conducta procesal anterior -y el estado mismo del proceso ya admitido- el recurrente se dirigió a la Sala de la Audiencia Nacional, solicitando, una vez más, ampliación de su recurso, pero indicando también expresamente la definición de competencias que había hecho dicha Resolución de 5 de octubre y su discrepancia con esta interpretación. Esta solicitud de ampliación fue resuelta positivamente por providencia de 15 de noviembre y con ella también, implícitamente, la duda competencial formulada por la parte.</w:t>
      </w:r>
    </w:p>
    <w:p w:rsidR="001C705E" w:rsidRDefault="001C705E" w:rsidP="001C705E">
      <w:pPr>
        <w:pStyle w:val="TextoNormal"/>
      </w:pPr>
      <w:r>
        <w:lastRenderedPageBreak/>
        <w:t>Tras esta serie de ampliaciones admitidas y acogiendo las alegaciones formuladas por el Abogado del Estado en trámite de contestación a la demanda, la Sala cerró el presente proceso mediante una Sentencia en la que, declarándose incompetente, inadmitía el recurso definitivamente y ponía definitivamente término al proceso. El actor aduce que este modo de decidir la propia incompetencia por la Sala le deparó indefensión porque, tras de la Sentencia, no resultó ya posible corregir el defecto en el planteamiento de su recurso, lo que sí se hubiera logrado si por la Sala misma se hubiera apreciado este error cuando el propio recurrente suscitó el problema competencial, al solicitar la segunda ampliación del recurso, estimada por la señalada providencia del 15 de noviembre.</w:t>
      </w:r>
    </w:p>
    <w:p w:rsidR="001C705E" w:rsidRDefault="001C705E" w:rsidP="001C705E">
      <w:pPr>
        <w:pStyle w:val="TextoNormal"/>
      </w:pPr>
      <w:r>
        <w:t>Cabe afirmar a la vista de estos hechos que si bien el recurrente pudo haber incurrido en un error (que pudo también haber sido apreciado de oficio por la Sala, con las consecuencias procesales correspondientes) no actuó sin la debida diligencia.  Antes bien, desde el momento en que apreció contradicción entre la indicación competencial de la citada Resolución y su propia actuación administrativa y procesal, así se lo hizo saber a la Sala, mostrando sus propios argumentos en favor de la competencia de la Audiencia Nacional. Tras de la providencia que resolvió positivamente la solicitud de ampliación en que tales argumentos se ofrecieron, no es posible desconocer que el recurrente tenía ya una presunción razonable de que el Tribunal había reconocido su propia competencia, no obstante las contrarias indicaciones de la Administración, presunción que restaba ya todo posible sentido a cualquier planteamiento de su recurso ante la Audiencia Territorial.</w:t>
      </w:r>
    </w:p>
    <w:p w:rsidR="001C705E" w:rsidRDefault="001C705E" w:rsidP="001C705E">
      <w:pPr>
        <w:pStyle w:val="TextoNormal"/>
      </w:pPr>
      <w:r>
        <w:t>En esa situación es en la que la Audiencia Nacional, sin hacer uso de las posibilidades que la LJCA le ofrece para encauzar la continuación de las actuaciones ante el órgano competente, decidió simplemente ponerle término mediante una Sentencia fundada sólo en su propia incompetencia y en la que, por tanto, se elude el pronunciamiento sobre el fondo de la cuestión debatida.</w:t>
      </w:r>
    </w:p>
    <w:p w:rsidR="001C705E" w:rsidRDefault="001C705E" w:rsidP="001C705E">
      <w:pPr>
        <w:pStyle w:val="TextoNormal"/>
      </w:pPr>
      <w:r>
        <w:t>Es difícil no concordar con el Ministerio Fiscal en el juicio de que una decisión de esta forma, por ajustado a derecho que sea su contenido, constituye, por lo menos, una dificultad grave para obtener una tutela judicial efectiva. El Ministerio Fiscal no cree, sin embargo, que esa dificultad constituya por sí sola infracción del derecho garantizado en el art. 24.1 de la C.E., que sólo se produciría si al intentar de nuevo un recurso contencioso-administrativo para impugnar de nuevo la misma resolución administrativa, el señor Ruiz Molina no lograra tampoco su admisión por haber transcurrido en exceso los plazos que el art. 58 de la LJCA marca, riesgo que podemos evitar nosotros desde ahora, piensa el Ministerio Fiscal, disponiendo que esos plazos hayan de considerarse interrumpidos con la interposición del recurso ante la Audiencia Nacional y, si necesario fuera, contados sólo a partir de la fecha de nuestra propia Sentencia.</w:t>
      </w:r>
    </w:p>
    <w:p w:rsidR="001C705E" w:rsidRDefault="001C705E" w:rsidP="001C705E">
      <w:pPr>
        <w:pStyle w:val="TextoNormal"/>
      </w:pPr>
      <w:r>
        <w:t>No hay necesidad alguna de recurrir a este expediente, que exige forzar más allá de lo tolerable la letra de los preceptos y cuya articulación con una solución denegatoria del amparo no es fácilmente perceptible, si se entendiera que esta dificultad implica una infracción del derecho a la tutela judicial efectiva porque la decisión de la Audiencia Nacional declarando su propia falta de competencia pudo ser adoptada de forma que tal dificultad no se originara, pues es claro que si el obstáculo pudo ser evitado, el artículo 24.1 de la Constitución exigía que lo fuera.</w:t>
      </w:r>
    </w:p>
    <w:p w:rsidR="001C705E" w:rsidRDefault="001C705E" w:rsidP="001C705E">
      <w:pPr>
        <w:pStyle w:val="TextoNormal"/>
      </w:pPr>
      <w:r>
        <w:t xml:space="preserve">Ninguno de los comparecidos en el presente recurso ha negado la posibilidad de que la decisión de incompetencia pudiera ser adoptada de forma que las actuaciones del recurso contencioso-administrativo se continuaran. Las Salas de lo Contencioso-Administrativo deben declarar su falta de competencia cuando ésta les conste de modo claro e inequívoco (art. 62 de la LJCA), o al resolver el trámite de alegaciones previas (arts. 71 y 73.1 de la </w:t>
      </w:r>
      <w:r>
        <w:lastRenderedPageBreak/>
        <w:t>LJCA), pero siempre que lo hicieren con anterioridad a la Sentencia (y no hay en la LJCA limitación de momento alguno, de manera que también después de contestada la demanda puede obrarse así) remitirán las actuaciones a la Sala competente «para que siga ante ella el curso de los Autos» (art.  8.3 de la LJCA). Al no haber hecho uso de esta posibilidad, la Audiencia Nacional ha obstaculizado innecesariamente el ejercicio de un derecho constitucionalmente garantizado y, en consecuencia, lo ha lesionado.</w:t>
      </w:r>
    </w:p>
    <w:p w:rsidR="001C705E" w:rsidRDefault="001C705E" w:rsidP="001C705E">
      <w:pPr>
        <w:pStyle w:val="TextoNormal"/>
      </w:pPr>
      <w:r>
        <w:t>Al obrar así, sin embargo, la Audiencia Nacional se ha limitado a aplicar un precepto, el art. 82 a) de la LJCA, cuyo tenor literal no ofrece duda alguna, pues en él se precisa que la Sentencia declarará la inadmisibilidad del recurso contencioso-administrativo ... a) «que se hubiere interpuesto ante Tribunal que carezca... de competencia, por corresponder el asunto... a otro órgano de la jurisdicción Contencioso-Administrativa». El origen de la lesión, no se encuentra, por tanto, en una decisión contra legem, sino secundum legem; no en la voluntad del Juez, sino en la letra de la Ley.</w:t>
      </w:r>
    </w:p>
    <w:p w:rsidR="001C705E" w:rsidRDefault="001C705E" w:rsidP="001C705E">
      <w:pPr>
        <w:pStyle w:val="TextoNormal"/>
      </w:pPr>
    </w:p>
    <w:p w:rsidR="001C705E" w:rsidRDefault="001C705E" w:rsidP="001C705E">
      <w:pPr>
        <w:pStyle w:val="TextoNormal"/>
      </w:pPr>
      <w:r w:rsidRPr="001C705E">
        <w:rPr>
          <w:rStyle w:val="NumeroAFNegritaCaracter"/>
        </w:rPr>
        <w:t>5</w:t>
      </w:r>
      <w:r>
        <w:t>. Llegados a este punto, se nos ofrecían dos vías argumentales distintas: De una parte, la de buscar una interpretación del art. 82 a) de la LJCA que resultase compatible con la Constitución y dando siempre por supuesto que toda referencia a dicho artículo ha de entenderse ceñida a aquella parte del mismo que antes citamos, es decir, la que establece la posibilidad de declarar en Sentencia la inadmisión del recurso por incompetencia del órgano; de otro lado, la de cuestionar pura y simplemente la constitucionalidad del precepto.</w:t>
      </w:r>
    </w:p>
    <w:p w:rsidR="001C705E" w:rsidRDefault="001C705E" w:rsidP="001C705E">
      <w:pPr>
        <w:pStyle w:val="TextoNormal"/>
      </w:pPr>
      <w:r>
        <w:t>Llevados del principio de conservación de la norma exploramos en primer término la vía interpretativa, en la que otros nos han precedido.</w:t>
      </w:r>
    </w:p>
    <w:p w:rsidR="001C705E" w:rsidRDefault="001C705E" w:rsidP="001C705E">
      <w:pPr>
        <w:pStyle w:val="TextoNormal"/>
      </w:pPr>
      <w:r>
        <w:t>Un respetable sector doctrinal ha sostenido, en efecto, que la interpretación más adecuada al espíritu antiformalista de los preceptos que comentamos obliga a entender que, siempre que ello sea posible, la declaración de incompetencia ha de hacerse mediante Auto, de manera que, utilizando el mecanismo previsto en el artículo 8.3 de la LJCA, se facilite y acelere el conocimiento del asunto por el órgano competente, y lo que es más, el Tribunal Supremo ha orientado su actuación, en no pocas ocasiones, de acuerdo con esta doctrina.  Baste citar, entre otras, las Sentencias de la Sala Cuarta de 12 de noviembre de 1981, 9 de febrero de 1984 (que ya expresa dudas sobre la vigencia del art.  82 a) de la LJCA) y de 21 de junio de 1983, en la que enérgicamente se niega que el art. 8 de la LJCA conceda a las Salas una facultad discrecional para apreciar su incompetencia en el momento que lo estimen adecuado.</w:t>
      </w:r>
    </w:p>
    <w:p w:rsidR="001C705E" w:rsidRDefault="001C705E" w:rsidP="001C705E">
      <w:pPr>
        <w:pStyle w:val="TextoNormal"/>
      </w:pPr>
      <w:r>
        <w:t>Es evidente, sin embargo, que tal interpretación antiformalista, por plausible que resulte y ajustada a las exigencias del art. 24.1 de la C.E., no resulta fácilmente compatible con el tenor literal del art. 82 a) de la LJCA, a cuyo imperio está sometido el Juez (art. 117.1 de la C.E.)  y que, efectivamente, ha sido aplicado en sus propios términos en este caso y en otros muchos por los órganos de la jurisdicción contencioso-administrativa, poniendo fin al recurso con una Sentencia de inadmisibilidad fundada sólo en su propia incompetencia.</w:t>
      </w:r>
    </w:p>
    <w:p w:rsidR="001C705E" w:rsidRDefault="001C705E" w:rsidP="001C705E">
      <w:pPr>
        <w:pStyle w:val="TextoNormal"/>
      </w:pPr>
      <w:r>
        <w:t xml:space="preserve">La efectividad del principio de conservación de las normas como principio inspirador de nuestra doctrina no alcanza, como es obvio, a ignorar o desfigurar el sentido de enunciados legales meridianos. En la letra del art.  82 a) no hay apoyo alguno para entender restringida su aplicación a sólo aquellos supuestos en los que la declaración de incompetencia no pudo encauzarse por la vía del art. 8.3 de la LJCA. Si en cualquier momento, fuera de la Sentencia, cabe declarar la propia falta de competencia y remitir las actuaciones al órgano competente, sólo la decisión de dictar Sentencia de inadmisión impide obrar así, de tal modo que las vías del art. 8.3 y 82 a) no se ofrecen en la LJCA como vías complementarias, sino alternativas. En cuanto que el uso de la segunda impide u obstaculiza </w:t>
      </w:r>
      <w:r>
        <w:lastRenderedPageBreak/>
        <w:t>gravemente la tutela judicial efectiva (y la efectividad conlleva, como es evidente, la necesidad de que se resuelva la cuestión de fondo, siempre que procesalmente ello sea posible), su existencia y la de la alternativa misma no es compatible con la Constitución.</w:t>
      </w:r>
    </w:p>
    <w:p w:rsidR="001C705E" w:rsidRDefault="001C705E" w:rsidP="001C705E">
      <w:pPr>
        <w:pStyle w:val="TextoNormal"/>
      </w:pPr>
      <w:r>
        <w:t>No habiéndose debatido en el recurso este aspecto de la cuestión, mediante nuestra providencia del pasado 19 de diciembre la sometimos a la consideración de las partes con los resultados que en los antecedentes se recogen. Del análisis de este debate suscitado por nosotros nos ocupamos en el punto siguiente, como último estadio en el proceso de nuestra decisión.</w:t>
      </w:r>
    </w:p>
    <w:p w:rsidR="001C705E" w:rsidRDefault="001C705E" w:rsidP="001C705E">
      <w:pPr>
        <w:pStyle w:val="TextoNormal"/>
      </w:pPr>
    </w:p>
    <w:p w:rsidR="001C705E" w:rsidRDefault="001C705E" w:rsidP="001C705E">
      <w:pPr>
        <w:pStyle w:val="TextoNormal"/>
      </w:pPr>
      <w:r w:rsidRPr="001C705E">
        <w:rPr>
          <w:rStyle w:val="NumeroAFNegritaCaracter"/>
        </w:rPr>
        <w:t>6</w:t>
      </w:r>
      <w:r>
        <w:t>. Aparte la reiteración de consideraciones ya hechas en sus anteriores escritos sobre la inadecuada conducta procesal del recurrente, tanto el Abogado del Estado como el Ministerio Fiscal arguyen que no resulta contrario a la Constitución el art. 82 de la LJCA porque es posible una interpretación del mismo compatible con ella, porque el daño que de su aplicación se sigue no conduce necesariamente a la indefensión y, por último, porque hasta el presente, este Tribunal ha considerado que las decisiones de inadmisión fundadas en derecho no eran contrarias al derecho constitucionalmente garantizado a la tutela judicial efectiva.</w:t>
      </w:r>
    </w:p>
    <w:p w:rsidR="001C705E" w:rsidRDefault="001C705E" w:rsidP="001C705E">
      <w:pPr>
        <w:pStyle w:val="TextoNormal"/>
      </w:pPr>
      <w:r>
        <w:t>Como ya en anteriores puntos de esta fundamentación hemos expresado nuestro juicio sobre la corrección procesal de la conducta del señor Ruiz Molina, sobre la imposibilidad de una reinterpretación del art. 82 a) de la LJCA y sobre el carácter lesivo del obstáculo a la Sentencia sobre el fondo que su aplicación implica, nos resta hacer sólo alguna consideración sobre el último de los argumentos mencionados.</w:t>
      </w:r>
    </w:p>
    <w:p w:rsidR="001C705E" w:rsidRDefault="001C705E" w:rsidP="001C705E">
      <w:pPr>
        <w:pStyle w:val="TextoNormal"/>
      </w:pPr>
      <w:r>
        <w:t>Es cierto, en efecto, que reiteradamente ha afirmado este Tribunal que el derecho a la tutela judicial efectiva se satisface con una decisión fundada en derecho, que puede ser de inadmisión. Ese pronunciamiento, que firmemente mantenemos, no impide (ni de hecho, ha impedido en muchas ocasiones), sin embargo, que el Tribunal examine la conformidad con la Constitución de las normas en las que la decisión de inadmisión se apoya, pues, como es obvio, en modo alguno podría entenderse que da satisfacción plena al derecho de acción que la Constitución garantiza a todos uti cives, un sistema que estableciese condiciones de admisión artificiales o atributarias por no responder a ninguna finalidad que el legislador, dentro del marco de la Constitución, puede legítimamente perseguir. Reduciéndonos al ámbito del recurso contencioso-administrativo, objeto aquí de nuestras consideraciones, esa libre facultad de declarar en la Sentencia la inadmisión del recurso por incompetencia del órgano, no es compatible con el derecho a un acceso sin obstáculos innecesarios a la tutela judicial efectiva. El Abogado del Estado sostiene que la eliminación de esa norma constituiría un premio a la negligencia y contumacia de los administrados, de donde parece seguirse que la misma tendría en cierto modo una finalidad sancionadora. No requiere un examen muy detenido de tal argumento para desecharlo, pues ni las sanciones encubiertas (con las que se impide, además, el ejercicio de un derecho fundamental) tiene cabida en un Estado de derecho ni cabe presumir que quien incurre en un error procesal obra así por negligencia o contumacia.  Normalmente quien acude al recurso contencioso-administrativo intenta eliminar con la mayor rapidez posible del mundo del derecho un acto del poder que considera antijurídico. Si yerra al dirigirse al órgano competente, su error alargará inevitablemente el tiempo necesario para que el Juez restaure el orden jurídico que él estima violentado y, en consecuencia, si fue negligente o contumaz, lo fue contra su interés.</w:t>
      </w:r>
    </w:p>
    <w:p w:rsidR="001C705E" w:rsidRDefault="001C705E" w:rsidP="001C705E">
      <w:pPr>
        <w:pStyle w:val="TextoNormal"/>
      </w:pPr>
      <w:r>
        <w:t xml:space="preserve">No existiendo, pues, finalmente que justifique el obstáculo que la aplicación del art. 82 a) de la LJCA crea, dicho precepto ha de considerarse lesivo para el derecho de la tutela </w:t>
      </w:r>
      <w:r>
        <w:lastRenderedPageBreak/>
        <w:t>judicial efectiva y, en consecuencia, vulneradora de tal derecho la Sentencia que hace uso de la facultad que ese precepto otorga.</w:t>
      </w:r>
    </w:p>
    <w:p w:rsidR="001C705E" w:rsidRDefault="001C705E" w:rsidP="001C705E">
      <w:pPr>
        <w:pStyle w:val="TextoNormal"/>
      </w:pPr>
      <w:r>
        <w:t>Tratándose de una norma preconstitucional estamos facultados, como el resto de los órganos judiciales, para considerar derogado dicho precepto, lo que hace innecesario acudir al procedimiento previsto en el art. 55.2 de nuestra Ley Orgánica.</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que se solicita y, en consecuencia:</w:t>
      </w:r>
    </w:p>
    <w:p w:rsidR="001C705E" w:rsidRDefault="001C705E" w:rsidP="001C705E">
      <w:pPr>
        <w:pStyle w:val="TextoNormal"/>
      </w:pPr>
      <w:r>
        <w:t>1. Reconocer que el derecho del señor Ruiz Molina a una tutela judicial efectiva implica el derecho a que la Audiencia Nacional (Sala de lo Contencioso-Administrativo) se pronuncie sobre su propia competencia antes de dictar Sentencia.</w:t>
      </w:r>
    </w:p>
    <w:p w:rsidR="001C705E" w:rsidRDefault="001C705E" w:rsidP="001C705E">
      <w:pPr>
        <w:pStyle w:val="TextoNormal"/>
      </w:pPr>
      <w:r>
        <w:t>2. Anular la Sentencia impugnada.</w:t>
      </w:r>
    </w:p>
    <w:p w:rsidR="001C705E" w:rsidRDefault="001C705E" w:rsidP="001C705E">
      <w:pPr>
        <w:pStyle w:val="TextoNormal"/>
      </w:pPr>
      <w:r>
        <w:t>3. Retrotraer las actuaciones seguidas en el recurso que finalizó con dicha Sentencia al momento procesal inmediatamente anterior al del señalamiento para la votación y fallo.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quince de febrero de mil novecientos ochenta y cinco.</w:t>
      </w:r>
    </w:p>
    <w:p w:rsidR="001C705E" w:rsidRDefault="001C705E" w:rsidP="001C705E">
      <w:pPr>
        <w:pStyle w:val="ParrafoNormal"/>
      </w:pPr>
    </w:p>
    <w:p w:rsidR="001C705E" w:rsidRDefault="001C705E" w:rsidP="001C705E">
      <w:pPr>
        <w:pStyle w:val="TextoNormalNegritaCentrado"/>
        <w:keepNext/>
      </w:pPr>
      <w:r>
        <w:t>Voto particular que en el recurso de amparo núm. 104/1984 formula el Magistrado don Francisco Pera Verdaguer</w:t>
      </w:r>
    </w:p>
    <w:p w:rsidR="001C705E" w:rsidRDefault="001C705E" w:rsidP="001C705E">
      <w:pPr>
        <w:pStyle w:val="TextoNormalNegritaCentrado"/>
        <w:keepNext/>
      </w:pPr>
    </w:p>
    <w:p w:rsidR="001C705E" w:rsidRDefault="001C705E" w:rsidP="001C705E">
      <w:pPr>
        <w:pStyle w:val="TextoNormal"/>
      </w:pPr>
      <w:r>
        <w:t>El Magistrado que suscribe, Francisco Pera Verdaguer, que mostró oportunamente su discrepancia respecto de la Sentencia dictada en este recurso constitucional de amparo núm. 104/1984, deducido por don José María Ruiz Molina, la formaliza mediante el siguiente voto particular, comprensivo de los razonamientos que en su sentir deben conducir a la denegación del amparo solicitado.</w:t>
      </w:r>
    </w:p>
    <w:p w:rsidR="001C705E" w:rsidRDefault="001C705E" w:rsidP="001C705E">
      <w:pPr>
        <w:pStyle w:val="TextoNormal"/>
      </w:pPr>
      <w:r>
        <w:t>En la Sentencia de la que disiente, para evitar la vulneración del art. 24 de la C.E., sobre tutela jurisdiccional y proscripción de la indefensión, se establece la doctrina según la cual los Tribunales de lo Contencioso-Administrativo no pueden dictar Sentencias de inadmisibilidad motivadas por la carencia de competencia, pese a lo dispuesto en el art. 82 a) de la Ley reguladora de dicha Jurisdicción que se estima derogado, debiendo aquellos Tribunales en todo caso hacer uso de la posibilidad que brinda el art. 8 de la misma LJ, declarando la incompetencia antes de dictar Sentencia.</w:t>
      </w:r>
    </w:p>
    <w:p w:rsidR="001C705E" w:rsidRDefault="001C705E" w:rsidP="001C705E">
      <w:pPr>
        <w:pStyle w:val="TextoNormal"/>
      </w:pPr>
      <w:r>
        <w:t>Conforme en que, frente a lo terminante de lo dispuesto en el citado art. 82 a) de la LJ, que permite, y en su caso obliga, a dictar Sentencia de inadmisibilidad del recurso contencioso-administrativo, cuando se estime por el Tribunal que carece de competencia o de jurisdicción, no caben interpretaciones de especie alguna, ni siquiera tendentes a atemperar aquella norma con la exigencia del texto constitucional incluida en su art. 24. No caben interpretaciones, porque la posibilidad de utilizar la previsión del art. 8 de la LJ existe siempre y en todo caso, esto es, que con el criterio que se mantiene en la Sentencia no es imaginable ni un solo supuesto en el que la incompetencia no se haya podido declarar an</w:t>
      </w:r>
      <w:r>
        <w:lastRenderedPageBreak/>
        <w:t>tes de emitirse el fallo; incluso celebrada la vista, o la diligencia de votación, cabe que el Tribunal se abstenga de dictar Sentencia, y mediante Auto declare su incompetencia.</w:t>
      </w:r>
    </w:p>
    <w:p w:rsidR="001C705E" w:rsidRDefault="001C705E" w:rsidP="001C705E">
      <w:pPr>
        <w:pStyle w:val="TextoNormal"/>
      </w:pPr>
      <w:r>
        <w:t>Se pretende dispensar al Litigante la tutela jurisdiccional que la C.E.  demanda, sin causarle indefensión, y entendemos que ello puede logra por un cauce diverso al seguido en la Sentencia de la que se disiente. Porque, en realidad, hay que observar cuál es el alcance que debe darse a ese tipo de Sentencias de inadmisibilidad en lo contencioso-administrativo, alcance que no es otro que el de limitarse a resolver lo referente a determinados presupuestos procesales o ciertas circunstancias obstativas, pero dejando siempre inabordado cuanto afecte a la cuestión de fondo objeto del proceso contencioso. Quiérese decir que la acción de que se halle asistido el demandante permanece viva tras una Sentencia de inadmisibilidad del recurso motivada -en casos como el actual- por la carencia de competencia del órgano jurisdiccional ante el que acudió el demandante, de lo que deriva que, acto seguido, puede acudir ante el órgano que se haya estimado como competente, y ello sin mengua de los derechos de que se halle asistido.</w:t>
      </w:r>
    </w:p>
    <w:p w:rsidR="001C705E" w:rsidRDefault="001C705E" w:rsidP="001C705E">
      <w:pPr>
        <w:pStyle w:val="TextoNormal"/>
      </w:pPr>
      <w:r>
        <w:t>Podrá objetarse que en realidad ello no será así, porque, normalmente, se habrá extinguido el plazo que la misma LJ concede para la interposición del recurso contencioso-administrativo, reparo al que respondemos en el sentido de que -paralelamente a lo que sucede cuando el aplicado es el art. 8 de la LJ- tal definitivo perjuicio ocasionado al demandante se evita sin más que interpretar (aquí sí cabe una interpretación) que tras la vigencia de la C.  E., y en particular de su art. 24, los Tribunales de lo Contencioso no pueden entender que se vulnera el precepto sobre plazo para acudir ante lo contencioso, cuando es uno de sus Tribunales el que en una Sentencia de inadmisibilidad del recurso se declara no competente, por serlo otro, que por supuesto habrá precisado, y seguidamente a tal pronunciamiento el interesado, acatando lo decretado en aquella Sentencia, a salvo la posibilidad, en su caso, de interponer recurso de apelación, se persona ante el órgano competente.</w:t>
      </w:r>
    </w:p>
    <w:p w:rsidR="001C705E" w:rsidRDefault="001C705E" w:rsidP="001C705E">
      <w:pPr>
        <w:pStyle w:val="TextoNormal"/>
      </w:pPr>
      <w:r>
        <w:t>En realidad, cabía predicar esta misma solución incluso antes de la vigencia de la C.E., ya que ningún precepto de la LJ se opone a ella.</w:t>
      </w:r>
    </w:p>
    <w:p w:rsidR="001C705E" w:rsidRDefault="001C705E" w:rsidP="001C705E">
      <w:pPr>
        <w:pStyle w:val="TextoNormal"/>
      </w:pPr>
      <w:r>
        <w:t>Y así, en la Sentencia del Tribunal Supremo de 19 de enero de 1970, se estimó que la declaración de inadmisibilidad no tiene más alcance que para el recurso en que recae, pudiendo acaso el mismo acto ser impugnado de nuevo, si lo es en tiempo y forma.  Más en concreto, y más próximamente, en la Sentencia del mismo Tribunal de 11 de abril de 1979 se declaró que la inadmisibilidad por incompetencia jerárquica decretada en Sentencia por la Sala de instancia no impedirá, en su caso, la viabilidad del recurso si aquélla no se ajustó a derecho y sin que pueda, por lo tanto, invocarse la extemporaneidad del recurso contencioso.</w:t>
      </w:r>
    </w:p>
    <w:p w:rsidR="001C705E" w:rsidRDefault="001C705E" w:rsidP="001C705E">
      <w:pPr>
        <w:pStyle w:val="TextoNormal"/>
      </w:pPr>
      <w:r>
        <w:t xml:space="preserve">Conviene también poner de relieve que este disentimiento del fallo mayoritario se basa en la apreciación de los riesgos que entraña la expulsión del ordenamiento jurídico de un precepto -y tanto más cuando se trata de un fragmento o inciso- que se halla inserto en una determinada institución procesal, presidida por ciertos criterios y adecuada a patrones complejamente elaborados, en los que es ciertamente difícil remover una pieza sin atentar contra alguna parte o aspecto trascendente de la institución.  Y ante ello nos hallamos en el caso presente, en el que la eliminación de toda referencia a la «competencia» del apartado a) del art. 82 de la Ley de la Jurisdicción Contencioso-Administrativa, con independencia de otras repercusiones que sería prolijo enumerar, se cohonesta mal con la pervivencia de la carencia de «jurisdicción» en aquel mismo apartado a), y con la norma del número 7 del artículo 100 de la propia Ley, que ordena a las Salas de lo Contencioso-Administrativo del </w:t>
      </w:r>
      <w:r>
        <w:lastRenderedPageBreak/>
        <w:t>Tribunal Supremo lo que deben hacer cuando la Sentencia apelada hubiera decretado la incompetencia del Tribunal.</w:t>
      </w:r>
    </w:p>
    <w:p w:rsidR="001C705E" w:rsidRDefault="001C705E" w:rsidP="001C705E">
      <w:pPr>
        <w:pStyle w:val="TextoNormal"/>
      </w:pPr>
      <w:r>
        <w:t>La solución que se patrocina en este voto particular no discrepa de la contenida en la Sentencia de este Tribunal Constitucional de 26 de marzo de 1984 (R.A. núm. 330/1983), bien que referida ésta al ámbito de la jurisdicción laboral, donde se hizo aplicación del art. 3 de la Ley de Procedimiento Laboral, sobre cuestiones de competencia, expresivo tal artículo de que cuando el Magistrado de Trabajo se estime incompetente para conocer por razón de la materia, dictará Auto acto seguido a la presentación de la demanda, declarándolo así, previniendo al demandante ante quién y cómo puede hacer uso de su derecho; igual declaración -prosigue el texto legal- deberá hacer al dictar Sentencia, absteniéndose en tal caso de entrar en el conocimiento del fondo del asunto. En el fallo antes referenciado se dice que la Sentencia de incompetencia dictada por el Tribunal del orden laboral tiene el sentido de una primera resolución en materia de competencia, desde la perspectiva del derecho a la tutela judicial efectiva, que no impide el que los actores puedan acudir a otra jurisdicción para que decida acerca de sus derechos e intereses legítimos.</w:t>
      </w:r>
    </w:p>
    <w:p w:rsidR="001C705E" w:rsidRDefault="001C705E" w:rsidP="001C705E">
      <w:pPr>
        <w:pStyle w:val="TextoNormal"/>
      </w:pPr>
      <w:r>
        <w:t>Quiérese decir que la posibilidad de declarar una incompetencia con anterioridad a la Sentencia -incluso ante la simple presentación de la demanda- no excluye la licitud y, por supuesto, la constitucionalidad, de similar pronunciamiento realizado en la Sentencia, sin que sea preciso estimar derogados los preceptos de orden procesal aplicados,</w:t>
      </w:r>
    </w:p>
    <w:p w:rsidR="001C705E" w:rsidRDefault="001C705E" w:rsidP="001C705E">
      <w:pPr>
        <w:pStyle w:val="TextoNormal"/>
      </w:pPr>
      <w:r>
        <w:t>En méritos de lo expuesto, entendemos que la actual demanda de amparo debe denegarse.</w:t>
      </w:r>
    </w:p>
    <w:p w:rsidR="001C705E" w:rsidRDefault="001C705E" w:rsidP="001C705E">
      <w:pPr>
        <w:pStyle w:val="TextoNormal"/>
      </w:pPr>
      <w:r>
        <w:t>Madrid, dieciocho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6" w:name="SENTENCIA_1985_23"/>
      <w:r>
        <w:lastRenderedPageBreak/>
        <w:t>SENTENCIA 23/1985, de 15 de febrero de 1985</w:t>
      </w:r>
    </w:p>
    <w:bookmarkEnd w:id="26"/>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55, de 5 de marzo de 1985)</w:t>
      </w:r>
    </w:p>
    <w:p w:rsidR="001C705E" w:rsidRDefault="001C705E" w:rsidP="001C705E">
      <w:pPr>
        <w:pStyle w:val="TtuloBOE"/>
      </w:pPr>
    </w:p>
    <w:p w:rsidR="001C705E" w:rsidRDefault="001C705E" w:rsidP="001C705E">
      <w:pPr>
        <w:pStyle w:val="SntesisDescriptiva"/>
      </w:pPr>
      <w:r>
        <w:t>ECLI:ES:TC:1985:23</w:t>
      </w:r>
    </w:p>
    <w:p w:rsidR="001C705E" w:rsidRDefault="001C705E" w:rsidP="001C705E">
      <w:pPr>
        <w:pStyle w:val="SntesisDescriptiva"/>
      </w:pPr>
    </w:p>
    <w:p w:rsidR="001C705E" w:rsidRDefault="001C705E" w:rsidP="001C705E">
      <w:pPr>
        <w:pStyle w:val="SntesisDescriptiva"/>
      </w:pPr>
      <w:r>
        <w:t>Recurso de amparo 313/1984. En relación con la propuesta de la prueba y su apreciación por el Juez</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fijación de los hechos del proceso y la valoración o apreciación de los medios de prueba tendentes a definir la «quaestio facti» del proceso penal corresponde a la exclusividad del Juez que conoce de la causa y es sólo revisable en las instancias superiores incardinadas en la organización judicial penal. </w:t>
      </w:r>
    </w:p>
    <w:p w:rsidR="001C705E" w:rsidRDefault="001C705E" w:rsidP="001C705E">
      <w:pPr>
        <w:pStyle w:val="Extracto"/>
      </w:pPr>
    </w:p>
    <w:p w:rsidR="001C705E" w:rsidRDefault="001C705E" w:rsidP="001C705E">
      <w:pPr>
        <w:pStyle w:val="Extracto"/>
      </w:pPr>
      <w:r>
        <w:t>2.</w:t>
      </w:r>
      <w:r>
        <w:tab/>
        <w:t xml:space="preserve">El que el resultado del proceso haya sido adverso no autoriza a replantear en sede constitucional, como si fuera una instancia más revisora del juicio penal, una discrepancia sobre el «factum» y no autoriza tampoco a introducir por el camino de la presunción de inocencia lo que es de la incumbencia del Juez o Tribunal Penal, la apreciación de las pruebas. </w:t>
      </w:r>
    </w:p>
    <w:p w:rsidR="001C705E" w:rsidRDefault="001C705E" w:rsidP="001C705E">
      <w:pPr>
        <w:pStyle w:val="Extracto"/>
      </w:pPr>
    </w:p>
    <w:p w:rsidR="001C705E" w:rsidRDefault="001C705E" w:rsidP="001C705E">
      <w:pPr>
        <w:pStyle w:val="Extracto"/>
      </w:pPr>
      <w:r>
        <w:t>3.</w:t>
      </w:r>
      <w:r>
        <w:tab/>
        <w:t xml:space="preserve">El art. 792.2 L.E.Cr. no puede ser interpretado en el sentido de que solo el apelante puede proponer pruebas, pues es una exigencia insita al principio contradictorio, ordenado a la defensión, el de la posición de paridad de las partes en el proceso, y por esto también en los casos que señala el precepto y cuando se puede producir efectivamente indefensión, a los apelados, y desde luego al acusado, corresponde también la facultad de propuesta de pruebas, con lo que no se hace más que dar virtualidad al derecho a utilizar los medios de prueba pertinentes para la defensa.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 xml:space="preserve">En el recurso de amparo promovido por don Francisco Javier Losantos del Campo, representado por el Procurador don Angel Deleito Villa y dirigido por el Abogado don </w:t>
      </w:r>
      <w:r>
        <w:lastRenderedPageBreak/>
        <w:t>Francisco García-Mon Marañés, contra la Sentencia de la Audiencia Provincial de Logroño de fecha 6 de abril de 1984 (diligencias 1/1982, rollo 6/1984), y en el que han comparecido el Ministerio Fiscal y «Nacional Hispánica Aseguradora, Sociedad Anónima», representada por el Procurador don José Luis Granizo García-Cuenca y defendida por el Abogado don Arturo Fernández de Castro y Pombo, siendo Ponente el Presidente de la Sala, don Jerónimo Arozamena Sierra, quien expresa el parecer de la misma.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Como consecuencia de un accidente de tráfico ocurrido en Logroño el día 3 de julio de 1981, en el que falleció don Anastasio Broco Gómez y lesionados doña Natividad Rubiano Villarejo, doña María del Carmen Uribe Legarreta y don Julio Orive Vázquez, se siguieron actuaciones penales contra don Francisco Javier Losantos del Campo, en el Juzgado de Instrucción núm. 2 de aquella capital, por el delito de imprudencia; al término del proceso recayó Sentencia pronunciada por dicho Juzgado el 23 de enero de 1984, por la que se absolvió al acusado por falta de prueba. La Sentencia fue apelada ante la Audiencia Provincial por los acusadores particulares, doña Trinidad, doña Natividad, don Ricardo y doña Cristina Broco Rubiano, doña Natividad Rubiano Villarejo, don José María Rubio Santa y don Arturo Moreno Ortega; y personados en la apelación el Ministerio Fiscal, los referidos acusadores particulares, que habían ejercitado la acción como perjudicados, el acusado, su esposa, doña María del Pilar Albacete Llamas, como responsable civil subsidiaria, y la Compañía «Nacional Hispánica Aseguradora, Sociedad Anónima», se dispuso por la Audiencia Provincial la tramitación en la forma dispuesta por el art. 792 de la Ley de Enjuiciamiento Criminal, y en el trámite correspondiente el Ministerio Fiscal se adhirió a la apelación interpuesta por los acusadores particulares e interesó que en su día se dicte Sentencia de conformidad con la calificación definitiva formulada en su momento por el Ministerio Fiscal. En el trámite de instrucción, la representación y defensa del señor Losantos del Campo no hizo petición alguna, pues dejó transcurrir el plazo concedido sin presentar escrito, y también en este trámite la Compañía «Nacional Hispánica Aseguradora, Sociedad Anónima», interesó la práctica de la prueba que solicitó en el escrito de conclusiones provisionales y consistente en que se pida al Ministerio de Defensa, Secretaría General de Asuntos de Personal y Acción Social, certificación de la instancia formulada por la viuda del fallecido como consecuencia del accidente que dio lugar a las actuaciones penales, prueba que no fue admitida a esta Compañía en virtud de Auto de 29 de febrero de 1984, y esta resolución fue consentida, pues contra ella no se interpuso recurso alguno. Celebrada la vista, se pronunció Sentencia por la Audiencia Provincial de Logroño el 6 de abril de 1984, por la que, estimando la apelación, fue condenado el señor Losantos del Campo, como autor de un delito de imprudencia simple con infracción de Reglamentos, a la pena de dos meses de arresto mayor y de seis meses de privación del permiso de conducir, a las accesorias correspondientes y a la responsabilidad civil en favor de los perjudicados.</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El 2 de mayo de 1984, el señor Losantos del Campo planteó recurso de amparo contra la Sentencia de la Audiencia Provincial de Logroño, que basó en los siguientes motivos: </w:t>
      </w:r>
    </w:p>
    <w:p w:rsidR="001C705E" w:rsidRDefault="001C705E" w:rsidP="001C705E">
      <w:pPr>
        <w:pStyle w:val="TextoNormal"/>
      </w:pPr>
      <w:r>
        <w:lastRenderedPageBreak/>
        <w:t xml:space="preserve">A) Violación del derecho fundamental a la integridad física y a la integridad moral que reconoce el art. 15 de la Constitución, porque, sostiene, que la condena penal fundada en una errónea fijación de los hechos constituye un ataque directo a su integridad moral. </w:t>
      </w:r>
    </w:p>
    <w:p w:rsidR="001C705E" w:rsidRDefault="001C705E" w:rsidP="001C705E">
      <w:pPr>
        <w:pStyle w:val="TextoNormal"/>
      </w:pPr>
      <w:r>
        <w:t xml:space="preserve">B) Violación del derecho fundamental a la seguridad que reconoce el art. 17 de la Constitución, y que interpreta el recurrente como el derecho a la seguridad jurídica y que estima vulnerado, porque la consecuencia penal deducida no es congruente con el resultado de las pruebas practicadas. </w:t>
      </w:r>
    </w:p>
    <w:p w:rsidR="001C705E" w:rsidRDefault="001C705E" w:rsidP="001C705E">
      <w:pPr>
        <w:pStyle w:val="TextoNormal"/>
      </w:pPr>
      <w:r>
        <w:t xml:space="preserve">C) Violación del derecho a la tutela judicial efectiva que proclama el art. 24.1 de la Constitución, porque cree el recurrente que el esquema fáctico en el que se basó la Sentencia no responde a la realidad. </w:t>
      </w:r>
    </w:p>
    <w:p w:rsidR="001C705E" w:rsidRDefault="001C705E" w:rsidP="001C705E">
      <w:pPr>
        <w:pStyle w:val="TextoNormal"/>
      </w:pPr>
      <w:r>
        <w:t xml:space="preserve">D) Violación del art. 24.1 y 2 de la Constitución, porque se denegó una prueba pertinente y trascendente para el caso, basando la denegación en que, no teniendo el proponente de la prueba la condición de apelante, no podía proponer prueba; y </w:t>
      </w:r>
    </w:p>
    <w:p w:rsidR="001C705E" w:rsidRDefault="001C705E" w:rsidP="001C705E">
      <w:pPr>
        <w:pStyle w:val="TextoNormal"/>
      </w:pPr>
      <w:r>
        <w:t>E) Violación del derecho a la presunción de inocencia que proclama el art. 24.2 de la Constitución, que funda en que de la prueba no resulta la culpabilidad del recurrente de amparo.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El 6 de junio siguiente se admitió a trámite la demanda y se dispuso lo que manda el art. 51 de la LOTC, y una vez emplazadas las partes y recibidas las actuaciones, se pasó al trámite que dispone el art. 52 también de la LOTC, y en este trámite han formulado alegaciones el recurrente, la Compañía aseguradora que se había personado en este proceso de amparo y el Ministerio Fiscal. </w:t>
      </w:r>
    </w:p>
    <w:p w:rsidR="001C705E" w:rsidRDefault="001C705E" w:rsidP="001C705E">
      <w:pPr>
        <w:pStyle w:val="TextoNormal"/>
      </w:pPr>
      <w:r>
        <w:t xml:space="preserve">A) El recurrente insistió en lo que había dicho en la demanda, glosando los motivos del recurso y haciendo las citas jurisprudenciales que estimó pertinentes al caso. </w:t>
      </w:r>
    </w:p>
    <w:p w:rsidR="001C705E" w:rsidRDefault="001C705E" w:rsidP="001C705E">
      <w:pPr>
        <w:pStyle w:val="TextoNormal"/>
      </w:pPr>
      <w:r>
        <w:t xml:space="preserve">B) El Ministerio Fiscal se opuso al otorgamiento del amparo, diciendo: a) Que la denegación de la prueba, no al recurrente, sino a la Compañía aseguradora personada como parte civil, se hizo en virtud de una interpretación razonable del art. 792 de la Ley de Enjuiciamiento Criminal; b) No se comprende la trascendencia de una prueba que no fue propuesta por el que ahora se queja y tampoco la protesta al respecto en el acto de la vista, sin invocar, por lo demás, precepto constitucional alguno; c) Lo que se pretende es una revisión de los hechos, contra lo que previene el art. 44. 1 b) de la LOTC; d) No hay violación del derecho fundamental a la presunción de inocencia, sino una discrepancia sobre la apreciación de la prueba; e) La seguridad jurídica se consagra en el art. 9.3 de la Constitución y no en el art. 17 de la misma, y aquel precepto no está comprendido entre los susceptibles de acudir en amparo; f) La invocación del derecho a la integridad moral supondría, sin más, negar el ius puniendi del Estado. </w:t>
      </w:r>
    </w:p>
    <w:p w:rsidR="001C705E" w:rsidRDefault="001C705E" w:rsidP="001C705E">
      <w:pPr>
        <w:pStyle w:val="TextoNormal"/>
      </w:pPr>
      <w:r>
        <w:t>C) La Compañía aseguradora, después de hacer alegaciones en la misma línea que el recurrente, respecto a las denunciadas violaciones de los arts. 24, 15 y 17 de la Constitución, terminó pidiendo que se otorgue el amparo «bien con anulación de la Sentencia recurrida o, subsidiariamente, se anulen las actuaciones desde el trámite anterior a la proposición de prueba en la segunda instancia».</w:t>
      </w:r>
    </w:p>
    <w:p w:rsidR="001C705E" w:rsidRDefault="001C705E" w:rsidP="001C705E">
      <w:pPr>
        <w:pStyle w:val="TextoNormal"/>
      </w:pPr>
    </w:p>
    <w:p w:rsidR="001C705E" w:rsidRDefault="001C705E" w:rsidP="001C705E">
      <w:pPr>
        <w:pStyle w:val="TextoNormal"/>
      </w:pPr>
      <w:r w:rsidRPr="001C705E">
        <w:rPr>
          <w:rStyle w:val="NumeroAFNegritaCaracter"/>
        </w:rPr>
        <w:t>4</w:t>
      </w:r>
      <w:r>
        <w:t>. Por providencia de 28 de noviembre de 1984, se señaló para deliberación y votación del recurso el día 6 de febrero de 1985.</w:t>
      </w:r>
    </w:p>
    <w:p w:rsidR="001C705E" w:rsidRDefault="001C705E" w:rsidP="001C705E">
      <w:pPr>
        <w:pStyle w:val="TextoNormal"/>
      </w:pPr>
    </w:p>
    <w:p w:rsidR="001C705E" w:rsidRDefault="001C705E" w:rsidP="001C705E">
      <w:pPr>
        <w:pStyle w:val="TextoNormalNegritaCentrado"/>
        <w:keepNext/>
      </w:pPr>
      <w:r>
        <w:lastRenderedPageBreak/>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recurrente dice que la Sentencia de la Audiencia Provincial de Logroño ha lesionado sus derechos a la integridad moral (art. 15), a la seguridad (art. 17), a la tutela judicial efectiva (art. 24.1), a no sufrir indefensión (art. 24.1), a los medios de prueba (art. 24.2) y a la presunción de inocencia (art. 24.2). Y esta heterogénea invocación, que nada tiene que ver con la fundamentación de la demanda, en algunos casos (como son las invocaciones a los arts. 15 y 17), y en otras (como algunas de las que se comprenden bajo la cobertura del art. 24) carecen de contenido constitucional, o arrancan del torcido entendimiento de las cosas, o se monta sobre unos supuestos quebrantamientos o vicios relativos a la prueba, pues de la acusación de que ha habido error en la apreciación de la prueba deduce, nada menos, que la violación de su integridad moral, de su seguridad, de su derecho a la tutela judicial efectiva y, también, de su derecho a ser presumido inocente; y de la denegación de una prueba a otra parte procesal, no a él, infiere que se le ha privado de utilizar los medios de prueba pertinentes para su derecho, creándole una situación de indefensión. Veamos, siguiendo el orden con el que hemos recogido las acusaciones, de que se han violado derechos constitucionales del recurrente, lo que procede decir respecto de la demanda.</w:t>
      </w:r>
    </w:p>
    <w:p w:rsidR="001C705E" w:rsidRDefault="001C705E" w:rsidP="001C705E">
      <w:pPr>
        <w:pStyle w:val="TextoNormal"/>
      </w:pPr>
    </w:p>
    <w:p w:rsidR="001C705E" w:rsidRDefault="001C705E" w:rsidP="001C705E">
      <w:pPr>
        <w:pStyle w:val="TextoNormal"/>
      </w:pPr>
      <w:r w:rsidRPr="001C705E">
        <w:rPr>
          <w:rStyle w:val="NumeroAFNegritaCaracter"/>
        </w:rPr>
        <w:t>2</w:t>
      </w:r>
      <w:r>
        <w:t>. Por de pronto, nada tienen que ver las alegaciones de error en la apreciación de la prueba con la «seguridad», como uno de los bienes jurídicos tutelados por el art. 17, en el que es bien sabido se contempla el aspecto más tangible de la libertad cual es la libertad física y, nada tampoco tiene que ver con el derecho a la integridad moral, que, con la integridad física, garantizan la integridad personal según lo dispuesto en el artículo 15, que el recurrente de amparo -como todos- tenga que soportar el ius puniendi del Estado dentro de las coordenadas garantizadoras que constituyen la garantía penal, la garantía procesal y la garantía penitenciaria. La queja del demandante -aunque injustificada como vamos pronto a ver- tiene relación con las garantías procesales, y no porque se le haya privado del proceso donde articular su defensa, sino -esto es el motivo real del recurso- porque las pruebas no fueron, a su entender, valoradas adecuadamente, o no se realizó una prueba que califica de pertinente e influyente para la decisión. Sobre el art.  24 versan sus alegatos de que el juicio fáctico es erróneo, de lo que infiere una vulneración del derecho a la tutela judicial efectiva y una violación del derecho a ser presumido inocente; pero tal modo de entender el mencionado precepto olvida que la fijación de los «hechos» del proceso, y la valoración o apreciación de los medios de prueba tendentes a definir la quaestio facti del proceso penal corresponde a la exclusividad del Juez que conoce de la causa y sólo revisable -en la medida que lo permitan los distintos instrumentos procesales- en las instancias superiores incardinadas en la organización judicial penal (art. 117.3). El que el resultado del proceso haya sido adverso no autoriza a replantear en sede constitucional -como si fuera una instancia más revisora del juicio penal- una discrepancia sobre el factum y no autoriza tampoco a introducir por el camino de la presunción de inocencia lo que es de la incumbencia del Juez o Tribunal penal, la apreciación de las pruebas. Esto es -como resulta obvio- lo que, equivocando lo que es el recurso de amparo y el entendimiento del art. 24, pretende el actor y, por ello, sus peticiones al respecto no pueden ser acogidas.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Llegado a este momento es lícito preguntarse cómo fue posible que con tan manifiesta falta de contenido constitucional, la demanda superara la fase de admisión (art. 50 </w:t>
      </w:r>
      <w:r>
        <w:lastRenderedPageBreak/>
        <w:t>de la LOTC). Y a ello debe decirse que acusó el demandante que, derivando el Tribunal sentenciador del art. 792.2 de la Ley de Enjuiciamiento Criminal una conclusión contraria al principio de paridad de las partes en el proceso, en cuanto entendió que solo a los apelantes estaba abierta la posibilidad probatoria que brinda el mencionado precepto, la defensión de su parte -y el derecho a utilizar los medios de prueba se había puesto en entredicho. El art. 792.2, ciertamente, no puede ser interpretado en el sentido de que sólo el apelante puede proponer pruebas, pues es una exigencia insita en el principio contradictorio, ordenado a la defensión, el de la posición de paridad de las partes en el proceso, y, por esto también en los casos que señala el precepto, y cuando se puede producir efectivamente indefensión, a los apelados -y, desde luego, al acusado-, corresponde también la facultad de propuesta de pruebas, con lo que no se hace más que dar virtualidad al derecho a utilizar los medios de prueba pertinentes para la defensa. El demandante de amparo no solicitó en la instancia la prueba que dice, y siendo esto bastante para dar respuesta al problema planteado en el presente recurso, es lo cierto, además, que la prueba propuesta en la segunda instancia y denegada fue propuesta por otra parte, de lo que se colige que ningún medio de prueba le ha sido denegado, lo que hace innecesario abordar el siguiente tema en orden a si se ha producido indefensión, pues si no se le ha privado de medios adecuados para su defensa no hay violación del derecho que ahora invoca el demandante.</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LA CONFIERE LA CONSTITUCION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Denegar el amparo solicitado por don Francisco Javier Losantos del Campo.</w:t>
      </w:r>
    </w:p>
    <w:p w:rsidR="001C705E" w:rsidRDefault="001C705E" w:rsidP="001C705E">
      <w:pPr>
        <w:pStyle w:val="TextoNormal"/>
      </w:pPr>
      <w:r>
        <w:t>2. Levantar la suspensión de la ejecución de la Sentencia que fue acordada por Auto de 12 de septiembre de 1984 y, al efecto, comunicarlo a la Audiencia Provincial de Logroño y al juzgado de Instrucción núm. 2 de Logroño, a los efectos procedentes.</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quince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7" w:name="SENTENCIA_1985_24"/>
      <w:r>
        <w:lastRenderedPageBreak/>
        <w:t>SENTENCIA 24/1985, de 21 de febrero de 1985</w:t>
      </w:r>
    </w:p>
    <w:bookmarkEnd w:id="27"/>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ECLI:ES:TC:1985:24</w:t>
      </w:r>
    </w:p>
    <w:p w:rsidR="001C705E" w:rsidRDefault="001C705E" w:rsidP="001C705E">
      <w:pPr>
        <w:pStyle w:val="SntesisDescriptiva"/>
      </w:pPr>
    </w:p>
    <w:p w:rsidR="001C705E" w:rsidRDefault="001C705E" w:rsidP="001C705E">
      <w:pPr>
        <w:pStyle w:val="SntesisDescriptiva"/>
      </w:pPr>
      <w:r>
        <w:t>Conflicto positivo de competencia 265/1982. Promovido por el Gobierno de la Nación contra Resolución de 12 de febrero de 1982, de la Dirección General de Energía del Departamento de Industria y Energía del Gobierno Vasco, por la que se autorizó a la empresa "Petróleos del Norte Sociedad Anónima" (PETRONOR), a modificar el proyecto inicial de instalación de una unidad de craking catalítico fluído y una unidad de vis-breaking</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Reiterando la doctrina sentada por el Tribunal, la noción de «bases» debe ser entendida como noción material, y, en consecuencia, los criterios básicos, estén o no formulados como tales, son los que racionalmente se deducen de la legislación vigente. De esta noción material de bases se infiere que lo esencial de su concepto es su contenido. </w:t>
      </w:r>
    </w:p>
    <w:p w:rsidR="001C705E" w:rsidRDefault="001C705E" w:rsidP="001C705E">
      <w:pPr>
        <w:pStyle w:val="Extracto"/>
      </w:pPr>
    </w:p>
    <w:p w:rsidR="001C705E" w:rsidRDefault="001C705E" w:rsidP="001C705E">
      <w:pPr>
        <w:pStyle w:val="Extracto"/>
      </w:pPr>
      <w:r>
        <w:t>2.</w:t>
      </w:r>
      <w:r>
        <w:tab/>
        <w:t xml:space="preserve">Aunque las Cortes deberán establecer qué es lo que haya de entenderse por básico, en caso necesario será el Tribunal Constitucional el competente para decidirlo, en su calidad de intérprete supremo de la Constitución. </w:t>
      </w:r>
    </w:p>
    <w:p w:rsidR="001C705E" w:rsidRDefault="001C705E" w:rsidP="001C705E">
      <w:pPr>
        <w:pStyle w:val="Extracto"/>
      </w:pPr>
    </w:p>
    <w:p w:rsidR="001C705E" w:rsidRDefault="001C705E" w:rsidP="001C705E">
      <w:pPr>
        <w:pStyle w:val="Extracto"/>
      </w:pPr>
      <w:r>
        <w:t>3.</w:t>
      </w:r>
      <w:r>
        <w:tab/>
        <w:t xml:space="preserve">Cuando la materia básica esté regulada por normas preconstitucionales, y hasta tanto se dicte la ley correspondiente, el Gobierno puede inferir cuáles son las bases de aquéllas, siempre que ello sea posible sin que la deducción sea sólo aparente y se convierta en una verdadera labor de innovación, y sin perjuicio de que tal deducción siempre nacería afectada de una cierta provisionalidad y quedaría pendiente de que el legislador la confirmase o la revocase. </w:t>
      </w:r>
    </w:p>
    <w:p w:rsidR="001C705E" w:rsidRDefault="001C705E" w:rsidP="001C705E">
      <w:pPr>
        <w:pStyle w:val="Extracto"/>
      </w:pPr>
    </w:p>
    <w:p w:rsidR="001C705E" w:rsidRDefault="001C705E" w:rsidP="001C705E">
      <w:pPr>
        <w:pStyle w:val="Extracto"/>
      </w:pPr>
      <w:r>
        <w:t>4.</w:t>
      </w:r>
      <w:r>
        <w:tab/>
        <w:t xml:space="preserve">Ocurre que, en algunas materias, ciertas decisiones y actuaciones de tipo aparentemente coyuntural, que tienen como objeto la regulación inmediata de situaciones concretas, pueden tener sin duda un carácter básico por la interdependencia de éstas en todo el territorio nacional. </w:t>
      </w:r>
    </w:p>
    <w:p w:rsidR="001C705E" w:rsidRDefault="001C705E" w:rsidP="001C705E">
      <w:pPr>
        <w:pStyle w:val="Extracto"/>
      </w:pPr>
    </w:p>
    <w:p w:rsidR="001C705E" w:rsidRDefault="001C705E" w:rsidP="001C705E">
      <w:pPr>
        <w:pStyle w:val="Extracto"/>
      </w:pPr>
      <w:r>
        <w:t>5.</w:t>
      </w:r>
      <w:r>
        <w:tab/>
        <w:t xml:space="preserve">Dada la trascendencia que para la política energética tiene la estructura de la producción y tienen las cantidades parciales de los productos obtenidos de la actividad de refino, por cuanto cualquier decisión que acepte al tope y a la estructura de la respectiva producción puede implicar, por la interdependencia de unas respecto a otras, una alteración del sistema energético en su conjunto, tales decisiones sobre ambos aspectos son básicas y se agotan en sí mismas.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w:t>
      </w:r>
      <w:r>
        <w:lastRenderedPageBreak/>
        <w:t>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conflicto positivo de competencia núm. 265/1982, planteado por el Abogado del Estado, en representación del Gobierno de la Nación, en relación con la Resolución de 12 de febrero de 1982 de la Dirección General de Energía del Departamento de Industria y Energía del Gobierno Vasco, por la que se autorizó a la Empresa «Petróleos del Norte, Sociedad Anónima» (PETRONOR), a modificar el proyecto inicial de instalación de una unidad de craking catalítico fluido y una unidad de vis-breaking. Ha sido parte el Gobierno Vasco, representado por la Abogada doña Margarita Uría Echevarría, y Ponente el Magistrado don Antonio Truyol Serra,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Gobierno de la Nación acordó, en Consejo de Ministros celebrado el 30 de abril de 1982, dirigir al Gobierno de la Comunidad Autónoma del País Vasco requerimiento de incompetencia al amparo de lo dispuesto en el art. 62, en relación con el 63, ambos de la Ley Orgánica del Tribunal Constitucional (LOTC), por estimar que el Departamento de Industria y Energía de dicho Gobierno había incurrido en incompetencia a través de la Resolución de 12 de febrero de 1982 («Boletín Oficial del País Vasco» núm. 30, de 4 de marzo de 1982) emanada de la Dirección de Energía del mencionado Departamento, por la que se autorizó a la Empresa «Petróleos del Norte, Sociedad Anónima» (PETRONOR), a modificar el proyecto inicial de instalación de una unidad de craking catalítico fluido y una unidad de vis-breaking autorizada por Resolución de la Dirección General de la Energía de 12 de septiembre de 1980, por considerar el Gobierno que dicha Resolución no se ajustaba al orden de competencias establecido en la Constitución y en el Estatuto de Autonomía del País Vasco (EAPV), a consecuencia de la inadecuación de la misma al régimen de competencias autonómicas en materia energética, configurado por los arts. 10.11 y 11.2 c) del Estatuto indicado. El Presidente del Gobierno Vasco, mediante escrito que tuvo su entrada en la Delegación del Gobierno en el País Vasco el 12 de junio de 1982, comunicó al Presidente del Gobierno de la Nación que el Gobierno Vasco, en su reunión celebrada el 7 de junio de 1982, había acordado no atender al requerimiento formulado y rechazarlo por no estimarlo fundado, por considerar que la Resolución referida había sido dictada en uso de las facultades que le corresponden en razón, entre otros, de los arts. 10.11 y 30 y 11.2 c) del Estatuto de Autonomía. El Gobierno de la Nación, en Consejo de Ministros celebrado el 9 de julio de 1982, acordó ordenar a la Abogacía del Estado el planteamiento del conflicto positivo de competencia.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2</w:t>
      </w:r>
      <w:r>
        <w:t xml:space="preserve">. El Abogado del Estado ha planteado el correspondiente conflicto positivo de competencia mediante escrito de fecha 12 de julio de 1982, en el que se suplica, en relación con la Resolución referida de 12 de febrero de 1982, dictada por el Director de Energía del País Vasco, que se dicte Sentencia declarando que pertenece al Estado la titularidad de la competencia controvertida y anulando la citada Resolución, dados los fundamentos jurídicos siguientes: </w:t>
      </w:r>
    </w:p>
    <w:p w:rsidR="001C705E" w:rsidRDefault="001C705E" w:rsidP="001C705E">
      <w:pPr>
        <w:pStyle w:val="TextoNormal"/>
      </w:pPr>
      <w:r>
        <w:t xml:space="preserve">Si una consideración exclusivamente industrial permitiera subsumir el supuesto en el art. 10.30 del Estatuto, la naturaleza de la actividad de las instalaciones y el propio objeto de la Resolución indicada ponen de manifiesto que la cuestión ha de enmarcarse en las competencias en materia de energía, lo que queda corroborado por proceder la Resolución de la Dirección de Energía. </w:t>
      </w:r>
    </w:p>
    <w:p w:rsidR="001C705E" w:rsidRDefault="001C705E" w:rsidP="001C705E">
      <w:pPr>
        <w:pStyle w:val="TextoNormal"/>
      </w:pPr>
      <w:r>
        <w:t xml:space="preserve">A tenor del art. 11.2 c) del Estatuto, es competencia de la Comunidad Autónoma del País Vasco el desarrollo legislativo y la ejecución, dentro de su territorio, del régimen energético. El apartado 2. del epígrafe B) del certificado anexo al Real Decreto 1255/1981, de 8 de mayo, sobre traspaso de servicios del Estado a la Comunidad Autónoma del País Vasco en materia de industria, energía y minas, se remite, para las funciones y servicios en materia de energía, a los arts. 10.11 y 11.2 c) del Estatuto. El art. 10.11 del mismo establece que son de la competencia de la Comunidad Autónoma todas las instalaciones de producción, distribución y transporte de energía, cuando su aprovechamiento no afecte a otra provincia o Comunidad Autónoma. </w:t>
      </w:r>
    </w:p>
    <w:p w:rsidR="001C705E" w:rsidRDefault="001C705E" w:rsidP="001C705E">
      <w:pPr>
        <w:pStyle w:val="TextoNormal"/>
      </w:pPr>
      <w:r>
        <w:t xml:space="preserve">Cuando se trata de instalaciones de transformación de productos energéticos cuyo aprovechamiento excede al territorio de la Comunidad, la competencia corresponde al Estado. Este es el caso de la refinería de PETRONOR, en que los productos energéticos salen del territorio de la Comunidad Autónoma por medio de transportes convencionales y del oleoducto Somorrostro-Valladolid, y son distribuidos y aprovechados por provincias y Comunidades Autónomas distintas de la del País Vasco. </w:t>
      </w:r>
    </w:p>
    <w:p w:rsidR="001C705E" w:rsidRDefault="001C705E" w:rsidP="001C705E">
      <w:pPr>
        <w:pStyle w:val="TextoNormal"/>
      </w:pPr>
      <w:r>
        <w:t>Por ello, la Resolución de 12 de febrero de 1982 no ha sido dictada en el ámbito de competencia de la Comunidad, correspondiendo la autorización a PETRONOR a modificar el proyecto inicial de instalación a la Dirección General de la Energía del Ministerio de Industria y Energía.</w:t>
      </w:r>
    </w:p>
    <w:p w:rsidR="001C705E" w:rsidRDefault="001C705E" w:rsidP="001C705E">
      <w:pPr>
        <w:pStyle w:val="TextoNormal"/>
      </w:pPr>
    </w:p>
    <w:p w:rsidR="001C705E" w:rsidRDefault="001C705E" w:rsidP="001C705E">
      <w:pPr>
        <w:pStyle w:val="TextoNormal"/>
      </w:pPr>
      <w:r w:rsidRPr="001C705E">
        <w:rPr>
          <w:rStyle w:val="NumeroAFNegritaCaracter"/>
        </w:rPr>
        <w:t>3</w:t>
      </w:r>
      <w:r>
        <w:t>. La Sección Tercera, por providencia de 15 de julio de 1982, acordó admitir a trámite el escrito presentado, tener por comparecido al Abogado del Estado en representación del Gobierno, tener por formalizado el conflicto positivo de competencia, comunicarlo al Presidente del Gobierno de la Comunidad Autónoma del País Vasco, a fin de que, en el plazo de veinte días, se personase y aportase cuantos documentos y alegaciones considerase convenientes, ordenar la publicación del planteamiento del conflicto en el «Boletín Oficial del Estado» y en el «Boletín Oficial del País Vasco», comunicarlo al Presidente de la Audiencia Territorial de Bilbao a los efectos de lo dispuesto en el art. 61.2 de la LOTC y notificar la iniciación del conflicto a PETRONOR conforme al art. 64.4 de la LOTC.</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La Letrada doña Margarita Uría Echevarría, designada a tales efectos por acuerdo del Gobierno Vasco de 6 de septiembre de 1982, se personó en el conflicto en nombre de dicho Gobierno mediante escrito de fecha 14 de septiembre de 1982, en el que solicitó se dicte Sentencia en la que se declare que la competencia controvertida corresponde a la Comunidad Autónoma del País Vasco y, en consecuencia, se declare la plena constitucionalidad de la Resolución recurrida, sobre la base de las siguientes alegaciones: </w:t>
      </w:r>
    </w:p>
    <w:p w:rsidR="001C705E" w:rsidRDefault="001C705E" w:rsidP="001C705E">
      <w:pPr>
        <w:pStyle w:val="TextoNormal"/>
      </w:pPr>
      <w:r>
        <w:lastRenderedPageBreak/>
        <w:t xml:space="preserve">Tras afirmar haberse cumplido con los requisitos de legitimación y postulación y plazo en la formulación de alegaciones, se exponen los antecedentes de hecho, indicándose que por Resolución de 12 de septiembre de 1980 se autorizó por la Dirección General de la Energía el proyecto presentado por PETRONOR para la instalación de una unidad de craking catalítico fluido y una unidad de vis-breaking; que el 14 de diciembre de 1981 fue presentado por PETRONOR en el Departamento de Industria y Energía del Gobierno Vasco solicitud para la modificación del proyecto inicial, adjuntando el nuevo, para la obtención de productos medios y pesados; que visto el referido proyecto y con el informe favorable de la Delegación Territorial de Vizcaya, la Dirección de Energía del Departamento de Industria y Energía del Gobierno Vasco dictó Resolución de 12 de febrero de 1982, autorizando a PETRONOR a modificar el proyecto inicial, y que el Gobierno del Estado acordó dirigir al Gobierno de la Comunidad Autónoma del País Vasco el requerimiento de incompetencia a que se ha hecho referencia en el núm. 1 de los presentes antecedentes y plantear ante el Tribunal Constitucional conflicto positivo de competencia para el caso de que el órgano requerido no atendiese el requerimiento, así como que el Gobierno Vasco indicado tomó el acuerdo de no atender a dicho requerimiento, habiendo tenido entrada -se dice- el 20 de julio de 1982 el escrito de la Abogacía del Estado por el que se inició el conflicto. </w:t>
      </w:r>
    </w:p>
    <w:p w:rsidR="001C705E" w:rsidRDefault="001C705E" w:rsidP="001C705E">
      <w:pPr>
        <w:pStyle w:val="TextoNormal"/>
      </w:pPr>
      <w:r>
        <w:t xml:space="preserve">Se efectúan lo que se denominan «algunas precisiones previas sobre el subsector de industrias energéticas» como «subsector industrial», tanto en el plano conceptual de la estructura económica, cuanto en el del Derecho, como se desprende de los arts. 2 y 3 de la Ley de 24 de noviembre de 1939 sobre Ordenación y Defensa de la Industria, y de la exposición de motivos del Decreto 418/1968, de 9 de marzo, sobre régimen de autorización de las refinerías de petróleos. Por lo que, aun aceptándose que, frente al régimen jurídico general de la industria, existe una normativa específica en materia energética y, en concreto, en el sector de hidrocarburos, que obedece a una serie de pautas -el papel clave del sector energético en el contexto de la economía española, la escasez de recursos propios, la fuerte intervención del Estado en la industria petrolera desde la creación del Monopolio de Petróleos y la búsqueda de soluciones por la vía de energías alternativas-, se considera necesario resaltar que tal régimen jurídico especial en materia de energía no supone su exclusión del régimen jurídico general industrial, salvo en aquellas cuestiones que incidan, en cuanto a volumen y capacidad, en la utilización y aprovechamiento de los recursos energéticos. </w:t>
      </w:r>
    </w:p>
    <w:p w:rsidR="001C705E" w:rsidRDefault="001C705E" w:rsidP="001C705E">
      <w:pPr>
        <w:pStyle w:val="TextoNormal"/>
      </w:pPr>
      <w:r>
        <w:t xml:space="preserve">Se hace referencia a continuación en el escrito de alegaciones al «sentido finalista del art. 10.11 del Estatuto de Autonomía del País Vasco», argumentándose al respecto que el art. 10 del Estatuto de Autonomía configura un marco de competencias a ejercer por los órganos de la Comunidad Autónoma en materia de industria, desdoblándose el sector industrial en dos apartados: a) el régimen jurídico general (art. 10.30 del Estatuto), y b) el régimen jurídico especial sobre la energía (art. 10.ll del Estatuto), que tiende a garantizar más dotaciones energéticas que posibiliten el funcionamiento de la economía nacional, al mismo tiempo que el art. 11.2 del Estatuto, de acuerdo con el art. 149.1.25.ª de la C.E., reserva al Estado las bases del régimen energético. No se discute que el mercado de PETRONOR exceda el de la Comunidad Autónoma, pero se afirma que no nos encontramos ante una peculiaridad energética que tenga un régimen jurídico industrial especial en el Estatuto, ya que ni la modificación del proyecto afecta al transporte de energía fuera del territorio, ni se está ante un caso de aprovechamiento al no alterarse el volumen total de capacidad de tratamiento. En tales condiciones -se alega por la representación del Gobierno Vasco-, la acción de la Administración Autónoma sólo supone «un caso de policía </w:t>
      </w:r>
      <w:r>
        <w:lastRenderedPageBreak/>
        <w:t xml:space="preserve">industrial sometido al régimen general del art. 10.30 del EAPV». Y se insiste en el escrito en el carácter de norma especial, e incluso «excepcional», del art. 10.11 del Estatuto, frente al general del art. 10. 30 del mismo, por lo que se dice que el primero ha de ser interpretado restrictivamente, haciéndose referencia a los criterios de interpretación recogidos en el art. 3.1 del Código Civil. </w:t>
      </w:r>
    </w:p>
    <w:p w:rsidR="001C705E" w:rsidRDefault="001C705E" w:rsidP="001C705E">
      <w:pPr>
        <w:pStyle w:val="TextoNormal"/>
      </w:pPr>
      <w:r>
        <w:t>Finalmente, se niega que la Resolución de 12 de febrero de 1982 haya vulnerado el orden de reparto de competencias, pues, señalándose los antecedentes administrativos de aquélla -las Resoluciones de la Dirección General de Energía de 22 de junio de 1976 y de 12 de septiembre de 1980-, y haciéndose referencia al Decreto 2232/1974, de 20 de julio, por el que se estableció un plan de ampliación de refino de crudos, se pone de relieve que la autorización de unidades por medio de la Resolución impugnada no supone en ningún caso un aumento de la capacidad de tratamiento, y que la misma se incardina, por ello, en un aspecto de mera modificación técnica de un proyecto ya existente. Y, tras insistirse en que se trata del ejercicio de una mera potestad de policía industrial dimanante del art. 10.30 del EAPV -considerándose irrelevante al respecto que el órgano que ha autorizado sea la Dirección de Energía-, y no del art. 10.11 del mismo, se considera prueba de ello el dato de las consecuencias medioambientales que se generan con la modificación técnica aprobada y a las que se hace referencia en la consideración 2) de la Resolución indicada, negándose asimismo el que haya alguna consecuencia externa al ámbito de la Comunidad Autónoma con respecto a los usos de energía expuestos.</w:t>
      </w:r>
    </w:p>
    <w:p w:rsidR="001C705E" w:rsidRDefault="001C705E" w:rsidP="001C705E">
      <w:pPr>
        <w:pStyle w:val="TextoNormal"/>
      </w:pPr>
    </w:p>
    <w:p w:rsidR="001C705E" w:rsidRDefault="001C705E" w:rsidP="001C705E">
      <w:pPr>
        <w:pStyle w:val="TextoNormal"/>
      </w:pPr>
      <w:r w:rsidRPr="001C705E">
        <w:rPr>
          <w:rStyle w:val="NumeroAFNegritaCaracter"/>
        </w:rPr>
        <w:t>5</w:t>
      </w:r>
      <w:r>
        <w:t>. El Pleno del Tribunal Constitucional, por providencia de 7 de diciembre de 1984, acordó tener por formuladas por la Abogada doña Margarita Uría Echevarría, en representación del Gobierno Vasco, las alegaciones que contiene su escrito de 14 de septiembre de 1982, del que se entregará copia al Abogado del Estado, y señalar para la deliberación y votación de la Sentencia de este conflicto el próximo día 15 de enero de 1985.</w:t>
      </w:r>
    </w:p>
    <w:p w:rsidR="001C705E" w:rsidRDefault="001C705E" w:rsidP="001C705E">
      <w:pPr>
        <w:pStyle w:val="TextoNormal"/>
      </w:pPr>
    </w:p>
    <w:p w:rsidR="001C705E" w:rsidRDefault="001C705E" w:rsidP="001C705E">
      <w:pPr>
        <w:pStyle w:val="TextoNormal"/>
      </w:pPr>
      <w:r w:rsidRPr="001C705E">
        <w:rPr>
          <w:rStyle w:val="NumeroAFNegritaCaracter"/>
        </w:rPr>
        <w:t>6</w:t>
      </w:r>
      <w:r>
        <w:t>. El Pleno del Tribunal, oído el Ponente, acordó, por providencia de 17 de enero de 1985, de conformidad con lo dispuesto en el art. 84 de la LOTC, oír al Abogado del Estado y al Abogado del Gobierno Vasco, por plazo común de diez días y con suspensión del término para sentencia, para que alegasen acerca de la eventual existencia del motivo para decidir el conflicto, distinto de los alegados en el proceso, consistente en el carácter básico o no del contenido del acto que ha motivado dicho conflicto y la trascendencia de ello, según lo dispuesto en el art. 149.1.25.ª de la Constitución y en el art. 11.2 c) del Estatuto de Autonomía del País Vasco.</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El Abogado del Estado, por escrito de fecha 31 de enero, tras reiterar lo ya señalado en el escrito de formalización del conflicto acerca de que el marco en que debe ser planteado y resuelto el mismo es el de la «energía», y no -como pretende la Comunidad Autónoma- el de la «industria», y considerando por ello de referencia inmediata el art. 149.1.25.ª de la C.E., estima que las atribuciones competenciales que se realizan por el Estatuto de Autonomía del País Vasco en favor de la Comunidad Autónoma en materia energética se diversifican, en función del criterio material, respecto a las instalaciones de producción, distribución y transporte de energía (competencias exclusivas en los términos del art. 10.11 del Estatuto y «a los productos energéticos en si mismos considerados» [competencia «más limitada» conforme al art. 11.2 c) del Estatuto]. Por lo que respecta a la «segunda de las vertientes de la cuestión» -que considera «complemento necesario» de </w:t>
      </w:r>
      <w:r>
        <w:lastRenderedPageBreak/>
        <w:t>la tenida en cuenta en el anterior escrito de la Abogacía-, constituida por el motivo expuesto por el Tribunal, dice el Abogado del Estado que el problema consiste en determinar cuál es la legislación básica que puede desarrollar, ejecutar y complementar el Gobierno Vasco, y si en el presente supuesto se han invadido competencias estatales al incidir en aspectos básicos de la regulación del régimen energético. Y, respecto a esta última cuestión, señala que, aunque en la Resolución desencadenante del conflicto las modificaciones aprobadas no supondrán un aumento de la capacidad de tratamiento global de la refinería, se alteran, sin embargo, en ella las capacidades energéticas determinadas para las unidades que autoriza, lo que incide en la planificación general energética que corresponde al Estado, pues aun manteniéndose el volumen total anual de productos obtenidos en el proceso de refino, se produce una alteración de las cantidades parciales que la integran, modificándose la estructura de la oferta de productos energéticos derivados del proceso de refino del petróleo, con las subsiguientes consecuencias en ámbitos ajenos a competencias comunitarias (necesidades de la defensa, recursos estratégicos, comercio exterior, planificación económica, etc.); añade que sostener que los cambios en la estructura de la oferta energética de hidrocarburos carecen de trascendencia siempre que no se altere el volumen global del tratamiento, implica desconocer las competencias estatales relativas a la fijación de la política nacional de hidrocarburos y a la planificación general en materia energética, máxime en el presente caso, dado el elevado porcentaje (en torno al 17,5 por 100) que respecto a la total capacidad de refino nacional represente la refinería de PETRONOR; y termina en el sentido de que, «pese a la inexistencia de formulaciones expresas» en esta materia, y por aplicación de la doctrina del Tribunal, es posible deducir racionalmente de la legislación vigente el carácter básico de las cuestiones relativas al programa nacional de hidrocarburos (art. 4.2 de la Ley 21/1974, de 27 de junio), al programa anual de combustibles y, en general, a la fijación de la política nacional de hidrocarburos (Ley 45/1981, de 28 de diciembre, disposiciones adicionales primera y segunda). Por todo lo cual, concluye que la Resolución objeto del conflicto ha incidido en cuestiones ajenas a la competencia de la Comunidad Autónoma.</w:t>
      </w:r>
    </w:p>
    <w:p w:rsidR="001C705E" w:rsidRDefault="001C705E" w:rsidP="001C705E">
      <w:pPr>
        <w:pStyle w:val="TextoNormal"/>
      </w:pPr>
    </w:p>
    <w:p w:rsidR="001C705E" w:rsidRDefault="001C705E" w:rsidP="001C705E">
      <w:pPr>
        <w:pStyle w:val="TextoNormal"/>
      </w:pPr>
      <w:r w:rsidRPr="001C705E">
        <w:rPr>
          <w:rStyle w:val="NumeroAFNegritaCaracter"/>
        </w:rPr>
        <w:t>8</w:t>
      </w:r>
      <w:r>
        <w:t>. La Letrada representante del Gobierno Vasco, por escrito también de 31 de enero de 1985, tras reafirmarse en la alegación ya formulada en su anterior escrito de que la Resolución objeto del conflicto se circunscribe al ejercicio de una mera potestad de policía industrial, con fundamento en el art. 10.30 del Estatuto de Autonomía, alegó con respecto a la nueva cuestión sometida a la consideración de las partes que, teniendo en cuenta que el contenido de tal Resolución es el de un simple acto de ejecución, al tratarse de una autorización para modificar un proyecto aprobado con anterioridad por un órgano del Estado y conforme a la legislación estatal, no puede calificarse su contenido como básico, puesto que la garantía de uniformidad viene dada por la normativa estatal en esta materia, que en modo alguno se contraviene, sino que se aplica, aunque por el órgano competente en virtud del reparto legal de competencias.</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presente conflicto tiene su origen en la Resolución de 12 de febrero de 1982 («Boletín Oficial del País Vasco», núm. 30, de 4 de marzo de 1982), de la Dirección de Energía del Departamento de Industria y Energía del Gobierno Vasco, por la que se autoriza a la Empresa «Petróleos del Norte, Sociedad Anónima» (PETRONOR). a modificar el </w:t>
      </w:r>
      <w:r>
        <w:lastRenderedPageBreak/>
        <w:t>proyecto inicial de instalación de una unidad de cracking catalítico fluido y una unidad de vis-breaking autorizada por Resolución de la Dirección General de Energía de 12 de septiembre de 1980 para la obtención de productos petrolíferos ligeros a partir de productos medios y pesados, mediante la aprobación -o desaprobación, en su caso- de un proyecto para la obtención de productos medios y pesados, así como la autorización -o no autorización, también en su caso- de las unidades y capacidades que se especifican para cada unidad, y sin que ello suponga un aumento de la capacidad global de tratamiento. Entiende el Gobierno de la Nación, promotor del conflicto, que con dicha Resolución la Comunidad Autónoma del País Vasco ha rebasado el ámbito de sus competencias e invadido las del Estado.</w:t>
      </w:r>
    </w:p>
    <w:p w:rsidR="001C705E" w:rsidRDefault="001C705E" w:rsidP="001C705E">
      <w:pPr>
        <w:pStyle w:val="TextoNormal"/>
      </w:pPr>
      <w:r>
        <w:t>El Abogado del Estado estima que la cuestión ha de enmarcarse en las competencias en materia de energía, que para la Comunidad Autónoma del País Vasco son las previstas en los arts. 10.11 y 11.2 c) de su Estatuto (EAPV).  Según el art. 10.11, la Comunidad Autónoma del País Vasco tiene competencia exclusiva en materia de «instalaciones de producción, distribución y transporte de energía, cuando este transporte no salga de su territorio y su aprovechamiento no afecte a otra provincia o Comunidad Autónoma», ello «sin perjuicio de lo establecido en el art. 149.1.25.ª de la Constitución» (C.E.), el cual confiere al Estado competencia exclusiva sobre «bases del régimen minero y energético». El art. 11.2 c), por su parte, atribuye a la Comunidad Autónoma del País Vasco «el desarrollo legislativo y la ejecución dentro de su territorio de las bases, en los términos que las mismas señalen», en materia de régimen minero y energético.</w:t>
      </w:r>
    </w:p>
    <w:p w:rsidR="001C705E" w:rsidRDefault="001C705E" w:rsidP="001C705E">
      <w:pPr>
        <w:pStyle w:val="TextoNormal"/>
      </w:pPr>
      <w:r>
        <w:t>En cambio, la argumentación de la representante del Gobierno Vasco va dirigida en lo esencial a fundamentar la Resolución impugnada en la competencia exclusiva que a la Comunidad Autónoma del País Vasco atribuye el art. 10.30 del Estatuto en materia de «industria, con exclusión de la instalación, ampliación y traslado de industrias sujetas a normas especiales por razones de seguridad, interés militar y sanitario y aquellas que precisen de la legislación específica para estas funciones, y las que requieran de contratos previos de transferencia de tecnología extranjera».</w:t>
      </w:r>
    </w:p>
    <w:p w:rsidR="001C705E" w:rsidRDefault="001C705E" w:rsidP="001C705E">
      <w:pPr>
        <w:pStyle w:val="TextoNormal"/>
      </w:pPr>
    </w:p>
    <w:p w:rsidR="001C705E" w:rsidRDefault="001C705E" w:rsidP="001C705E">
      <w:pPr>
        <w:pStyle w:val="TextoNormal"/>
      </w:pPr>
      <w:r w:rsidRPr="001C705E">
        <w:rPr>
          <w:rStyle w:val="NumeroAFNegritaCaracter"/>
        </w:rPr>
        <w:t>2</w:t>
      </w:r>
      <w:r>
        <w:t>. La representante del Gobierno Vasco no niega que la Resolución impugnada se refiere a la materia energética, pero considera que la energía constituye un subsector del sector industrial, siendo esto último admitido asimismo implícitamente por el Abogado del Estado. También admite expresamente el dato en el que el Abogado del Estado se basa fundamentalmente en apoyo de su tesis, a saber, que el mercado de PETRONOR excede del ámbito de la Comunidad Autónoma Vasca, añadiendo al respecto el Abogado del Estado que los productos energéticos elaborados por tal Empresa salen del territorio de la Comunidad Autónoma no sólo por medio de los transportes convencionales, sino a través del oleoducto Somorrostro-Valladolid, y son distribuidos en y aprovechados por provincias y Comunidades Autónomas distintas de las del País Vasco, sin que nada de ello haya sido contradicho por la representante del Gobierno Vasco.</w:t>
      </w:r>
    </w:p>
    <w:p w:rsidR="001C705E" w:rsidRDefault="001C705E" w:rsidP="001C705E">
      <w:pPr>
        <w:pStyle w:val="TextoNormal"/>
      </w:pPr>
    </w:p>
    <w:p w:rsidR="001C705E" w:rsidRDefault="001C705E" w:rsidP="001C705E">
      <w:pPr>
        <w:pStyle w:val="TextoNormal"/>
      </w:pPr>
      <w:r w:rsidRPr="001C705E">
        <w:rPr>
          <w:rStyle w:val="NumeroAFNegritaCaracter"/>
        </w:rPr>
        <w:t>3</w:t>
      </w:r>
      <w:r>
        <w:t>. El hincapié que las partes hacen en la limitación de la competencia en materia energética de la Comunidad Autónoma del País Vasco al ámbito territorial de ésta no se nos presenta dotado del alcance que una y otra le conceden. Esta limitación viene referida, en el art. 10.11 del EAPV, a la «competencia exclusiva» que a la Comunidad .Autónoma del País Vasco se atribuye, pero ello se entiende, como in fine se dice, «sin perjuicio de lo establecido en el art. 149. 1.25.ª de la Constitución. Ahora bien, a tenor de esta disposición, el Estado tiene competencia exclusiva sobre las «bases del régimen minero y energé</w:t>
      </w:r>
      <w:r>
        <w:lastRenderedPageBreak/>
        <w:t>tico», lo cual trae consigo el que, a su vez, según el art. 11.2 c) del EAPV, sea de la competencia de la Comunidad Autónoma del País Vasco «el desarrollo legislativo y la ejecución dentro de su territorio de las bases, en los términos que las mismas señalen», del régimen energético.</w:t>
      </w:r>
    </w:p>
    <w:p w:rsidR="001C705E" w:rsidRDefault="001C705E" w:rsidP="001C705E">
      <w:pPr>
        <w:pStyle w:val="TextoNormal"/>
      </w:pPr>
    </w:p>
    <w:p w:rsidR="001C705E" w:rsidRDefault="001C705E" w:rsidP="001C705E">
      <w:pPr>
        <w:pStyle w:val="TextoNormal"/>
      </w:pPr>
      <w:r w:rsidRPr="001C705E">
        <w:rPr>
          <w:rStyle w:val="NumeroAFNegritaCaracter"/>
        </w:rPr>
        <w:t>4</w:t>
      </w:r>
      <w:r>
        <w:t>. Frente a la toma en consideración de los arts. 10.11 y- 11.2 o) del EAPV para medir el alcance de las competencias de la Comunidad Autónoma del País Vasco al objeto de la solución del presente conflicto, la representación del Gobierno Vasco trata de negar la aplicabilidad al supuesto que nos ocupa del apartado 11 del art. 10, aduciendo que el precepto aplicable es el del apartado 30 del mismo artículo, referente, como se indicó en el fundamento primero, a las competencias de la Comunidad .Autónoma en materia de industria, con las excepciones que allí se señalan. Para ello, dicha representación califica el apartado 30 de «régimen jurídico general» de las competencias en materia de industria, contraponiéndolo a lo que a su juicio es el «régimen jurídico especial» en materia de energía del apartado 11, y llegando por este camino a la conclusión de que, en cuanto norma especial, e incluso «excepcional», el apartado 11 del art. 10 ha de ser objeto de una interpretación restrictiva. Ahora bien, el carácter de norma especial de dicho apartado, frente al de norma general del apartado 30 del art. 10, no autoriza a ver en ella una norma «excepcional» ni a someterla a una interpretación restrictiva, pues tal carácter viene a significar aquí que en materia específica de la energía las competencias asumidas por la Comunidad Autónoma son precisamente las previstas en el apartado 11 y no las contempladas para el sector industrial en general por el 30.</w:t>
      </w:r>
    </w:p>
    <w:p w:rsidR="001C705E" w:rsidRDefault="001C705E" w:rsidP="001C705E">
      <w:pPr>
        <w:pStyle w:val="TextoNormal"/>
      </w:pPr>
    </w:p>
    <w:p w:rsidR="001C705E" w:rsidRDefault="001C705E" w:rsidP="001C705E">
      <w:pPr>
        <w:pStyle w:val="TextoNormal"/>
      </w:pPr>
      <w:r w:rsidRPr="001C705E">
        <w:rPr>
          <w:rStyle w:val="NumeroAFNegritaCaracter"/>
        </w:rPr>
        <w:t>5</w:t>
      </w:r>
      <w:r>
        <w:t>. De hecho, la representación del Gobierno Vasco parece pretender que se interpreten o apliquen restrictivamente las excepciones a las competencias de la Comunidad Autónoma en materia de instalaciones de producción, distribución y transporte de energía, que se establecen en el art. 10.11, e incluso, genéricamente, en el 11.2 c), ambos del EAPV; excepciones consistentes, como hemos visto, en que tales competencias no son asumidas en los supuestos en los que el transporte salga del territorio de la Comunidad Autónoma o el aprovechamiento afecte a otras provincias o Comunidades Autónomas. Alega, en efecto, la representación del Gobierno Vasco, acudiendo a lo que califica de «interpretación finalista» del art. 10.11, que este precepto no es aplicable al presente caso, pues no nos encontramos ante una peculiaridad energética, por cuanto la modificación del proyecto de instalación no afecta al transporte de energía fuera del territorio comunitario, ni estamos ante un caso de aprovechamiento, porque no se altera el volumen total de capacidad de tratamiento; afirmando, en conclusión, que la acción de la Administración autonómica sólo supone un caso de policía industrial sometido al régimen general del art. 10.30 del EAPV. Ahora bien, no se puede desconocer que el art.  10.11 fija inequívocamente la competencia de la Comunidad Autónoma en materia de energía, sin que quepa considerar las correspondientes al refino de crudos como competencias de policía industrial amparadas en el art. 10.30.</w:t>
      </w:r>
    </w:p>
    <w:p w:rsidR="001C705E" w:rsidRDefault="001C705E" w:rsidP="001C705E">
      <w:pPr>
        <w:pStyle w:val="TextoNormal"/>
      </w:pPr>
      <w:r>
        <w:t>Y en cuanto a la circunstancia de que la modificación del proyecto autorizada por la Resolución recurrida no suponga una alteración del volumen global de capacidad de tratamiento, no sólo resulta irrelevante desde el punto de vista de la aplicación de la excepción de extraterritorialidad referida, al no haber sido tomada en cuenta por la norma que la establece, sino que cabría, incluso, tener en cuenta al respecto la consideración, de índole predominantemente fáctica, de que la modificación, con respecto a las anteriormente previstas, de las capacidades de cada una de las unidades autorizadas por la Resolución im</w:t>
      </w:r>
      <w:r>
        <w:lastRenderedPageBreak/>
        <w:t>pugnada, sí que podría afectar al aprovechamiento de los diferentes productos energético.s que mediante ellas puedan obtenerse, al incidir (como se desprende de lo dicho de las dos Resoluciones en cuestión en el antecedente primero) en la estructura de la producción de productos petrolíferos ligeros, medios o pesados.</w:t>
      </w:r>
    </w:p>
    <w:p w:rsidR="001C705E" w:rsidRDefault="001C705E" w:rsidP="001C705E">
      <w:pPr>
        <w:pStyle w:val="TextoNormal"/>
      </w:pPr>
    </w:p>
    <w:p w:rsidR="001C705E" w:rsidRDefault="001C705E" w:rsidP="001C705E">
      <w:pPr>
        <w:pStyle w:val="TextoNormal"/>
      </w:pPr>
      <w:r w:rsidRPr="001C705E">
        <w:rPr>
          <w:rStyle w:val="NumeroAFNegritaCaracter"/>
        </w:rPr>
        <w:t>6</w:t>
      </w:r>
      <w:r>
        <w:t>. Centrando la cuestión en los arts. 10.11 y 11.2 c) del EAPV, en relación con el 149.1.25.ª de la Constitución, lo que en último término es decisivo en orden a la no atribución a la Comunidad Autónoma del País Vasco de la competencia exclusiva en materia de régimen energético del art. 10.11 del referido Estatuto, no es tanto que los productos de PETRONOR se transporten fuera del País Vasco o que su aprovechamiento afecte a otra provincia o Comunidad Autónoma, cuanto que la elaboración de los mismos, como la de las demás refinerías, tal y como se contempla en el Decreto 2232/1974, de 20 de julio, y en el Plan Energético Nacional para 1978-1987 y posteriormente el de 1983, está proyectada y regulada como una unidad, en relación con un mercado único, cuyas características y exigencias han determinado la fijación de la proporción de lo que de ella ha de destinarse al mercado nacional y a la exportación, así como la localización de los incrementos previstos de la capacidad de refino por Empresas o zonas geográficas y otros factores. Con lo cual la eventual competencia de la Comunidad Autónoma del País Vasco en materia de régimen energético no podrá fundarse más que en el art. 11.2 c) del EAPV, en concepto de competencia de desarrollo legislativo y de ejecución dentro de su territorio de las bases de dicho régimen, en los términos que las mismas señalen.</w:t>
      </w:r>
    </w:p>
    <w:p w:rsidR="001C705E" w:rsidRDefault="001C705E" w:rsidP="001C705E">
      <w:pPr>
        <w:pStyle w:val="TextoNormal"/>
      </w:pPr>
    </w:p>
    <w:p w:rsidR="001C705E" w:rsidRDefault="001C705E" w:rsidP="001C705E">
      <w:pPr>
        <w:pStyle w:val="TextoNormal"/>
      </w:pPr>
      <w:r w:rsidRPr="001C705E">
        <w:rPr>
          <w:rStyle w:val="NumeroAFNegritaCaracter"/>
        </w:rPr>
        <w:t>7</w:t>
      </w:r>
      <w:r>
        <w:t>. De la argumentación de las partes al respecto, formuladas a instancia de nuestra providencia de 17 de enero último, se desprende a primera vista que la distinción entre bases y desarrollo legislativo y ejecución de las mismas no es, en el presente caso, nítida. El Abogado del Estado proporciona esencialmente un argumento en favor de que la Resolución que ha dado lugar al planteamiento del conflicto incide en aspectos básicos del régimen energético: El de la trascendencia de la decisión adoptada, habida cuenta de que, aun manteniéndose la capacidad de refino total, dicha resolución modifica la estructura de la oferta de productos energéticos derivados del proceso de refino, en una refinería, además, como la de PETRONOR, que según él representa en torno al 17, 5 por 100 de la capacidad de refino nacional. Sin embargo, y a pesar de referirse el representante del Estado a la doctrina de este Tribunal Constitucional en Sentencias como la 32/1981, de 28 de julio («Boletín Oficial del Estado» de 13 de agosto; fundamento jurídico 6), según la cual las bases o normas básicas, cuya noción ha de entenderse como noción material, son las que racionalmente se deducen de la legislación vigente, estén o no formuladas como tales, no llega a precisar cuáles son tales bases o criterios básicos, ni a señalar los preceptos de la legislación vigente de que los mismos se desprenderían. Es cierto que, tras reconocer «la inexistencia de formulaciones expresas» en la legislación, dice que «es posible deducir racionalmente de la legislación vigente el carácter básico de las cuestiones relativas al programa nacional de hidrocarburos (art. 4.2 de la Ley 21/1974, de 27 de junio), al programa anual de combustibles y, en general, a la fijación de la política nacional de hidrocarburos (Ley 45/1981, de 28 de diciembre, disposiciones adicionales primera y segunda)». Ahora bien, el art. 4.2 de la Ley 21/1974, sobre investigación y explotación de hidrocarburos sólo se refiere al aprovechamiento de los yacimientos existentes en el territorio nacional y en el subsuelo del mar territorial y de los fondos marinos que estén sometidos, a efectos de su exploración, investigación y explotación, a la soberanía nacional. Tanto esta Ley como el «programa nacional» previsto en ella se refieren a la «exploración, investigación y explo</w:t>
      </w:r>
      <w:r>
        <w:lastRenderedPageBreak/>
        <w:t>tación» de recursos que podríamos denominar nacionales, mientras que la refinería de PETRONOR, destinataria de la resolución objeto del conflicto, no es ninguna de las «instalaciones anexas a las de producción» de tales recursos a que también se refiere la propia Ley. En cuanto a las disposiciones adicionales primera y segunda de la Ley 45/1981, de creación del Instituto Nacional de Hidrocarburos, son normas  atributivas de competencia dentro de la Administración (Gobierno, Ministerio de Hacienda) en las materias que se relacionan, sin incidir en su regulación. En uno y otro caso, difícilmente cabría deducir de las respectivas normas el carácter básico de la Resolución de la Dirección de Energía del Gobierno Vasco que aquí se considera.</w:t>
      </w:r>
    </w:p>
    <w:p w:rsidR="001C705E" w:rsidRDefault="001C705E" w:rsidP="001C705E">
      <w:pPr>
        <w:pStyle w:val="TextoNormal"/>
      </w:pPr>
      <w:r>
        <w:t>No más consistente resulta la breve argumentación de la representante del Gobierno Vasco, según la cual el contenido de la resolución controvertida es un simple acto de ejecución, consistente en una «autorización para modificar el proyecto aprobado con anterioridad por un órgano del Estado y conforme a la legislación estatal, a la que se vincula la potestad ejecutiva ejercitada en este campo», pues se limita a afirmar que la normativa estatal en la materia «en modo alguno se contraviene, sino que se aplica», sin que quede despejada la cuestión de cuáles sean las bases del régimen energético que la Comunidad Autónoma haya ejecutado mediante la resolución referida. Aunque no lo haya explicitado en tales términos, parece que para la representación del Gobierno Vasco sólo tendría carácter básico -y por ello exigiría ser respetado y no modificado por la Comunidad el límite de la capacidad global de tratamiento de doce millones de toneladas métricas al año, establecido por el Decreto 2232/1974, de 20 de julio.</w:t>
      </w:r>
    </w:p>
    <w:p w:rsidR="001C705E" w:rsidRDefault="001C705E" w:rsidP="001C705E">
      <w:pPr>
        <w:pStyle w:val="TextoNormal"/>
      </w:pPr>
    </w:p>
    <w:p w:rsidR="001C705E" w:rsidRDefault="001C705E" w:rsidP="001C705E">
      <w:pPr>
        <w:pStyle w:val="TextoNormal"/>
      </w:pPr>
      <w:r w:rsidRPr="001C705E">
        <w:rPr>
          <w:rStyle w:val="NumeroAFNegritaCaracter"/>
        </w:rPr>
        <w:t>8</w:t>
      </w:r>
      <w:r>
        <w:t>. Ante la falta de una legislación expresa, hemos de recurrir a la doctrina sentada por este Tribunal al respecto, iniciada en su Sentencia 32/1981, de 28 de julio («Boletín Oficial del Estado» de 13 de agosto; fundamento jurídico 6.  ), y reiterada o desarrollada en particular en la 1/1982, de 28 de enero («Boletín Oficial del Estado» de 26 de febrero; fundamentos jurídicos 1. y 5.  ), 32/1983, de 28 de abril («Boletín Oficial del Estado» de 17 de mayo; fundamento jurídico 2. ), 42/1983, de 20 de mayo («Boletín Oficial del Estado» de 17 de junio; fundamento jurídico 3. A) y 96/1984, de 19 de octubre («Boletín Oficial del Estado» del 31; fundamento jurídico 7. ), relativa, esta última, precisamente a la emisión de obligaciones de PETRONOR.  Según esta doctrina, la noción de «bases» debe ser entendida como noción material, y en consecuencia los criterios básicos, estén o no formulados como tales, son los que. racionalmente se deducen de la legislación vigente; de esta noción material de «base s: infiere que lo esencial de su concepto es su contenido; por lo cual, aunque las Cortes deberán establecer qué es lo que haya de entenderse por básico, en caso necesario será este Tribunal el competente para decidirlo, en su calidad de intérprete supremo de la Constitución; cuando la materia está regulada por normas preconstitucionales, y hasta tanto se dicte la Ley correspondiente, el Gobierno puede inferir cuáles son las bases de aquellas, siempre que ello sea posible sin que la deducción sea sólo aparente y se convierta en una verdadera labor de innovación, y sin perjuicio de que tal deducción siempre nacería afectada de una cierta provisionalidad y quedaría pendiente de que el legislador la confirmase o la revocase: y por último, ocurre que en algunas materias ciertas decisiones y actuaciones de tipo aparentemente coyuntural, que tienen como objeto la regulación inmediata de situaciones concretas, pueden tener sin duda un carácter básico por la interdependencia de éstas en todo el territorio nacional.</w:t>
      </w:r>
    </w:p>
    <w:p w:rsidR="001C705E" w:rsidRDefault="001C705E" w:rsidP="001C705E">
      <w:pPr>
        <w:pStyle w:val="TextoNormal"/>
      </w:pPr>
      <w:r>
        <w:t xml:space="preserve">A la luz de esa doctrina, es de observar que el Decreto 418/1968, de 9 de marzo, sobre régimen de autorización para refinerías de petróleos, somete a dicho régimen tanto la instalación de nuevas refinerías cromo la ampliación de capacidad de las ya existentes (art. </w:t>
      </w:r>
      <w:r>
        <w:lastRenderedPageBreak/>
        <w:t>1). debiendo señalarse en las convocatorias de concursos para la instalación de refinerías no sólo su «capacidad de tratamiento de c.rudos», sino también la «especificación y enumeración cualitativa de los productos a obtener» (art.  2, III): que por Resolución de la Dirección General de la Energía de 22 de junio de 1976 se autorizó a PETRONOR a ampliar a partir del año 1980, inclusive, la capacidad de tratamiento de crudos hasta doce millones de toneladas métricas al años que por Resolución de la Dirección General de la Energía de 15 de septiembre de 1976 se dio a PETRONOR un plazo, prorrogado con posterioridad a petición de la Empresa, para presentar un proyecto referente a unidades destinadas a la obtención de mayor proporción de productos petrolíferos ligeros a partir de productos medios y pesados, con objeto de adaptar la estructura de la producción de la refinería de Somorrostro a la estructura de la demanda prevista para 1980, y que, en cumplimiento de ello, PETRONOR presentó un proyecto «para la obtención de productos petrolíferos ligeros a partir de productos medios y pesados», que fue aprobado mediante la Resolución de la Dirección General de la Energía de 12 de septiembre de 1980. De todo lo cual resulta que, dada la trascendencia (puesta de manifiesto por el Abogado del Estado, y que por otra parte se deduce de la lectura de los planes energéticos nacionales) que para la política energética tiene la estructura de la producción y tienen las cantidades parciales de los productos obtenidos de la actividad de refino, por cuanto cualquier decisión que afecte al tope y a la estructura de la respectiva producción puede implicar, por la interdependencia de unas con respecto a otras, una alteración del sistema energético en su conjunto, tales decisiones sobre ambos aspectos (y no sólo sobre el tope) son básicas y se agotan en sí mismas. Ahora bien, en el presente caso, la Resolución de la Dirección de la Energía del Gobierno Vasco, aun respetando el volumen global de producción, viene a autorizar la modificación de su estructura, al haberse aprobado mediante ella un nuevo proyecto orientado -como se dice expresamente- a la «obtención de productos medios y pesados».</w:t>
      </w:r>
    </w:p>
    <w:p w:rsidR="001C705E" w:rsidRDefault="001C705E" w:rsidP="001C705E">
      <w:pPr>
        <w:pStyle w:val="TextoNormal"/>
      </w:pPr>
      <w:r>
        <w:t>La conclusión a que estas consideraciones llevan es que la Resolución objeto del conflicto ha incidido en un aspecto básico del régimen energético sobre el que el Estado es competente, pudiendo añadirse, como se dijera en el fundamento séptimo in fine de la mencionada Sentencia 96/1984, relativa a la emisión de obligaciones de PETRONOR, «todo ello sin perjuicio de que una futura regulación estatal de esta materia concreta pudiera establecer unas bases a que la Comunidad Autónoma ajustase determinadas actuaciones de ejecución e incluso de desarrollo legislativo». o bien crear los adecuados mecanismos de coordinación.</w:t>
      </w:r>
    </w:p>
    <w:p w:rsidR="001C705E" w:rsidRDefault="001C705E" w:rsidP="001C705E">
      <w:pPr>
        <w:pStyle w:val="TextoNormal"/>
      </w:pPr>
    </w:p>
    <w:p w:rsidR="001C705E" w:rsidRDefault="001C705E" w:rsidP="001C705E">
      <w:pPr>
        <w:pStyle w:val="TextoNormal"/>
      </w:pPr>
      <w:r w:rsidRPr="001C705E">
        <w:rPr>
          <w:rStyle w:val="NumeroAFNegritaCaracter"/>
        </w:rPr>
        <w:t>9</w:t>
      </w:r>
      <w:r>
        <w:t>. Queda por examinar si el hecho de que la consideración 2.ª de la Resolución impugnada haga referencia a medidas encaminadas a minimizar los vertidos contaminantes y al deber de PETRONOR de presentar el correspondiente proyecto específico ante la Delegación Territorial de Industria y Energía de Vizcaya, implica el ejercicio de una potestad de policía industrial dimanante del art.  10.30 del EAPV. Esta consideración segunda constituirá ciertamente una manifestación de posibles competencias de la Comunidad Autónoma en materia de protección del medio ambiente, cuya titularidad no es controvertida en el presente conflicto de competencia, al no haber formulado al respecto alegación alguna el Gobierno promotor del mismo. En consecuencia, la decisión de este Tribunal no debe extender sus efectos al orden de distribución de competencias existente en materia de medio ambiente.</w:t>
      </w:r>
    </w:p>
    <w:p w:rsidR="001C705E" w:rsidRDefault="001C705E" w:rsidP="001C705E">
      <w:pPr>
        <w:pStyle w:val="TextoNormal"/>
      </w:pPr>
    </w:p>
    <w:p w:rsidR="001C705E" w:rsidRDefault="001C705E" w:rsidP="001C705E">
      <w:pPr>
        <w:pStyle w:val="TextoNormal"/>
      </w:pPr>
      <w:r w:rsidRPr="001C705E">
        <w:rPr>
          <w:rStyle w:val="NumeroAFNegritaCaracter"/>
        </w:rPr>
        <w:t>10</w:t>
      </w:r>
      <w:r>
        <w:t xml:space="preserve">. De acuerdo con lo establecido en el art. 66 de la Ley Orgánica de este Tribunal, la conclusión a que sobre la titularidad de la competencia controvertida hemos llegado trae </w:t>
      </w:r>
      <w:r>
        <w:lastRenderedPageBreak/>
        <w:t>consigo la anulación de la Resolución que originó el conflicto. pero dicha anulación no debe repercutir en las situaciones creadas al amparo de la Resolución impugnada, que no fue objeto de suspensión (art. 64.3 de la misma Ley), hasta tanto el Gobierno decida acerca de la procedencia de otorgar la autorización.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Declarar que la competencia controvertida corresponde al Estado y anular la resolución impugnada, con los efectos indicados en el fundamento jurídico décimo.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veintiuno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8" w:name="SENTENCIA_1985_25"/>
      <w:r>
        <w:lastRenderedPageBreak/>
        <w:t>SENTENCIA 25/1985, de 22 de febrero de 1985</w:t>
      </w:r>
    </w:p>
    <w:bookmarkEnd w:id="28"/>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ECLI:ES:TC:1985:25</w:t>
      </w:r>
    </w:p>
    <w:p w:rsidR="001C705E" w:rsidRDefault="001C705E" w:rsidP="001C705E">
      <w:pPr>
        <w:pStyle w:val="SntesisDescriptiva"/>
      </w:pPr>
    </w:p>
    <w:p w:rsidR="001C705E" w:rsidRDefault="001C705E" w:rsidP="001C705E">
      <w:pPr>
        <w:pStyle w:val="SntesisDescriptiva"/>
      </w:pPr>
      <w:r>
        <w:t>Recurso de amparo 534/1983. Invocación del derecho a la presunción de inocencia por no haberse probado, a juicio del recurrente su condición de ser propietario del perro causante de los daños denunciados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presunción de inocencia queda desvirtuada únicamente si existe -como sucede en el presente caso- una mínima actividad probatoria de cargo que permita al Juzgador valorarla en conciencia de acuerdo con el principio de libre apreciación de la prueba recogido en el art. 741 L.E.Cr. (Se reitera la anterior doctrina del Tribunal Constitucional).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534/1983, promovido por don Pablo Díaz Luis, representado por la Procuradora de los Tribunales doña María Teresa Margallo Ribera, bajo la dirección del Letrado don Antonio Pérez Castellano, contra la Sentencia del Juzgado de Distrito de Herrera del Duque de 24 de marzo de 1982, en juicio de faltas, núm. 12/1982 y la del Juzgado de Instrucción de la misma localidad, de fecha 3 de marzo de 1983, que confirma la anterior. Ha comparecido el Ministerio Fiscal y ha sido Ponente el Magistrado don Angel Latorre Segura,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27 de julio de 1983 tuvo entrada en este Tribunal escrito de la Procuradora de los Tribunales doña María Teresa Margallo Ribera, en nombre y representación de don Pablo Díaz Luis, interponiendo recurso de amparo contra la Sentencia del Juzgado de Distrito de Herrera del Duque, de fecha 24 de marzo de 1982, en juicio de faltas, que condenó al soli</w:t>
      </w:r>
      <w:r>
        <w:lastRenderedPageBreak/>
        <w:t xml:space="preserve">citante del amparo como autor de una falta tipificada en el art. 600 del Código Penal en relación con el 580.2 del mismo Cuerpo legal a la pena de 1.500 pesetas de multa o al arresto sustitutorio correspondiente, pago e indemnización de 80.000 pesetas al perjudicado; y contra la Sentencia del Juzgado de Instrucción de 3 de marzo de 1983, que confirmó en apelación la anterior. Del escrito de demanda se deduce, en sustancia, lo siguiente: </w:t>
      </w:r>
    </w:p>
    <w:p w:rsidR="001C705E" w:rsidRDefault="001C705E" w:rsidP="001C705E">
      <w:pPr>
        <w:pStyle w:val="TextoNormal"/>
      </w:pPr>
      <w:r>
        <w:t xml:space="preserve">A) El solicitante del amparo, junto con otra persona, fueron denunciados por daños al ganado de un tercero, que se afirmaba haber sido producidos por dos perros, uno de su propiedad. El solicitante del amparo negó ante el Juzgado ser propietario del perro y lo mismo hizo el otro denunciado. Se celebró el correspondiente juicio de faltas. El Ministerio Fiscal solicitó la absolución de ambos denunciados y el Juez decidió suspender la vista hasta poder obtener más pruebas. Señalada de nuevo la vista, el Ministerio Fiscal reiteró su petición de absolución y el Juez de Distrito dictó la Sentencia impugnada condenando al solicitante del amparo y absolviendo al otro denunciado. Apelada la Sentencia, y a pesar de que el Ministerio Fiscal instó de nuevo la absolución, el Juez de Instrucción confirmó la Sentencia. </w:t>
      </w:r>
    </w:p>
    <w:p w:rsidR="001C705E" w:rsidRDefault="001C705E" w:rsidP="001C705E">
      <w:pPr>
        <w:pStyle w:val="TextoNormal"/>
      </w:pPr>
      <w:r>
        <w:t>B) Afirma el recurrente que ambas Sentencias le condenan sin que exista prueba alguna de que él sea el propietario del perro causante de los daños, pues sólo se invoca comunicado de la Guardia Civil en el que se dice que el recurrente llevó el animal a una perrera instituida al efecto, pero no se aclara que fue conminado desde el principio a que tenga en su poder el perro «hasta que esto se aclare». Tampoco es prueba, siempre según el recurrente, el que la Guardia Civil afirme que «este hombre (el recurrente) parece ser el propietario de varios animales que suelta para no pagar a nadie». Concluye pidiendo la suspensión de la ejecución de la Sentencia hasta que se resuelva definitivamente la cuestión por el Tribunal Constitucional. Considera infringido el art. 24.2 de la C.E. en cuanto consagra el derecho a la presunción de inocencia.</w:t>
      </w:r>
    </w:p>
    <w:p w:rsidR="001C705E" w:rsidRDefault="001C705E" w:rsidP="001C705E">
      <w:pPr>
        <w:pStyle w:val="TextoNormal"/>
      </w:pPr>
    </w:p>
    <w:p w:rsidR="001C705E" w:rsidRDefault="001C705E" w:rsidP="001C705E">
      <w:pPr>
        <w:pStyle w:val="TextoNormal"/>
      </w:pPr>
      <w:r w:rsidRPr="001C705E">
        <w:rPr>
          <w:rStyle w:val="NumeroAFNegritaCaracter"/>
        </w:rPr>
        <w:t>2</w:t>
      </w:r>
      <w:r>
        <w:t>. La sala de vacaciones, por providencia de 12 de agosto de 1983, acordó comunicar al Ministerio Fiscal y al recurrente la posible concurrencia de los siguientes motivos de inadmisión subsanables: a) no fijarse con precisión el amparo que se solicita [(art. 50.1 b) en relación con el 49.1 de la Ley Orgánica del Tribunal Constitucional, LOTC)]; b) no presentarse copia o resolución de las resoluciones recurridas. En el plazo señalado el Ministerio Fiscal mostró su conformidad con los motivos de inadmisión señalados. El recurrente aportó las resoluciones citadas y dijo que el amparo solicitado consiste en que se le reintegre en su derecho a la presunción de inocencia, conculcado por las resoluciones que se combaten, y que violan el art. 24.2 de la Constitución. Por providencia de la Sección Primera de este Tribunal Constitucional de 22 de septiembre de 1983 se acordó admitir la demanda de amparo interpuesta, requerir el envío de las actuaciones y solicitar el emplazamiento de los que fueron parte en el proceso precedente. Se acordó asimismo abrir la pieza de suspensión. Tras oír al Ministerio Fiscal y al recurrente, la Sala Primera del Tribunal Constitucional denegó la suspensión por Auto de 8 de noviembre de 1983. Se recibieron las actuaciones pedidas sin que compareciese ninguna otra persona.</w:t>
      </w:r>
    </w:p>
    <w:p w:rsidR="001C705E" w:rsidRDefault="001C705E" w:rsidP="001C705E">
      <w:pPr>
        <w:pStyle w:val="TextoNormal"/>
      </w:pPr>
    </w:p>
    <w:p w:rsidR="001C705E" w:rsidRDefault="001C705E" w:rsidP="001C705E">
      <w:pPr>
        <w:pStyle w:val="TextoNormal"/>
      </w:pPr>
      <w:r w:rsidRPr="001C705E">
        <w:rPr>
          <w:rStyle w:val="NumeroAFNegritaCaracter"/>
        </w:rPr>
        <w:t>3</w:t>
      </w:r>
      <w:r>
        <w:t>. Por providencia de 1 de febrero de 1984 la Sección Primera de este Tribunal acordó conceder un plazo común de veinte días al Ministerio Fiscal y al recurrente para que alegasen lo que conviniere a su derecho.</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4</w:t>
      </w:r>
      <w:r>
        <w:t>. En el plazo concedido el Ministerio Fiscal alegó en síntesis que la cuestión planteada consiste en determinar si hubo una mínima actividad probatoria que pueda estimarse de cargo, que en este caso iría dirigida a probar que el recurrente era el propietario del perro causante de los daños. Entiende el Ministerio Fiscal que esa actividad se dio, ya que existen dos informes de la Guardia Civil de los que resulta que puede considerarse al recurrente propietario del animal. Especialmente significativo es el segundo informe, en que se recoge el hecho de que el condenado llevó al perro a una perrera de una localidad vecina. Ante la Guardia Civil declaró el dueño de la perrera que el condenado le había llevado el animal sin aludir para nada a los daños causados por aquél y de esta declaración se ratificó ante el Juez. Por todo ello, los datos recogidos en la investigación son suficientes para que el Juez pudiera formar su convicción de que el perro causante de los daños era propiedad del recurrente, por lo que no puede decirse que se haya vulnerado la presunción de inocencia. Concluye pidiendo la desestimación del recurso.</w:t>
      </w:r>
    </w:p>
    <w:p w:rsidR="001C705E" w:rsidRDefault="001C705E" w:rsidP="001C705E">
      <w:pPr>
        <w:pStyle w:val="TextoNormal"/>
      </w:pPr>
    </w:p>
    <w:p w:rsidR="001C705E" w:rsidRDefault="001C705E" w:rsidP="001C705E">
      <w:pPr>
        <w:pStyle w:val="TextoNormal"/>
      </w:pPr>
      <w:r w:rsidRPr="001C705E">
        <w:rPr>
          <w:rStyle w:val="NumeroAFNegritaCaracter"/>
        </w:rPr>
        <w:t>5</w:t>
      </w:r>
      <w:r>
        <w:t>. También en el plazo otorgado formuló sus alegaciones la representación del recurrente, que se ratificó en lo expuesto en la demanda y reiteró la solicitud de amparo.</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 la Sala Primera de 13 de febrero de 1985, se señaló el día 20 de febrero del presente año para deliberación y fallo.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recurrente impugna la Sentencia del Juzgado de Distrito que le condenó como autor de una falta tipificada en el art. 600 en relación con el 582.2 del Código Penal y la del Juzgado de Instrucción que la confirmó en apelación, porque ambas resoluciones judiciales habían vulnerado el derecho a la presunción de inocencia consagrado en el art. 24.2 de la Constitución. Los hechos que motivan el recurso son, en síntesis, que a raíz de los daños causados en un rebaño de ovejas por dos perros, uno de ellos fue identificado por el dueño del rebaño, y las Sentencias impugnadas consideran probado que su propietario era el recurrente, por lo que éste fue condenado con arreglo a los citados preceptos del Código Penal, por no haber actuado con la debida diligencia al haber dejado suelto al animal y en disposición de causar mal, sin haber previsto el resultado dañoso y habiendo podido evitarlo, de haber obrado con la precaución adecuada. La presunción de inocencia puede ser invocada en este caso, ya que se atribuye a una persona una condición, la de propietario de un animal causante de un daño, que de estimarse probada acarrearía su responsabilidad penal con arreglo a los preceptos del Código Penal antes citados.</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Como reiteradas veces ha dicho este Tribunal a partir de la Sentencia 31/1981 de 13 de agosto, la presunción de inocencia queda desvirtuada únicamente si existe una mínima actividad probatoria de cargo que permita al Juzgador valorarla en conciencia de acuerdo con el principio de libre apreciación de la prueba recogido en el art. 741 de la Ley de Enjuiciamiento Criminal. En este caso, del examen de las actuaciones resulta que se practicó una amplia actividad probatoria dada la índole del caso, con diversas investigaciones de la Guardia Civil, que culminaron en el descubrimiento de que uno de los perros causantes del daño fue hallado e identificado en una perrera de Guadalupe, pueblo cercano a aquel en que tuvieron lugar los hechos.  De la declaración del dueño de la perrera, prestada ante la </w:t>
      </w:r>
      <w:r>
        <w:lastRenderedPageBreak/>
        <w:t>Guardia Civil y ratificada ante el Juez, aparece que el recurrente le entregó el citado animal después de producirse los daños, sin decirle nada de lo ocurrido. Este hecho se hace figurar en el primer considerando de la Sentencia del Juez de Instrucción como elemento decisivo para acreditar la propiedad del perro, sin que lo desvirtúe la explicación que da el recurrente en la demanda de amparo de que fue conminado desde el principio a que tuviese en su poder al perro «hasta que esto se aclare», pues no dice quién le conminó, ni con qué autoridad, ni aparecen tales datos en autos, ni concuerda con la declaración del dueño de la perrera de que el recurrente no le explicó nada de lo ocurrido. Todo ello, con el resultado del resto de las investigaciones practicadas, permite afirmar que existió en este caso el mínimo de actividad probatoria de cargo, exigido por nuestra jurisprudencia, para desvirtuar la presunción de inocencia y no se dio, por tanto, la vulneración del art. 24.2 de la Constitución.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veintidós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29" w:name="SENTENCIA_1985_26"/>
      <w:r>
        <w:lastRenderedPageBreak/>
        <w:t>SENTENCIA 26/1985, de 22 de febrero de 1985</w:t>
      </w:r>
    </w:p>
    <w:bookmarkEnd w:id="29"/>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ECLI:ES:TC:1985:26</w:t>
      </w:r>
    </w:p>
    <w:p w:rsidR="001C705E" w:rsidRDefault="001C705E" w:rsidP="001C705E">
      <w:pPr>
        <w:pStyle w:val="SntesisDescriptiva"/>
      </w:pPr>
    </w:p>
    <w:p w:rsidR="001C705E" w:rsidRDefault="001C705E" w:rsidP="001C705E">
      <w:pPr>
        <w:pStyle w:val="SntesisDescriptiva"/>
      </w:pPr>
      <w:r>
        <w:t>Recurso de inconstitucionalidad 208/1984. Promovido por el Defensor del Pueblo contra el inciso "más representativas, de conformidad con la disposición adicional sexta de la Ley 8/1980 de 10 de marzo, del Estatuto de los Trabajadores...", contenido en la sección 19, servicio 01, Ministerio y Subsecretaría, Programa 132, de la Ley 44/1983, de 28 de diciembre, de Presupuestos Generales del Estado para 1984</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Se reitera la doctrina de la STC 20/1985, de 14 de febrero.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inconstitucionalidad núm. 208/1984, promovido por el Defensor del Pueblo, contra el inciso «más representativas, de conformidad con la disposición adicional sexta de la Ley 8/1980, de 10 de marzo, del Estatuto de los Trabajadores», contenido en la Sección 19, Servicio 01, Ministerio y Subsecretaría, Programa 132, de la Ley 44/1983, de 28 de diciembre, de Presupuestos Generales del Estado para 1984, publicada en el «Boletín Oficial del Estado» de 30 de diciembre. Ha sido parte el Gobierno de la Nación, representado por el Abogado del Estado, y Ponente el Magistrado don Jerónimo Arozamena Sierra,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En 28 de marzo de 1984 el Defensor del Pueblo, en ejercicio de la legitimación conferida por los arts. 162.1 de la Constitución, 32.1 de la Ley Orgánica del Tribunal Constitucional (LOTC), y 29 de la Ley Orgánica del Defensor del Pueblo, interpone recurso de </w:t>
      </w:r>
      <w:r>
        <w:lastRenderedPageBreak/>
        <w:t>inconstitucionalidad contra el inciso «más representativas, de conformidad con la disposición adicional sexta de la Ley 8/1980, de 10 de marzo, del Estatuto de los Trabajadores...», contenido en la Sección 19, Servicio 01, Ministerio y Subsecretaría, Programa 132, de la Ley 44/1983, de 28 de diciembre, de Presupuestos Generales del Estado para 1984, por estimar que el mismo vulnera los arts. 28.1, 7 y 14 de la Constitución, con la súplica de que se dicte en su día Sentencia por la que se declare la inconstitucionalidad del mismo.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Como antecedentes de su recurso, el Defensor del Pueblo se refiere a la Ley 44/1982, de 26 de diciembre, de Presupuestos Generales del Estado para 1982, y a las diversas vicisitudes a que dio lugar su aplicación, incluidas las Sentencias de la Sección 1.ª de lo Contencioso-Administrativo de la Audiencia Nacional de 16 de octubre de 1982 y del Tribunal Supremo de 28 de febrero de 1983, posteriormente revocada por el Tribunal Constitucional en Sentencia número 102/1983, de 18 de noviembre, referente a los recursos de amparo acumulados 202 y 22 de 1983, promovidos por la Unión General de Trabajadores (UGT) y Confederación Sindical de Comisiones Obreras (CC. OO.), al entender que la falta de emplazamiento de ambas centrales vulneraba el art. 24.1 de la Constitución española, por lo que, sin pronunciarse sobre el fondo del asunto, ordenó retrotraer las actuaciones al momento inmediato posterior al de recepción del expediente por la Audiencia Nacional. </w:t>
      </w:r>
    </w:p>
    <w:p w:rsidR="001C705E" w:rsidRDefault="001C705E" w:rsidP="001C705E">
      <w:pPr>
        <w:pStyle w:val="TextoNormal"/>
      </w:pPr>
      <w:r>
        <w:t xml:space="preserve">La Ley de 28 de diciembre de 1983, de Presupuestos Generales del Estado para el año 1984, establece una subvención de 976 millones de pesetas, dentro de la Sección 19, Servicio 01, Ministerio y Subsecretaría, Programa 132, redactada en los siguientes términos: </w:t>
      </w:r>
    </w:p>
    <w:p w:rsidR="001C705E" w:rsidRDefault="001C705E" w:rsidP="001C705E">
      <w:pPr>
        <w:pStyle w:val="TextoNormal"/>
      </w:pPr>
      <w:r>
        <w:t>«A las Centrales Sindicales más representativas, de conformidad con la disposición adicional sexta de la Ley 8/1980, de 10 de marzo, del Estatuto de los Trabajadores, en proporción a su representatividad, según los resultados globales a que hace referencia el art. 75.5 de dicha Ley, para la realización de actividades socio-culturales, promoción de los trabajadores, organización de actividades de carácter formativo y otros, dentro de los fines propios de aquéllas.»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Los Fundamentos de Derecho del recurso son los siguientes: </w:t>
      </w:r>
    </w:p>
    <w:p w:rsidR="001C705E" w:rsidRDefault="001C705E" w:rsidP="001C705E">
      <w:pPr>
        <w:pStyle w:val="TextoNormal"/>
      </w:pPr>
      <w:r>
        <w:t xml:space="preserve">a) El Defensor del Pueblo parte de que el principio de igualdad -art. 14 de la Constitución- y la libertad sindical -art. 28.1 -, que estima vulnerados, no sólo son nociones inseparables sino términos recíprocamente referibles, citando en apoyo de esta tesis las Sentencias del Tribunal Constitucional 65/1982 y 23/1983, así como la dictada por la Sala Segunda el 16 de noviembre de 1983 en el recurso de amparo núm. 251/1982. </w:t>
      </w:r>
    </w:p>
    <w:p w:rsidR="001C705E" w:rsidRDefault="001C705E" w:rsidP="001C705E">
      <w:pPr>
        <w:pStyle w:val="TextoNormal"/>
      </w:pPr>
      <w:r>
        <w:t xml:space="preserve">b) A continuación, el escrito se refiere al principio de igualdad ante la Ley, efectuando diversas consideraciones acerca del alcance del mismo de acuerdo con la doctrina sentada por este Tribunal en sus Sentencias de 2 de julio, 10 y 16 de noviembre, todas ellas de 1981, y de 26 de febrero de 1982, indicando que en este mismo sentido es necesario tener en cuenta las Sentencias de la Sección 1.ª de la Audiencia Nacional de 16 de octubre de 1982 y del Tribunal Supremo de 28 de febrero de 1983, antes mencionadas. </w:t>
      </w:r>
    </w:p>
    <w:p w:rsidR="001C705E" w:rsidRDefault="001C705E" w:rsidP="001C705E">
      <w:pPr>
        <w:pStyle w:val="TextoNormal"/>
      </w:pPr>
      <w:r>
        <w:t xml:space="preserve">c) La libertad sindical es objeto de consideración, seguidamente, poniendo de manifiesto que se encuentra consagrada en los artículos 7 y 28.1 de la Constitución, estimando que el segundo posee vis absorbente o integradora respecto del primero, conclusión que apoya en el Convenio 87 de la OIT, para concluir que ambos preceptos han de gozar de la protección reforzada establecida por el art. 53.1 y 2, de la Constitución. Después de aludir al art. 9.2 de la Constitución -en cuanto se refiere a la libertad e igualdad real y efectiva-, cuyo contenido confluye a su juicio con los arts. 3, 8.2 y 11 del citado Convenio 87, el </w:t>
      </w:r>
      <w:r>
        <w:lastRenderedPageBreak/>
        <w:t xml:space="preserve">Defensor del Pueblo pone de manifiesto que la Constitución formula un amplísimo reconocimiento de la libertad sindical, constituyéndola en fuente de todos los derechos de significación colectiva en el ámbito de relaciones laborales, de forma tal que comprende dos derechos subjetivos, el de libertad sindical individual y el de libertad sindical colectiva; por último, efectúa diversas consideraciones acerca de la libertad sindical, a partir de los Convenios internacionales y de las Sentencias del Tribunal 23/1983, de 25 de marzo, y 37/1983, de 11 de mayo. </w:t>
      </w:r>
    </w:p>
    <w:p w:rsidR="001C705E" w:rsidRDefault="001C705E" w:rsidP="001C705E">
      <w:pPr>
        <w:pStyle w:val="TextoNormal"/>
      </w:pPr>
      <w:r>
        <w:t xml:space="preserve">d) En función de las consideraciones anteriores el problema que se plantea en el recurso, según indica el Defensor del Pueblo, es doble: En primer lugar, el relativo a si la diferencia de trato establecida en la Ley 9/1983, por la que las Centrales Sindicales que no sean las «más representativas» quedan excluidas de la percepción de la subvención consignada, tiene una justificación suficiente que la libere de un carácter discriminatorio; y en segundo término, si la diferencia de trato establecida por el legislador vulnera derechos y libertades reconocidos en la Constitución, y, en concreto, el de libertad sindical proclamado en el art. 28.1 de la misma. Si bien, con carácter previo al examen de ambas cuestiones, el Defensor del Pueblo sostiene que la disposición adicional sexta del Estatuto de los Trabajadores no es, de ninguna manera, habilitante para aplicarla a distintos supuestos de los contemplados en la misma, citando en apoyo de su tesis las Sentencias 53/1982 y 65/1982. </w:t>
      </w:r>
    </w:p>
    <w:p w:rsidR="001C705E" w:rsidRDefault="001C705E" w:rsidP="001C705E">
      <w:pPr>
        <w:pStyle w:val="TextoNormal"/>
      </w:pPr>
      <w:r>
        <w:t xml:space="preserve">e) En cuanto a la primera cuestión formulada, el Defensor del Pueblo se refiere a los supuestos en que es posible otorgar a las organizaciones sindicales «más representativas» determinados privilegios o ventajas, sin que ello produzca discriminación en relación con las demás organizaciones sindicales. Después de aludir a la Sentencia 52/1982 del Tribunal Constitucional, y a diversas decisiones del Comité de Libertad Sindical del Consejo de Administración de la OIT, sostiene que no hay ninguna conexión lógica (de causa a efecto) entre la finalidad de la disposición adicional sexta del Estatuto de los Trabajadores y la finalidad de la subvención; que la concesión de una subvención económica a favor de determinadas Centrales Sindicales, y no a otras, incide frontalmente en el derecho de libertad sindical, en cuanto canaliza, predispone, estimula y promueve la elección por parte del trabajador de aquellas Centrales Sindicales que por gozar de un apoyo financiero están en condiciones de ofrecer mejores prestaciones asistenciales y servicios de defensa; y, por último, que la concesión por los poderes públicos de ventajas o privilegios a unos sindicatos en detrimento de otros, siempre que sobrepase los supuestos de una prioridad en materia de representación, afecta a la libertad sindical, y, desde luego, en ninguna norma o texto de la OIT, ni del Comité de Libertad Sindical, se justifica la concesión de ventajas económicas a unos sindicatos en contra de otros que ejercen legítimamente sus funciones. </w:t>
      </w:r>
    </w:p>
    <w:p w:rsidR="001C705E" w:rsidRDefault="001C705E" w:rsidP="001C705E">
      <w:pPr>
        <w:pStyle w:val="TextoNormal"/>
      </w:pPr>
      <w:r>
        <w:t xml:space="preserve">f) Antes de sentar las conclusiones a que llega, el Defensor del Pueblo analiza las consecuencias reales de la aplicación del texto legal impugnado, en relación con los resultados de las últimas elecciones sindicales celebradas, para sostener que la consecuencia esencial de la diferencia de trato es que las Centrales u organizaciones sindicales que estén desarrollando legítimamente funciones sindicales representativas, que han obtenido suficiente número de representantes sindicales para participar en negociaciones de convenios colectivos en ámbitos provinciales e, incluso, nacionales (en cumplimiento del art. 87 del Estatuto de los Trabajadores), en determinadas ramas de la producción, son excluidas de la subvención consignada de los fondos públicos, encontrándose las Centrales Sindicales minoritarias con mayores dificultades para realizar actividades que son consideradas dignas de interés por el legislador y merecedoras de apoyo económico, disfavor que afecta a todo el sector laboral que no está representado por las Centrales Sindicales favorecidas por la subvención. Tal disfavor, más allá de su significación económica, afecta al valor del </w:t>
      </w:r>
      <w:r>
        <w:lastRenderedPageBreak/>
        <w:t>pluralismo que consagra la Constitución, cuya defensa obliga a que se otorgue un trato equitativo a la pluralidad de organizaciones existentes, y se conculca cuando se dificulten las condiciones de ejercicio de sus derechos a las minorías, privilegiando a las mayorías; es más, el art. 9.3 de la Constitución impone a los Poderes Públicos el deber de promover las condiciones para que la igualdad sea real y efectiva.</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En virtud de los fundamentos anteriores, y como conclusión de los mismos, el Defensor del Pueblo entiende que en el caso examinado: </w:t>
      </w:r>
    </w:p>
    <w:p w:rsidR="001C705E" w:rsidRDefault="001C705E" w:rsidP="001C705E">
      <w:pPr>
        <w:pStyle w:val="TextoNormal"/>
      </w:pPr>
      <w:r>
        <w:t xml:space="preserve">a) Se ha concedido a las Organizaciones Sindicales más representativas «privilegios que exceden de una prioridad en materia de representación en las negociaciones colectivas, consultas con los Gobiernos o incluso en materia de designación de los Delegados ante Organismos Internacionales» (informe 36, caso 190, párrafo 193). </w:t>
      </w:r>
    </w:p>
    <w:p w:rsidR="001C705E" w:rsidRDefault="001C705E" w:rsidP="001C705E">
      <w:pPr>
        <w:pStyle w:val="TextoNormal"/>
      </w:pPr>
      <w:r>
        <w:t xml:space="preserve">b) La concesión de un beneficio económico con destino a ciertos Sindicatos y con exclusión de todos los demás genera un indiscutible trato de favor que, por otra parte, vulnera «el derecho a que la Administración no se injiera o interfiera en la actividad de las organizaciones sindicales y a no ser éstas discriminadas entre sí por parte de aquélla de modo arbitrario o irrazonable» (Sentencia del Tribunal Constitucional 23/1983, de 25 de marzo, en recurso de amparo número 88/1982 y 16 de noviembre de 1983, en recurso de amparo número 251/1982). </w:t>
      </w:r>
    </w:p>
    <w:p w:rsidR="001C705E" w:rsidRDefault="001C705E" w:rsidP="001C705E">
      <w:pPr>
        <w:pStyle w:val="TextoNormal"/>
      </w:pPr>
      <w:r>
        <w:t xml:space="preserve">c) El trato de favor así legalizado, en tanto en cuanto sitúa a ciertas Centrales Sindicales en una situación de privilegio dentro del universo sindical de referencia, engendra una desigualdad jurídica y, de hecho, de innegable relevancia. </w:t>
      </w:r>
    </w:p>
    <w:p w:rsidR="001C705E" w:rsidRDefault="001C705E" w:rsidP="001C705E">
      <w:pPr>
        <w:pStyle w:val="TextoNormal"/>
      </w:pPr>
      <w:r>
        <w:t xml:space="preserve">d) La ventaja otorgada a las Centrales Sindicales «más representativas» no tiene una justificación objetiva y razonable, y no se funda en «elementos que no ofrezcan posibilidad de parcialidad o abuso», al quedar excluidas de la ayuda económica de los fondos públicos organizaciones sindicales que están cumpliendo legítimamente sus funciones propias como Sindicatos. </w:t>
      </w:r>
    </w:p>
    <w:p w:rsidR="001C705E" w:rsidRDefault="001C705E" w:rsidP="001C705E">
      <w:pPr>
        <w:pStyle w:val="TextoNormal"/>
      </w:pPr>
      <w:r>
        <w:t xml:space="preserve">e) El disfavor con que la Ley de Presupuestos Generales del Estado para 1984 trata a las Organizaciones Sindicales no mayoritarias es contrario al deber impuesto a los poderes públicos en el art. 9.2 de la Constitución de promover las condiciones para que la libertad y la igualdad del individuo y de los grupos en que se integra sean reales y efectivas». </w:t>
      </w:r>
    </w:p>
    <w:p w:rsidR="001C705E" w:rsidRDefault="001C705E" w:rsidP="001C705E">
      <w:pPr>
        <w:pStyle w:val="TextoNormal"/>
      </w:pPr>
      <w:r>
        <w:t>f) La exclusión de la ventaja otorgada a las Centrales Sindicales «más representativas» al resto de los Sindicatos, que ejercen sus funciones legítimamente, pone en peligro derechos esenciales comprendidos en la libertad sindical, como los de libre afiliación, derecho de no sindicación y derecho de fundación de sindicatos, pues puede conllevar una indirecta presión en el ejercicio de los derechos sindicales por parte de los poderes públicos y puede conducir a una orientación de la afiliación hacia los Sindicatos no excluidos.</w:t>
      </w:r>
    </w:p>
    <w:p w:rsidR="001C705E" w:rsidRDefault="001C705E" w:rsidP="001C705E">
      <w:pPr>
        <w:pStyle w:val="TextoNormal"/>
      </w:pPr>
    </w:p>
    <w:p w:rsidR="001C705E" w:rsidRDefault="001C705E" w:rsidP="001C705E">
      <w:pPr>
        <w:pStyle w:val="TextoNormal"/>
      </w:pPr>
      <w:r w:rsidRPr="001C705E">
        <w:rPr>
          <w:rStyle w:val="NumeroAFNegritaCaracter"/>
        </w:rPr>
        <w:t>5</w:t>
      </w:r>
      <w:r>
        <w:t>. En otrosí a su escrito de interposición, el Defensor del Pueblo solicitó la acumulación del presente recurso de inconstitucionalidad al de igual clase interpuesto por él mismo el 14 de octubre de 1983 contra el inciso «más representativas, de conformidad con la disposición adicional sexta de la Ley 8/1980, de 10 de marzo, del Estatuto de los Trabajadores...», contenido en el anexo III, Sección 19, de la Ley 9/1983, de Presupuestos Generales del Estado para 1983. Dicho recurso aparece registrado en este Tribunal con el número 687/1983.</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6</w:t>
      </w:r>
      <w:r>
        <w:t>. Por providencia de la Sección Tercera de 4 de abril de 1984 se admitió a trámite el recurso acordándose los traslados que previene el artículo 34.1 de la Ley Orgánica del Tribunal Constitucional (LOTC), así como la publicación de la incoación en el «Boletín Oficial del Estado». El Senado y el Congreso de los Diputados, mediante escritos de sus Presidentes de 10 y 11 de abril de 1984, respectivamente, comunicaron al Tribunal la personación del Senado en el procedimiento y por ofrecida su colaboración a los efectos del art. 88.1 de la LOTC y que el Congreso no hará uso de las facultades de personación ni de formulación de alegaciones, si bien pone a disposición del Tribunal las actuaciones de la Cámara que pueda precisar.</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Por escrito de 27 de abril de 1984, el Abogado del Estado se persona en el procedimiento en nombre del Gobierno y formula alegaciones solicitando que en su día el Tribunal dicte Sentencia por la que se desestime la demanda. </w:t>
      </w:r>
    </w:p>
    <w:p w:rsidR="001C705E" w:rsidRDefault="001C705E" w:rsidP="001C705E">
      <w:pPr>
        <w:pStyle w:val="TextoNormal"/>
      </w:pPr>
      <w:r>
        <w:t xml:space="preserve">En su escrito, el Abogado del Estado manifiesta que, dado que los términos del recurso son prácticamente idénticos al del promovido por el Defensor del Pueblo contra la Ley 9/1983, de 13 de julio, da por reproducidas, en aras de la brevedad, las razones esgrimidas en el escrito de alegaciones que formuló en tal proceso. </w:t>
      </w:r>
    </w:p>
    <w:p w:rsidR="001C705E" w:rsidRDefault="001C705E" w:rsidP="001C705E">
      <w:pPr>
        <w:pStyle w:val="TextoNormal"/>
      </w:pPr>
      <w:r>
        <w:t>Añade la representación del Gobierno que la única variante de redacción que ha apreciado en el presente recurso respecto del promovido contra los preceptos del ejercicio anterior, estriba en la cita que hace la demanda de la Sentencia de 16 de noviembre de 1983 dictada en el recurso de amparo 251/1982. El Abogado del Estado dice que la Sentencia referida no da por supuesto que cualquier tratamiento desigual dispensado a los Sindicatos equivale a una lesión del principio de libertad sindical, pues la «cesión» de locales a unas Centrales Sindicales para el ejercicio de funciones que les son propias no puede considerarse atentatoria a la libertad sindical al no suponer injerencia alguna de la Administración. A juicio del Abogado del Estado, dicha Sentencia viene a confirmar el interés público que late en la institución constitucional de los Sindicatos, y la legitimidad de medidas de fomento que siendo iguales para todos tiendan a conseguir precisamente la fortaleza de unas organizaciones a las que la Constitución ha colocado en una posición singularmente privilegiada.</w:t>
      </w:r>
    </w:p>
    <w:p w:rsidR="001C705E" w:rsidRDefault="001C705E" w:rsidP="001C705E">
      <w:pPr>
        <w:pStyle w:val="TextoNormal"/>
      </w:pPr>
    </w:p>
    <w:p w:rsidR="001C705E" w:rsidRDefault="001C705E" w:rsidP="001C705E">
      <w:pPr>
        <w:pStyle w:val="TextoNormal"/>
      </w:pPr>
      <w:r w:rsidRPr="001C705E">
        <w:rPr>
          <w:rStyle w:val="NumeroAFNegritaCaracter"/>
        </w:rPr>
        <w:t>8</w:t>
      </w:r>
      <w:r>
        <w:t>. Por providencia del Pleno de este Tribunal del día 7 de febrero ultimo se señaló para deliberación y fallo el día 21 del mismo.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Sentencia de este Tribunal del día 14 del actual mes de febrero ha declarado inconstitucional el inciso «más representativas, de conformidad con la disposición adicional sexta de la Ley 8/1980, de 10 de marzo, del Estatuto de los Trabajadores», contenido en la Sección 19, Servicio 01, capítulo 04, artículo 48, concepto 483, del Estado de Gastos de los Presupuestos Generales del Estado para el ejercicio de 1983, aprobados por la Ley 9/1983, de 13 de julio. El presente recurso de inconstitucionalidad, promovido también por el Defensor del Pueblo, se dirige respecto de igual inciso de la Ley 44/1983, de los Presupuestos Generales del Estado para 1984, por estimar -igual que en el proceso precedente- que vulnera los arts. 28.1, 7 y 14 de la Constitución. El desarrollo de la fundamentación de la impugnación y la argumentación que opone el Abogado del Estado, en nom</w:t>
      </w:r>
      <w:r>
        <w:lastRenderedPageBreak/>
        <w:t>bre del Gobierno de la Nación, único que ha comparecido en defensa de la Ley, son coincidentes, hasta el punto de que el Abogado del Estado ha dicho que, dado que los términos del recurso son prácticamente idénticos al del promovido por el Defensor del Pueblo contra la Ley 9/1983, de 13 de julio, da por reproducidas las razones esgrimidas en el escrito de alegaciones que formuló en tal proceso.</w:t>
      </w:r>
    </w:p>
    <w:p w:rsidR="001C705E" w:rsidRDefault="001C705E" w:rsidP="001C705E">
      <w:pPr>
        <w:pStyle w:val="TextoNormal"/>
      </w:pPr>
    </w:p>
    <w:p w:rsidR="001C705E" w:rsidRDefault="001C705E" w:rsidP="001C705E">
      <w:pPr>
        <w:pStyle w:val="TextoNormal"/>
      </w:pPr>
      <w:r w:rsidRPr="001C705E">
        <w:rPr>
          <w:rStyle w:val="NumeroAFNegritaCaracter"/>
        </w:rPr>
        <w:t>2</w:t>
      </w:r>
      <w:r>
        <w:t>. La identidad de supuestos hace trasladable a este lugar las razones que dimos en la mencionada Sentencia y es la misma solución la que tenemos que adoptar en este caso. Se afirmó entonces «que el derecho a la libertad sindical comprende el derecho de las organizaciones sindicales a no ser tratadas de forma discriminatoria por los poderes públicos, discriminación que se produce cuando la desigualdad está desprovista de una justificación objetiva y razonable, que debe apreciarse en relación a la finalidad y efectos de la medida considerada, debiendo darse una relación razonable de proporcionalidad entre los medios empleados y la finalidad perseguida». Se dijo entonces que «la finalidad de la norma impugnada es la de ayudar a la consecución de los fines sindicales de acuerdo con un sistema de lista abierto, que no excluye por ello la finalidad de defensa, pero que pone el acento en los fines de promoción -que cita expresamente- dentro de los cuales han de incluirse las actividades socioculturales y de formación, si partimos, como es obligado, de la distinción que efectúa el art. 7 de la Constitución entre defensa y promoción de intereses». Partiendo de estas consideraciones «y estando confiada la consecución de tales fines por la Constitución a todos los Sindicatos, sin distinción alguna de carácter expreso, corresponde a los órganos del Estado demandados en el proceso constitucional la carga de ofrecer la justificación que posee el diferente tratamiento». Ni en aquel proceso ni en éste se ha ofrecido una justificación de este distinto tratamiento, a lo que se añade, como decíamos en la aludida Sentencia, que «la subvención de que se trata incidirá en el orden competitivo entre los Sindicatos, al ir dirigida en exclusiva a los situados en el vértice de los que han obtenido mejores resultados en las elecciones, con lo cual se les situará en una posición superior a los demás para ofrecer mejores servicios a los trabajadores, más allá de los medios de que dispongan y de cualquier criterio que tome en consideración la proporcionalidad de los resultados de las elecciones, o los costes que puede suponerles la participación en el ejercicio de funciones públicas, o cualquier otro extremo que se justifique como no discriminatorio; con lo cual se puede producir además una inducción o presión indirecta para la afiliación de los trabajadores a determinados Sindicatos». La vulneración de la libertad sindical -artículo 28.1 en conexión con el artículo 7 de la Constitución- justificó entonces, y justifica ahora por iguales razones, una declaración de inconstitucionalidad en los términos postulados por el Defensor del Pueblo.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Estimar el recurso de inconstitucionalidad y, en consecuencia, declarar la inconstitucionalidad y nulidad del inciso «más representativas, de conformidad con la disposición adicional sexta de la Ley 8/1980, de 10 de marzo, del Estatuto de los Trabajadores», con</w:t>
      </w:r>
      <w:r>
        <w:lastRenderedPageBreak/>
        <w:t>tenido en la Sección 19, Servicio 01, Programa 132, de la Ley 44/1983, de 28 de diciembre, de Presupuestos Generales del Estado para 1984.</w:t>
      </w:r>
    </w:p>
    <w:p w:rsidR="001C705E" w:rsidRDefault="001C705E" w:rsidP="001C705E">
      <w:pPr>
        <w:pStyle w:val="TextoNormal"/>
      </w:pPr>
    </w:p>
    <w:p w:rsidR="001C705E" w:rsidRDefault="001C705E" w:rsidP="001C705E">
      <w:pPr>
        <w:pStyle w:val="TextoNormal"/>
      </w:pPr>
      <w:r>
        <w:t>Publíquese en el «Boletín Oficial del Estado».</w:t>
      </w:r>
    </w:p>
    <w:p w:rsidR="001C705E" w:rsidRDefault="001C705E" w:rsidP="001C705E">
      <w:pPr>
        <w:pStyle w:val="TextoNormal"/>
      </w:pPr>
      <w:r>
        <w:t>Dada en Madrid, a veintidós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0" w:name="SENTENCIA_1985_27"/>
      <w:r>
        <w:lastRenderedPageBreak/>
        <w:t>SENTENCIA 27/1985, de 26 de febrero de 1985</w:t>
      </w:r>
    </w:p>
    <w:bookmarkEnd w:id="30"/>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ECLI:ES:TC:1985:27</w:t>
      </w:r>
    </w:p>
    <w:p w:rsidR="001C705E" w:rsidRDefault="001C705E" w:rsidP="001C705E">
      <w:pPr>
        <w:pStyle w:val="SntesisDescriptiva"/>
      </w:pPr>
    </w:p>
    <w:p w:rsidR="001C705E" w:rsidRDefault="001C705E" w:rsidP="001C705E">
      <w:pPr>
        <w:pStyle w:val="SntesisDescriptiva"/>
      </w:pPr>
      <w:r>
        <w:t>Cuestión de inconstitucionalidad 620/1984. En relación con el artículo 13.1 de la Ley Orgánica 9/1980, de 6 de noviembre, de Reforma del Código de Justicia Militar. Voto particular</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Se reitera la doctrina de la STC 76/1982, de 14 de diciembre. </w:t>
      </w:r>
    </w:p>
    <w:p w:rsidR="001C705E" w:rsidRDefault="001C705E" w:rsidP="001C705E">
      <w:pPr>
        <w:pStyle w:val="Extracto"/>
      </w:pPr>
    </w:p>
    <w:p w:rsidR="001C705E" w:rsidRDefault="001C705E" w:rsidP="001C705E">
      <w:pPr>
        <w:pStyle w:val="Extracto"/>
      </w:pPr>
      <w:r>
        <w:t>2.</w:t>
      </w:r>
      <w:r>
        <w:tab/>
        <w:t xml:space="preserve">La diferente posición del Ministerio Fiscal respecto de los condenados no puede justificar una desigualdad que implique disminución de los medios de defensa de la parte acusada frente a la acusación pública. </w:t>
      </w:r>
    </w:p>
    <w:p w:rsidR="001C705E" w:rsidRDefault="001C705E" w:rsidP="001C705E">
      <w:pPr>
        <w:pStyle w:val="Extracto"/>
      </w:pPr>
    </w:p>
    <w:p w:rsidR="001C705E" w:rsidRDefault="001C705E" w:rsidP="001C705E">
      <w:pPr>
        <w:pStyle w:val="Extracto"/>
      </w:pPr>
      <w:r>
        <w:t>3.</w:t>
      </w:r>
      <w:r>
        <w:tab/>
        <w:t xml:space="preserve">Dicha situación de desigualdad, que puede originar la indefensión de los acusados, se opone al art. 24 de la C.E., que exige que, una vez creado un recurso en el ordenamiento, esta garantía procesal haya de estar a disposición de todas las partes.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la cuestión de inconstitucionalidad núm. 620/1984, promovida por el Capitán General de la 5.ª Región Militar, en relación con el artículo 13.1 de la Ley Orgánica 9/1980, de 6 de noviembre, de Reforma del Código de Justicia Militar. Han comparecido el Abogado del Estado, en nombre y representación del Gobierno, y el Ministerio Fiscal, y ha sido Ponente la Magistrada doña Gloria Begué Cantón, quien expresa el parecer del Tribunal.</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En la causa ordinaria 372/1983, el Consejo de Guerra, reunido en Zaragoza el día 28 de febrero de 1984, dictó Sentencia, que fue elevada al Capitán General de la 5.ª Región Militar a los efectos del artículo 798 del Código de Justicia Militar (CJM), en la que, tras absolver al soldado Luis Cuesta Cabieces del delito de «insulto de palabra a fuerza armada», condena a los soldados José Chaterina Urquidi, Francisco Alemany Climent y Luis Cuesta Cabieces a la pena de diez meses de prisión, como autores responsables de un delito consumado de «ultrajes a la Bandera Nacional» en lugar militar. </w:t>
      </w:r>
    </w:p>
    <w:p w:rsidR="001C705E" w:rsidRDefault="001C705E" w:rsidP="001C705E">
      <w:pPr>
        <w:pStyle w:val="TextoNormal"/>
      </w:pPr>
      <w:r>
        <w:t>Notificada dicha Sentencia a las partes, el Letrado defensor de los en ella condenados formula recurso contra la misma a tenor de lo previsto en el art. 797 del CJM y, para el caso de que fuera desestimado, anuncia recurso de casación ante el Consejo Supremo de Justicia Militar. Por su parte, el Ministerio Fiscal no impugna la Sentencia en cuestión.</w:t>
      </w:r>
    </w:p>
    <w:p w:rsidR="001C705E" w:rsidRDefault="001C705E" w:rsidP="001C705E">
      <w:pPr>
        <w:pStyle w:val="TextoNormal"/>
      </w:pPr>
    </w:p>
    <w:p w:rsidR="001C705E" w:rsidRDefault="001C705E" w:rsidP="001C705E">
      <w:pPr>
        <w:pStyle w:val="TextoNormal"/>
      </w:pPr>
      <w:r w:rsidRPr="001C705E">
        <w:rPr>
          <w:rStyle w:val="NumeroAFNegritaCaracter"/>
        </w:rPr>
        <w:t>2</w:t>
      </w:r>
      <w:r>
        <w:t>. Por Decreto auditoriado núm. 1962, de 6 de junio de 1984, el Capitán General de la 5.ª Región Militar acuerda aprobar la Sentencia en lo que respecta a la absolución del soldado Luis Cuesta Cabieces y plantear, en ese momento procesal, cuestión de inconstitucionalidad del párrafo del art. 13.1 de la Ley Orgánica 9/1980, de 6 de noviembre, que dice así: «superior a tres años de duración en una de ellas o en la suma de varias de las impuestas a un mismo condenado». Al mismo tiempo, y en cumplimiento de lo dispuesto en el art. 36 de la Ley Orgánica del Tribunal Constitucional (LOTC), acuerda pasar previamente los Autos al Juzgado Togado Militar Permanente de Instrucción núm. 1, a fin de deducir testimonio de los autos principales y de las alegaciones deducidas por las partes condenadas y por el Ministerio Fiscal.</w:t>
      </w:r>
    </w:p>
    <w:p w:rsidR="001C705E" w:rsidRDefault="001C705E" w:rsidP="001C705E">
      <w:pPr>
        <w:pStyle w:val="TextoNormal"/>
      </w:pPr>
    </w:p>
    <w:p w:rsidR="001C705E" w:rsidRDefault="001C705E" w:rsidP="001C705E">
      <w:pPr>
        <w:pStyle w:val="TextoNormal"/>
      </w:pPr>
      <w:r w:rsidRPr="001C705E">
        <w:rPr>
          <w:rStyle w:val="NumeroAFNegritaCaracter"/>
        </w:rPr>
        <w:t>3</w:t>
      </w:r>
      <w:r>
        <w:t>. El Fiscal Jurídico Militar, en escrito de 19 de junio de 1984, entiende que existe una identidad esencial entre el supuesto sometido al Tribunal Constitucional que dio lugar a su Sentencia núm. 76/1982, de 14 de diciembre, y el supuesto a que se refiere el precepto legal cuya constitucionalidad se cuestiona, y que de la validez constitucional de este precepto depende, en definitiva, la decisión de la presente causa, por cuanto que la Sentencia dictada por el Consejo de Guerra habría de someterse al Capitán General en orden a su posible aprobación, en un caso, o al Consejo Supremo de Justicia Militar ante quien los condenados pretenden interponer recurso de casación, en el otro. Por ello, considera que procede informar favorablemente sobre la pertinencia de que se plantee la referida cuestión de inconstitucionalidad, entendiendo que el mencionado precepto legal puede ser contrario al art. 24.2 de la Constitución.</w:t>
      </w:r>
    </w:p>
    <w:p w:rsidR="001C705E" w:rsidRDefault="001C705E" w:rsidP="001C705E">
      <w:pPr>
        <w:pStyle w:val="TextoNormal"/>
      </w:pPr>
    </w:p>
    <w:p w:rsidR="001C705E" w:rsidRDefault="001C705E" w:rsidP="001C705E">
      <w:pPr>
        <w:pStyle w:val="TextoNormal"/>
      </w:pPr>
      <w:r w:rsidRPr="001C705E">
        <w:rPr>
          <w:rStyle w:val="NumeroAFNegritaCaracter"/>
        </w:rPr>
        <w:t>4</w:t>
      </w:r>
      <w:r>
        <w:t>. Por su parte, el Letrado Defensor en la mencionada causa, en escrito de 29 de junio de 1984, entiende también que debe plantearse en ese momento procesal la cuestión de inconstitucionalidad propuesta, en base a la doctrina sentada por el Tribunal Constitucional en su Sentencia de 14 de diciembre de 1982, que declaró inconstitucional análogo inciso del art. 14 de la misma Ley por vulneración del art. 24 de la Constitución, y con apoyo en el art. 14.5 del Pacto de Derechos Civiles y Políticos, de 16 de diciembre de 1966, según el cual «toda persona declarada culpable de un delito tendrá derecho a que el fallo condenatorio y la pena que se le haya impuesto sean sometidos a un Tribunal superior, conforme a lo prescrito por la Ley».</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5</w:t>
      </w:r>
      <w:r>
        <w:t>. Una vez cumplidos los trámites previos fijados en el art. 35.2 de la LOTC, el Capitán General de la 5.ª Región Militar, por escrito de 7 de agosto de 1984, al que, de conformidad con lo previsto en el art. 36 de la LOTC, acompaña testimonio de los Autos principales y de las alegaciones de la parte y del Ministerio Fiscal, plantea ante este Tribunal Constitucional cuestión de inconstitucionalidad del art. 13.1 de la Ley Orgánica de 6 de noviembre de 1980, de Reforma del Código de Justicia Militar, respecto al referido inciso.</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 7 de septiembre de 1984, la Sección 1.ª del Pleno de este Tribunal acuerda admitir a trámite la cuestión de inconstitucionalidad planteada, acusar recibo al Capitán General que la ha promovido y, de conformidad con el art. 37.2 de la LOTC, dar traslado de la misma al Congreso de los Diputados y al Senado, al Gobierno y al Fiscal General del Estado, a fin de que en el plazo común de quince días puedan personarse en el procedimiento y formular las alegaciones que estimen procedentes.</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El Abogado del Estado comienza su escrito de 18 de septiembre de 1984, recordando que todos los alegantes en el trámite previo al planteamiento de la presente cuestión de inconstitucionalidad han llamado la atención sobre la similitud entre la cuestión planteada en este proceso y la resuelta por el Pleno de este Tribunal en Sentencia 76/1982, de 14 de diciembre. </w:t>
      </w:r>
    </w:p>
    <w:p w:rsidR="001C705E" w:rsidRDefault="001C705E" w:rsidP="001C705E">
      <w:pPr>
        <w:pStyle w:val="TextoNormal"/>
      </w:pPr>
      <w:r>
        <w:t xml:space="preserve">No puede por menos de reconocerse efectivamente -señala- la similitud entre los arts. 13 y 14 de la Ley Orgánica 9/1980, de 6 de noviembre, de Reforma del Código de Justicia Militar, pues la única diferencia se encuentra en el distinto grado de los Tribunales a los que se aplica idéntica regla procesal, por lo que, habiendo sido declarada la inconstitucionalidad del art. 14 en inciso idéntico al que ahora se cuestiona, parece ociosa cualquier consideración al respecto. </w:t>
      </w:r>
    </w:p>
    <w:p w:rsidR="001C705E" w:rsidRDefault="001C705E" w:rsidP="001C705E">
      <w:pPr>
        <w:pStyle w:val="TextoNormal"/>
      </w:pPr>
      <w:r>
        <w:t xml:space="preserve">No obstante, el Abogado del Estado expone, a continuación, algunas reflexiones. A su juicio, el restablecimiento de una situación de igualdad entre ambas partes, que sirvió de base a la mencionada declaración de inconstitucionalidad, puede lograrse también suprimiendo el inciso «en todo caso» que sigue a la mención del Ministerio Fiscal y que atribuye a éste la posibilidad incondicionada de recurrir. </w:t>
      </w:r>
    </w:p>
    <w:p w:rsidR="001C705E" w:rsidRDefault="001C705E" w:rsidP="001C705E">
      <w:pPr>
        <w:pStyle w:val="TextoNormal"/>
      </w:pPr>
      <w:r>
        <w:t xml:space="preserve">En apoyo de esta tesis, el Abogado del Estado aduce que en el espíritu de la norma impugnada tiene una mayor significación el límite objetivo del recurso que la excepción que dispensa del mismo al Ministerio Fiscal, y que la supresión del párrafo cuya constitucionalidad se cuestiona no dejaría cerradas todas las diferencias entre el Ministerio Fiscal y los condenados, pues subsistirían para el caso en que la condena no implique privación de libertad. </w:t>
      </w:r>
    </w:p>
    <w:p w:rsidR="001C705E" w:rsidRDefault="001C705E" w:rsidP="001C705E">
      <w:pPr>
        <w:pStyle w:val="TextoNormal"/>
      </w:pPr>
      <w:r>
        <w:t>El Abogado del Estado reconoce, sin embargo, que, como ha afirmado este Tribunal, la vía de recurso es una garantía de las genéricamente aludidas en el art. 24.2 de la Constitución y que, consiguientemente, las normas que la regulan han de interpretarse en relación con el proceso penal en el sentido más favorable para el condenado, y, por otra parte, la simetría de los arts. 13 y 14 anteriormente mencionados obliga a una misma solución, pues, de otro modo, se produciría el resultado un tanto chocante de que el recurso de casación ante el Tribunal Supremo estaría sujeto a límites más amplios que los aplicables al mismo recurso cuando es deducido ante el Consejo Supremo de Justicia Militar.</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8</w:t>
      </w:r>
      <w:r>
        <w:t xml:space="preserve">. El Ministerio Fiscal, en su escrito de 24 de septiembre de 1984, señala que en varias ocasiones se ha hecho referencia, en los Autos de los que deriva la presente cuestión de inconstitucionalidad, a la Sentencia de 14 de diciembre de 1982, dictada en la cuestión de inconstitucionalidad núm. 411/1982, en la que se declaró la inconstitucionalidad del art. 14 de la Ley Orgánica 9/1980, de 6 de noviembre, en cuanto al inciso «superiores a tres años, en una de ellas o en la suma de varias», por estimar el Tribunal Constitucional que se producía una diferencia de trato en perjuicio de los condenados en relación con el Ministerio Fiscal y, si bien el art. 24 de la Constitución no comprende el derecho a una instancia superior, tal instancia, por imperativo de lo establecido en el art. 14.5 del Pacto Internacional de Derechos Civiles y Políticos, es ineludible en el orden penal, siendo, a su vez, rechazables todos aquellos presupuestos impeditivos carentes de justificación razonable. </w:t>
      </w:r>
    </w:p>
    <w:p w:rsidR="001C705E" w:rsidRDefault="001C705E" w:rsidP="001C705E">
      <w:pPr>
        <w:pStyle w:val="TextoNormal"/>
      </w:pPr>
      <w:r>
        <w:t xml:space="preserve">En esta línea -añade- y en relación con el art. 13.1 de la mencionada Ley Orgánica, hoy cuestionado, el Ministerio Fiscal se ha pronunciado en dictamen de 2 de mayo de 1983, emitido en recurso de amparo 459/1982, y de 23 de julio de 1984, referido al recurso de amparo 372/1984, solicitando en ambos casos que, si se estimare el amparo, se elevase la cuestión al Pleno por la vía del art. 55.2 de la LOTC. Planteada hoy cuestión de inconstitucionalidad, no cabe otra cosa que instar se declare la inconstitucionalidad del artículo 13.1 en el inciso delimitado por la Autoridad Judicial Militar, por oponerse tanto al principio de igualdad, reconocido en el art. 14 de la Constitución, como al derecho a la tutela judicial efectiva que se consagra en el art. 24 de la Norma Fundamental. </w:t>
      </w:r>
    </w:p>
    <w:p w:rsidR="001C705E" w:rsidRDefault="001C705E" w:rsidP="001C705E">
      <w:pPr>
        <w:pStyle w:val="TextoNormal"/>
      </w:pPr>
      <w:r>
        <w:t>Sin perjuicio de ello, el Ministerio Fiscal sugiere que, a tenor del art. 39. 1 de la LOTC y por razones de economía procesal, se extienda la declaración de inconstitucionalidad al inciso final del art. 13.1 debatido, en cuanto, asimismo, impide el acceso a la casación en tanto la condena no comporte «separación del servicio como principal o accesoria», a fin de eliminar todo condicionamiento que suponga trato de disfavor para el condenado frente a la libre posibilidad de acceder a la casación que se reconoce al Ministerio Fiscal.</w:t>
      </w:r>
    </w:p>
    <w:p w:rsidR="001C705E" w:rsidRDefault="001C705E" w:rsidP="001C705E">
      <w:pPr>
        <w:pStyle w:val="TextoNormal"/>
      </w:pPr>
    </w:p>
    <w:p w:rsidR="001C705E" w:rsidRDefault="001C705E" w:rsidP="001C705E">
      <w:pPr>
        <w:pStyle w:val="TextoNormal"/>
      </w:pPr>
      <w:r w:rsidRPr="001C705E">
        <w:rPr>
          <w:rStyle w:val="NumeroAFNegritaCaracter"/>
        </w:rPr>
        <w:t>9</w:t>
      </w:r>
      <w:r>
        <w:t>. Por providencia de 14 de febrero de 1985, el Pleno del Tribunal acuerda fijar la fecha del 21 del mismo mes para la deliberación y votación de la presente Sentencia.</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De acuerdo con la legislación vigente, una vez dictada sentencia por el Consejo de Guerra, y elevada al Capitán General de la Quinta Región Militar, procede en el presente caso que esta Autoridad Judicial Militar se pronuncie sobre su aprobación (art.  798 del CJM), dado que no existe la posibilidad de que los interesados interpongan recurso de casación contra ella, pues la condena que les ha sido impuesta es de diez meses de prisión y, según se establece en el párrafo primero del art. 13 de la Ley Orgánica 9/1980, de 6 de noviembre, de Reforma del Código de Justicia Militar, «contra las sentencias de los Consejos de Guerra podrán interponerse recursos de casación ante la Justicia Militar por el Ministerio Fiscal jurídico-militar en todo caso, y por quienes hubieran sido condenados en la Sentencia si en ella se le hubiera impuesto al recurrente pena privativa de libertad superior a tres años de duración en una de ellas o en la suma de varias de las impuestas a un mismo condenado, o la separación del servicio como principal o accesoria».</w:t>
      </w:r>
    </w:p>
    <w:p w:rsidR="001C705E" w:rsidRDefault="001C705E" w:rsidP="001C705E">
      <w:pPr>
        <w:pStyle w:val="TextoNormal"/>
      </w:pPr>
      <w:r>
        <w:t xml:space="preserve">No obstante, el Capitán General, en el trámite procesal de «aprobación de sentencia», plantea ante este Tribunal cuestión de inconstitucionalidad en relación con el mencionado </w:t>
      </w:r>
      <w:r>
        <w:lastRenderedPageBreak/>
        <w:t>art. 13.1, dado que los condenados han anunciado recurso de casación ante el Juez instructor que conoció el procedimiento y, a su juicio, de acuerdo con la doctrina sentada por este Tribunal Constitucional en su Sentencia 76/1982, de 14 de diciembre (cuestión de inconstitucionalidad 411/1982), el inciso «superior a tres años de duración en una de ellas o en la suma de varias de las impuestas a un mismo condenado» pudiera ser contrario a la Constitución -lo que implicaría la suspensión de sus facultades y la remisión de los autos al Consejo Supremo de Justicia Militar-, postura compartida por el Fiscal jurídico-militar y el Letrado defensor de los condenados y, en el presente proceso, por el Abogado del Estado y el Ministerio Fiscal.</w:t>
      </w:r>
    </w:p>
    <w:p w:rsidR="001C705E" w:rsidRDefault="001C705E" w:rsidP="001C705E">
      <w:pPr>
        <w:pStyle w:val="TextoNormal"/>
      </w:pPr>
    </w:p>
    <w:p w:rsidR="001C705E" w:rsidRDefault="001C705E" w:rsidP="001C705E">
      <w:pPr>
        <w:pStyle w:val="TextoNormal"/>
      </w:pPr>
      <w:r w:rsidRPr="001C705E">
        <w:rPr>
          <w:rStyle w:val="NumeroAFNegritaCaracter"/>
        </w:rPr>
        <w:t>2</w:t>
      </w:r>
      <w:r>
        <w:t>. No cabe duda de que nos hallamos ante un supuesto sustancialmente idéntico al que dio lugar a la mencionada Sentencia y que las mismas razones que llevaron entonces a la inconstitucionalidad del inciso «superiores a tres años en una de ellas o en la suma de varias», contenido en el art. 14 de la Ley Orgánica 9/1980, conducen ahora a declarar la inconstitucionalidad del inciso análogo contenido en el párrafo primero del art. 13 de la misma Ley Orgánica.</w:t>
      </w:r>
    </w:p>
    <w:p w:rsidR="001C705E" w:rsidRDefault="001C705E" w:rsidP="001C705E">
      <w:pPr>
        <w:pStyle w:val="TextoNormal"/>
      </w:pPr>
      <w:r>
        <w:t>El problema de fondo planteado en la cuestión de inconstitucionalidad 411/1982 se centraba en el hecho de que los condenados a penas de privación de libertad superiores a tres años y en todo caso el Ministerio Fiscal tenían acceso al recurso de casación ante la Sala de lo Penal del Tribunal Supremo contra las Sentencias dictadas en primera instancia por el Consejo Supremo de Justicia Militar, pero dicho recurso quedaba vedado a los condenados a penas de privación de libertad de hasta tres años. En el presente proceso se cuestiona la constitucionalidad de la misma limitación contenida en el art. 13 en relación con el recurso de casación ante el Consejo Supremo de Justicia Militar contra las sentencias de los Consejos de Guerra.</w:t>
      </w:r>
    </w:p>
    <w:p w:rsidR="001C705E" w:rsidRDefault="001C705E" w:rsidP="001C705E">
      <w:pPr>
        <w:pStyle w:val="TextoNormal"/>
      </w:pPr>
    </w:p>
    <w:p w:rsidR="001C705E" w:rsidRDefault="001C705E" w:rsidP="001C705E">
      <w:pPr>
        <w:pStyle w:val="TextoNormal"/>
      </w:pPr>
      <w:r w:rsidRPr="001C705E">
        <w:rPr>
          <w:rStyle w:val="NumeroAFNegritaCaracter"/>
        </w:rPr>
        <w:t>3</w:t>
      </w:r>
      <w:r>
        <w:t>. Al resolver la mencionada cuestión de inconstitucionalidad, entendió este Tribunal Constitucional que la diferente posición del Ministerio Fiscal respecto a los condenados no puede justificar una desigualdad que implica disminución de los medios de defensa de la parte acusada frente a la acusación pública, pues, aun cuando el acusado pudiera adherirse al recurso interpuesto por el Ministerio Fiscal y alegar todos los «motivos que le convengan» (art.  861 de la L.E.Cr.), sin estar vinculado por los de la acusación, no ocurrirá lo mismo si el Ministerio Fiscal no recurre o desiste del recurso una vez interpuesto. Esta situación de desigualdad, que puede originar la indefensión de los acusados -afirmó-, se opone al art. 24 de la Constitución, que reconoce el derecho a la tutela judicial efectiva sin que se produzca indefensión y a un proceso con todas las garantías, lo cual exige que todas las partes del proceso penal tengan las mismas posibilidades de recurrir y, por lo tanto, que, una vez creado un recurso en nuestro ordenamiento -en este caso el recurso de casación-, tal garantía procesal haya de estar a disposición de todas las partes. Así, pues -concluyó-, dado que el Ministerio Fiscal puede continuar a través del recurso de casación su defensa de la legalidad, la limitación establecida respecto a los condenados se opone a dicho precepto constitucional, por lo que el inciso «superiores a tres años, en una de ellas o en la suma de varias» resulta inconstitucional.</w:t>
      </w:r>
    </w:p>
    <w:p w:rsidR="001C705E" w:rsidRDefault="001C705E" w:rsidP="001C705E">
      <w:pPr>
        <w:pStyle w:val="TextoNormal"/>
      </w:pPr>
      <w:r>
        <w:t>Análoga argumentación ha de aplicarse para enjuiciar la constitucionalidad del inciso cuestionado en el presente proceso y análoga es la conclusión que se deriva de ella, pues tal inciso establece también una limitación a la posibilidad de recurrir de los condenados de la misma naturaleza que la contenida en el art. 14.</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4</w:t>
      </w:r>
      <w:r>
        <w:t>. El Ministerio Fiscal, e implícitamente el Abogado del Estado, interesan de este Tribunal Constitucional que, por los mismos motivos y teniendo en cuenta lo dispuesto en el art. 39.1 de la LOTC y razones de economía procesal, extienda la declaración de inconstitucionalidad a la limitación que supone, en el caso de penas no privativas de libertad, reducir el acceso al recurso de casación a los casos de separación de servicio como pena principal o accesoria. Tal limitación -señalan- supone también un trato de disfavor para el condenado frente a la libre posibilidad de acceder a la casación del Ministerio Fiscal.</w:t>
      </w:r>
    </w:p>
    <w:p w:rsidR="001C705E" w:rsidRDefault="001C705E" w:rsidP="001C705E">
      <w:pPr>
        <w:pStyle w:val="TextoNormal"/>
      </w:pPr>
      <w:r>
        <w:t>El art. 39.1 de la LOTC establece que ««cuando la sentencia declare la inconstitucionalidad declará igualmente la nulidad de los preceptos impugnados, así como, en su caso, la de aquellos otros de la misma Ley, disposición o acto con fuerza de ley a los que deba extenderse por conexión o consecuencia». Sobre esta base, y considerando que la razón última determinante de la declaración de inconstitucionalidad en los anteriores supuestos ha sido el restablecimiento de una situación de igualdad entre las partes, a fin de eliminar la posible indefensión del condenado y la falta de garantías procesales, este Tribunal entiende que procede extender dicha declaración a todas las limitaciones que el art. 13.1 contiene en relación con el previsto recurso de casación frente a las sentencias de los Consejos de Guerra. Del mismo modo estima que tal argumentación lleva asimismo, en aplicación del mencionado precepto de la LOTC, a extender la declaración de inconstitucionalidad a la limitación contenida en el art. 14 de la misma Ley Orgánica 9/1980, de 6 de noviembre, respecto a las sentencias dictadas en primera instancia por el Consejo Supremo de Justicia Militar en las que se condene a penas no privativas de libertad.</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Declarar parcialmente inconstitucional el art. 13.1 de la Ley Orgánica 9/1980, de 6 de noviembre, de Reforma del Código de Justicia Militar, el cual quedará, en consecuencia, redactado de la siguiente forma: «Contra las sentencias de los Consejos de Guerra podrán interponerse recursos de casación ante la Justicia Militar por el Ministerio Fiscal jurídico militar y por quienes hubieran sido condenados en la sentencia.»</w:t>
      </w:r>
    </w:p>
    <w:p w:rsidR="001C705E" w:rsidRDefault="001C705E" w:rsidP="001C705E">
      <w:pPr>
        <w:pStyle w:val="TextoNormal"/>
      </w:pPr>
      <w:r>
        <w:t>2. Declarar parcialmente inconstitucional el art. 14 de la mencionada Ley Orgánica, el cual quedará, en consecuencia, redactado de la siguiente forma: «Los condenados, así como el Ministerio Fiscal, podrán interponer contra las sentencias dictadas en primera instancia por el Consejo Supremo de Justicia Militar, según la competencia al mismo asignada, recurso de casación ante la Sala de lo Penal del Tribunal Supremo, conforme a los motivos y trámites que señalan los arts. 847 y siguientes de la Ley de Enjuiciamiento Criminal.»</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veintiséis de febrero de mil novecientos ochenta y cinco.</w:t>
      </w:r>
    </w:p>
    <w:p w:rsidR="001C705E" w:rsidRDefault="001C705E" w:rsidP="001C705E">
      <w:pPr>
        <w:pStyle w:val="ParrafoNormal"/>
      </w:pPr>
    </w:p>
    <w:p w:rsidR="001C705E" w:rsidRDefault="001C705E" w:rsidP="001C705E">
      <w:pPr>
        <w:pStyle w:val="TextoNormalNegritaCentrado"/>
        <w:keepNext/>
      </w:pPr>
      <w:r>
        <w:lastRenderedPageBreak/>
        <w:t>Voto particular que formula el Magistrado don Jerónimo Arozamena Sierra a la Sentencia dictada en la cuestión de inconstitucionalidad núm. 620/1984</w:t>
      </w:r>
    </w:p>
    <w:p w:rsidR="001C705E" w:rsidRDefault="001C705E" w:rsidP="001C705E">
      <w:pPr>
        <w:pStyle w:val="TextoNormalNegritaCentrado"/>
        <w:keepNext/>
      </w:pPr>
    </w:p>
    <w:p w:rsidR="001C705E" w:rsidRDefault="001C705E" w:rsidP="001C705E">
      <w:pPr>
        <w:pStyle w:val="TextoNormal"/>
      </w:pPr>
      <w:r>
        <w:t>A la Sentencia de 14 de diciembre de 1982, que resolvió el procedimiento en el que se cuestionó la constitucionalidad del art. 14 de la Ley Orgánica 9/1980, de 6 de noviembre, de reforma del Código de Justicia Militar, formulé un voto particular, que mantengo en todos sus términos y que tengo que reiterar en este lugar, porque el Tribunal -aunque no estaba ahora cuestionada la constitucionalidad del indicado art. 14- ha examinado ex officio este precepto y llegado a unas consecuencias invalidatorias a las que, por el obligado ajuste que exige la cuestión, en aquella sentencia no habían sido objeto de consideración.</w:t>
      </w:r>
    </w:p>
    <w:p w:rsidR="001C705E" w:rsidRDefault="001C705E" w:rsidP="001C705E">
      <w:pPr>
        <w:pStyle w:val="TextoNormal"/>
      </w:pPr>
      <w:r>
        <w:t>Por aquellas razones y por esta extensión ex officio al art. 14, disiento de la sentencia y opino que debió ceñirse al análisis del art. 13 en lo que según el planteamiento de la cuestión era relevante para la decisión de la Autoridad Judicial Militar.  Sobre el art. 14 no se ha planteado la cuestión; sobre él, las partes en el proceso en el que ha surgido la cuestión no han hecho alegaciones, ni tenían por que hacerlas; el art. 14 no es relevante para la decisión de la Autoridad Judicial Militar; en el proceso constitucional las partes no han sido oídas sobre este punto. Los arts. 37.1 (el art. 14 no es aplicable al caso), 35.2 (sobre este artículo no se ha planteado la cuestión) y 37.2 (las partes del proceso constitucional no han sido oídas) de la LOTC son, a mi juicio, bien claros al respecto.</w:t>
      </w:r>
    </w:p>
    <w:p w:rsidR="001C705E" w:rsidRDefault="001C705E" w:rsidP="001C705E">
      <w:pPr>
        <w:pStyle w:val="TextoNormal"/>
      </w:pPr>
      <w:r>
        <w:t>La decisión del Tribunal apoya en el art. 39.1 de la LOTC la declaración de inconstitucionalidad del art. 14 en los términos que dice y complementando una decisión anterior (la Sentencia de 14 de diciembre de 1982). El art.39.1 no autoriza, sin embargo, a esta ruptura de la congruencia. La conexión o consecuencia que dice el precepto hay que verla cuando la inconstitucionalidad de precepto lleve como consecuencia de la decisión adoptada la nulidad de otros preceptos. La quiebra que aquí, a mi juicio, se abre, arbitrando un control abstracto ex officio, que no está en la línea seguida por el Tribunal hasta ahora en las cuestiones de inconstitucionalidad, es lo que me lleva a formular este voto particular.</w:t>
      </w:r>
    </w:p>
    <w:p w:rsidR="001C705E" w:rsidRDefault="001C705E" w:rsidP="001C705E">
      <w:pPr>
        <w:pStyle w:val="TextoNormal"/>
      </w:pPr>
      <w:r>
        <w:t>Madrid, a veintiséis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1" w:name="SENTENCIA_1985_28"/>
      <w:r>
        <w:lastRenderedPageBreak/>
        <w:t>SENTENCIA 28/1985, de 27 de marzo de 1985</w:t>
      </w:r>
    </w:p>
    <w:bookmarkEnd w:id="31"/>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ECLI:ES:TC:1985:28</w:t>
      </w:r>
    </w:p>
    <w:p w:rsidR="001C705E" w:rsidRDefault="001C705E" w:rsidP="001C705E">
      <w:pPr>
        <w:pStyle w:val="SntesisDescriptiva"/>
      </w:pPr>
    </w:p>
    <w:p w:rsidR="001C705E" w:rsidRDefault="001C705E" w:rsidP="001C705E">
      <w:pPr>
        <w:pStyle w:val="SntesisDescriptiva"/>
      </w:pPr>
      <w:r>
        <w:t>Recurso de amparo 82/1984 199/1984 256/1984 (acumulados). Prisión provisional: duración máxima</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Se reitera la doctrina de la STC 127/1984, de 26 de diciembre, y del Auto 320/1984, de 30 de mayo, en el sentido de que la libertad resulta conculcada contra lo que dispone el art. 17 C. E. «cuando se actúa, tanto bajo la cobertura improcedente de la Ley, como contra lo que la misma dispone». </w:t>
      </w:r>
    </w:p>
    <w:p w:rsidR="001C705E" w:rsidRDefault="001C705E" w:rsidP="001C705E">
      <w:pPr>
        <w:pStyle w:val="Extracto"/>
      </w:pPr>
    </w:p>
    <w:p w:rsidR="001C705E" w:rsidRDefault="001C705E" w:rsidP="001C705E">
      <w:pPr>
        <w:pStyle w:val="Extracto"/>
      </w:pPr>
      <w:r>
        <w:t>2.</w:t>
      </w:r>
      <w:r>
        <w:tab/>
        <w:t xml:space="preserve">Es clara la voluntad del constituyente y del legislador de fijar plazos efectivos a la prisión provisional, plazos cuyo incumplimiento, en tanto no sean modificados por el propio legislador, integran la garantía constitucional de la libertad consagrada en el art. 17 de la C. E. </w:t>
      </w:r>
    </w:p>
    <w:p w:rsidR="001C705E" w:rsidRDefault="001C705E" w:rsidP="001C705E">
      <w:pPr>
        <w:pStyle w:val="Extracto"/>
      </w:pPr>
    </w:p>
    <w:p w:rsidR="001C705E" w:rsidRDefault="001C705E" w:rsidP="001C705E">
      <w:pPr>
        <w:pStyle w:val="Extracto"/>
      </w:pPr>
      <w:r>
        <w:t>3.</w:t>
      </w:r>
      <w:r>
        <w:tab/>
        <w:t xml:space="preserve">Interpretar los plazos del art. 504 L.E.Cr. como aplicables sólo a supuestos de unidad delictiva supondría hacer depender el plazo máximo de la prisión provisional, que el art. 17.4 de la C. E, ordena establecer por Ley, de un elemento incierto, como es el del número de delitos de que pueda acusarse a una persona y sería contrario a los pactos internacionales ratificados por España.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 xml:space="preserve">En los recursos de amparo acumulados núms. 82/1984, 199/1984 y 256/1984, promovidos respectivamente por don Juan Miguel y don Fernando Bengoechea Calvo, representados por el Procurador don José Dorremochea Aramburu y bajo la dirección del Letrado don Antonio Ferrer Sama, y don Ramón Alabart Perramón, representado por el Procurador don Albito Martínez Acer, y bajo la dirección del Letrado don Jesús Castrillo Aladro, y don Ramón Ferrero López, representado por el Procurador don José Ramón Gayoso Rey y </w:t>
      </w:r>
      <w:r>
        <w:lastRenderedPageBreak/>
        <w:t>bajo la dirección del Letrado don José María Serret Morenogil; contra los autos de la Sección Segunda de la Audiencia Nacional, de 20 de diciembre de 1983, 5 de enero de 1984, providencia de 1 de febrero de 1984, confirmada por Auto de 2 de marzo de 1984 y Auto de 19 de diciembre de 1983, confirmado por el de 28 de diciembre de 1983 por los que se deniega a los recurrentes reseñados la libertad provisional. En los recursos de referencia ha comparecido el Ministerio Fiscal y ha sido Ponente el Magistrado don Manuel Díez de Velasco Vallejo,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En el recurso de amparo núm. 82/1984, el Procurador de los Tribunales don José Dorremochea Aramburu, en representación de don Juan Miguel Bengoechea Calvo y don Fernando Bengoechea Calvo, presentó escrito en el Juzgado de Guardia, de 3 de febrero de 1984, contra el Auto de la Sección Segunda de lo Penal de la Audiencia Nacional de 5 de enero de 1984, desestimatorio del recurso de súplica interpuesto contra el Auto de la misma Sección Segunda, de 20 de diciembre de 1983, por el que se había declarado no haber lugar a modificar la situación de prisión provisional no eludible en que se encontraban los recurrentes, procesados en el sumario 129/1981, instruido por el Juzgado Central de Instrucción núm. 2 y relativo al denominado «síndrome tóxico». </w:t>
      </w:r>
    </w:p>
    <w:p w:rsidR="001C705E" w:rsidRDefault="001C705E" w:rsidP="001C705E">
      <w:pPr>
        <w:pStyle w:val="TextoNormal"/>
      </w:pPr>
      <w:r>
        <w:t xml:space="preserve">La demanda se fundamentaba en los hechos siguientes: </w:t>
      </w:r>
    </w:p>
    <w:p w:rsidR="001C705E" w:rsidRDefault="001C705E" w:rsidP="001C705E">
      <w:pPr>
        <w:pStyle w:val="TextoNormal"/>
      </w:pPr>
      <w:r>
        <w:t xml:space="preserve">A) Los recurrentes, representantes legales de RAPSA, habían ingresado en prisión el 20 de junio de 1981, habiendo sido acordada su prisión preventiva por el Juez Central de Instrucción núm. 3; </w:t>
      </w:r>
    </w:p>
    <w:p w:rsidR="001C705E" w:rsidRDefault="001C705E" w:rsidP="001C705E">
      <w:pPr>
        <w:pStyle w:val="TextoNormal"/>
      </w:pPr>
      <w:r>
        <w:t xml:space="preserve">B) A partir de ese momento habían reiterado los demandantes sus peticiones de libertad que habían sido -se decía- «sistemáticamente rechazadas, atendiendo a la gravedad de los hechos o mejor de sus consecuencias y pese a no resultar acreditado en forma alguna en el sumario la relación de causalidad existente entre el denominado "síndrome tóxico" y la presunta ingestión del aceite de colza, así como la imposibilidad de determinar clínicamente cuál haya podido ser el verdadero agente causal de dicha enfermedad»; </w:t>
      </w:r>
    </w:p>
    <w:p w:rsidR="001C705E" w:rsidRDefault="001C705E" w:rsidP="001C705E">
      <w:pPr>
        <w:pStyle w:val="TextoNormal"/>
      </w:pPr>
      <w:r>
        <w:t xml:space="preserve">C) Con fecha 13 de diciembre de 1984 se solicitó por su representación procesal la libertad de los recurrentes, en atención a la modificación del art. 504 de la Ley de Enjuiciamiento Criminal (L.E.Cr.), por la Ley orgánica 7/1983, de 23 de abril, ya que el plazo máximo de treinta meses establecido para la prisión preventiva iba a caducar el 10 de diciembre de 1983; </w:t>
      </w:r>
    </w:p>
    <w:p w:rsidR="001C705E" w:rsidRDefault="001C705E" w:rsidP="001C705E">
      <w:pPr>
        <w:pStyle w:val="TextoNormal"/>
      </w:pPr>
      <w:r>
        <w:t xml:space="preserve">D) La Sección Segunda de la Sala de lo Penal de la Audiencia Nacional declaró por Auto de 20 de diciembre de 1983, no haber lugar a modificar la situación de prisión provisional no eludible. En dicho Auto, en el que se citaban diversos preceptos de la Constitución Española (C.E.), entre ellos sus arts. 17 y 24, así como el Convenio Europeo sobre Protección de los Derechos Humanos de 1950 y el Pacto Internacional de 1966 sobre Derechos Humanos, Civiles y Políticos, se consideró con respecto al art. 504 de la L.E.Cr. que </w:t>
      </w:r>
    </w:p>
    <w:p w:rsidR="001C705E" w:rsidRDefault="001C705E" w:rsidP="001C705E">
      <w:pPr>
        <w:pStyle w:val="TextoNormal"/>
      </w:pPr>
      <w:r>
        <w:t xml:space="preserve">«debe notar en primer lugar que ese artículo, quizá por influencia del 300 y su regla general de un sumario para cada infracción, siempre emplea en singular la palabra delito: de donde se infiere que las limitaciones de seis, dieciocho y treinta meses están literal y semánticamente constreñidas al supuesto de unidad delictiva», añadiéndose, previas algunas referencias a la «realidad social», a la «alarma comunitaria» y al «riesgo de sustracción al quehacer de la justicia» que </w:t>
      </w:r>
    </w:p>
    <w:p w:rsidR="001C705E" w:rsidRDefault="001C705E" w:rsidP="001C705E">
      <w:pPr>
        <w:pStyle w:val="TextoNormal"/>
      </w:pPr>
      <w:r>
        <w:lastRenderedPageBreak/>
        <w:t xml:space="preserve">«a través de tales criterios gramatical, sistemático y de atención a la realidad social, queda excluida la imperatividad de aplicar el límite de los treinta meses al caso que nos ocupa», y finalizándose en el sentido de que </w:t>
      </w:r>
    </w:p>
    <w:p w:rsidR="001C705E" w:rsidRDefault="001C705E" w:rsidP="001C705E">
      <w:pPr>
        <w:pStyle w:val="TextoNormal"/>
      </w:pPr>
      <w:r>
        <w:t xml:space="preserve">«la inevitable enorme extensión de este proceso -determinada en buena medida por el número de perjudicados y la complejidad de sus lesiones- debe llevar a afirmar que el procedimiento no ha sufrido dilaciones indebidas, sin que por otra parte y cara al futuro, se prevea la posibilidad de retardos injustificados. Por lo que, atendido todo lo hasta aquí expuesto -y haciéndose hincapié en la extraordinaria alarma social provocada por los hechos y en la racional probabilidad de que los interesados, caso de ser puestos en libertad y dada la gravedad de las imputaciones que provisionalmente se les achacan, traten de ponerse fuera del alcance de la justicia, como ha ocurrido ya con otros indiciarios implicados, dando al traste con la función de este proceso-, debe mantenerse la actual situación de privación de libertad en que se encuentran, sin perjuicio de modificarla tan pronto el estado procesal lo demandase o lo hiciera aconsejable». </w:t>
      </w:r>
    </w:p>
    <w:p w:rsidR="001C705E" w:rsidRDefault="001C705E" w:rsidP="001C705E">
      <w:pPr>
        <w:pStyle w:val="TextoNormal"/>
      </w:pPr>
      <w:r>
        <w:t xml:space="preserve">En el segundo resultando de dicho Auto se aludía a la tesis del Ministerio Fiscal, según la cual el plazo de treinta meses habría de computarse a partir de la entrada en vigor de la Ley de 23 de abril de 1983, que habría tenido lugar, de acuerdo con su disposición final, tres meses después de dicha fecha, y, </w:t>
      </w:r>
    </w:p>
    <w:p w:rsidR="001C705E" w:rsidRDefault="001C705E" w:rsidP="001C705E">
      <w:pPr>
        <w:pStyle w:val="TextoNormal"/>
      </w:pPr>
      <w:r>
        <w:t xml:space="preserve">E) Interpuesto contra dicho Auto recurso de súplica, citándose como vulnerado el art. 17, núm. 4 de la C.E., tal recurso fue desestimado por Auto de 5 de enero de 1984, en el que la Sección Segunda de la Audiencia Nacional consideró que no habían sido desvirtuadas las razones que fundamentaba el Auto recurrido, añadiendo que el Tribunal no había incluido en su argumentación el que debiera partirse, para el cómputo de los plazos, de fecha distinta a la del inicio real de la privación de libertad. </w:t>
      </w:r>
    </w:p>
    <w:p w:rsidR="001C705E" w:rsidRDefault="001C705E" w:rsidP="001C705E">
      <w:pPr>
        <w:pStyle w:val="TextoNormal"/>
      </w:pPr>
      <w:r>
        <w:t>En la demanda de amparo se consideraba inaceptable la argumentación contenida en el Auto denegatorio de libertad y se entendía que el plazo máximo de treinta meses establecido por el art. 504 de la L.E.Cr. no podía ser rebasado, citándose como precepto constitucional infringido el art. 17.4 de la C.E., sin perjuicio de otros razonamientos que podrían determinar que sea vulnerada la presunción de inocencia, como los referentes a la inexistencia de relación de causalidad entre «el síndrome tóxico» y la ingestión del aceite de colza, o a la presunción de la venta del aceite a sabiendas de su desvió al consumo humano y solicitándose que se declarase la nulidad del Auto de 23 de diciembre de 1983 y, como consecuencia, la del posterior de 5 de enero de 1984, así como que se ordenase a la Sección Segunda de lo Penal de la Audiencia Nacional la concesión de la libertad solicitada.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Sección Segunda de la Sala Primera de este TC acordó, por providencia de 14 de marzo de 1984, admitir a trámite la demanda de amparo interpuesta por don Juan Miguel y don Fernando Bengoechea Calvo, sin perjuicio de lo que resultase de los antecedentes, así como requerir a la Sección Segunda de la Audiencia Nacional y al Juzgado Central de Instrucción núm. 1 para que remitiesen, respectivamente, testimonio de las actuaciones del rollo núm. 208/1981, dimanante del sumario 129/1981, y de la pieza de situación de los recurrentes, emplazando a quienes fueron parte en los mencionados procedimientos, a excepción de dichos recurrentes, que figuraban personados. Por posterior providencia de 21 de marzo de 1984, la Sección acordó, a la vista de lo indicado por la Sección Segunda de la Audiencia Nacional, librar despacho para cumplimiento de lo acordado en la anterior providencia a la Sala Segunda del Tribunal Supremo, y, por providencia de 11 de abril de 1984, a la vista de la comunicación recibida de la Sala Segunda del Tribunal Supremo, </w:t>
      </w:r>
      <w:r>
        <w:lastRenderedPageBreak/>
        <w:t>interesar de nuevo de la Sección Segunda de la Audiencia Nacional el testimonio a que anteriormente se había hecho referencia y el emplazamiento de las partes. Finalmente, recibidas las actuaciones, en testimonio, reclamadas a la Audiencia Nacional en relación con la situación personal de los recurrentes, no habiéndose recibido escrito alguno de personación distinto del que los recurrentes, que ya figuraban como partes, la Sección Segunda de este TC, por providencia de 9 de mayo de 1984, acordó tener por recibido dicho testimonio y, de conformidad con el art. 52 de la Ley Orgánica del Tribunal Constitucional (LOTC), dar vista de las actuaciones y de las remitidas por la Audiencia Nacional a los recurrentes y al Ministerio Fiscal a fin de que, dentro del plazo de veinte días, formulasen las alegaciones que estimasen pertinentes.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El Ministerio Fiscal dijo en el plazo conferido, en el recurso de amparo 82/1984, tras referirse a la complicación de los trámites del sumario 129/1981 de que se trata y a la complejidad de los hechos, los cuales justifican razonablemente la larga duración del proceso, sin demoras infundadas que puedan entenderse como vulneradoras del art. 24.2 de la C.E., que el art. 17 núm. 4 de la C.E. señala que por Ley se determinará el plazo máximo de duración de la prisión preventiva, apartándose en este punto del Convenio de Roma de 1950, cuyo art. 5 núm. 3 no señala límite objetivo máximo de duración de la misma, dejando a los Tribunales la posibilidad de ponderar todos los elementos que entran en un procedimiento penal; habiendo señalado la Ley orgánica 7/1983, que ha dado nueva redacción a los arts. 503 y 504 de la L.E.Cr., los límites máximos que no pueden ser rebasados. Tras cuestionar si tales límites son inexorables, señaló que la Audiencia Nacional, en el Auto que resolvió el recurso de súplica, ha contemplado el problema en toda su dimensión, explicando de manera razonablemente fundada la interpretación espiritualista del art. 504 de la L.E.Cr., acudiendo por circunstancias singularísimas a un prudente arbitrio judicial, y dando una explicación de ello a lo largo del Auto que, si bien el cuadro de los derechos fundamentales y de las libertades públicas constituye el soporte del ordenamiento constitucional, también es cierto que el art. 1 de la C.E. recoge entre los valores superiores de nuestro ordenamiento, junto al derecho a la libertad y en igual plano, el de la justicia, habiéndose pronunciado reiteradamente la jurisprudencia constitucional en el sentido de que los derechos fundamentales no son absolutos, sino sujetos a limitaciones, como enseña el art. 10.1 de la C.E., por lo que frente al derecho específico de los recurrentes surge el derecho no sólo de la comunidad, sino incluso de personas concretas perjudicadas por la acción de aquéllos, derecho este último que puede verse en peligro, con lesión incluso del derecho fundamental a la tutela judicial efectiva, si quienes vulneraron la ley pudieran con su libertad eludir la acción de la justicia o hacer inviable o retardar la investigación penal o la final reparación del daño causado. </w:t>
      </w:r>
    </w:p>
    <w:p w:rsidR="001C705E" w:rsidRDefault="001C705E" w:rsidP="001C705E">
      <w:pPr>
        <w:pStyle w:val="TextoNormal"/>
      </w:pPr>
      <w:r>
        <w:t xml:space="preserve">Por lo que, tras recordar finalmente que el penúltimo párrafo del art. 504 de la L.E.Cr. contempla el supuesto que permite prolongar la prisión preventiva hasta la mitad de la pena impuesta en la Sentencia, si ésta hubiese sido recurrida, interesó del TC que, dictando la resolución que prevé el inciso inicial del art. 86.1 de la LOTC en relación con el art. 372 de la Ley de Enjuiciamiento Civil, declarase no haber lugar a otorgar el amparo solicitado. </w:t>
      </w:r>
    </w:p>
    <w:p w:rsidR="001C705E" w:rsidRDefault="001C705E" w:rsidP="001C705E">
      <w:pPr>
        <w:pStyle w:val="TextoNormal"/>
      </w:pPr>
      <w:r>
        <w:t>La representación de los recurrentes en el recurso de amparo 82/1984 no formuló alegaciones en el plazo otorgado.</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Procurador de los Tribunales don Albito Martínez Díez, en representación de don Ramón Alabart Perramón, había interpuesto el 26 de marzo de 1984 recurso de amparo, al </w:t>
      </w:r>
      <w:r>
        <w:lastRenderedPageBreak/>
        <w:t xml:space="preserve">que correspondió el núm. 199/1984, contra providencia de 1 de febrero de 1984 de la Sección Segunda de la Audiencia Nacional, confirmada por Auto de la misma del 2 de marzo siguiente, denegando la libertad provisional del recurrente. </w:t>
      </w:r>
    </w:p>
    <w:p w:rsidR="001C705E" w:rsidRDefault="001C705E" w:rsidP="001C705E">
      <w:pPr>
        <w:pStyle w:val="TextoNormal"/>
      </w:pPr>
      <w:r>
        <w:t xml:space="preserve">Basaba su pretensión el demandante en los hechos que sucintamente se exponen: </w:t>
      </w:r>
    </w:p>
    <w:p w:rsidR="001C705E" w:rsidRDefault="001C705E" w:rsidP="001C705E">
      <w:pPr>
        <w:pStyle w:val="TextoNormal"/>
      </w:pPr>
      <w:r>
        <w:t xml:space="preserve">A) El demandante de amparo había sido detenido e ingresado en prisión el 24 de julio de 1981, en la que había permanecido hasta el momento; </w:t>
      </w:r>
    </w:p>
    <w:p w:rsidR="001C705E" w:rsidRDefault="001C705E" w:rsidP="001C705E">
      <w:pPr>
        <w:pStyle w:val="TextoNormal"/>
      </w:pPr>
      <w:r>
        <w:t xml:space="preserve">B) El 26 de marzo de 1982 fue procesado como presunto responsable de un delito contra la salud pública, previsto en los arts. 346 y 348 del Código Penal; </w:t>
      </w:r>
    </w:p>
    <w:p w:rsidR="001C705E" w:rsidRDefault="001C705E" w:rsidP="001C705E">
      <w:pPr>
        <w:pStyle w:val="TextoNormal"/>
      </w:pPr>
      <w:r>
        <w:t xml:space="preserve">C) Por escrito de 20 de diciembre de 1983 solicitó ser puesto en libertad, lo que fue denegado por Auto de la Sección Segunda de la Audiencia Nacional de 27 de diciembre del mismo año, manteniéndose su estado de prisión provisional; Auto que, recurrido en súplica, fue confirmado por Auto de 16 de enero de 1984; </w:t>
      </w:r>
    </w:p>
    <w:p w:rsidR="001C705E" w:rsidRDefault="001C705E" w:rsidP="001C705E">
      <w:pPr>
        <w:pStyle w:val="TextoNormal"/>
      </w:pPr>
      <w:r>
        <w:t xml:space="preserve">D) El 25 de enero de 1984 volvió el demandante a solicitar su puesta en libertad, aduciendo que el art. 504 de la L.E.Cr. prevé un máximo de treinta meses para la prisión preventiva, por lo que el mantenimiento de su situación de prisión representaría la vulneración de esa disposición y de lo previsto en el art. 17 de la C.E. La Audiencia Nacional, por providencia de 1 de febrero de 1984, denegó esa petición, remitiéndose a lo acordado en sus Autos de 27 de diciembre de 1983 y 16 de enero de 1984. Recurrida en súplica la referida providencia, fue confirmada por Auto de 2 de marzo de 1984. </w:t>
      </w:r>
    </w:p>
    <w:p w:rsidR="001C705E" w:rsidRDefault="001C705E" w:rsidP="001C705E">
      <w:pPr>
        <w:pStyle w:val="TextoNormal"/>
      </w:pPr>
      <w:r>
        <w:t>En la demanda se invocaba la violación del derecho a la libertad del demandante de amparo, producida al denegarse por la providencia de 1 de febrero de 1984, confirmada por Auto de 2 de marzo de 1984, la libertad del mismo, a pesar de que llevaba en situación de prisión preventiva más de treinta meses. Se citaba como infringido el art. 17 de la C.E., cuyo mandato de determinación del plazo máximo de duración de la prisión provisional había sido cumplimentado por la Ley orgánica 7/1983, de 23 de abril, debiendo ser considerados los plazos de duración máxima establecidos en el art. 504 de la L.E.Cr., a la luz de los arts. 5 y 6 del Convenio Europeo de Derechos Humanos de 1950, como plazo máximo y razonable. Se entendía que la irrazonabilidad de la prisión del recurrente derivaría también a la vista de los hechos imputados al recurrente y las consecuencias que cabría atribuir a los mismos, así como de la pena máxima que, en todo caso, podría imponérsele y se aludía a los criterios de proporcionalidad e igualdad de trato ante la Ley, en relación con la libertad que se viene concediendo a procesados que sufren peticiones de penas privativas de libertad de veintiséis y veintiocho años, cuando han transcurrido dieciocho meses de su detención. Se suplicaba finalmente la declaración de la nulidad de las resoluciones judiciales impugnadas y se restableciese al recurrente en su derecho, acordando su inmediata libertad.</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La Sección Tercera de la Sala Segunda acordó por providencia de 9 de mayo de 1984 admitir a trámite la demanda de amparo presentada en nombre de don Ramón Alabart Perramón, así como requerir al Juzgado Central de Instrucción núm. 3 la remisión de testimonio de la pieza de situación del demandante, previo emplazamiento a quienes hubieran sido parte en el recurso de súplica. El 21 de mayo presentó el Procurador de dicho demandante un escrito suplicando la acumulación del recurso de amparo 199/1984, al sustanciado bajo el núm. 82/1984; escrito que la Sección Tercera acordó remitir a la Sala Primera por providencia de 30 de mayo de 1984. Recibidas de la Sección Segunda de la Audiencia Nacional las actuaciones que habían sido recabadas del Juzgado Central de Instrucción núm. 3, mediante escrito presentado el 1 de junio, compareció el Procurador de </w:t>
      </w:r>
      <w:r>
        <w:lastRenderedPageBreak/>
        <w:t>don Ramón Alabart Perramón, en nombre del mismo, al haber sido emplazado por la Sección Segunda de la Audiencia Nacional.</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El Procurador de los Tribunales don José Ramón Gayoso Rey, en nombre de don Ramón Ferrero López, había interpuesto, mediante escrito presentado el 9 de abril de 1984, recurso de amparo, al que correspondió el núm. 256/1984, contra Auto de la Sala Segunda del Tribunal Supremo de 6 de marzo de 1984, por el que se acordó desestimar el recurso de nulidad de actuaciones interpuesto por el solicitante de amparo e inadmitir el recurso de queja interpuesto contra Auto de la Sección Segunda de la Audiencia Nacional, denegatorio a su vez de recurso de súplica contra otro Auto de la misma por el que se declaró no haber lugar a modificar la situación de prisión provisional no eludible del recurrente. </w:t>
      </w:r>
    </w:p>
    <w:p w:rsidR="001C705E" w:rsidRDefault="001C705E" w:rsidP="001C705E">
      <w:pPr>
        <w:pStyle w:val="TextoNormal"/>
      </w:pPr>
      <w:r>
        <w:t xml:space="preserve">Los hechos en que se fundamentaba la demanda son los siguientes: </w:t>
      </w:r>
    </w:p>
    <w:p w:rsidR="001C705E" w:rsidRDefault="001C705E" w:rsidP="001C705E">
      <w:pPr>
        <w:pStyle w:val="TextoNormal"/>
      </w:pPr>
      <w:r>
        <w:t xml:space="preserve">A) El solicitante de amparo había sido detenido -se dice en la demanda- el 29 de diciembre de 1981, en virtud de resolución dictada por el Juzgado Central de Instrucción núm. 2, encontrándose desde entonces en situación de prisión preventiva (en la documentación aportada consta, sin embargo, como fecha de la sentencia, la de 29 de junio del mismo año); </w:t>
      </w:r>
    </w:p>
    <w:p w:rsidR="001C705E" w:rsidRDefault="001C705E" w:rsidP="001C705E">
      <w:pPr>
        <w:pStyle w:val="TextoNormal"/>
      </w:pPr>
      <w:r>
        <w:t xml:space="preserve">B) Mediante la Ley orgánica 7/1983, de 23 de abril, se dio cumplimiento a lo indicado por el art. 17, núm. 4 de la C.E. y se modificó el art. 504 de la L.E.Cr.; </w:t>
      </w:r>
    </w:p>
    <w:p w:rsidR="001C705E" w:rsidRDefault="001C705E" w:rsidP="001C705E">
      <w:pPr>
        <w:pStyle w:val="TextoNormal"/>
      </w:pPr>
      <w:r>
        <w:t xml:space="preserve">C) El 2 de diciembre de 1983 suplico la representación del solicitante de amparo a la Audiencia Nacional la puesta en libertad de aquél y, alternativamente, que tal libertad fuese acordada con anterioridad al 24 de diciembre de 1983 y, en todo caso, para el 29 de diciembre del mismo año, fecha en que se cumplían los treinta meses de prisión preventiva, citándose los arts. 17 y 24 de la C.E.; </w:t>
      </w:r>
    </w:p>
    <w:p w:rsidR="001C705E" w:rsidRDefault="001C705E" w:rsidP="001C705E">
      <w:pPr>
        <w:pStyle w:val="TextoNormal"/>
      </w:pPr>
      <w:r>
        <w:t xml:space="preserve">D) La Sección Segunda de la Audiencia Nacional declaró mediante Auto de 19 de diciembre de 1983 no haber lugar a modificar la situación personal de prisión provisional no eludible del procesado; </w:t>
      </w:r>
    </w:p>
    <w:p w:rsidR="001C705E" w:rsidRDefault="001C705E" w:rsidP="001C705E">
      <w:pPr>
        <w:pStyle w:val="TextoNormal"/>
      </w:pPr>
      <w:r>
        <w:t xml:space="preserve">E) Interpuesto contra dicho Auto recurso de súplica, mediante escrito de 22 de diciembre de 1983, el mismo fue desestimado por nuevo Auto de fecha 28 de diciembre de 1983, y </w:t>
      </w:r>
    </w:p>
    <w:p w:rsidR="001C705E" w:rsidRDefault="001C705E" w:rsidP="001C705E">
      <w:pPr>
        <w:pStyle w:val="TextoNormal"/>
      </w:pPr>
      <w:r>
        <w:t xml:space="preserve">F) Interpuesto recurso de queja mediante escrito de 3 de enero de 1984 y recurso de nulidad de actuaciones mediante escrito de 8 de enero de 1984, la Sala Segunda del Tribunal Supremo, mediante Auto de 6 de marzo de 1984, declaró no haber lugar a admitir el primero y desestimó el segundo de los recursos formulados. </w:t>
      </w:r>
    </w:p>
    <w:p w:rsidR="001C705E" w:rsidRDefault="001C705E" w:rsidP="001C705E">
      <w:pPr>
        <w:pStyle w:val="TextoNormal"/>
      </w:pPr>
      <w:r>
        <w:t>En la demanda de amparo se estimaba infringido el art. 17 de la C.E., cuyo mandato había sido desarrollado por la reforma del art. 504 de la L.E.Cr., solicitándose se declarase la nulidad de las resoluciones judiciales antes referidas y el restablecimiento del solicitante de amparo en la integridad de su derecho a la libertad física con la adopción de las medidas necesarias para su excarcelación.</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La Sección Tercera de la Sala Segunda acordó, por providencia de 9 de mayo de 1984, admitir a trámite la demanda de amparo formulada en nombre de don Ramón Ferrero López e interesar al Juzgado Central de Instrucción núm. 3 la remisión de testimonio de la pieza de situación del mismo, con el emplazamiento de los que hubieran sido parte o hubieran intervenido en el recurso de súplica antes mencionado. El Procurador don José Ramón Gayoso Rey, por escrito presentado el 17 de mayo de 1984, suplicó la acumulación del recurso 256/1984 al 82/1984, escrito que la Sección Tercera de la Sala Segunda </w:t>
      </w:r>
      <w:r>
        <w:lastRenderedPageBreak/>
        <w:t>acordó remitir a la Sala Primera, haciéndoselo saber a las partes y al Ministerio Fiscal, por providencia de 30 de mayo de 1984. Fue recibida por la Sección Tercera, procedente de la Audiencia Nacional, la copia certificada de la pieza de situación personal del recurrente cuyo envío había sido interesado del Juzgado Central de Instrucción núm. 3, habiendo comparecido el 31 de mayo de 1984 ante la Sala Segunda del TC el Procurador don José Ramón Gayoso Rey, en nombre de don Ramón Ferrero López, por haber sido emplazado por la Sección Segunda de la Audiencia Nacional.</w:t>
      </w:r>
    </w:p>
    <w:p w:rsidR="001C705E" w:rsidRDefault="001C705E" w:rsidP="001C705E">
      <w:pPr>
        <w:pStyle w:val="TextoNormal"/>
      </w:pPr>
    </w:p>
    <w:p w:rsidR="001C705E" w:rsidRDefault="001C705E" w:rsidP="001C705E">
      <w:pPr>
        <w:pStyle w:val="TextoNormal"/>
      </w:pPr>
      <w:r w:rsidRPr="001C705E">
        <w:rPr>
          <w:rStyle w:val="NumeroAFNegritaCaracter"/>
        </w:rPr>
        <w:t>8</w:t>
      </w:r>
      <w:r>
        <w:t>. La Sala Primera del TC acordó por providencia de 6 de junio de 1984 tener por recibidos los escritos y testimonios remitidos por la Sala Segunda, relativos a los recursos 199/1984 y 256/1984, y dar vista de las actuaciones del recurso 82/1984 y de dichos testimonios al Ministerio Fiscal y a los Procuradores señores Dorremochea, Martínez Díez y Gayoso Rey, a efectos de la posible acumulación de aquéllos. El Fiscal, por escrito de 19 de junio, manifestó su criterio favorable a la acumulación de los tres recursos, dimanantes del sumario 129/1981, instruido por el Juzgado Central de Instrucción núm. 2. El Procurador señor Gayoso Rey, en representación de don Ramón Ferrero López, mediante escrito presentado el 20 de junio de 1984, manifestó estar conforme en que la tramitación de los recursos deban acumularse en un solo proceso, no habiéndose presentado en el plazo otorgado otros escritos en orden a dicha acumulación. La Sala Primera, por Auto de 11 de julio de 1984, acordó acumular al recurso de amparo 82/1984 los interpuestos con los números 199/1984 y 256/1984, remitiéndose testimonio de dicho Auto a la Sala Segunda.</w:t>
      </w:r>
    </w:p>
    <w:p w:rsidR="001C705E" w:rsidRDefault="001C705E" w:rsidP="001C705E">
      <w:pPr>
        <w:pStyle w:val="TextoNormal"/>
      </w:pPr>
    </w:p>
    <w:p w:rsidR="001C705E" w:rsidRDefault="001C705E" w:rsidP="001C705E">
      <w:pPr>
        <w:pStyle w:val="TextoNormal"/>
      </w:pPr>
      <w:r w:rsidRPr="001C705E">
        <w:rPr>
          <w:rStyle w:val="NumeroAFNegritaCaracter"/>
        </w:rPr>
        <w:t>9</w:t>
      </w:r>
      <w:r>
        <w:t xml:space="preserve">. Emplazados ante la Sala Primera de este TC el Ministerio Fiscal y las partes recurrentes en los recursos 199/1984 y 256/1984, por sendas providencias de la Sección Tercera de la Sala Segunda de 5 de septiembre de 1984, y habiéndose procedido a la acumulación material el 19 de septiembre siguiente, la Sección Segunda de la Sala Primera acordó por providencia de 3 de octubre de 1984 tener por recibidos los escritos de personamiento de los Procuradores señores Gayoso Rey y Martínez Díez, representantes de los recurrentes en los procedimientos 256/1984 y 199/1984, respectivamente, y dar vista de las actuaciones remitidas por la Sala Segunda y de las enviadas por la Audiencia Nacional al Ministerio Fiscal y a dichos Procuradores, a fin de que formulasen alegaciones conforme a lo establecido en el art. 52 de la LOTC. </w:t>
      </w:r>
    </w:p>
    <w:p w:rsidR="001C705E" w:rsidRDefault="001C705E" w:rsidP="001C705E">
      <w:pPr>
        <w:pStyle w:val="TextoNormal"/>
      </w:pPr>
      <w:r>
        <w:t xml:space="preserve">El Ministerio Fiscal, dentro del plazo otorgado al efecto, dio por reproducidas las alegaciones ya formuladas en relación con el recurso de amparo 82/1984, reiterando su petición de no proceder estimación del amparo solicitado. Por otrosí, acompañó Auto del Juzgado Central de Instrucción núm. 3 de 11 de julio de 1984 por el que se había decretado la libertad provisional, sin fianza, del procesado Ramón Ferrero López, por si el TC entendiese que, acordada la libertad, el recurso de amparo 256/1984 habría quedado sin objeto, y que no ha lugar a pronunciarse sobre el amparo solicitado, fórmula ya utilizada en Sentencia 32/1982. </w:t>
      </w:r>
    </w:p>
    <w:p w:rsidR="001C705E" w:rsidRDefault="001C705E" w:rsidP="001C705E">
      <w:pPr>
        <w:pStyle w:val="TextoNormal"/>
      </w:pPr>
      <w:r>
        <w:t xml:space="preserve">El Procurador don José Ramón Gayoso Rey, en representación de don Ramón Ferrero López, tras dar por reproducidas las alegaciones efectuadas en escritos anteriores, insistiendo en que el incumplimiento del art. 504 de la L.E.Cr. es una violación de los derechos regulados en el art. 17 de la C.E., y acompañando copia de una carta del Defensor del Pueblo, en la que se hace referencia a no haberse recibido determinado informe preceptivo del Fiscal General del Estado, y tras señalar que el 11 de julio de 1984 fue puesto en libertad provisional el señor Ferrero López, pero habiéndose rebasado con exceso el plazo máximo establecido por la Ley orgánica 7/1983 y no siendo firme el Auto concediendo tal </w:t>
      </w:r>
      <w:r>
        <w:lastRenderedPageBreak/>
        <w:t xml:space="preserve">libertad provisional, al haber sido recurrido por el Ministerio Fiscal y algún acusador, suplicó se dicte resolución conforme a lo solicitado inicialmente mediante escrito de 9 de abril de 1984. </w:t>
      </w:r>
    </w:p>
    <w:p w:rsidR="001C705E" w:rsidRDefault="001C705E" w:rsidP="001C705E">
      <w:pPr>
        <w:pStyle w:val="TextoNormal"/>
      </w:pPr>
      <w:r>
        <w:t>El Procurador don Albito Martínez Díez, en representación de don Ramón Alabart Perramón, dio por reproducidas las alegaciones efectuadas en el escrito de demanda de amparo, añadiendo haber sido solicitada con posterioridad a la misma y de forma reiterada de la Audiencia Nacional y del Juzgado Central de Instrucción núm. 3 la libertad de su representado, que ha sido denegada; señalando que el Juzgado Central de Instrucción núm. 3, por Auto de 11 de julio de 1984, acordó la libertad de uno de los demandantes de amparo, el señor Ferrero López, Auto del que se acompaña copia; e indicando que, solicitada del mismo Juzgado Central de Instrucción núm. 3 la libertad de su representado, ésta fue denegada por Auto de 24 de julio de 1984, cuya copia también se acompaña, en el que se habría entendido que las mismas razones que sirvieron para conceder la libertad al señor Ferrero serían aplicables al señor Alabart, pero entendiéndose que procede suspender la decisión en tal sentido hasta tanto la Audiencia Nacional tenga ocasión de pronunciarse por vía de recurso sobre la procedencia de la libertad concedida al primero. Por todo ello suplico se acuerde conceder el amparo solicitado en los términos expresados en la demanda.</w:t>
      </w:r>
    </w:p>
    <w:p w:rsidR="001C705E" w:rsidRDefault="001C705E" w:rsidP="001C705E">
      <w:pPr>
        <w:pStyle w:val="TextoNormal"/>
      </w:pPr>
    </w:p>
    <w:p w:rsidR="001C705E" w:rsidRDefault="001C705E" w:rsidP="001C705E">
      <w:pPr>
        <w:pStyle w:val="TextoNormal"/>
      </w:pPr>
      <w:r w:rsidRPr="001C705E">
        <w:rPr>
          <w:rStyle w:val="NumeroAFNegritaCaracter"/>
        </w:rPr>
        <w:t>10</w:t>
      </w:r>
      <w:r>
        <w:t>. Por providencia de 13 de febrero se señaló para deliberación y votación el día 20 del mismo mes.</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En los tres recursos de amparo acumulados se plantea la misma cuestión: si la denegación de la libertad solicitada por los recurrentes, una vez transcurrido el plazo máximo de treinta meses prevista excepcionalmente para la prisión provisional por el art. 504 de la L.E.Cr., en la redacción dada al mismo por la Ley orgánica 7/1983, de 23 de abril, ha infringido el art. 17 de la C.E. y vulnerado el derecho a la libertad y seguridad reconocido a los solicitantes de amparo por dicho precepto constitucional. Debiendo señalarse que la fundamentación jurídica del Auto de 20 de diciembre de 1983 de la Sección Segunda de la Audiencia Nacional, impugnado en el recurso de amparo 82/1984, la del de 27 de diciembre de 1983, de la misma Sala, al que se remitió la providencia del Juzgado Central de Instrucción núm. 3, de 1 de febrero de 1984, impugnada en el recurso de amparo 199/1984, y la del Auto también de la misma Sala, de 19 de diciembre de 1983, impugnado en el recurso de amparo 256/1984, vienen a ser las tres literalmente idénticas, siendo también en los tres casos idéntica la decisión de no haber lugar a modificar la situación de prisión provisional de los procesados a que cada uno de los autos se refiere.</w:t>
      </w:r>
    </w:p>
    <w:p w:rsidR="001C705E" w:rsidRDefault="001C705E" w:rsidP="001C705E">
      <w:pPr>
        <w:pStyle w:val="TextoNormal"/>
      </w:pPr>
      <w:r>
        <w:t xml:space="preserve">Otras cuestiones, tangencialmente aludidas por los demandantes de amparo, no merecen ser tomadas en consideración, bien por no haber sido abiertamente planteadas, bien por no guardar auténtica relación con el amparo realmente solicitado -el restablecimiento del derecho a la libertad- o bien incluso por carecer manifiestamente y prima facie de toda consistencia. Así, la invocación del derecho a la presunción de inocencia efectuada en nombre de don Juan Miguel Bengoechea Calvo y don Fernando Bengoechea Calvo, cuando todavía no ha recaído pronunciamiento alguno por parte de los órganos judiciales sobre la inocencia o culpabilidad de procesados, carece por sí sola de virtualidad en el presente recurso de amparo, sin perjuicio de la posible trascendencia en términos abstractos de tal </w:t>
      </w:r>
      <w:r>
        <w:lastRenderedPageBreak/>
        <w:t>principio con respecto a la cuestión ya señalada del plazo máximo de duración de la prisión provisional. Y las alusiones de la representación de don Ramón Alabart Perramón a un trato desigual frente a otros procesados puestos en libertad cuando sólo han transcurrido dieciocho meses de su detención, carecen de la necesaria precisión para que puedan establecerse términos válidos de comparación en orden a apreciar un trato discriminatorio.</w:t>
      </w:r>
    </w:p>
    <w:p w:rsidR="001C705E" w:rsidRDefault="001C705E" w:rsidP="001C705E">
      <w:pPr>
        <w:pStyle w:val="TextoNormal"/>
      </w:pPr>
    </w:p>
    <w:p w:rsidR="001C705E" w:rsidRDefault="001C705E" w:rsidP="001C705E">
      <w:pPr>
        <w:pStyle w:val="TextoNormal"/>
      </w:pPr>
      <w:r w:rsidRPr="001C705E">
        <w:rPr>
          <w:rStyle w:val="NumeroAFNegritaCaracter"/>
        </w:rPr>
        <w:t>2</w:t>
      </w:r>
      <w:r>
        <w:t>. La cuestión se reduce por tanto a determinar si la infracción, alegada en los tres casos, del art. 504 de la L.E.Cr., en la redacción que le dio la Ley orgánica 7/1983, de 23 de abril, dictada para dar cumplimiento al mandato de determinar el plazo máximo de duración de la prisión provisional, mandato contenido en el apartado 4 del art. 17 de la C.E., ha supuesto una vulneración del derecho fundamental a la libertad y seguridad consagrado por este último precepto constitucional. Debiendo reiterarse al respecto la doctrina de este TC en reciente Sentencia de 26 de diciembre de 1984 (recursos de amparo acumulados 786/1983, 787/1983, fundamento jurídico 2, «BOE» de 11 de enero de 1985, suplemento al núm. 10, pág. 30) que a su vez era reproducción de la del Auto de 30 de mayo de 1984 (recurso de amparo 821/1983), en el sentido de que la libertad resulta conculcada contra lo que dispone el art. 17 de la C. E.  «cuando se actúa tanto bajo la cobertura improcedente de la Ley como contra lo que la misma dispone».</w:t>
      </w:r>
    </w:p>
    <w:p w:rsidR="001C705E" w:rsidRDefault="001C705E" w:rsidP="001C705E">
      <w:pPr>
        <w:pStyle w:val="TextoNormal"/>
      </w:pPr>
    </w:p>
    <w:p w:rsidR="001C705E" w:rsidRDefault="001C705E" w:rsidP="001C705E">
      <w:pPr>
        <w:pStyle w:val="TextoNormal"/>
      </w:pPr>
      <w:r w:rsidRPr="001C705E">
        <w:rPr>
          <w:rStyle w:val="NumeroAFNegritaCaracter"/>
        </w:rPr>
        <w:t>3</w:t>
      </w:r>
      <w:r>
        <w:t>. Es preciso, pues, examinar si las resoluciones judiciales impugnadas han infringido el art. 504 de la L.E.Cr. en la redacción dada al mismo por la Ley orgánica 7/1983. Como ya se declaró en la Sentencia antes citada de 26 de diciembre de 1984 (fundamento jurídico 3, «BOE» de 11 de enero de 1985, suplemento al núm. 10, pág. 30), debe observarse que en tal redacción del art.  504 de la L.E.Cr. se fijaron plazos determinados, pues el constituyente no se contentó con acudir a un concepto indeterminado como el del «plazo razonable» a que se remiten los convenios internacionales ratificados por España (arts.  9, núm. 3 del Pacto Internacional de Derechos Civiles y Políticos de 1966, y 5, núm. 3 del Convenio de Roma de 1950); que el plazo máximo de treinta meses previsto excepcionalmente para los supuestos que en dicho artículo se citaban comprendía tanto los casos en que el delito hubiera tenido particular trascendencia o provocado extraordinaria alarma social, como aquellos en que la instrucción de la causa hubiera sido de extraordinaria complejidad; y que esa duración máxima de carácter excepcional sólo podría prolongarse hasta el límite de la mitad de la pena impuesta, cuando hubiera recaído Sentencia que hubiera sido recurrida, o por el mismo tiempo en que la causa hubiera sufrido dilaciones imputables al propio inculpado. Así pues, queda clara la voluntad del constituyente y del legislador de fijar plazos efectivos; plazos cuyo incumplimiento, en tanto no sean modificados por el propio legislador, integran la garantía constitucional de la libertad consagrada en el art. 17 de la C.E.</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Los Autos de la Sección Segunda de la Audiencia Nacional indicados en el fundamento jurídico primero, que o bien son impugnados en los presentes recursos de amparo acumulados, o bien han sido confirmados o utilizados como fundamento de resoluciones judiciales también ahora impugnadas, dieron una interpretación del art. 504 de la L.E.Cr. que ya ha declarado este TC contraria al art. 17 de la C.E. en su anterior Sentencia, ya citada, de 26 de diciembre de 1984 (fundamento jurídico 4, «BOE» de 11 de enero de 1985, supl.  al núm. 10, pág. 30). En tales Autos se dice, en efecto, que el art. 504 empleaba la palabra delito en singular, de donde se inferiría que las limitaciones de seis, dieciocho y </w:t>
      </w:r>
      <w:r>
        <w:lastRenderedPageBreak/>
        <w:t>treinta meses se constreñirían a los supuestos de unidad delictiva, y que el límite de los treinta meses no tendría aplicación a los casos de que se trata. Pero como ha declarado este TC en la Sentencia referida, tal interpretación supondría hacer depender el plazo máximo de duración de la prisión provisional, que el art. 17.4 de la C.E.  ordena establecer por Ley, de un elemento incierto, como es el número de delitos de que pueda acusarse a una persona y sería contraria a los pactos internacionales ratificados por España, al poder conducir, por simples operaciones aritméticas, a resultados notoriamente superiores a todo plazo razonable. Ello supondría además olvidar que la comisión de varios delitos no implica su total individualización, como se desprende del art. 70.2 del Código Penal.</w:t>
      </w:r>
    </w:p>
    <w:p w:rsidR="001C705E" w:rsidRDefault="001C705E" w:rsidP="001C705E">
      <w:pPr>
        <w:pStyle w:val="TextoNormal"/>
      </w:pPr>
    </w:p>
    <w:p w:rsidR="001C705E" w:rsidRDefault="001C705E" w:rsidP="001C705E">
      <w:pPr>
        <w:pStyle w:val="TextoNormal"/>
      </w:pPr>
      <w:r w:rsidRPr="001C705E">
        <w:rPr>
          <w:rStyle w:val="NumeroAFNegritaCaracter"/>
        </w:rPr>
        <w:t>5</w:t>
      </w:r>
      <w:r>
        <w:t>. De todo lo expuesto se deduce que procede otorgar el amparo solicitado y anular por ello las resoluciones impugnadas por cada uno de los recurrentes, retrotrayéndose las actuaciones hasta el momento inmediatamente anterior a ser dictadas las mismas y reconociéndose el derecho que tienen los recurrentes a que se resuelva sobre sus peticiones de libertad mediante una interpretación de la normativa aplicable no contraria a la Constitución, quedando restablecidos en su derecho mediante nuevas resoluciones.</w:t>
      </w:r>
    </w:p>
    <w:p w:rsidR="001C705E" w:rsidRDefault="001C705E" w:rsidP="001C705E">
      <w:pPr>
        <w:pStyle w:val="TextoNormal"/>
      </w:pPr>
    </w:p>
    <w:p w:rsidR="001C705E" w:rsidRDefault="001C705E" w:rsidP="001C705E">
      <w:pPr>
        <w:pStyle w:val="TextoNormal"/>
      </w:pPr>
      <w:r w:rsidRPr="001C705E">
        <w:rPr>
          <w:rStyle w:val="NumeroAFNegritaCaracter"/>
        </w:rPr>
        <w:t>6</w:t>
      </w:r>
      <w:r>
        <w:t>. No obstante, uno de los demandantes de amparo, don Ramón Ferrero López, recurrente en el recurso de amparo 256/1984, ha obtenido con posterioridad a la interposición del mismo -como indican el Fiscal y la representación del demandante en sus escritos de alegaciones- la libertad provisional sin fianza, en virtud del Auto del Juzgado Central de Instrucción núm. 3 de 11 de julio de 1984, del que se dice en los escritos de alegaciones y en la documentación aportada que no había adquirido firmeza todavía.  En vista de ello, sería innecesario y podría producir, incluso, resultados contrarios a los esperados del otorgamiento del amparo al declarar nulo, en el caso de este recurrente, el Auto de la Sección Segunda de la Audiencia Nacional de 19 de diciembre de 1983 y retrotraer las actuaciones a ese momento procesal, pues ello obligaría al órgano judicial a resolver de nuevo sobre la puesta en libertad de dicho recurrente que ya ha sido acordada en virtud de otra petición formulada con posterioridad por el mismo. Por lo que, y sin perjuicio de que a dicho demandante de amparo pudiera serle aplicable, en su caso, la doctrina de esta Sentencia sobre la improcedencia desde la perspectiva constitucional de la interpretación del art. 504 de la L.E.Cr.  efectuada por la Sección Segunda de la Audiencia Nacional en las resoluciones antes indicadas, hay que concluir que, por lo que respecta a dicho demandante, el proceso de amparo ha quedado al menos, parcialmente, sin objeto, por lo que no procede que este TC resuelva sobre lo solicitado por el mismo en su demanda de amparo, en la medida que ha quedado sin contenido.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Estimar en parte los recursos de amparo 82/1984 y 199/1984 interpuestos por don Juan Miguel Bengoechea Calvo y don Fernando Bengoechea Calvo, por un lado, y don Ramón Alabart Perramón, por otro, y a tal efecto:</w:t>
      </w:r>
    </w:p>
    <w:p w:rsidR="001C705E" w:rsidRDefault="001C705E" w:rsidP="001C705E">
      <w:pPr>
        <w:pStyle w:val="TextoNormal"/>
      </w:pPr>
      <w:r>
        <w:lastRenderedPageBreak/>
        <w:t>a) Declarar la nulidad de los Autos de la Sección Segunda de la Audiencia Nacional de 20 de diciembre de 1983 y 5 de enero de 1984, retrotraer las actuaciones hasta el momento inmediatamente anterior al de dictarse el primero de los Autos indicados, reconocer el derecho de don Juan Miguel Bengoechea Calvo y de don Fernando Bengoechea Calvo a que no les sea denegada la libertad por ellos solicitada por los motivos en que se fundamentaron tales resoluciones judiciales y quedar restablecidos en su derecho mediante las nuevas resoluciones que habrán de dictarse.</w:t>
      </w:r>
    </w:p>
    <w:p w:rsidR="001C705E" w:rsidRDefault="001C705E" w:rsidP="001C705E">
      <w:pPr>
        <w:pStyle w:val="TextoNormal"/>
      </w:pPr>
      <w:r>
        <w:t>b) Declarar la nulidad de la providencia de la Sección Segunda de la Audiencia Nacional de 1 de febrero de 1984 y del Auto de la misma de 2 de marzo de 1984, retrotraer las actuaciones hasta el momento inmediatamente anterior al de dictarse la providencia referida, reconocer el derecho de don Ramón Alabart Perramón a que no le sea denegada la libertad solicitada por los motivos en que se fundamentaron o a que se remitieron tales resoluciones y quedar restablecido en su derecho mediante la nueva resolución que habrá de dictarse.</w:t>
      </w:r>
    </w:p>
    <w:p w:rsidR="001C705E" w:rsidRDefault="001C705E" w:rsidP="001C705E">
      <w:pPr>
        <w:pStyle w:val="TextoNormal"/>
      </w:pPr>
      <w:r>
        <w:t>c) Desestimar los recursos de amparo 82/1984 y 199/1984 en todo lo demás.</w:t>
      </w:r>
    </w:p>
    <w:p w:rsidR="001C705E" w:rsidRDefault="001C705E" w:rsidP="001C705E">
      <w:pPr>
        <w:pStyle w:val="TextoNormal"/>
      </w:pPr>
      <w:r>
        <w:t>2. Declarar respecto del amparo solicitado por don Ramón Ferrero López, en recurso 256/1984, que se le reconoce a dicho recurrente el derecho a que, en su caso, no le sea denegada la libertad por los motivos en que se fundamentó el Auto de la Sección Segunda de la Audiencia Nacional de 19 de diciembre de 1983.</w:t>
      </w:r>
    </w:p>
    <w:p w:rsidR="001C705E" w:rsidRDefault="001C705E" w:rsidP="001C705E">
      <w:pPr>
        <w:pStyle w:val="TextoNormal"/>
      </w:pPr>
    </w:p>
    <w:p w:rsidR="001C705E" w:rsidRDefault="001C705E" w:rsidP="001C705E">
      <w:pPr>
        <w:pStyle w:val="TextoNormal"/>
      </w:pPr>
      <w:r>
        <w:t>Publíquese en el «Boletín Oficial del Estado».</w:t>
      </w:r>
    </w:p>
    <w:p w:rsidR="001C705E" w:rsidRDefault="001C705E" w:rsidP="001C705E">
      <w:pPr>
        <w:pStyle w:val="TextoNormal"/>
      </w:pPr>
      <w:r>
        <w:t>Dada en Madrid, a veintisiete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2" w:name="SENTENCIA_1985_29"/>
      <w:r>
        <w:lastRenderedPageBreak/>
        <w:t>SENTENCIA 29/1985, de 28 de febrero de 1985</w:t>
      </w:r>
    </w:p>
    <w:bookmarkEnd w:id="32"/>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ECLI:ES:TC:1985:29</w:t>
      </w:r>
    </w:p>
    <w:p w:rsidR="001C705E" w:rsidRDefault="001C705E" w:rsidP="001C705E">
      <w:pPr>
        <w:pStyle w:val="SntesisDescriptiva"/>
      </w:pPr>
    </w:p>
    <w:p w:rsidR="001C705E" w:rsidRDefault="001C705E" w:rsidP="001C705E">
      <w:pPr>
        <w:pStyle w:val="SntesisDescriptiva"/>
      </w:pPr>
      <w:r>
        <w:t>Recurso de amparo 124/1984. Contra Auto de la Sala Primera del Tribunal Supremo declarando desierto el recurso de casación interpuesto por el ahora recurrente por consignación extemporánea de las rentas. Voto particular</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Parece claro que en el segundo párrafo del art. 1.567 L.E.C., al imponerse la declaración de desierto del recurso de casación interpuesto por el arrendatario, si durante la sustanciación del mismo dejare de pagar los plazos que venzan o los que deba adelantar, el legislador no hace otra cosa que establecer un presupuesto habilitante para la prosecución del trámite del recurso de casación, lo que no cabe reputar como exigencia exorbitante, injustificada y simplemente entorpecedora de la dispensación de la tutela judicial efectiva. </w:t>
      </w:r>
    </w:p>
    <w:p w:rsidR="001C705E" w:rsidRDefault="001C705E" w:rsidP="001C705E">
      <w:pPr>
        <w:pStyle w:val="Extracto"/>
      </w:pPr>
    </w:p>
    <w:p w:rsidR="001C705E" w:rsidRDefault="001C705E" w:rsidP="001C705E">
      <w:pPr>
        <w:pStyle w:val="Extracto"/>
      </w:pPr>
      <w:r>
        <w:t>2.</w:t>
      </w:r>
      <w:r>
        <w:tab/>
        <w:t xml:space="preserve">No se puede compartir la tesis de que el art. 1.567.2 L.E.C. se limita a establecer una presunción «iuris tantum», y como tal destruible mediante la adecuada prueba en contrario, en el sentido de que el impago de la renta no representa otra cosa que la voluntad del recurrente en casación de apartarse de tal vía, pudiéndose presumir así cuando el pago no se realiza, para invertir la situación al efectuarse el pago, momento en que la presunción decae. </w:t>
      </w:r>
    </w:p>
    <w:p w:rsidR="001C705E" w:rsidRDefault="001C705E" w:rsidP="001C705E">
      <w:pPr>
        <w:pStyle w:val="Extracto"/>
      </w:pPr>
    </w:p>
    <w:p w:rsidR="001C705E" w:rsidRDefault="001C705E" w:rsidP="001C705E">
      <w:pPr>
        <w:pStyle w:val="Extracto"/>
      </w:pPr>
      <w:r>
        <w:t>3.</w:t>
      </w:r>
      <w:r>
        <w:tab/>
        <w:t xml:space="preserve">Es difícil sostener que la exigencia del cumplimiento en la fecha contractualmente pactada de la obligación del pago del precio del arrendamiento venga a privar al arrendatario de la efectiva tutela de Jueces y Tribunales, incluso hasta el punto de causar la indefensión que el art. 24.1 C.E. proscribe. Conviene afirmar a este respecto que no es infrecuente considerar tal precepto tomando en cuenta tan sólo uno de los elementos objetivos implicados en el litigio, esto es, verlo desde el punto de vista del arrendatario, con olvido de que parejo derecho a la tutela Judicial efectiva atribuye el precepto constitucional respecto del arrendador, quien legítimamente está facultado para percibir el precio del arrendamiento precisamente en el momento estipulado, pues con ello no se trata más que del cumplimiento puntual de una obligación originaria y contractualmente prevista y aceptada por ambas partes, y como tal perfectamente conocida por las mismas, por lo que no parece procedente erigir aquella exigencia legal en un obstáculo o impedimento de la prestación de la tutela Judicial. </w:t>
      </w:r>
    </w:p>
    <w:p w:rsidR="001C705E" w:rsidRDefault="001C705E" w:rsidP="001C705E">
      <w:pPr>
        <w:pStyle w:val="Extracto"/>
      </w:pPr>
    </w:p>
    <w:p w:rsidR="001C705E" w:rsidRDefault="001C705E" w:rsidP="001C705E">
      <w:pPr>
        <w:pStyle w:val="Extracto"/>
      </w:pPr>
      <w:r>
        <w:t>4.</w:t>
      </w:r>
      <w:r>
        <w:tab/>
        <w:t xml:space="preserve">La normativa vigente ha de interpretarse en el sentido más favorable para la efectividad del derecho fundamental a la tutela Judicial efectiva, pues aunque las formas y requisitos del proceso cumplen un papel de capital importancia para su ordenación, no toda irregularidad formal puede convertirse en un obstáculo insalvable para su prosecución, con repudio de formalismos enervantes contrarios </w:t>
      </w:r>
      <w:r>
        <w:lastRenderedPageBreak/>
        <w:t xml:space="preserve">al espíritu y finalidad de la norma, pero teniendo asimismo en cuenta que no puede dejarse al arbitrio de cada parte el cumplimiento de los requisitos procesales y la disposición del tiempo en que ha de cumplirse.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promovido por don Manfred Robert Paul Zimmermann, representado por el Procurador don Ignacio Corujo Pita, bajo la dirección del Abogado don Modesto García Fernández, contra Auto dictado por la Sala Primera del Tribunal Supremo, en 31 de enero de 1984 declarando desierto el recurso de casación número 1.620/1982, interpuesto por el señor Zimmermann. Ha intervenido el Ministerio Fiscal y han sido demandados don Ignacio Tuca Vidal y doña Josefa Prat Genover, representados por el Procurador don Enrique Sorribes Torra, bajo la dirección del Abogado don Luis Iglesias Pujol. Ha sido Ponente el Magistrado don Francisco Pera Verdaguer,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proceso de desahucio por expiración de contrato de arrendamiento, seguido contra el hoy demandante de amparo, don Manfred Robert Zimmermann, éste interpuso recurso de casación por infracción de Ley y doctrina legal contra la sentencia dictada, con fecha 20 de julio de 1982, por la Sala Primera de lo Civil de la Audiencia Territorial de Barcelona, por la que se confirmó en apelación la estimatoria en primera instancia de la demanda de desahucio. Admitida a trámite la casación, por auto de la Sala Primera del Tribunal Supremo, de fecha 15 de febrero de 1983, el arrendatario recurrente consignó la fracción de la renta que vencía el 15 de julio de 1983, el día 28 de dicho mes, y las vencidas el 15 de agosto y el 25 de septiembre del mismo año, el día 11 de noviembre siguiente. La parte contraria acusó, mediante escrito formulado el día 4 de octubre de 1983, la extemporaneidad y falta de pago de las rentas vencidas, por lo que se solicitaba se tuviera por desierto el recurso de casación, de conformidad con lo previsto en el párrafo segundo del art. 1.567 de la Ley de Enjuiciamiento Civil. Mediante auto dictado con fecha 31 de enero de 1984, que se notificó al recurrente el 15 de febrero siguiente, la Sala Primera del Tribunal Supremo acordó tener por desierta la casación interpuesta.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2</w:t>
      </w:r>
      <w:r>
        <w:t>. Contra este auto se interpuso recurso de amparo mediante demanda presentada el 24 de febrero de 1984 y sustancialmente fundada en la presunta violación del derecho a la tutela jurisdiccional efectiva, reconocido en el art. 24.1 de la Constitución Española. Dicha violación se ha producido -se alega en la demanda de amparo- al contradecir dicha resolución judicial el carácter de presunción iuris tantum que el impago de las rentas del arrendamiento tiene, una vez admitido el recurso de casación, respecto a la voluntad del recurrente de proseguir el recurso, presunción destruible mediante hechos reales y fehacientemente comprobados, como lo es el de haberse consignado tales rentas aunque sea con algún retraso en relación con las fechas pactadas en el contrato de arrendamiento. Se solicita de este Tribunal que declare la nulidad del auto impugnado, reconociendo al actor el derecho a proseguir y mantener el mencionado recurso de casación.</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Por providencia de 9 de mayo se admitió a trámite el recurso y se recabaron las actuaciones del Tribunal Supremo y del Juzgado de Primera Instancia de La Bisbal y habiéndose personado como demandados don Ignacio Tuca Vidal y doña Josefa Prat Genover, se acordó por auto de 12 de septiembre dar vista de las remitidas por dicho Tribunal a las partes y al Ministerio Fiscal para que en el plazo de veinte días formulasen las alegaciones procedentes; ello sin perjuicio de que, recibidas las del Juzgado, pudiera habilitarse un plazo para alegaciones. </w:t>
      </w:r>
    </w:p>
    <w:p w:rsidR="001C705E" w:rsidRDefault="001C705E" w:rsidP="001C705E">
      <w:pPr>
        <w:pStyle w:val="TextoNormal"/>
      </w:pPr>
      <w:r>
        <w:t xml:space="preserve">En el trámite conferido, la representación demandante presentó su escrito de alegaciones en que formula una contestación a las que el Ministerio Fiscal formuló en el trámite que se abrió, por providencia de 21 de marzo, de audiencia acerca del contenido constitucional de la demanda de amparo. Concretamente alude el demandante a la alegación del Ministerio Fiscal referente a la incompetencia de la Jurisdicción Constitucional al decir que la interpretación que hace el Tribunal Supremo del artículo 1.567.2 de la L.E.C. debe prevalecer sobre la del recurrente, a lo cual responde que, cuando una determinada exégesis de la legalidad ordinaria desemboca en una vulneración de un derecho amparable, el máximo intérprete del precepto concreto no es otro que el órgano al que se dirige el recurrente y que, en el presente caso, la negación del derecho a proseguir una casación admitida viola el derecho a la tutela efectiva jurisdiccional que consagra el art. 24.1 de la Constitución. </w:t>
      </w:r>
    </w:p>
    <w:p w:rsidR="001C705E" w:rsidRDefault="001C705E" w:rsidP="001C705E">
      <w:pPr>
        <w:pStyle w:val="TextoNormal"/>
      </w:pPr>
      <w:r>
        <w:t xml:space="preserve">Se refiere también el demandante a la manifestación de los codemandados de que la única finalidad de la parte actora es la dilación del procedimiento, exponiendo que, con independencia de lo impertinente de tal alegación (y de que lo que verdaderamente pretende es la recuperación de la pacífica posesión del local, para lo que no ha venido aquí), el hecho de que al recurrente se le hayan admitido los diez motivos de casación (cuyo contenido impugnante de las sentencias de instancia consta en autos) presenta una relevancia constatable de que se está persiguiendo legítimamente un derecho. Discrepa del parecer de los recurridos de que la ejecución de un fallo está comprendida en la tutela jurisdiccional efectiva lo que no es así en las resoluciones no firmes, y por tanto recurridas y casables. </w:t>
      </w:r>
    </w:p>
    <w:p w:rsidR="001C705E" w:rsidRDefault="001C705E" w:rsidP="001C705E">
      <w:pPr>
        <w:pStyle w:val="TextoNormal"/>
      </w:pPr>
      <w:r>
        <w:t xml:space="preserve">Examina seguidamente la competencia de este Tribunal, y alega que, cuando una resolución judicial, fundada en derecho, tiene por objeto la denegación de proseguir un recurso, ya admitido, está justificada la intervención de la jurisdicción constitucional para que emita una respuesta vinculante, adversa o favorable al recurrente en amparo, que diga si tal denegación se cohonesta o no con el derecho constitucional que consagra la tutela efectiva de Jueces y Tribunales, «no debiéndose limitar el Tribunal Constitucional al mero examen de si hubo o no una sentencia fundada en derecho...» (Recursos de amparo 203 y 216/1980, Sala Segunda, 17 de julio de 1981). De modo que, cuando se ha denegado el </w:t>
      </w:r>
      <w:r>
        <w:lastRenderedPageBreak/>
        <w:t xml:space="preserve">mantenimiento de un recurso ya admitido -el ius cassationis prosequendae-, esta jurisdicción está legitimada para comprobar si se aplicó o no correctamente la legalidad ordinaria en que se basó la resolución que denegó la continuación del recurso jurisdiccional; pues, en contra de lo que dice el Ministerio Fiscal, entiende que, cuando un precepto extraconstitucional afecta a los derechos fundamentales - entre ellos, la tutela efectiva judicial- a las libertades públicas, la decisiva interpretación y aplicación al caso concreto de tal precepto corresponde al órgano garante de estos derechos y libertades, imponiéndose a la que pueda haber hecho la jurisdicción ordinaria. </w:t>
      </w:r>
    </w:p>
    <w:p w:rsidR="001C705E" w:rsidRDefault="001C705E" w:rsidP="001C705E">
      <w:pPr>
        <w:pStyle w:val="TextoNormal"/>
      </w:pPr>
      <w:r>
        <w:t xml:space="preserve">Y a continuación expone lo que considera que debe ser la interpretación constitucional del art. 1.567.2 de la L.E.C. Este artículo (que es el esgrimido por la resolución impugnada en este amparo, para tener por desierto el recurso) establece que todo el que deja de pagar las rentas locativas ha decidido desistir del recurso que otrora incoó; pero esta interpretación de la voluntad del que no paga es una presunción legal, como se deduce de la mera gramaticalidad del precepto, en el que no se habla ni de caducidad, ni de prescripción, ni de formalidad condicionante del trámite, ni impone una sanción. Y tal presunción de desistimiento, que es iuris tantum, destrúyese cuando hay hechos fehacientes y contradictorios a la misma. Y, en el caso del auto impugnado, que decretó la puesta a disposición de los recurridos de las rentas ya pagadas, no se vio en este hecho -un pago efectivo anterior a la resolución- una clara y evidente voluntad del recurrente en mantener la casación ya admitida. Y, al no apreciar este claro y evidente deseo de no desistir del recurso, aplicó, interpretándolo erróneamente, el citado precepto procesal; conllevando esta errónea interpretación la vulneración del derecho fundamental a la efectiva tutela jurisdiccional, consistente, en este caso, en el ius cassationis prosequendae. </w:t>
      </w:r>
    </w:p>
    <w:p w:rsidR="001C705E" w:rsidRDefault="001C705E" w:rsidP="001C705E">
      <w:pPr>
        <w:pStyle w:val="TextoNormal"/>
      </w:pPr>
      <w:r>
        <w:t>Si por otro lado -añade- se quiere interpretar el referido art. 1.567.2 como una norma sancionadora (como lo es el 1.566 que castiga con la inadmisión del recurso a quien no ha pagado las rentas y no lo castiga así aunque las haya pagado fuera de plazo) consistiría tal sanción en la pérdida del derecho a continuar el recurso, y lo que se castigaría sería el hecho del impago (dejar de pagar, literalmente), pero no el pago tardío. El art. 1.567.2 no dice en ningún sitio que todo aquel que «demore» el pago del alquiler pierda el derecho a continuar su recurso; ya que no condena la «mora» in (pretio lacationis) solvendo; y cuando se quiera una interpretación que cercene un derecho fundamental se llega a esta disyuntiva: O la redacción debe ser más clara o no se ha de hacer decir a la norma lo que literalmente no dice.</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En el mismo trámite de alegaciones el Ministerio Fiscal en su escrito expone que, cotejando el art. 1.567 de la L.E.C. y la resolución judicial, viene a interpretarse aquél en el sentido de que dejar de «pagar los plazos que venzan», no sólo es fenómeno que se produzca por el total impago de ellos, sino que también opera cuando el pago o consignación, en su caso, se produce tardíamente, siquiera no se hayan puesto en marcha los mecanismos que a otros efectos de innegable analogía se prevén en la propia Ley Procesal Civil y a los que se remite el actor en diversos momentos de sus escritos. En todo caso, no cabe olvidar, como expresamente se afirma en el auto en cuestión, que el pago o consignación tardía se ha producido, no obstante, antes de que se produjera el formal señalamiento para la vista de los autos. </w:t>
      </w:r>
    </w:p>
    <w:p w:rsidR="001C705E" w:rsidRDefault="001C705E" w:rsidP="001C705E">
      <w:pPr>
        <w:pStyle w:val="TextoNormal"/>
      </w:pPr>
      <w:r>
        <w:t xml:space="preserve">Significa el Ministerio Fiscal cómo la jurisprudencia constitucional, si bien ha confirmado la necesidad de que las partes, en vía de recurso, de estar éste previsto por las normas procesales de aplicación a cada materia, han de atemperarse a lo que en ellas se establezca, no ha dejado de examinar si los obstáculos legales o, en su caso, la interpretación </w:t>
      </w:r>
      <w:r>
        <w:lastRenderedPageBreak/>
        <w:t xml:space="preserve">judicial que de los condicionamientos legales se haga, tienen fuerza suficiente para privar al interesado del acceso a la vía o excluirle de ella en el curso del procedimiento; es decir, si ofrecen un fundamento razonable en la norma y si la interpretación que de ella se hace es asimismo razonable. Junto a las Sentencias citadas por el recurrente, el Ministerio Fiscal añade otras de más reciente pronunciamiento, como son las de 8 de mayo y 11 de junio de 1984, ofreciendo esta última el anverso y el reverso de la moneda, con justa y equilibrada ponderación de las exigencias de las normas procesales y de la protección de los derechos fundamentales. En el anverso, se encuentra la clara referencia a que no puede quedar al arbitrio de cada parte el cumplimiento de los requisitos procesales ni la disposición del tiempo en que han de cumplirse. Desde este punto de vista, es irrebatible que el hoy recurrente ha actuado con absoluto desprecio en orden a las exigencias procesales, puesto que no sólo retrasó en unos días la consignación del plazo de renta correspondiente al 15 de julio, sino que demora, con amplio margen de tiempo, las correspondientes a agosto y septiembre y no cabe admitir, por otra parte, sea desconocedor del precepto de la Ley Procesal que está infringiendo. Cabe incluso fundadamente pensar si la actuación no va encaminada a lograr una demora en la definitiva resolución en vía judicial, de una decisión que le resulta desfavorable. Adviértase que obtenida la suspensión de la sentencia de instancia, en tanto dure el proceso constitucional, en el supuesto de que se desestimara el amparo, habría continuado disfrutando del contrato declarado extinguido, no menos de año y medio más contado desde la declaración del recurso como desierto. La caución exigida, en el supuesto de que haya sido prestada, hipotéticamente compensaría a quienes vencieron en el proceso civil, pero no impide aquellas secuelas. </w:t>
      </w:r>
    </w:p>
    <w:p w:rsidR="001C705E" w:rsidRDefault="001C705E" w:rsidP="001C705E">
      <w:pPr>
        <w:pStyle w:val="TextoNormal"/>
      </w:pPr>
      <w:r>
        <w:t xml:space="preserve">En el reverso, destaca la cuestión de si la interpretación que el Tribunal Civil da a la exigencia procesal se enmarca en un sentido contrario al espíritu de la Ley -que no cabe olvidar impone el requisito cuya interpretación se cuestiona- o a las reglas que deben presidir el recto entender y aplicar el art. 24.1 de la Constitución. En este orden de cosas, «dejar de pagar los plazos que venzan» y retraso en el pago, son ideas que se identifican por el Tribunal Civil. ¿Es realmente esto lo que quería el legislador? o, por el contrario, ¿el pago, aunque con demora, de las rentas vencidas, se entiende o puede estimarse como cumplimiento del requisito legal? Conectando el art. 1.567 con el 1.566 de la Ley de Enjuiciamiento Civil, sin necesidad de hacerlo con la normas específicas de la Ley de Arrendamientos Urbanos, aquí no aplicable por tratarse de desahucio de industria, parece es dado afirmar que el legislador lo que ha querido es que en tanto dure el proceso, cuando es el demandado quien accede a superiores instancias, la obligación contractual de pago de las rentas se mantenga en plena vigencia, a fin de no hacer más gravosa la situación de quien venció en la instancia, y más aún cuando tal vencimiento tuvo ya su confirmación en la segunda o apelación. </w:t>
      </w:r>
    </w:p>
    <w:p w:rsidR="001C705E" w:rsidRDefault="001C705E" w:rsidP="001C705E">
      <w:pPr>
        <w:pStyle w:val="TextoNormal"/>
      </w:pPr>
      <w:r>
        <w:t xml:space="preserve">Destaca el Ministerio Fiscal que han sido diversos los procesos de amparo respecto los que se ha seguido trámite de inadmisión al conectar el artículo 148 de la Ley de Arrendamientos Urbanos con los arts. 1.566 y 1.567 de la Ley de Enjuiciamiento Civil a tenor de lo establecido en el art. 50.2 b) de la LOTC. </w:t>
      </w:r>
    </w:p>
    <w:p w:rsidR="001C705E" w:rsidRDefault="001C705E" w:rsidP="001C705E">
      <w:pPr>
        <w:pStyle w:val="TextoNormal"/>
      </w:pPr>
      <w:r>
        <w:t xml:space="preserve">Así las cosas, concluye el Ministerio Fiscal, el reverso de la moneda nos llevaría a confirmar cuanto respecto del anverso se ha dicho: La actuación del hoy recurrente en amparo, de desacuerdo con la exigencia legal, producida de forma reiterada, no puede ahora servirle para lograr una interpetación de la norma favorable, frente a la acordada por los Tribunales competentes en la materia y consiguiente estimación de una denegación de tutela judicial. </w:t>
      </w:r>
    </w:p>
    <w:p w:rsidR="001C705E" w:rsidRDefault="001C705E" w:rsidP="001C705E">
      <w:pPr>
        <w:pStyle w:val="TextoNormal"/>
      </w:pPr>
      <w:r>
        <w:lastRenderedPageBreak/>
        <w:t>La única salvedad que cabe hacer es la relativa a que el actor, en este proceso, ha señalado en diversos momentos del mismo, y así consta en las actuaciones judiciales, que si se encuentra en la situación descrita en la relación fáctica, ello se debe a que los recurridos se han negado a recibir las cantidades correspondientes a los plazos vencidos durante el trámite de casación y posteriores. No obstante tal alegación, es lo cierto que hasta el momento no ha sido adverada por medio probatorio alguno, y si efectivamente, las consignaciones correspondientes a 15 de julio, 15 de agosto y 25 de septiembre de 1983 se hubieran intentado en forma fehaciente, pero no producido por circunstancias imputables a los recurridos, es evidente que la tesis del demandante en el proceso de amparo estaría ajustada a derecho; lo que deja señalado el Ministerio Fiscal por si en el curso del presente trámite se acreditare tal afirmación, o se dedujere de las restantes actuaciones judiciales, interesadas del Juzgado de Primera Instancia de La Bisbal.</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La representación de los demandados, en su escrito de alegaciones, expone que la utilización o interpretación que realiza la parte contraria del Texto Constitucional, y más concretamente del derecho de tutela que fija el art. 24.1 es como mínimo interesada. Lo que el referido precepto establece es que en ningún supuesto pueda producirse denegación de justicia por lo que, al haber la Sala Primera del Tribunal Supremo declarado desierto el recurso de casación, no ha dejado de resolver los asuntos que se le han encomendado para su resolución, sino que, tan sólo ha resuelto en un sentido determinado, y, por tanto, ello no supone vulneración del derecho de tutela, como se pretende de contrario. </w:t>
      </w:r>
    </w:p>
    <w:p w:rsidR="001C705E" w:rsidRDefault="001C705E" w:rsidP="001C705E">
      <w:pPr>
        <w:pStyle w:val="TextoNormal"/>
      </w:pPr>
      <w:r>
        <w:t xml:space="preserve">Por otra parte, el art. 1.567 de la Ley Procesal Civil es una disposición de orden público, a la que han de atenerse forzosamente los Tribunales y los litigantes. </w:t>
      </w:r>
    </w:p>
    <w:p w:rsidR="001C705E" w:rsidRDefault="001C705E" w:rsidP="001C705E">
      <w:pPr>
        <w:pStyle w:val="TextoNormal"/>
      </w:pPr>
      <w:r>
        <w:t>La tesis de la parte recurrente de que son dos cosas distintas no pagar o demorar el pago, es totalmente irrelevante, pues si la parte demandada en el proceso civil no verificó la consignación de las rentas debidas, o al hacerlo extemporáneamente, opera el art. 408 de la Ley de Enjuiciamiento Civil, en el sentido de que transcurrido el término para preparar, interponer, o mejorar cualquier recurso, sin haberlo utilizado, quedará de derecho consentida y pasada en autoridad de cosa juzgada la resolución judicial a que se refiere, sin necesidad de declaración expresa sobre ello.</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Concluso el trámite de alegaciones a que se refieren los anteriores antecedentes, por providencia de 5 de diciembre de 1984 se adoptaron los dos siguientes pronunciamientos: </w:t>
      </w:r>
    </w:p>
    <w:p w:rsidR="001C705E" w:rsidRDefault="001C705E" w:rsidP="001C705E">
      <w:pPr>
        <w:pStyle w:val="TextoNormal"/>
      </w:pPr>
      <w:r>
        <w:t xml:space="preserve">1. En relación al escrito de fecha 12 de noviembre anterior, presentado por el Procurador señor Corujo Pita, el día 19 del mismo mes, por el que solicita que se le tenga por parte actora en este proceso, en nombre de don Manuel Veja Moreno, en lugar de don Manfred Robert Paul Zimmermann, no haber lugar a lo que se pide por cuanto en lo que constituye el objeto del presente proceso de amparo no procede la subrogación que se solicita. </w:t>
      </w:r>
    </w:p>
    <w:p w:rsidR="001C705E" w:rsidRDefault="001C705E" w:rsidP="001C705E">
      <w:pPr>
        <w:pStyle w:val="TextoNormal"/>
      </w:pPr>
      <w:r>
        <w:t>2. Habiéndose recibido de la Sala de lo Civil de la Audiencia Territorial de Barcelona las actuaciones interesadas del Juzgado de Primera Instancia de La Bisbal, se acordó habilitar un plazo común de diez días para que las partes y el Ministerio Fiscal puedan conocerlas y alegar lo que en su derecho convenga.</w:t>
      </w:r>
    </w:p>
    <w:p w:rsidR="001C705E" w:rsidRDefault="001C705E" w:rsidP="001C705E">
      <w:pPr>
        <w:pStyle w:val="TextoNormal"/>
      </w:pPr>
    </w:p>
    <w:p w:rsidR="001C705E" w:rsidRDefault="001C705E" w:rsidP="001C705E">
      <w:pPr>
        <w:pStyle w:val="TextoNormal"/>
      </w:pPr>
      <w:r w:rsidRPr="001C705E">
        <w:rPr>
          <w:rStyle w:val="NumeroAFNegritaCaracter"/>
        </w:rPr>
        <w:t>7</w:t>
      </w:r>
      <w:r>
        <w:t>. En el trámite así abierto, el demandante presentó escrito de alegaciones en el que, en contestación a las de los codemandados, expone que la Jurisdicción constitucional, cuando examina una resolución que afecta al derecho constitucional que consagra la tutela efectiva de Jueces y Tribunales, no puede contentarse con comprobar si aquélla fue o no funda</w:t>
      </w:r>
      <w:r>
        <w:lastRenderedPageBreak/>
        <w:t xml:space="preserve">da en derecho, sino que ha de examinar la interpretación -constitucional o anticonstitucional- que han hecho los órganos jurisdiccionales de los preceptos que aplicaron cuando concedieron o denegaron el derecho amparable. Las sentencias del Tribunal Supremo, que aducen los codemandados, son todas anteriores a la Constitución; por lo que mal puede decirse que tan alto Tribunal pudiera tenerlas en cuenta al emitirlas. No niega el carácter preceptivo del art. 1.567 de la L.E.C. ni su aplicación de oficio; lo que se denuncia es su inconstitucional interpretación. </w:t>
      </w:r>
    </w:p>
    <w:p w:rsidR="001C705E" w:rsidRDefault="001C705E" w:rsidP="001C705E">
      <w:pPr>
        <w:pStyle w:val="TextoNormal"/>
      </w:pPr>
      <w:r>
        <w:t xml:space="preserve">Los demandados se refieren a un momento procesal -el de la admisión del recurso, regulado por el art. 1.566 de la L.E.C.- distinto al de la posterior sustanciación del mismo, que tiene otro tratamiento legal, concretamente en el art. 1.567.2 de la citada Ley Procesal. </w:t>
      </w:r>
    </w:p>
    <w:p w:rsidR="001C705E" w:rsidRDefault="001C705E" w:rsidP="001C705E">
      <w:pPr>
        <w:pStyle w:val="TextoNormal"/>
      </w:pPr>
      <w:r>
        <w:t xml:space="preserve">En contestación al Ministerio Fiscal expone que el art. 1.567.2 dice: «... se tendrá por desierto el recurso...» y el auto del Tribunal Supremo recurrido en amparo decide que «... debe declararse desierto el recurso...». Lo que dice el art. 1.567.2 es una preasumtio iuris tantum; mientras lo que ha hecho el órgano es sancionar un pago demorado denegando el derecho a mantener una casación ya admitida; concluye que son cosas distintas lo que preceptúa el artículo y lo que ha decretado el alto Tribunal. Asimismo añade, la doctrina constitucional, al examinar los condicionamientos legales que puedan privar del acceso a un recurso, no dictamina si éstos son o no razonables; o si su interpetación es razonable o no; sino si ésta o aquéllos son o no constitucionales. Advierte el Ministerio Fiscal que la vinculatoriedad de la doctrina constitucional no se dilucida por su datación más o menos reciente, sino por el art. 13 de su Ley Orgánica. Y con relación a las sentencias que cita el Ministerio Fiscal, puntualiza que dos de ellas son favorables a la tesis del recurrente, y la otra no le es de aplicación. Destaca que el Ministerio Fiscal ha indagado -no se sabe cómo- las intenciones del recurrente y para él «es irrebatible que éste desprecia las exigencias procesales» y a tal acusación responde que el retraso en el pago de los alquileres se ha debido a la actitud de los codemandados arrendadores, que han obligado al actor a ir de Tribunal en Tribunal consignando las rentas, como se puede deducir de los autos y de las certificaciones bancarias. </w:t>
      </w:r>
    </w:p>
    <w:p w:rsidR="001C705E" w:rsidRDefault="001C705E" w:rsidP="001C705E">
      <w:pPr>
        <w:pStyle w:val="TextoNormal"/>
      </w:pPr>
      <w:r>
        <w:t xml:space="preserve">Nos acusa el Fiscal -dice- de infringir adrede un precepto procesal; y no hay tal, nos hemos limitado a denunciar la interpretación anticonstitucional del mismo. </w:t>
      </w:r>
    </w:p>
    <w:p w:rsidR="001C705E" w:rsidRDefault="001C705E" w:rsidP="001C705E">
      <w:pPr>
        <w:pStyle w:val="TextoNormal"/>
      </w:pPr>
      <w:r>
        <w:t xml:space="preserve">Y en cuanto a la imputación del Ministerio Fiscal de que la actuación del demandante va encaminada a lograr una demora en la definitiva resolución en vía judicial de una decisión que le resulta desfavorable, explica que la sentencia desfavorable del Tribunal Supremo aún no se ha emitido; que lo que decida este órgano será en aplicación de una legalidad extraconstitucional, en que el Ministerio Fiscal no debe entrar; que el Tribunal Supremo admitió a trámite los diez motivos de casación del hoy recurrente; que el ilustre señor Fiscal, como jurista que es, puede ver si hay o no fumos iuris en sus alegatos casacionales, leyéndoselos; que el fondo de todo el pleito extraconstitucional es éste: El hoy recurrente convirtió una inmunda tasca en un lujoso restaurante de cuatro tenedores. Y a eso se le quiere llamar arrendamiento de industria. Lo anteriormente expuesto no es materia de amparo; pero las gratuitas conclusiones que el Ministerio Fiscal obtiene, le han obligado -por aquello de que qui tacet consentire videtura- abordar este asunto extraconstitucional. </w:t>
      </w:r>
    </w:p>
    <w:p w:rsidR="001C705E" w:rsidRDefault="001C705E" w:rsidP="001C705E">
      <w:pPr>
        <w:pStyle w:val="TextoNormal"/>
      </w:pPr>
      <w:r>
        <w:t xml:space="preserve">«No es quién el Ministerio Fiscal -afirma el demandante- para decir si hay o no un arrendamiento de industria. Ni tiene derecho a decir que nosotros, al utilizar los recursos que nos otorga la Ley, sólo queremos perder el tiempo. Si ha leído las actuaciones extraconstitucionales, podría -y debía- haber examinado si en primera y segunda instancia se violó o no la Constitución; y eso no lo ha hecho. Si, en cambio, y metiéndose donde nadie </w:t>
      </w:r>
      <w:r>
        <w:lastRenderedPageBreak/>
        <w:t xml:space="preserve">le ha llamado, dictamina la existencia de un arrendamiento de industria y da por bueno que sólo pretendemos demorar una resolución desfavorable (sic)». «Las alegaciones del Ministerio Fiscal nos han obligado a pronunciarnos sobre su impertinencia e inexactitud.» </w:t>
      </w:r>
    </w:p>
    <w:p w:rsidR="001C705E" w:rsidRDefault="001C705E" w:rsidP="001C705E">
      <w:pPr>
        <w:pStyle w:val="TextoNormal"/>
      </w:pPr>
      <w:r>
        <w:t xml:space="preserve">Muestra su disentimiento sobre la interpretación que dicho Ministerio hace del art. 1.567.2 el cual no impone una exigencia procesal, sino que sólo establece, como se deduce con total claridad de su literalidad gramatical, una presunción. </w:t>
      </w:r>
    </w:p>
    <w:p w:rsidR="001C705E" w:rsidRDefault="001C705E" w:rsidP="001C705E">
      <w:pPr>
        <w:pStyle w:val="TextoNormal"/>
      </w:pPr>
      <w:r>
        <w:t xml:space="preserve">Estudiando el articulado de la Ley Procesal referente a los recursos, advierte que hay dos regulaciones: Una, para el trámite de admisión del recurso; y otra, para los trámites posteriores a la admisión (que la Ley llama -y por dos veces- «cualquiera que sea el estado en que se halle»). Para el primer trámite, el de admisión, la Ley establece una sanción: «inadmisión de los recursos de apelación y casación (art. 1.566.1 in initio); o inadmisión del incidente (art. 1.567.3, prop. 2.ª, in initio). Su diáfana redacción nos dice que se trata de una norma sancionatoria, verdadero ius cogens, que castiga el impago de las rentas (y que no castiga aunque se hayan pagado con retraso), con denegar la admisión o interposición del recurso (o, incluso, declarando mal admitido el recurso). </w:t>
      </w:r>
    </w:p>
    <w:p w:rsidR="001C705E" w:rsidRDefault="001C705E" w:rsidP="001C705E">
      <w:pPr>
        <w:pStyle w:val="TextoNormal"/>
      </w:pPr>
      <w:r>
        <w:t xml:space="preserve">Para los restantes trámites, a los que la Ley se refiere con las palabras «cualquiera que sea el estado en que se halle» y «durante la sustanciación del mismo», los preceptos legales, en vez de prever una sanción, establecen una presunción, diciendo «se tendrá por desierto el recurso» (art. 1.567.2, in initio) y «se le tendrá por desistido del incidente» (art. 1.567.3, prop. 2.ª in fine). La redacción es clara; lo que establece la Ley es una presunción (y no un requisito sine qua non, o una formalidad condicionante.) Y ello es irrefutable e irrefutado por el Ministerio Fiscal y los codemandados. El legislador decimonónico, que no tenía ante sus ojos la Constitución de 1978, eso fue lo que estableció: Una presunción; y así quedó establecido. No habló de requisito legal alguno, ni -por ende- de cómo tendría que estimarse cumplido tal requisito. </w:t>
      </w:r>
    </w:p>
    <w:p w:rsidR="001C705E" w:rsidRDefault="001C705E" w:rsidP="001C705E">
      <w:pPr>
        <w:pStyle w:val="TextoNormal"/>
      </w:pPr>
      <w:r>
        <w:t xml:space="preserve">Afirma «que el Ministerio Fiscal vuelva a meterse donde no le llaman al considerar arrendamiento de industria lo que a él no le toca dictaminar (ni siquiera para crear un clima ad hoc, como parece que pretende)». Y que el que el legislador ha querido que se mantenga la obligación de pagar la renta en tanto dure el proceso es algo que también sostiene el demandante y que ha cumplido a pesar de la reluctante actitud de los perceptores de las rentas. </w:t>
      </w:r>
    </w:p>
    <w:p w:rsidR="001C705E" w:rsidRDefault="001C705E" w:rsidP="001C705E">
      <w:pPr>
        <w:pStyle w:val="TextoNormal"/>
      </w:pPr>
      <w:r>
        <w:t xml:space="preserve">Asimismo, puntualiza que el art. 148.4 se diferencia del art. 1.567.2, en el sentido de que mientras aquél contempla el impago de las rentas castigándolo (con la salvedad del plazo de cinco días antes apuntada), éste se limita a establecer una mera presunción. </w:t>
      </w:r>
    </w:p>
    <w:p w:rsidR="001C705E" w:rsidRDefault="001C705E" w:rsidP="001C705E">
      <w:pPr>
        <w:pStyle w:val="TextoNormal"/>
      </w:pPr>
      <w:r>
        <w:t>Concluye que la irregularidad en el cobro de los alquileres se debe a los codemandados que, como se ha demostrado, se niegan a cobrar. «Esta ha sido la causa de que estemos aquí y de que se tramite el presente amparo. Y de esta conducta reluctante quieren aprovecharse ahora los codemandados para desembarazarse de una casación, cuyos motivos, por admitidos temen.»</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En este trámite de alegaciones relativas a las actuaciones remitidas por el Juzgado de La Bisbal, el Ministerio Fiscal expone que no se obtiene de tales actuaciones circunstancia alguna que venga a influir en el planteamiento del proceso de amparo, ni en las conclusiones de su anterior escrito de alegaciones y que, en todo caso entiende que queda por ahora sin esclarecer el importante extremo relativo a si las consignaciones debidas durante la sustanciación del recurso de casación fueron producidas en favor de quien había vencido en las instancias, y rehusadas por éste, con lo que el incumplimiento del presupuesto procesal que llevó a declarar desierto dicho recurso sería imputable no al actual demandante </w:t>
      </w:r>
      <w:r>
        <w:lastRenderedPageBreak/>
        <w:t>en amparo y entonces recurrente en casación, sino al recurrido en este último, extremo que, alegado por el actor en amparo, podría servir, como puso de manifiesto en su anterior escrito de alegaciones dicho Ministerio, para llevar a conclusión distinta de la en él mantenida.</w:t>
      </w:r>
    </w:p>
    <w:p w:rsidR="001C705E" w:rsidRDefault="001C705E" w:rsidP="001C705E">
      <w:pPr>
        <w:pStyle w:val="TextoNormal"/>
      </w:pPr>
    </w:p>
    <w:p w:rsidR="001C705E" w:rsidRDefault="001C705E" w:rsidP="001C705E">
      <w:pPr>
        <w:pStyle w:val="TextoNormal"/>
      </w:pPr>
      <w:r w:rsidRPr="001C705E">
        <w:rPr>
          <w:rStyle w:val="NumeroAFNegritaCaracter"/>
        </w:rPr>
        <w:t>9</w:t>
      </w:r>
      <w:r>
        <w:t>. En el trámite de alegaciones a que se refieren los dos antecedentes que preceden, no ha presentado alegaciones la representación de los demandados.</w:t>
      </w:r>
    </w:p>
    <w:p w:rsidR="001C705E" w:rsidRDefault="001C705E" w:rsidP="001C705E">
      <w:pPr>
        <w:pStyle w:val="TextoNormal"/>
      </w:pPr>
    </w:p>
    <w:p w:rsidR="001C705E" w:rsidRDefault="001C705E" w:rsidP="001C705E">
      <w:pPr>
        <w:pStyle w:val="TextoNormal"/>
      </w:pPr>
      <w:r w:rsidRPr="001C705E">
        <w:rPr>
          <w:rStyle w:val="NumeroAFNegritaCaracter"/>
        </w:rPr>
        <w:t>10</w:t>
      </w:r>
      <w:r>
        <w:t>. Durante la tramitación de este proceso, el demandante de amparo ha presentado dos certificaciones de la Caja de Pensiones para la Vejez y de Ahorros de Cataluña y Baleares, libradas en 22 de agosto y 24 de septiembre de 1984, en las que aparece la retrocesión a los ordenantes de la transferencia efectuada en favor de don Ignacio Tuca Vidal, quien dio orden de no recibir en su cuenta transferencias del señor Zimmermann.</w:t>
      </w:r>
    </w:p>
    <w:p w:rsidR="001C705E" w:rsidRDefault="001C705E" w:rsidP="001C705E">
      <w:pPr>
        <w:pStyle w:val="TextoNormal"/>
      </w:pPr>
    </w:p>
    <w:p w:rsidR="001C705E" w:rsidRDefault="001C705E" w:rsidP="001C705E">
      <w:pPr>
        <w:pStyle w:val="TextoNormal"/>
      </w:pPr>
      <w:r w:rsidRPr="001C705E">
        <w:rPr>
          <w:rStyle w:val="NumeroAFNegritaCaracter"/>
        </w:rPr>
        <w:t>11</w:t>
      </w:r>
      <w:r>
        <w:t>. En pieza separada se acordó por Auto de 12 de septiembre de 1984, confirmado en súplica, suspender la ejecución de la Sentencia impugnada, previa constitución de garantía suficiente por cuantía de 1.800.000 pesetas, ante este Tribunal; garantía que no ha sido constituida.</w:t>
      </w:r>
    </w:p>
    <w:p w:rsidR="001C705E" w:rsidRDefault="001C705E" w:rsidP="001C705E">
      <w:pPr>
        <w:pStyle w:val="TextoNormal"/>
      </w:pPr>
    </w:p>
    <w:p w:rsidR="001C705E" w:rsidRDefault="001C705E" w:rsidP="001C705E">
      <w:pPr>
        <w:pStyle w:val="TextoNormal"/>
      </w:pPr>
      <w:r w:rsidRPr="001C705E">
        <w:rPr>
          <w:rStyle w:val="NumeroAFNegritaCaracter"/>
        </w:rPr>
        <w:t>12</w:t>
      </w:r>
      <w:r>
        <w:t>. Por providencia de 16 de enero pasado se señaló para deliberación y votación del recurso el 6 de febrero siguiente, quedando concluida el día 20.</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En el auto dictado por la Sala Primera del Tribunal Supremo, contra el que se dirige el actual recurso de amparo, se hizo aplicación del párrafo segundo del art. 1.567 de la Ley de Enjuiciamiento Civil, y se tuvo por desierto el recurso de casación interpuesto por el arrendatario de la industria, a consecuencia del impago del precio del arrendamiento en los plazos contractualmente estipulados, auto que en sentir del recurrente viola el derecho a la tutela judicial efectiva que se reconoce en el art.  24.1 de la Constitución, puesto que aquella norma legal de la Ley procesal Civil no hace otra cosa que establecer una presunción iuris tantum sobre el alcance del impago de las rentas del arrendamiento, una vez admitido a trámite el recurso de casación, respecto de la voluntad del recurrente de proseguir el recurso, presunción destruible mediante hechos reales y fehacientemente comprobados, como lo es el de haberse consignado tales rentas, aunque sea con algún retraso en relación con las fechas pactadas en el contrato de arrendamiento.</w:t>
      </w:r>
    </w:p>
    <w:p w:rsidR="001C705E" w:rsidRDefault="001C705E" w:rsidP="001C705E">
      <w:pPr>
        <w:pStyle w:val="TextoNormal"/>
      </w:pPr>
      <w:r>
        <w:t>Se trata, en suma, de una discrepancia entre litigante recurrente en casación civil y la Sala correspondiente del Tribunal Supremo en orden a la interpretación y alcance del precitado art.  1.567.2 de la L.E.C., que en sentir de la Sala conduce a que «dejar de pagar los plazos que venzan» no solo es fenómeno apreciable que se produce por el total e indefinido impago de ellos, sino que también opera cuando el pago o la consignación, en su caso, se produce tardíamente, tesis que, como quedó ya apuntado, el recurrente en amparo no comparte.</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Este recurso de amparo viene a suscitar una vez más la cuestión referente al alcance de la norma contenida en el art. 24.1 de la Constitución, en cuanto establece el derecho </w:t>
      </w:r>
      <w:r>
        <w:lastRenderedPageBreak/>
        <w:t>fundamental a la tutela efectiva de los Jueces y Tribunales en el ejercicio de los derechos e intereses legítimos, sin que en ningún caso se produzca indefensión, y ello respecto de la posibilidad de pervivencia (en unos supuestos) o necesidad de determinada interpretación (en otros), de una serie de preceptos incluidos en los ordenamientos procesales que rigen en las varias jurisdicciones existentes, y que establecen determinados requisitos o presupuestos para la eficaz interposición de los recursos contra las resoluciones judiciales o para posibilitar la sustanciación de los mismos hasta su decisión final.</w:t>
      </w:r>
    </w:p>
    <w:p w:rsidR="001C705E" w:rsidRDefault="001C705E" w:rsidP="001C705E">
      <w:pPr>
        <w:pStyle w:val="TextoNormal"/>
      </w:pPr>
      <w:r>
        <w:t>Decimos que la cuestión se suscita una vez más, y así es en efecto, sin que por su notoria pluralidad sea menester incluir aquí una exhaustiva relación, bastando aludir a los supuestos de exigencia de realizar consignaciones, con las particularidades inherentes al tiempo y forma de las mismas, así como el órgano receptor; ciertos requisitos formales a reunir por los escritos de interposición o de sustanciación de los recursos; o, más próximamente, y hasta similarmente al caso actual, la exigencia legal del cumplimiento de la contractual obligación de pago de las rentas en determinados casos atinentes a arrendamientos de bienes.</w:t>
      </w:r>
    </w:p>
    <w:p w:rsidR="001C705E" w:rsidRDefault="001C705E" w:rsidP="001C705E">
      <w:pPr>
        <w:pStyle w:val="TextoNormal"/>
      </w:pPr>
      <w:r>
        <w:t>Quiérese decir con todo ello, de un lado, que este Tribunal, lejos de repudiar la posibilidad del análisis de esas cuestiones -naturalmente desde una consideración constitucional de las mismas- las ha sometido a su examen precisamente para discernir si aquellas exigencias de los ordenamientos procesales respetan o no las previsiones establecidas en el art. 24.1 de nuestro texto fundamental; pero, igualmente es de notar, que las soluciones aceptadas, aun sin incidir en un casuismo extremado, necesariamente han sido plurales, esto es, de uno u otro signo, pero siempre y en todo caso tras un meditado examen de cuanto el supuesto ha ofrecido, para concluir del modo estimado acorde con el mandato constitucional. Esta es pues la línea que entendemos ha de seguirse también al enfrentarnos con el recurso actual.</w:t>
      </w:r>
    </w:p>
    <w:p w:rsidR="001C705E" w:rsidRDefault="001C705E" w:rsidP="001C705E">
      <w:pPr>
        <w:pStyle w:val="TextoNormal"/>
      </w:pPr>
      <w:r>
        <w:t>A modo de una primera reflexión sobre estos problemas, conviene recordar lo afirmado por este Tribunal Constitucional en su Sentencia de ll de junio de 1984 (R.A. núm. 255/1983) recogiendo a su vez lo declarado en anteriores decisiones, en el sentido de que la normativa vigente ha de interpretarse en el sentido más favorable para la efectividad de aquel derecho fundamental (24.1 de la C.E.), pues aunque las formas y requisitos del proceso cumplen un papel de capital importancia para su ordenación, no oda irregularidad formal puede convertirse en un obstáculo insalvable para su prosecución, con repudio por lo tanto de formalismos enervantes contrarios al espíritu y finalidad de la norma, mas teniendo asimismo en cuenta que no puede dejarse al arbitrio de cada parte el cumplimiento de los requisitos procesales ni la disposición del tiempo en que han de cumplirse.</w:t>
      </w:r>
    </w:p>
    <w:p w:rsidR="001C705E" w:rsidRDefault="001C705E" w:rsidP="001C705E">
      <w:pPr>
        <w:pStyle w:val="TextoNormal"/>
      </w:pPr>
      <w:r>
        <w:t xml:space="preserve">Importa también dejar aquí constancia de que en una larga serie de casos el TC ha entendido que la interpretación y aplicación de las normas que tanto en la Ley de Arrendamientos Urbanos como en la de Enjuiciamiento Civil vedan el acceso a los recursos de apelación y casación, o que incluso hallándose admitidos y en trámite determinan su decaimiento, por impago o falta de consignación de las rentas contractualmente convenidas, es algo que normalmente se halla deferido a los Tribunales ordinarios, y aboca a inadmisibilidades de los pretendidos recursos constitucionales de amparo (Autos de 23 de noviembre de 1983, 9 de mayo, 30 de julio y 19 de septiembre de 1984. Recursos de amparo núms. 339/1983, 111, 401 y 354/1984). En este mismo sentido la Sentencia de 14 de noviembre de 1984 (recurso de amparo 185/1984) señala que sólo en caso de que se hubiere efectuado una aplicación manifiestamente arbitraria podría traerse a este Tribunal la cuestión del error en que se pretende ha incurrido el Tribunal del orden civil al aplicar los arts. 1.566 y 1.567 de la L.E.C., tesis en la que de tal modo se vino a insistir en la reflejada en </w:t>
      </w:r>
      <w:r>
        <w:lastRenderedPageBreak/>
        <w:t>la Sentencia de 10 de mayo del propio citado año de 1984 (recurso de amparo 630/1983), en la que consta además que la inadmisión del recurso de apelación estuvo determinada por la no realización dentro de plazo no de la consignación de las rentas, sino la acreditación de estar al corriente de su pago, afirmándose en ese fallo que la consideración de mal admitido el recurso de apelación por haber incumplido el recurrente uno de los requisitos procesales, no constituye en principio una vulneración del derecho a la tutela efectiva de Jueces y Tribunales, concluyendo en el sentido, a que ya se aludió antes, de que no cabe dejar al arbitrio de cada parte el cumplimiento de los requisitos procesales o la disponibilidad del tiempo en que han de cumplirse, pues efectivamente a esto último es a lo que se llegaría si se otorgase el amparo solicitado, que consistiría -frente a lo que disponen con toda claridad los preceptos legales aplicables-, o bien en eximir al recurrente del requisito de acreditar, en el momento de la interposición del recurso de apelación, que está al corriente en el pago de las rentas, o bien en dejar a su arbitrio el tiempo en que habría de cumplirse tal requisito, o bien en privar de toda eficacia el mandato que lo impone.</w:t>
      </w:r>
    </w:p>
    <w:p w:rsidR="001C705E" w:rsidRDefault="001C705E" w:rsidP="001C705E">
      <w:pPr>
        <w:pStyle w:val="TextoNormal"/>
      </w:pPr>
    </w:p>
    <w:p w:rsidR="001C705E" w:rsidRDefault="001C705E" w:rsidP="001C705E">
      <w:pPr>
        <w:pStyle w:val="TextoNormal"/>
      </w:pPr>
      <w:r w:rsidRPr="001C705E">
        <w:rPr>
          <w:rStyle w:val="NumeroAFNegritaCaracter"/>
        </w:rPr>
        <w:t>3</w:t>
      </w:r>
      <w:r>
        <w:t>. Con regreso al muy concreto supuesto motivador del actual recurso de amparo, parece claro que en el segundo párrafo del art. 1.567 de la L.E.C., al imponerse la declaración de desierto del recurso de casación interpuesto por el arrendatario, si durante la sustanciación del mismo dejare de pagar los plazos que venzan o los que deba adelantar, el legislador no hace otra cosa que establecer un presupuesto habilitante para la prosecución del trámite del recurso de casación, lo que, de una parte no cabe reputar como exigencia exorbitante, injustificada y simplemente entorpecedora de la dispensación de la tutela judicial efectiva a determinados litigantes, desde el punto en que es común opinión que lo pretendido no es otra cosa que asegurar de algún modo el puntual cumplimiento de lo contractualmente pactado, en algo tan esencial como el pago del precio convenido por el arrendamiento, ello tras uno o más pronunciamientos jurisdiccionales emitidos en la instancia, y en su caso en grado de apelación, adversos al arrendatario que recurre en casación, sin perjuicio, por supuesto, de lo que en esta última fase pueda decidir el Tribunal Supremo en vía casacional; y, de otro lado, y precisamente por lo que acabamos de exponer, es de notar que no se puede compartir la tesis de que la cuestionada norma que integra el art. 1.567.2 de la L.E.C. se limita a establecer una presunción iuris tantum, y como tal destruible mediante la adecuada prueba en contrario, en el sentido de que el impago de la renta no representa otra cosa que la voluntad del recurrente en casación de apartarse de tal vía, pudiéndose presumir así cuando el pago no se realiza, para invertir la situación al efectuarse el pago, momento en que la presunción decae.</w:t>
      </w:r>
    </w:p>
    <w:p w:rsidR="001C705E" w:rsidRDefault="001C705E" w:rsidP="001C705E">
      <w:pPr>
        <w:pStyle w:val="TextoNormal"/>
      </w:pPr>
      <w:r>
        <w:t xml:space="preserve">Es difícil sostener que la exigencia en que se funda la resolución de la Sala Primera del Tribunal Supremo -cumplimiento en la fecha contractualmente pactada de la obligación de pago del precio de arrendamiento-, viene a privar al arrendatario de la efectiva tutela de Jueces y Tribunales, incluso hasta el punto de causarle indefensión que el art. 24.1 de la C. E. proscribe. Quizá convenga afirmar que no es infrecuente considerar tal precepto tomando en cuenta tan sólo uno de los elementos subjetivos implicados en el litigio, esto es, desde el punto de vista del arrendatario, al que -por aquella circunstancia del impago- se le veda la resolución final a emitir en el recurso, con olvido de que parejo derecho a la tutela judicial efectiva atribuye el precepto constitucional respecto del arrendador, el que está legítimamente facultado para percibir el precio del arrendamiento precisamente en el momento estipulado, tanto más cuanto que cuando se producen estas situaciones procesales a lo menos una resolución judicial ha proclamado ya lo ajustado a derecho de la pretensión del arrendador, y no ha de determinar mayores perjuicios para el mismo, el seguimiento de </w:t>
      </w:r>
      <w:r>
        <w:lastRenderedPageBreak/>
        <w:t>una cadena de recursos, mediante los cuales ningún daño se deriva para el arrendatario, que sigue en el aprovechamiento del bien arrendado. En definitiva no se trata más que del cumplimiento puntual de la repetida obligación, y ello en un extremo -el de la fecha de los pagos- originaria y contractualmente prevista y aceptada por ambas partes, y como tal perfectamente conocida por las mismas, por lo que erigir aquella legal exigencia en un obstáculo o impedimento de la prestación de la tutela judicial no parece procedente.</w:t>
      </w:r>
    </w:p>
    <w:p w:rsidR="001C705E" w:rsidRDefault="001C705E" w:rsidP="001C705E">
      <w:pPr>
        <w:pStyle w:val="TextoNormal"/>
      </w:pPr>
      <w:r>
        <w:t>Naturalmente que la solución podría no ser la misma si se hubiera acreditado en este recurso de amparo que el impago de la renta en tiempo obedeció a una injustificada negativa del arrendador a su percibo, más aún con abstracción de que nuestro ordenamiento prevé remedios frente a esas situaciones, que no es preciso detallar. En este recurso de amparo se hizo constar en las alegaciones de la demandante en amparo, de 7 de abril de 1984, que el retraso en el pago «se ha debido a circunstancias en las que no podemos entrar en esta instancia, ni siquiera aludiéndolas», y si bien ulteriormente aportó certificaciones de determinada Caja de Ahorros, expresivas del repudio del arrendador al percibo de las rentas, ello se refiere a vencimientos del año 1984, siendo que los determinantes del decaimiento del recurso de casación fueron los del año 1983.</w:t>
      </w:r>
    </w:p>
    <w:p w:rsidR="001C705E" w:rsidRDefault="001C705E" w:rsidP="001C705E">
      <w:pPr>
        <w:pStyle w:val="TextoNormal"/>
      </w:pPr>
      <w:r>
        <w:t>Por todo ello cabe concluir que la exigencia legal de que se trata no puede entenderse de otro modo que en el sentido de que los pagos del precio del arrendamiento han de verificarse de acuerdo con la previsión temporal establecida en el contrato que vincule a las partes, sin que por lo tanto se deba considerar indefinidamente abierta en el tiempo la posibilidad de pago de la renta, bien que por lo que importa al alcance del derecho fundamental a la tutela judicial previsto en el art. 24 de la C.E.  no se descarte la pertinencia del examen particularizado de determinadas imaginables situaciones que la realidad puede ofrecer, merecedoras de que se valoren dificultades absolutas o aun relativas, que hayan podido vedar u obstaculizar el cumplimiento de la exigencia legal repetidamente aludida, ante las que, por supuesto, no nos hallamos en el caso que se resuelve, en el que la parte recurrente ni siquiera alega nada en concreto acerca de cuanto acabamos de reflejar.</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w:t>
      </w:r>
    </w:p>
    <w:p w:rsidR="001C705E" w:rsidRDefault="001C705E" w:rsidP="001C705E">
      <w:pPr>
        <w:pStyle w:val="TextoNormal"/>
      </w:pPr>
    </w:p>
    <w:p w:rsidR="001C705E" w:rsidRDefault="001C705E" w:rsidP="001C705E">
      <w:pPr>
        <w:pStyle w:val="TextoNormal"/>
      </w:pPr>
      <w:r>
        <w:t>Publíquese en el «Boletín Oficial del Estado».</w:t>
      </w:r>
    </w:p>
    <w:p w:rsidR="001C705E" w:rsidRDefault="001C705E" w:rsidP="001C705E">
      <w:pPr>
        <w:pStyle w:val="TextoNormal"/>
      </w:pPr>
      <w:r>
        <w:t>Dada en Madrid, a veintiocho de febrero de mil novecientos ochenta y cinco.</w:t>
      </w:r>
    </w:p>
    <w:p w:rsidR="001C705E" w:rsidRDefault="001C705E" w:rsidP="001C705E">
      <w:pPr>
        <w:pStyle w:val="ParrafoNormal"/>
      </w:pPr>
    </w:p>
    <w:p w:rsidR="001C705E" w:rsidRDefault="001C705E" w:rsidP="001C705E">
      <w:pPr>
        <w:pStyle w:val="TextoNormalNegritaCentrado"/>
        <w:keepNext/>
      </w:pPr>
      <w:r>
        <w:t>Voto disidente que formula el Magistrado don Luis Díez-Picazo y Ponce de León.</w:t>
      </w:r>
    </w:p>
    <w:p w:rsidR="001C705E" w:rsidRDefault="001C705E" w:rsidP="001C705E">
      <w:pPr>
        <w:pStyle w:val="TextoNormalNegritaCentrado"/>
        <w:keepNext/>
      </w:pPr>
    </w:p>
    <w:p w:rsidR="001C705E" w:rsidRDefault="001C705E" w:rsidP="001C705E">
      <w:pPr>
        <w:pStyle w:val="TextoNormal"/>
      </w:pPr>
      <w:r>
        <w:t xml:space="preserve">La singularidad que presenta el asunto en esta ocasión sometido a nuestra decisión -y las razones que me llevan a disentir de la opinión de la mayoría- consiste en que el arrendatario, cuyo recurso de casación había sido (en su día) admitido sin problemas en virtud de las manifestaciones hechas por él mismo y no rebatidas por la otra parte litigante sobre </w:t>
      </w:r>
      <w:r>
        <w:lastRenderedPageBreak/>
        <w:t>la situación de las rentas arrendaticias, existente en el momento de recurrir, pagó posteriormente en la Secretaría del Tribunal y, si bien lo hizo con retraso respecto de las fechas contractualmente estipuladas, lo llevó a cabo antes de que el arrendador -o el Tribunal- acusaran la falta de pago. La decisión de aplicar el párrafo segundo del art. 1.567 de la Ley de Enjuiciamiento Civil, que la Sala Primera del Tribunal Supremo adoptó, no es objetable en términos de pura literalidad del precepto. Efectivamente, el art. 1.567 de la Ley de Enjuiciamiento Civil permite tener por desierto un recurso de casación si durante la sustanciación del mismo el arrendatario deja «de pagar los plazos que venzan o los que deba adelantar». El art. 1.567 de la Ley de Enjuiciamiento Civil no resuelve, sin embargo, en su pura literalidad, la cuestión que aquí había sido suscitada: si pagados los plazos ya vencidos contractualmente antes de que fuera por nadie formulada reclamación de ellos, puede tenerse por desierto el recurso, por el hecho de que los pagos se retrasaran en relación con los momentos temporales en que contractualmente debieron ser hechos, porque puede entenderse que el dejar de pagar de que habla el art. 1.567 de la Ley de Enjuiciamiento Civil no es lo mismo que pagar con retraso. El problema que a este Tribunal debe preocupar estriba, en mi modesta opinión, en si la interpretación del art.  1.567 de la L.E.C., tradicionalmente sostenida (pagar retrasadamente es igual que dejar de pagar) tiene que ser revisada o no a la luz del art. 24 de la Constitución y de los derechos reconocidos como fundamentales por dicho artículo. Este problema no ha sido resuelto en las decisiones de este Tribunal relativas a las consignaciones necesarias para interponer los recursos y, por eso, en los términos que quedan descritos, creo que se suscita por primera vez.</w:t>
      </w:r>
    </w:p>
    <w:p w:rsidR="001C705E" w:rsidRDefault="001C705E" w:rsidP="001C705E">
      <w:pPr>
        <w:pStyle w:val="TextoNormal"/>
      </w:pPr>
      <w:r>
        <w:t xml:space="preserve">Para dejarlo planteado, según mi opinión, hay que partir de una concepción del derecho a la tutela judicial efectiva, pues si este derecho es sólo el derecho de acceso a la jurisdicción, a la apertura del proceso y al desarrollo o sustanciación del proceso con las necesarias garantías, poniéndole fin una resolución fundada, como en ocasiones este Tribunas ha sostenido, me parece claro que en el caso presente no podría pensarse en una vulneración de los derechos reconocidos por el art. 24. En cambio, si se entiende que el derecho a la tutela judicial efectiva es básicamente el derecho a un pronunciamiento sobre el fondo de las pretensiones deducidas por el ciudadano y si se entiende, al mismo tiempo, que, si bien en materia civil no existe como constitucionalmente necesario un derecho a los recursos, los recursos organizados y establecidos por el legislador deben interpretarse y entenderse de esa forma más favorable a la mencionada tutela judicial efectiva, de suerte que los requisitos y obstáculos para la interposición de los recursos, para la sustanciación de los mismos y para el pronunciamiento de una sentencia de fondo, deben resultar proporcionada con los fines - constitucionalmente legítimos- que con ellos se pretenda conseguir, es claro que se impone una reinterpretación secundum constitutionem del párrafo segundo del art. 1.567 de la L.E.C., que despoje a la decisión contemplada por este precepto del formalismo y del automatismo de que tradicionalmente podía encontrarse revestida.  Desde este punto de vista, el pago de las mercedes arrendaticias puede considerarse como un requisito constitucionalmente legítimo de la interposición y admisión de los recursos y de la continuación de los mismos (porque el arrendatario continúa en el uso de la cosa arrendada y debe por ello pagar el precio). A ello, atiende una medida dictada para la legítima protección de los intereses del arrendador, que, si el procedimiento no se encontrara pendiente, podría por falta de pago ejercitar su derecho al desahucio. Sin embargo, también desde ese punto de vista puede entenderse que el que paga, aunque sea con un retraso mínimo y paga en todo caso antes de que se formule la reclamación o la denuncia de la falta de pago, cumple los requisitos establecidos de forma constitucionalmente legítima por el legislador, y su recurso debe continuar, por venir así impuesto por una interpretación del </w:t>
      </w:r>
      <w:r>
        <w:lastRenderedPageBreak/>
        <w:t>art. 1.567 de la L.E.C. más favorable a la tutela judicial efectiva entendida como pronunciamiento sobre el fondo del asunto.</w:t>
      </w:r>
    </w:p>
    <w:p w:rsidR="001C705E" w:rsidRDefault="001C705E" w:rsidP="001C705E">
      <w:pPr>
        <w:pStyle w:val="TextoNormal"/>
      </w:pPr>
      <w:r>
        <w:t>Estas son las razones que motivan mi discrepancia con la Sentencia que en este caso pronuncia la Sala.</w:t>
      </w:r>
    </w:p>
    <w:p w:rsidR="001C705E" w:rsidRDefault="001C705E" w:rsidP="001C705E">
      <w:pPr>
        <w:pStyle w:val="TextoNormal"/>
      </w:pPr>
      <w:r>
        <w:t>Madrid, a veintiocho de febrero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3" w:name="SENTENCIA_1985_30"/>
      <w:r>
        <w:lastRenderedPageBreak/>
        <w:t>SENTENCIA 30/1985, de 1 de marzo de 1985</w:t>
      </w:r>
    </w:p>
    <w:bookmarkEnd w:id="33"/>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ECLI:ES:TC:1985:30</w:t>
      </w:r>
    </w:p>
    <w:p w:rsidR="001C705E" w:rsidRDefault="001C705E" w:rsidP="001C705E">
      <w:pPr>
        <w:pStyle w:val="SntesisDescriptiva"/>
      </w:pPr>
    </w:p>
    <w:p w:rsidR="001C705E" w:rsidRDefault="001C705E" w:rsidP="001C705E">
      <w:pPr>
        <w:pStyle w:val="SntesisDescriptiva"/>
      </w:pPr>
      <w:r>
        <w:t>Recurso de amparo 413/1984. Contra Auto de sobreseimiento de causa penal</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No habiendo previsto la parte actora la fundamentación del recurso en la violación de derechos constitucionales, tal y como ella misma declara, mal puede entenderse sobreentendida -o contenida en el recurso- una invocación que confiera a la pretensión ejercitada una dimensión constitucional. </w:t>
      </w:r>
    </w:p>
    <w:p w:rsidR="001C705E" w:rsidRDefault="001C705E" w:rsidP="001C705E">
      <w:pPr>
        <w:pStyle w:val="Extracto"/>
      </w:pPr>
    </w:p>
    <w:p w:rsidR="001C705E" w:rsidRDefault="001C705E" w:rsidP="001C705E">
      <w:pPr>
        <w:pStyle w:val="Extracto"/>
      </w:pPr>
      <w:r>
        <w:t>2.</w:t>
      </w:r>
      <w:r>
        <w:tab/>
        <w:t xml:space="preserve">El requisito del art. 44.1 c) de la LOTC no es una exigencia rituaria, sino que obedece a la misma significación del amparo, pues tiene como finalidad y razón de ser hacer posible el restablecimiento del derecho constitucional vulnerado dentro de la propia jurisdicción ordinaria, al ser el amparo constitucional el medio último y subsidiario de las garantías de las libertades y derechos fundamentales. </w:t>
      </w:r>
    </w:p>
    <w:p w:rsidR="001C705E" w:rsidRDefault="001C705E" w:rsidP="001C705E">
      <w:pPr>
        <w:pStyle w:val="Extracto"/>
      </w:pPr>
    </w:p>
    <w:p w:rsidR="001C705E" w:rsidRDefault="001C705E" w:rsidP="001C705E">
      <w:pPr>
        <w:pStyle w:val="Extracto"/>
      </w:pPr>
      <w:r>
        <w:t>3.</w:t>
      </w:r>
      <w:r>
        <w:tab/>
        <w:t xml:space="preserve">Las garantías constitucionalizadas del art. 24 de la C.E. no han sido quebrantadas en el presente caso, pues los actores han sido admitidos como parte acusadora y, en esta posición acusatoria, han participado en todos y cada uno de los actos en que se manifiesta ese ejercicio, pues la denegación del procesamiento y la conclusión del sumario y sobreseimiento de la causa -por lo demás, provisional- no afecta al derecho que proclama el art. 24.1 de la C.E., que no constitucionaliza el derecho a una resolución favorable a las pretensiones de la parte.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promovido por don Manuel Utrera Borrego, don Antonio, doña María Angeles y don Andrés García Pedregal, representados por el Procurador don Luciano Rosch Nadal y dirigidos por el Abogado don Antonio Mates, contra el sobresei</w:t>
      </w:r>
      <w:r>
        <w:lastRenderedPageBreak/>
        <w:t>miento de la causa penal 36/1983, del Juzgado de Instrucción núm. 7 de Sevilla, y en el que ha comparecido el Ministerio Fiscal, siendo Ponente el Presidente de la Sala, don Jerónimo Arozamena Sierra, quien expresa el parecer de la misma.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Procurador don Luciano Rosch Nadal, en nombre de don Manuel Utrera Borrego, don Antonio, doña María Angeles y don Andrés García Pedregal, interpuso el 5 de junio de 1984 recurso de amparo contra la resolución del Juzgado de Instrucción núm. 7 de los de Sevilla de 13 de octubre de 1983 (sumario 36 de 1983) que declaró concluso el sumario y decretó el sobreseimiento provisional, y las que resolviendo, recursos de reforma (del 28 de noviembre de 1983) y de apelación, por la Audiencia Provincial el 11 de mayo de 1984, que confirmó el de sobreseimiento. El recurso de amparo se funda en el art. 24.1 de la Constitución, por entender que el sobreseimiento provisional no debió ser la resolución procedente en el sumario antes indicado y, por el contrario, que debió procesarse a las personas que indica y seguir el curso del proceso hasta juicio oral. Relata los hechos que acaecieron el día 23 de marzo de 1983, y la detención e ingreso en el Depósito de Detenidos de Aquilino Utrera Recio y José García Pedregal y el incendio posterior acaecido en el depósito y la muerte de los detenidos como consecuencia de este incendio, y como estos hechos dieron lugar al sumario indicado en el que se practicaron las pruebas que estimó el Juez de Instrucción, sin negarse ninguna a la parte acusadora, que concluyó por Auto de sobreseimiento, que es el recurrido en reforma y luego en apelación, y desestimados estos recursos en amparo, porque, a su juicio, y según la valoración que hace en los escritos de recurso, existían indicios racionales de criminalidad suficientes para decretar el procesamiento de las personas que indica, haciendo, a este fin, un análisis de las investigaciones realizadas de las que concluye o bien una actuación culposa o bien una actuación dolosa, con dolo eventual.</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El recurso de amparo fue admitido a trámite por providencia del 9 de julio de 1984 y cumplido lo que dispone el art. 51 de la LOTC, se pasó al de alegaciones tal como dispone el art. 52 también de la LOTC, presentando alegaciones la parte actora y el Ministerio Fiscal. </w:t>
      </w:r>
    </w:p>
    <w:p w:rsidR="001C705E" w:rsidRDefault="001C705E" w:rsidP="001C705E">
      <w:pPr>
        <w:pStyle w:val="TextoNormal"/>
      </w:pPr>
      <w:r>
        <w:t xml:space="preserve">A) La parte actora: a) reproduce las contenidas en la demanda; b) dice que el Auto de la Audiencia de Sevilla sostiene que «los elementos de prueba y juicio obrantes en la instrucción practicada permiten concluir que el doble resultado letal acaecido está unido por adecuada relación de causalidad a la voluntad, maliciosa o no, de las víctimas», y de esta afirmación de la Audiencia deduce la parte actora que la Audiencia parte de que el incendio se provocó por las víctimas utilizando un encendedor, luego hallado en la celda; pero aparte de que esto no está acreditado, cree que de la existencia de este encendedor se infiere una actuación negligente de los guardias que detuvieron a las víctimas, pues debieron, dicen, tomar todas las medidas para evitar la introducción en la celda de un objeto con el que podían atentar contra su vida; c) con la investigación sumarial no está agotada la que pudo practicarse refiriéndose a hechos, no a pruebas, no debidamente investigados, a lo que añade otros respecto a los actos posteriores al incendio, y d) entiende que la valoración de los hechos sólo puede realizarse en el acto del juicio oral; con todo lo cual reproduce la petición que hizo en la demanda que es «declare haber lugar al otorgamiento de amparo a mis mandantes, revocando el Auto recurrido y ordenando el procesamiento de </w:t>
      </w:r>
      <w:r>
        <w:lastRenderedPageBreak/>
        <w:t xml:space="preserve">A. G. A., J. 0. S. y J. M. F., con la continuación de las actuaciones hasta el acto del juicio oral». </w:t>
      </w:r>
    </w:p>
    <w:p w:rsidR="001C705E" w:rsidRDefault="001C705E" w:rsidP="001C705E">
      <w:pPr>
        <w:pStyle w:val="TextoNormal"/>
      </w:pPr>
      <w:r>
        <w:t>B) El Ministerio Fiscal después de la exposición de hechos y de referirse al motivo del recurso, se opone al otorgamiento del amparo, por las razones siguientes: a) no se ha invocado el derecho fundamental que se estima violado, cuando pudo hacerse en el recurso de reforma y en el recurso de apelación, por lo que no se cumple el requisito del art. 44.1 c) de la LOTC; b) la petición que se hace en la demanda es impropia de un proceso de amparo, pues se pide el procesamiento, y es la misma que se hizo en la apelación reiterando el mismo relato fáctico y la misma fundamentación jurídica a lo que se une ahora la invocación del art. 24.1 de la Constitución, citado erróneamente como art. 25; c) entrando en lo que llama fondo del asunto, esto es, respecto a la procedencia o no del procesamiento, llega a la conclusión de que no puede atribuirse la muerte «ni a un cacheo que se piensa hecho con ligereza, ni a una falta de vigilancia que por fuerza tiene que ser muy reducida cuando precisamente se pone a buen recaudo a una persona (lo que no impide, empero, a la demanda, cuando toca este punto, hablar de dolo eventual, esto es, homicidio voluntario), ni a que, cuando se pretendió sofocar el fuego o la humareda no se actuase "con el ímpetu necesario y el valor que el caso requería", suposición gratuita, más todavía desconociéndose, como se desconoce, la magnitud del incendio y humareda consiguiente en aquel momento».</w:t>
      </w:r>
    </w:p>
    <w:p w:rsidR="001C705E" w:rsidRDefault="001C705E" w:rsidP="001C705E">
      <w:pPr>
        <w:pStyle w:val="TextoNormal"/>
      </w:pPr>
    </w:p>
    <w:p w:rsidR="001C705E" w:rsidRDefault="001C705E" w:rsidP="001C705E">
      <w:pPr>
        <w:pStyle w:val="TextoNormal"/>
      </w:pPr>
      <w:r w:rsidRPr="001C705E">
        <w:rPr>
          <w:rStyle w:val="NumeroAFNegritaCaracter"/>
        </w:rPr>
        <w:t>3</w:t>
      </w:r>
      <w:r>
        <w:t>. Por providencia del 28 de noviembre de 1984, se señaló para la deliberación de este asunto el 27 de febrero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Opone con razón el Ministerio Fiscal al otorgamiento del amparo, ante todo, que no se dio cumplimiento por los actores a lo que dispone el art. 44.1 c) de la LOTC precepto según el cual el recurso de amparo contra resoluciones judiciales está condicionado, entre otros requisitos, a que se haya invocado formalmente en el proceso de amparo el derecho constitucional vulnerado, tan pronto como, una vez conocida la violación, hubiere lugar para ello. La parte actora reconoce que no estuvo en su previsión la invocación de derechos constitucionales vulnerados, a lo que, añade, sin embargo, que la invocación del art. 24.1 puede entenderse implícita en los escritos de reforma y de apelación. Difícilmente son compatibles estas afirmaciones, pues si no estuvo en su previsión la fundamentación del recurso en la violación de derechos constitucionales, mal puede entenderse sobreentendida -o contenida en el recurso- una invocación que confiere a la pretensión ejercitada una dimensión constitucional.  No se articuló en la reforma y luego en la apelación, una pretensión impugnatoria de la resolución de «sobreseimiento provisional» de la causa basada en que tal resolución vulneraba el derecho fundamental del art.  24.1 -u otro de los susceptibles de amparo a tenor de lo que dispone el art.  53.2 de la Constitución; la impugnación dirigida a combatir el sobreseimiento provisional del art. 641.2 de la Ley de Enjuiciamiento Criminal, se sustentó, exclusivamente, en que de las investigaciones practicadas podían deducirse motivos suficientes para acusar a determinadas personas como autoras del hecho que dio lugar a la formación de la causa, con lo que se estaba sosteniendo que a entender de la acusación particular resultaban del sumario indicios racionales de criminalidad contra determinadas personas, por lo que procedía -según dispone el art. 384 de la L.E.Cr.- el procesamiento de estas personas, y no el sobreseimiento provisional. No </w:t>
      </w:r>
      <w:r>
        <w:lastRenderedPageBreak/>
        <w:t>se invocó derecho constitucional alguno y no puede entenderse incluida la invocación en el conjunto de la argumentación actora, y, en realidad, desde ningún aspecto se relató una situación subsumible en el art. 24.1 de la Constitución, pues ningún obstáculo se opuso al ejercicio de la acción penal, a participar en la posición acusatoria en todos y cada uno de los actos en que se manifiesta el ejercicio de la acción, y a instar todos los medios conducentes a la defensa de sus intereses en el proceso que permitiera con amplitud entender cumplido lo que previene el art. 44.1 c).  El requisito de este precepto no es, por lo demás, una exigencia rituaria, obedece a la misma significación del amparo, pues tiene como finalidad y razón de ser hacer posible el restablecimiento del derecho constitucional vulnerado dentro de la propia jurisdicción ordinaria, al ser el amparo constitucional el medio último y subsidiario de las garantías de las libertades y derechos fundamentales.</w:t>
      </w:r>
    </w:p>
    <w:p w:rsidR="001C705E" w:rsidRDefault="001C705E" w:rsidP="001C705E">
      <w:pPr>
        <w:pStyle w:val="TextoNormal"/>
      </w:pPr>
    </w:p>
    <w:p w:rsidR="001C705E" w:rsidRDefault="001C705E" w:rsidP="001C705E">
      <w:pPr>
        <w:pStyle w:val="TextoNormal"/>
      </w:pPr>
      <w:r w:rsidRPr="001C705E">
        <w:rPr>
          <w:rStyle w:val="NumeroAFNegritaCaracter"/>
        </w:rPr>
        <w:t>2</w:t>
      </w:r>
      <w:r>
        <w:t>. Con ser bastante la falta del presupuesto del art. 44.1 c) de la LOTC para que el amparo no pueda prosperar, se une a ello que no se articula en la demanda una pretensión de amparo, aunque otra cosa digan los demandantes, pues lo que piden es que revoquemos el Auto de sobreseimiento y dispongamos el procesamiento de las personas que dicen, que no es una pretensión de las que configuran el amparo, a tenor, entre otros, de los arts. 44, 49 y 55.1 de la LOTC. Se confunden los demandantes al considerar al amparo, como otra instancia superpuesta a la que alude el art. 795 de la L.E.Cr. cuando dice que contra los autos que dicte el Juez -entre ellos el de conclusión y sobreseimiento provisional cuando el procedimiento no estuviere dirigido contra persona alguna y concurriese alguno de los supuestos del art. 641 - podrá interponer el Fiscal y las partes acusadoras recurso de apelación, entre otros objetivos, para que en la Audiencia Provincial se considere la petición de procesamiento.  Constreñida la discrepancia a la valoración de la investigación a los efectos del art. 384, y, por tanto, a la apreciación de si existen o no indicios racionales de criminalidad contra determinada persona, y examinada la cuestión por el Juez Instructor y la Audiencia Provincial, no puede trasladarse a este Tribunal Constitucional el juicio respecto de los motivos suficientes para procesar, pues esto pertenece a la esfera del Juez de Instrucción y, en su caso, de la Audiencia Provincial. Las garantías constitucionalizadas por el art. 24, que son el motivo único del recurso, aducido por los recurrentes, no han sido quebrantadas, pues los actores han sido admitidos como parte acusadora, y, en esta posición acusatoria, han participado en todos y cada uno de los actos en que se manifiesta ese ejercicio, y tenido -sin restricciones- el libre acceso a la investigación, sin que se les haya negado medios instructorios dirigidos a la acusación. La denegación del procesamiento, y la conclusión del sumario y sobreseimiento de la causa -por lo demás provisional- no afecta al derecho que proclama el art.  24.1, que no constitucionaliza el derecho a una resolución favorable a las pretensiones de la parte.</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 por don Manuel Utrera Borrego, don Antonio, doña María Angeles y don Andrés García Pedregal.</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uno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4" w:name="SENTENCIA_1985_31"/>
      <w:r>
        <w:lastRenderedPageBreak/>
        <w:t>SENTENCIA 31/1985, de 5 de marzo de 1985</w:t>
      </w:r>
    </w:p>
    <w:bookmarkEnd w:id="34"/>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ECLI:ES:TC:1985:31</w:t>
      </w:r>
    </w:p>
    <w:p w:rsidR="001C705E" w:rsidRDefault="001C705E" w:rsidP="001C705E">
      <w:pPr>
        <w:pStyle w:val="SntesisDescriptiva"/>
      </w:pPr>
    </w:p>
    <w:p w:rsidR="001C705E" w:rsidRDefault="001C705E" w:rsidP="001C705E">
      <w:pPr>
        <w:pStyle w:val="SntesisDescriptiva"/>
      </w:pPr>
      <w:r>
        <w:t>Recurso de amparo 718/1984. Contra Auto del Juzgado Togado de Justicia Militar de Instrucción núm. 1 de Burgos recaído en procedimiento de "habeas corpus"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libertad personal reconocida en el art. 17.1 de la C.E. queda vulnerada cuando se priva de ella a una persona sin observar lo dispuesto en el mismo o en casos o forma no previstos en la Ley. De aquí que el incumplimiento del principio de legalidad punitiva (tipicidad) y procesal pueda configurarse como una vulneración de la libertad personal, en garantía de la cual, el propio art. 17.1 prevé la regulación por Ley de un procedimiento de «habeas corpus» para producir la inmediata puesta a disposición judicial de toda persona detenida ilegalmente. Dada la función que cumple este procedimiento, no cabe duda de que comprende potencialmente todos los supuestos en que se produce una privación de libertad no acordada por el Juez, con objeto de conseguir el resultado indicado si la detención fuera ilegal, en la forma y con el alcance que precisa la Ley Orgánica 6/1984. </w:t>
      </w:r>
    </w:p>
    <w:p w:rsidR="001C705E" w:rsidRDefault="001C705E" w:rsidP="001C705E">
      <w:pPr>
        <w:pStyle w:val="Extracto"/>
      </w:pPr>
    </w:p>
    <w:p w:rsidR="001C705E" w:rsidRDefault="001C705E" w:rsidP="001C705E">
      <w:pPr>
        <w:pStyle w:val="Extracto"/>
      </w:pPr>
      <w:r>
        <w:t>2.</w:t>
      </w:r>
      <w:r>
        <w:tab/>
        <w:t xml:space="preserve">Toda persona privada de libertad que considere lo ha sido ilegalmente, puede acudir al procedimiento de «habeas corpus». El Juez competente, al decidir mediante la oportuna resolución, determinará si la detención es ilegal o no, y acordará lo procedente. Ahora bien, si no calificara de ilegal una privación de libertad en la que no se haya observado el principio de legalidad en el orden punitivo (tipicidad) y procesal, con los efectos consiguientes, la decisión dictada vulneraría el art. 24.1 de la C.E., que establece con toda rotundidad tales principios. </w:t>
      </w:r>
    </w:p>
    <w:p w:rsidR="001C705E" w:rsidRDefault="001C705E" w:rsidP="001C705E">
      <w:pPr>
        <w:pStyle w:val="Extracto"/>
      </w:pPr>
    </w:p>
    <w:p w:rsidR="001C705E" w:rsidRDefault="001C705E" w:rsidP="001C705E">
      <w:pPr>
        <w:pStyle w:val="Extracto"/>
      </w:pPr>
      <w:r>
        <w:t>3.</w:t>
      </w:r>
      <w:r>
        <w:tab/>
        <w:t xml:space="preserve">Al mismo resultado habrá de llegarse si la privación de libertad se produce en forma tal que vulnere derechos fundamentales previstos en la Constitución -íntimamente conectados con la libertad personal-, como el art. 25.3, el cual establece que la Administración Civil no podrá imponer sanciones que, directa o subsidiariamente, impliquen privación de libertad, o el 24.2, en la medida en que consagra unos valores que han de ser observados cuando se imponen sanciones privativas de libertad por la Administración Militar, tal como puso de manifiesto con detalle la STC 21/1981, de 15 de junio. </w:t>
      </w:r>
    </w:p>
    <w:p w:rsidR="001C705E" w:rsidRDefault="001C705E" w:rsidP="001C705E">
      <w:pPr>
        <w:pStyle w:val="Extracto"/>
      </w:pPr>
    </w:p>
    <w:p w:rsidR="001C705E" w:rsidRDefault="001C705E" w:rsidP="001C705E">
      <w:pPr>
        <w:pStyle w:val="Extracto"/>
      </w:pPr>
      <w:r>
        <w:t>4.</w:t>
      </w:r>
      <w:r>
        <w:tab/>
        <w:t xml:space="preserve">El arresto domiciliario es una sanción privativa de libertad, aun cuando se imponga «sin perjuicio del servicio». </w:t>
      </w:r>
    </w:p>
    <w:p w:rsidR="001C705E" w:rsidRDefault="001C705E" w:rsidP="001C705E">
      <w:pPr>
        <w:pStyle w:val="Extracto"/>
      </w:pPr>
    </w:p>
    <w:p w:rsidR="001C705E" w:rsidRDefault="001C705E" w:rsidP="001C705E">
      <w:pPr>
        <w:pStyle w:val="Extracto"/>
      </w:pPr>
      <w:r>
        <w:t>5.</w:t>
      </w:r>
      <w:r>
        <w:tab/>
        <w:t xml:space="preserve">La Constitución contempla como ajustado a la misma el que la Ley pueda sujetar a la disciplina militar a los Institutos armados o a otros Cuerpos, por lo que no puede afirmarse que la aplicación del régimen disciplinario sancionador de </w:t>
      </w:r>
      <w:r>
        <w:lastRenderedPageBreak/>
        <w:t xml:space="preserve">carácter militar a los Cuerpos y Fuerzas de Seguridad del Estado sea contrario a la Constitución, aun cuando ello suponga excluirlos en este aspecto de la Administración Civil.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718/1984, formulado por el Procurador don Ignacio Aguilar Fernández, en nombre y representación de don Roberto Martínez Rosales, bajo la dirección del Letrado don José María Díaz del Cubillo, contra el Auto del Juzgado Togado de Instrucción núm. 1 de Burgos, de 21 de septiembre de 1984. En el recurso ha comparecido el Ministerio Fiscal y ha sido Ponente el Magistrado don Rafael Gómez-Ferrer Morant,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En 16 de octubre de 1984, el Procurador de los Tribunales don Ignacio Aguilar Fernández, en representación de don Roberto Martínez Rosales, formula recurso de amparo contra el Auto del Juzgado Togado de Justicia Militar de Instrucción núm. 1 de Burgos, de fecha 21 de septiembre de 1984, recaído en el procedimiento de habeas corpus regulado en la Ley Orgánica 6/1984, de 24 de mayo, con la súplica de que se declare su nulidad y se reconozca el derecho que tenía el recurrente a su inmediata puesta a disposición judicial.</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Los antecedentes en que se fundamenta la demanda son los siguientes: </w:t>
      </w:r>
    </w:p>
    <w:p w:rsidR="001C705E" w:rsidRDefault="001C705E" w:rsidP="001C705E">
      <w:pPr>
        <w:pStyle w:val="TextoNormal"/>
      </w:pPr>
      <w:r>
        <w:t xml:space="preserve">a) El actor venía realizando, junto con otros compañeros de la Policía Nacional, el servicio de vigilancia del detenido Luis Pardos Cortés, enfermo de tuberculosis pulmonar, ingresado en el Hospital de Valdecilla, de Santander; dada la ausencia total de medidas preventivas sanitarias para evitar el posible contagio y de medidas de control, una vez realizado el servicio consultó con médicos especialistas sobre la necesidad de estas medidas y el posible contagio, manifestándole dichos especialistas el gran riesgo que existía de adquirir la enfermedad si no se utilizaban las medidas sanitarias adecuadas. </w:t>
      </w:r>
    </w:p>
    <w:p w:rsidR="001C705E" w:rsidRDefault="001C705E" w:rsidP="001C705E">
      <w:pPr>
        <w:pStyle w:val="TextoNormal"/>
      </w:pPr>
      <w:r>
        <w:t xml:space="preserve">b) Ante la información médica recibida, y dada la ausencia de tales medidas, el recurrente da cuenta por escrito de fecha 15 de agosto de 1984 de su negativa de realizar el servicio de vigilancia al detenido mencionado, por posible contagio de tuberculosis y al no poder realizar una vigilancia segura sobre el mismo. </w:t>
      </w:r>
    </w:p>
    <w:p w:rsidR="001C705E" w:rsidRDefault="001C705E" w:rsidP="001C705E">
      <w:pPr>
        <w:pStyle w:val="TextoNormal"/>
      </w:pPr>
      <w:r>
        <w:lastRenderedPageBreak/>
        <w:t xml:space="preserve">c) En fecha 16 de agosto de 1984 recibe una notificación de sanción impuesta por el Capitán Jefe de su Unidad, consistente en treinta días de arresto domiciliario, sin perjuicio del servicio, como incurso en una falta grave prevista en el artículo 437, apartado 8, del Código de Justicia Militar, bajo el concepto de no estar conforme con el puesto o servicio que tenía encomendado. </w:t>
      </w:r>
    </w:p>
    <w:p w:rsidR="001C705E" w:rsidRDefault="001C705E" w:rsidP="001C705E">
      <w:pPr>
        <w:pStyle w:val="TextoNormal"/>
      </w:pPr>
      <w:r>
        <w:t xml:space="preserve">d) Ante la privación de libertad impuesta, sin seguir el procedimiento establecido en el mencionado Cuerpo legal militar, el actor solicitó un informe médico sobre el manejo de pacientes tuberculosos, que adjunta. </w:t>
      </w:r>
    </w:p>
    <w:p w:rsidR="001C705E" w:rsidRDefault="001C705E" w:rsidP="001C705E">
      <w:pPr>
        <w:pStyle w:val="TextoNormal"/>
      </w:pPr>
      <w:r>
        <w:t xml:space="preserve">e) En fecha 4 de septiembre de 1984 recibe nueva notificación de arresto, ratificándole y rectificando la anterior, en el sentido de «como incurso en una posible falta grave». </w:t>
      </w:r>
    </w:p>
    <w:p w:rsidR="001C705E" w:rsidRDefault="001C705E" w:rsidP="001C705E">
      <w:pPr>
        <w:pStyle w:val="TextoNormal"/>
      </w:pPr>
      <w:r>
        <w:t>f) El recurrente instó procedimiento de habeas corpus ante el Juzgado Togado Militar de Instrucción correspondiente, presentando solicitud en el Cuartel de Policía Nacional de Santander en fecha 10 de septiembre de 1984. El día 21 de septiembre, pasados once días desde la solicitud, el Juzgado Togado Militar de Instrucción núm. 1 de Burgos dicta Auto por el que deniega la solicitud de apertura de procedimiento de habeas corpus.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La fundamentación jurídica de la demanda es, sustancialmente, la siguiente: </w:t>
      </w:r>
    </w:p>
    <w:p w:rsidR="001C705E" w:rsidRDefault="001C705E" w:rsidP="001C705E">
      <w:pPr>
        <w:pStyle w:val="TextoNormal"/>
      </w:pPr>
      <w:r>
        <w:t xml:space="preserve">a) El actor fue sancionado con arresto disciplinario, es decir, con una corrección consistente en privación de libertad, por un órgano de la Administración, en virtud de la potestad disciplinaria. El empleo de la palabra «detenida» en el art. 17 de la Constitución hay que considerarlo, a su juicio, en un sentido tan amplio que comprenda cualquier supuesto de privación de libertad individual y, consecuentemente, la aplicación del habeas corpus en materia de arrestos acordados por un órgano administrativo, aun cuando no sean calificados como detención preventiva; si, además, se concibe el habeas corpus como medio tutelar de la libertad individual, no cabe duda de que la sanción que conlleva la privación de libertad, por la total indefensión que supone para el sujeto de la misma, en cuanto que la forma viene desprovista de cualquier garantía jurídica, debe ser una modalidad restrictiva de libertad especialmente amparada por este procedimiento. </w:t>
      </w:r>
    </w:p>
    <w:p w:rsidR="001C705E" w:rsidRDefault="001C705E" w:rsidP="001C705E">
      <w:pPr>
        <w:pStyle w:val="TextoNormal"/>
      </w:pPr>
      <w:r>
        <w:t xml:space="preserve">b) La demanda afirma que se está ante un hecho que inicialmente aparece con las notas caracterizadas por la detención ilegal, al menos a los efectos de que el Juzgado Togado iniciara y apurara la investigación, debiendo examinarse la causa de improcedencia sin que pueda limitarse el amparo al examen de si hubo o no sentencia fundada en Derecho. </w:t>
      </w:r>
    </w:p>
    <w:p w:rsidR="001C705E" w:rsidRDefault="001C705E" w:rsidP="001C705E">
      <w:pPr>
        <w:pStyle w:val="TextoNormal"/>
      </w:pPr>
      <w:r>
        <w:t xml:space="preserve">c) El arresto del actor o se configura como detención provisional, dando entrada al término «posible», o bien responde a una causa distinta de la establecida legalmente, o se practica por un órgano que no está facultado y desconociendo el procedimiento establecido </w:t>
      </w:r>
    </w:p>
    <w:p w:rsidR="001C705E" w:rsidRDefault="001C705E" w:rsidP="001C705E">
      <w:pPr>
        <w:pStyle w:val="TextoNormal"/>
      </w:pPr>
      <w:r>
        <w:t xml:space="preserve">Si lo que se ha decretado es la prisión provisional -primera hipótesis-, ni el Capitán de la 2.ª Compañía es el órgano competente, ni se ha seguido el procedimiento, establecido por el art. 686 del Código de Justicia Militar, de practicarse dentro de un expediente judicial. </w:t>
      </w:r>
    </w:p>
    <w:p w:rsidR="001C705E" w:rsidRDefault="001C705E" w:rsidP="001C705E">
      <w:pPr>
        <w:pStyle w:val="TextoNormal"/>
      </w:pPr>
      <w:r>
        <w:t xml:space="preserve">Si la causa no es la prevista en el art. 437.8 del Código de Justicia Militar, no concurre un supuesto legal, siendo de aplicación el principio de tipicidad al orden sancionador administrativo, sin que la Administración pueda imponer la sanción que tenga por conveniente. </w:t>
      </w:r>
    </w:p>
    <w:p w:rsidR="001C705E" w:rsidRDefault="001C705E" w:rsidP="001C705E">
      <w:pPr>
        <w:pStyle w:val="TextoNormal"/>
      </w:pPr>
      <w:r>
        <w:t xml:space="preserve">Por último, no se ha observado la forma prevista en la Ley, según el art. 17.1 de la Constitución. En efecto, al actor se le imputa una falta grave y, como dice el Auto impugnado, el procedimiento para estas faltas está establecido por el art. 1.003 del Código de Justicia Militar, al que se llega por virtud de la Ley de Policía, o, mejor dicho, en ausencia </w:t>
      </w:r>
      <w:r>
        <w:lastRenderedPageBreak/>
        <w:t xml:space="preserve">de los Reglamentos del Cuerpo de Policía Nacional que deberían haberse dictado, y a través del art. 517 del Reglamento Orgánico de la Policía Gubernativa, al establecer que las faltas graves serán corregidas en expediente judicial, acomodándose a las normas establecidas en el Código de Justicia Militar. Pues bien, éste es el procedimiento que se debía haber seguido, establecido en el art. 1.003 y siguientes del citado Código, que preceptúa que se sancionarán en vía judicial previo expediente, con Juez Instructor y Secretario nombrados siguiendo las normas para las causas, estableciendo la preventiva declaración del acusado, con conocimiento de los cargos que se le imputan, para que pueda defenderse, remisión del expediente al Auditor y otros trámites. Todo esto no se ha efectuado, violando así el derecho a la libertad y seguridad personal, al ser privado de su libertad ilegalmente. </w:t>
      </w:r>
    </w:p>
    <w:p w:rsidR="001C705E" w:rsidRDefault="001C705E" w:rsidP="001C705E">
      <w:pPr>
        <w:pStyle w:val="TextoNormal"/>
      </w:pPr>
      <w:r>
        <w:t xml:space="preserve">Consecuentemente con lo anterior, ha sido violada la garantía establecida en el art. 17.3 de la Constitución, de asistencia de Abogado al detenido. </w:t>
      </w:r>
    </w:p>
    <w:p w:rsidR="001C705E" w:rsidRDefault="001C705E" w:rsidP="001C705E">
      <w:pPr>
        <w:pStyle w:val="TextoNormal"/>
      </w:pPr>
      <w:r>
        <w:t xml:space="preserve">d) De lo expuesto anteriormente -prosigue la demanda- se deduce claramente que se ha producido una detención ilegal al ignorarse por completo el procedimiento, la presunción de inocencia y los medios de defensa, quedando el actor en total indefensión ante la privación de libertad automática (se produjo en veinticuatro horas). Para estas situaciones, la Constitución establece en el art. 17.4 el procedimiento de habeas corpus, con la esencial función de producir la inmediata puesta a disposición judicial de detenido ilegalmente, finalidad recogida en la Ley Orgánica 6/1984, art. 1, el cual establece a la vez los supuestos de detención ilegal, que en este supuesto concuerdan perfectamente con los apartados a) y d). </w:t>
      </w:r>
    </w:p>
    <w:p w:rsidR="001C705E" w:rsidRDefault="001C705E" w:rsidP="001C705E">
      <w:pPr>
        <w:pStyle w:val="TextoNormal"/>
      </w:pPr>
      <w:r>
        <w:t xml:space="preserve">e) La solicitud del hábeas corpus se presentó el día 10 de septiembre de 1984, siendo dictado el Auto el día 21 de septiembre. Con esta actuación procesal, dado el período de tiempo transcurrido, se ha burlado el espíritu de este procedimiento y consiguientemente el derecho fundamental contenido en el art. 17.4 de la Constitución. </w:t>
      </w:r>
    </w:p>
    <w:p w:rsidR="001C705E" w:rsidRDefault="001C705E" w:rsidP="001C705E">
      <w:pPr>
        <w:pStyle w:val="TextoNormal"/>
      </w:pPr>
      <w:r>
        <w:t xml:space="preserve">f) Sostener, como lo hace el Juzgado Togado, la consagración de las facultades gubernativas militares durante largo tiempo para no poder admitir las tesis constitucionales, y sostener igualmente que existe el procedimiento adecuado para las faltas graves y no considerarlo aplicable por ser la sanción impuesta más benigna para el sancionado que la comprendida en el art. 421 del Código de Justicia Militar, es prejuzgar la actuación del Juez Instructor y es inaceptable en un Estado de Derecho, al negarle al actor los más elementales derechos establecidos en la Constitución y en las Leyes. </w:t>
      </w:r>
    </w:p>
    <w:p w:rsidR="001C705E" w:rsidRDefault="001C705E" w:rsidP="001C705E">
      <w:pPr>
        <w:pStyle w:val="TextoNormal"/>
      </w:pPr>
      <w:r>
        <w:t xml:space="preserve">g) Por la resolución impugnada se vulneran los derechos fundamentales susceptibles de amparo según el art. 24 de la Constitución. En primer lugar, el tiempo transcurrido de once días contradice el derecho a un proceso público sin dilaciones indebidas, no pudiéndose considerar razonable un plazo tan dilatado en un procedimiento que exige la mayor celeridad; en segundo término, con la negativa de apertura del procedimiento de habeas corpus ha sido violado el derecho a obtener la tutela efectiva de los Jueces y Tribunales. Finalmente, se ha violado también el derecho a la presunción de inocencia, y en el caso de que del expediente no resultara responsabilidad alguna, se violaría también el art. 25.1 de la Constitución. </w:t>
      </w:r>
    </w:p>
    <w:p w:rsidR="001C705E" w:rsidRDefault="001C705E" w:rsidP="001C705E">
      <w:pPr>
        <w:pStyle w:val="TextoNormal"/>
      </w:pPr>
      <w:r>
        <w:t xml:space="preserve">h) En la demanda se sostiene, asimismo, que se está ante la Administración Civil y no Militar. La naturaleza de este caso -se añade- es extraña, pues nos encontramos con que la legislación militar ha sido aplicada a funcionarios no militares encuadrados y pertenecientes a la Administración Civil del Estado; la causa reside, a juicio de la actora, en la concepción anterior de una Policía militarizada, a la que con la llegada de la Constitución todavía no se le ha desprovisto del ancestral carácter militar. </w:t>
      </w:r>
    </w:p>
    <w:p w:rsidR="001C705E" w:rsidRDefault="001C705E" w:rsidP="001C705E">
      <w:pPr>
        <w:pStyle w:val="TextoNormal"/>
      </w:pPr>
      <w:r>
        <w:lastRenderedPageBreak/>
        <w:t xml:space="preserve">Después de efectuar una exposición de la legislación aplicable, afirma que hasta la Ley de la Policía el carácter de la Policía Nacional era militar, si bien con la entrada en vigor de tal Ley se le despoja de dicho carácter. La Constitución separa taxativamente las Fuerzas Armadas de los Cuerpos de Seguridad del Estado y enclava a estos últimos en el título IV, bajo el epígrafe «Del Gobierno y de la Administración». </w:t>
      </w:r>
    </w:p>
    <w:p w:rsidR="001C705E" w:rsidRDefault="001C705E" w:rsidP="001C705E">
      <w:pPr>
        <w:pStyle w:val="TextoNormal"/>
      </w:pPr>
      <w:r>
        <w:t xml:space="preserve">Si se tiene en cuenta que el art. 25.3 de la Constitución establece la tajante prohibición a la Administración Civil de imponer sanciones que directa o indirectamente impliquen privación de libertad, no puede comprenderse cómo a un funcionario civil se le impone una sanción de privación de libertad. </w:t>
      </w:r>
    </w:p>
    <w:p w:rsidR="001C705E" w:rsidRDefault="001C705E" w:rsidP="001C705E">
      <w:pPr>
        <w:pStyle w:val="TextoNormal"/>
      </w:pPr>
      <w:r>
        <w:t xml:space="preserve">i) En relación al procedimiento seguido en la resolución que se impugna, es necesario apuntar que la inadmisión de la solicitud en la fase previa debe contraerse a los requisitos formales de la misma, pues de lo contrario se estaría incurriendo en el vicio que pretende evitarse y soslayando el fin primordial de la Ley, cual es el de «resguardar la libertad personal frente a la eventual arbitrariedad de los poderes públicos» (exposición de motivos). </w:t>
      </w:r>
    </w:p>
    <w:p w:rsidR="001C705E" w:rsidRDefault="001C705E" w:rsidP="001C705E">
      <w:pPr>
        <w:pStyle w:val="TextoNormal"/>
      </w:pPr>
      <w:r>
        <w:t xml:space="preserve">Por otra parte, aun en el supuesto de que el Juez Togado haya dictado la resolución habiendo cumplido los requisitos procesales que determina el art. 6 de la Ley, no se ha cumplido lo preceptuado en el art. 17.4 de la Constitución; aceptar lo contrario supondría un retroceso respecto del art. 17.2 de la Constitución que fija la limitación temporal de la detención preventiva, a cuyo término el detenido deberá ser puesto en libertad o a disposición de la autoridad judicial, con lo que el objeto primordial de una institución como el habeas corpus queda desvirtuado, pues la finalidad perseguida quedaría cubierta con mayor eficacia que el art. 17.2 de la Constitución. </w:t>
      </w:r>
    </w:p>
    <w:p w:rsidR="001C705E" w:rsidRDefault="001C705E" w:rsidP="001C705E">
      <w:pPr>
        <w:pStyle w:val="TextoNormal"/>
      </w:pPr>
      <w:r>
        <w:t>Por lo expuesto -dice la demanda-, ha de concluirse que, concurriendo los requisitos previstos en la Ley, la apertura del procedimiento de habeas corpus ha de producirse de un modo automático, puesto que, de no ser así, la inmediata puesta a disposición judicial de toda persona detenida ilegalmente se convertiría en una falacia, con clara violación no sólo del art. 17 de la Constitución, sino también de los principios de legalidad y seguridad jurídica.</w:t>
      </w:r>
    </w:p>
    <w:p w:rsidR="001C705E" w:rsidRDefault="001C705E" w:rsidP="001C705E">
      <w:pPr>
        <w:pStyle w:val="TextoNormal"/>
      </w:pPr>
    </w:p>
    <w:p w:rsidR="001C705E" w:rsidRDefault="001C705E" w:rsidP="001C705E">
      <w:pPr>
        <w:pStyle w:val="TextoNormal"/>
      </w:pPr>
      <w:r w:rsidRPr="001C705E">
        <w:rPr>
          <w:rStyle w:val="NumeroAFNegritaCaracter"/>
        </w:rPr>
        <w:t>4</w:t>
      </w:r>
      <w:r>
        <w:t>. Por providencia de 31 de octubre de 1984, la Sección acordó admitir a trámite la demanda y requerir atentamente al Juzgado Togado Militar de Instrucción núm. 1 de Burgos para el envío de las actuaciones, con emplazamiento de quienes fueron parte en el procedimiento.</w:t>
      </w:r>
    </w:p>
    <w:p w:rsidR="001C705E" w:rsidRDefault="001C705E" w:rsidP="001C705E">
      <w:pPr>
        <w:pStyle w:val="TextoNormal"/>
      </w:pPr>
    </w:p>
    <w:p w:rsidR="001C705E" w:rsidRDefault="001C705E" w:rsidP="001C705E">
      <w:pPr>
        <w:pStyle w:val="TextoNormal"/>
      </w:pPr>
      <w:r w:rsidRPr="001C705E">
        <w:rPr>
          <w:rStyle w:val="NumeroAFNegritaCaracter"/>
        </w:rPr>
        <w:t>5</w:t>
      </w:r>
      <w:r>
        <w:t>. Por providencia de 28 de noviembre de 1984, la Sección acordó tener por recibidas las actuaciones y otorgar un plazo de veinte días para alegaciones al Ministerio Fiscal y al solicitante del amparo.</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En 22 de diciembre de 1984, el Ministerio Fiscal presenta escrito de alegaciones en el sentido de que procede estimar parcialmente el amparo solicitado. </w:t>
      </w:r>
    </w:p>
    <w:p w:rsidR="001C705E" w:rsidRDefault="001C705E" w:rsidP="001C705E">
      <w:pPr>
        <w:pStyle w:val="TextoNormal"/>
      </w:pPr>
      <w:r>
        <w:t xml:space="preserve">Después de referirse a los antecedentes, el Ministerio Fiscal razona jurídicamente su posición sobre la base de los tres fundamentos que se exponen a continuación: </w:t>
      </w:r>
    </w:p>
    <w:p w:rsidR="001C705E" w:rsidRDefault="001C705E" w:rsidP="001C705E">
      <w:pPr>
        <w:pStyle w:val="TextoNormal"/>
      </w:pPr>
      <w:r>
        <w:t xml:space="preserve">a) En primer lugar, es premisa inexcusable fijar el ámbito en que se desarrolla el proceso de amparo, puesto que, según sea de una u otra naturaleza, quedará definido el carácter de la actividad que se enjuicia, así como las normas aplicables al mismo. </w:t>
      </w:r>
    </w:p>
    <w:p w:rsidR="001C705E" w:rsidRDefault="001C705E" w:rsidP="001C705E">
      <w:pPr>
        <w:pStyle w:val="TextoNormal"/>
      </w:pPr>
      <w:r>
        <w:t>El Ministerio Fiscal se refiere a la condición del recurrente, que forma parte de la Policía Nacional; a la naturaleza del acto de que dimanan las actuaciones, como acto de servi</w:t>
      </w:r>
      <w:r>
        <w:lastRenderedPageBreak/>
        <w:t xml:space="preserve">cio, y a la condición de Capitán Jefe de la Unidad de quien impone el arresto, existiendo entre éste y el actor la relación especial de sujeción propia de toda estructura jerarquizada, así como la de índole de disciplina militar derivada de la naturaleza y estructura del Cuerpo. Después de referirse a la legislación aplicable, el Fiscal cita el Auto de 31 de octubre de 1984 (R.A. 481/1984, Sala Segunda), para sostener por ahora el carácter del régimen disciplinario de la Policía Nacional, y su misma condición, en función del aspecto militar que por ahora ostenta a estos efectos la Policía Nacional. </w:t>
      </w:r>
    </w:p>
    <w:p w:rsidR="001C705E" w:rsidRDefault="001C705E" w:rsidP="001C705E">
      <w:pPr>
        <w:pStyle w:val="TextoNormal"/>
      </w:pPr>
      <w:r>
        <w:t xml:space="preserve">b) Partiendo de esta premisa, es decir, dentro del ámbito castrense en que los sujetos implicados y su actividad se desenvuelve, debe precisarse cuál fuera la situación real en que el hoy recurrente se encontraba a partir del 16 de agosto de 1984, en que recibe la primera comunicación ordenando su arresto domiciliario. </w:t>
      </w:r>
    </w:p>
    <w:p w:rsidR="001C705E" w:rsidRDefault="001C705E" w:rsidP="001C705E">
      <w:pPr>
        <w:pStyle w:val="TextoNormal"/>
      </w:pPr>
      <w:r>
        <w:t xml:space="preserve">A tal efecto, el Ministerio Fiscal pone de manifiesto las contradicciones en que, a su juicio, incurren las dos comunicaciones dirigidas al interesado, así como la comunicación de 4 de septiembre de 1984 y el parte e informe que se elevan y emiten por los superiores, a lo que añade que en el Auto impugnado se afirma (resultando primero) que al interesado le fue notificada su detención en concepto de arresto domiciliario, conceptos que son excluyentes, pues o el interesado está detenido o está arrestado; en el primer caso se encuentra en situación cautelar para responder de posible comisión de hechos infractores, y en el segundo la responsabilidad está determinada y se encuentra cumpliendo la sanción. </w:t>
      </w:r>
    </w:p>
    <w:p w:rsidR="001C705E" w:rsidRDefault="001C705E" w:rsidP="001C705E">
      <w:pPr>
        <w:pStyle w:val="TextoNormal"/>
      </w:pPr>
      <w:r>
        <w:t xml:space="preserve">Partiendo de las consideraciones anteriores, el Fiscal estima que la situación del solicitante del amparo a partir de 16 de agosto era la de detenido o, en otro caso, con su libertad restringida a efectos y a la espera de determinación acerca de si había incurrido en responsabilidad y, en su caso, de qué tipo; sin perjuicio que de haber sido finalmente sancionado con un mes de arresto domiciliario, le hubiera sido de abono el tiempo preventivo. </w:t>
      </w:r>
    </w:p>
    <w:p w:rsidR="001C705E" w:rsidRDefault="001C705E" w:rsidP="001C705E">
      <w:pPr>
        <w:pStyle w:val="TextoNormal"/>
      </w:pPr>
      <w:r>
        <w:t xml:space="preserve">El Fiscal ante el Tribunal Constitucional entiende que no es obstáculo a su afirmación el que el Juez Togado base su resolución en los arts. 420 y 421 del Código de Justicia Militar, pues siendo la disciplina militar un dato a considerar de manera preeminente, ello no empece para que las mínimas garantías sancionadoras sean tomadas en consideración al ejercer la función de disciplina que el superior ostenta sobre el inferior, como se desprende del propio Código. </w:t>
      </w:r>
    </w:p>
    <w:p w:rsidR="001C705E" w:rsidRDefault="001C705E" w:rsidP="001C705E">
      <w:pPr>
        <w:pStyle w:val="TextoNormal"/>
      </w:pPr>
      <w:r>
        <w:t xml:space="preserve">Por otra parte, no cabe aceptar que la situación del recurrente fuera la de arresto, por cuanto si bien es cierto que determinados superiores podían sancionar al actor, al imputársele una falta grave el mecanismo a seguir debió ser el previsto en los dos preceptos -arts. 1.003 y 1.004- del propio Código, y no consta ni mucho menos que se haya actuado a tenor de ellos, no existiendo posibilidad de imponer la sanción directamente, según el art. 416 del Código castrense, al no tratarse de falta leve, puesto que en lo único en que está de acuerdo el conjunto documental del que se ha dejado constancia es en que la falta sancionada o en trance de sanción era una falta grave tipificada en el art. 437.8 del Código de Justicia Militar, y, no seguido tal procedimiento, se confirma una vez más que la situación en que se encontraba el interesado era de restricción de libertad cautelar o preventiva, sin perjuicio del procedimiento a seguir al efecto. </w:t>
      </w:r>
    </w:p>
    <w:p w:rsidR="001C705E" w:rsidRDefault="001C705E" w:rsidP="001C705E">
      <w:pPr>
        <w:pStyle w:val="TextoNormal"/>
      </w:pPr>
      <w:r>
        <w:t xml:space="preserve">c) El último aspecto a contemplar, prosigue el Ministerio Fiscal, es el relativo a si el interesado tenía posibilidad de ejercitar la acción o solicitud relativa al habeas corpus, y si al solicitarla fue satisfecho en su derecho fundamental. </w:t>
      </w:r>
    </w:p>
    <w:p w:rsidR="001C705E" w:rsidRDefault="001C705E" w:rsidP="001C705E">
      <w:pPr>
        <w:pStyle w:val="TextoNormal"/>
      </w:pPr>
      <w:r>
        <w:t xml:space="preserve">Después de referirse a la Ley Orgánica 6/1984, que tiene carácter general con aplicación a todos los ámbitos (civil o castrense), pone de manifiesto que el Auto impugnado no se produjo de forma inmediata, según quiere el art. 6 de la Ley, máxime cuando el propio Juez Togado está señalando que posiblemente el arresto «detención en concepto de arresto </w:t>
      </w:r>
      <w:r>
        <w:lastRenderedPageBreak/>
        <w:t xml:space="preserve">domiciliario» «presumiblemente ha superado» su duración, puesto que si comenzó el 16 de agosto y el Auto lleva fecha de 21 de septiembre, evidentemente resulta haber transcurrido más de treinta días; y, además, que dicho Auto refunde dos momentos procesales que la Ley distingue, confundiendo la primera resolución -relativa a si debe o no incoarse el procedimiento o denegar la solicitud- con la segunda, relativa a proclamar si la detención fue legal o ilegal. Por todo ello, parece dable afirmar que el derecho a solicitud de habeas corpus no ha sido reconocido al interesado, con independencia de que su situación fuera legal o ilegal, tema en el que no debe entrar el Tribunal Constitucional dado que al demorar la resolución sobre iniciación o denegación del procedimiento, el Juez Togado ha permitido que la situación se mantuviera hasta el momento en que el plazo de treinta días de «detención en concepto de arresto domiciliario» se cumpliera. La pretensión del legislador al desarrollar el precepto constitucional ha sido desconocida, e ineficaz la previsión constitucional, con evidente lesión del derecho alegado y que se contempla en el art. 13.4, inciso primero, de la Constitución. </w:t>
      </w:r>
    </w:p>
    <w:p w:rsidR="001C705E" w:rsidRDefault="001C705E" w:rsidP="001C705E">
      <w:pPr>
        <w:pStyle w:val="TextoNormal"/>
      </w:pPr>
      <w:r>
        <w:t xml:space="preserve">d) La conclusión anterior lleva al Fiscal a determinar el alcance del amparo, caso de estimación de la demanda, desde el punto en que la situación que motivó la solicitud de habeas corpus ha finalizado. </w:t>
      </w:r>
    </w:p>
    <w:p w:rsidR="001C705E" w:rsidRDefault="001C705E" w:rsidP="001C705E">
      <w:pPr>
        <w:pStyle w:val="TextoNormal"/>
      </w:pPr>
      <w:r>
        <w:t xml:space="preserve">A tal fin, y en aplicación del art. 55.1 de la LOTC, el fiscal recuerda que en el suplico de la demanda se postula que «se reconozca el derecho que tenía el recurrente a su inmediata puesta a disposición judicial». </w:t>
      </w:r>
    </w:p>
    <w:p w:rsidR="001C705E" w:rsidRDefault="001C705E" w:rsidP="001C705E">
      <w:pPr>
        <w:pStyle w:val="TextoNormal"/>
      </w:pPr>
      <w:r>
        <w:t xml:space="preserve">El Ministerio Fiscal entiende que tal solicitud implica una remisión a un pronunciamiento acerca de si la situación restrictiva de libertad en que se encontraba el demandante era o no ajustada a la Ley, y esto es algo que parece reside en la competencia del Juez que conoció de la solicitud, por lo que el otorgamiento del amparo quedaría reducido a declarar que el actor tenía derecho a que su solicitud de habeas corpus, en sentido positivo de «incoación del procedimiento» o negativo «denegar la solicitud por ser ésta improcedente», se produjera «seguidamente» de acuerdo con el art. 6 de la Ley Orgánica 6/1984, y sin demora carente de todo fundamento como aquí ha ocurrido. </w:t>
      </w:r>
    </w:p>
    <w:p w:rsidR="001C705E" w:rsidRDefault="001C705E" w:rsidP="001C705E">
      <w:pPr>
        <w:pStyle w:val="TextoNormal"/>
      </w:pPr>
      <w:r>
        <w:t>Por último, si bien en el cuerpo de la demanda el actor se extiende en otras consideraciones, cuales son las relativas a si podría imponérsele o no sanción privativa de libertad en su condición de Policía Nacional, con vulneración de los arts. 25.1 y 3, y 24.2 de la Constitución, al no ser objeto de pedimento específico, han de tenerse por temas tangenciales o, a lo sumo, como elementos de base para fundamentar la petición principal, pero no objeto de decisión.</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En 26 de diciembre de 1984, la representación del actor formula escrito de alegaciones en el que ratifica, en primer lugar, su escrito de demanda, si bien concreta la pretensión en el sentido de suplicar, con carácter subsidiario a la contenida en la demanda y para el supuesto de no dar lugar a tal pretensión, que la Sala eleve la cuestión al Pleno para declarar la inconstitucionalidad del art. 6 de la Ley Orgánica 6/1984, de 24 de mayo, por vulnerar el art. 17.4 de la Constitución, dado que la expresión «inmediata» del mencionado art. se refiere obviamente al factor tiempo y requiere que se efectúe en el plazo más breve posible, con la mayor celeridad; por otra parte, producir la inmediata puesta a disposición judicial de toda persona detenida no puede tener otra significación que la presentación del cuerpo de la misma para un fin específico, siguiéndose posteriormente las siguientes fases si el procedimiento de habeas corpus debe ir más allá de la consecución de un efecto psicológico. </w:t>
      </w:r>
    </w:p>
    <w:p w:rsidR="001C705E" w:rsidRDefault="001C705E" w:rsidP="001C705E">
      <w:pPr>
        <w:pStyle w:val="TextoNormal"/>
      </w:pPr>
      <w:r>
        <w:lastRenderedPageBreak/>
        <w:t xml:space="preserve">Por otra parte, la actora pone de manifiesto que, con posterioridad a la demanda, en 21 de noviembre de 1984, ha sido constituida una asociación sindical de funcionarios de Policía Nacional, inscrita en el Registro Especial Habilitado para Estatutos de Asociaciones de Policía de la Dirección General de Seguridad del Estado del Ministerio de Interior, siendo la legislación que ampara dicha constitución el Real Decreto 3624/1977, de 16 de diciembre, que regula el derecho de asociación sindical de los funcionarios civiles de la Dirección de Seguridad del Estado. </w:t>
      </w:r>
    </w:p>
    <w:p w:rsidR="001C705E" w:rsidRDefault="001C705E" w:rsidP="001C705E">
      <w:pPr>
        <w:pStyle w:val="TextoNormal"/>
      </w:pPr>
      <w:r>
        <w:t xml:space="preserve">Esta constitución viene a confirmar por un acto propio de la Administración del Estado la situación jurídica del Cuerpo de Policía Nacional, definiendo inalterablemente su carácter de funcionarios civiles del Estado, y consecuentemente en lo que se refiere al supuesto concreto de este recurso, la vulneración del art. 25.3 de la Constitución en la imposición de la sanción; la doctrina de los propios actos, añade, ha sido mantenida sin contradicción por reiteradísima jurisprudencia del Tribunal Supremo. </w:t>
      </w:r>
    </w:p>
    <w:p w:rsidR="001C705E" w:rsidRDefault="001C705E" w:rsidP="001C705E">
      <w:pPr>
        <w:pStyle w:val="TextoNormal"/>
      </w:pPr>
      <w:r>
        <w:t>Por otrosí interesa se practique prueba documental consistente en que se recabe del Registro Especial Habilitado del Estatuto de Asociaciones de Policía de la Dirección de Seguridad del Estado, del Ministerio del Interior, certificación de los siguientes extremos: De una parte, el relativo a la constitución con arreglo a la legislación vigente del Sindicato Unificado de Policía, que agrupa a funcionarios del Cuerpo de Policía Nacional; de otra, el referente a que la legislación que ampara la constitución de la mencionada Asociación es el Real Decreto 3624/1977, de 16 de diciembre, por el que se regula el derecho de asociación sindical de los funcionarios civiles de la Dirección de Seguridad del Estado.</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De las actuaciones recibidas, resultan los siguientes extremos de interés: </w:t>
      </w:r>
    </w:p>
    <w:p w:rsidR="001C705E" w:rsidRDefault="001C705E" w:rsidP="001C705E">
      <w:pPr>
        <w:pStyle w:val="TextoNormal"/>
      </w:pPr>
      <w:r>
        <w:t xml:space="preserve">a) La notificación (escrito núm. 467) de fecha 16 de agosto, por la que se comunica al actor la imposición de arresto, firmada por el Capitán-Jefe de la 2.ª Compañía, dice así: «Para su conocimiento y cumplimiento, participo a usted que con esta fecha deberá cumplir treinta días de arresto en su domicilio, sin perjuicio del servicio, como incurso en una falta grave prevista en el art. 437.2 del Código de Justicia Militar, bajo el concepto de no conformarse con su puesto o servicio que tenía encomendado.». </w:t>
      </w:r>
    </w:p>
    <w:p w:rsidR="001C705E" w:rsidRDefault="001C705E" w:rsidP="001C705E">
      <w:pPr>
        <w:pStyle w:val="TextoNormal"/>
      </w:pPr>
      <w:r>
        <w:t xml:space="preserve">b) La notificación de 4 de septiembre, firmada por el mismo Capitán-Jefe, dirigida al interesado, corrigiendo la existencia de un error en la redacción de la anterior, al omitir involuntariamente la palabra «posible» el escribiente, dice así: «Como continuación al escrito de esta Unidad número 467, de fecha 16 de agosto pasado, por el que se le comunicaba la imposición de correctivo consistente en treinta días de arresto domiciliario, participo a usted que el Capitán que suscribe se ratifica en la redacción de citado escrito, con la rectificación siguiente: Donde decía "como incurso en una falta grave", debe decir: "como incurso en una posible falta grave", ya que así consta en el parte transmitido al señor Comandante Jefe de esta Bandera, el cual le fue leído a usted personalmente.» </w:t>
      </w:r>
    </w:p>
    <w:p w:rsidR="001C705E" w:rsidRDefault="001C705E" w:rsidP="001C705E">
      <w:pPr>
        <w:pStyle w:val="TextoNormal"/>
      </w:pPr>
      <w:r>
        <w:t xml:space="preserve">c) Por escrito de 10 de septiembre de 1984, el recurrente se dirige al Juzgado Togado Militar Permanente de Instrucción, con el fin de que sea regularizada la anómala situación personal en que se encuentra, al estar sometido a detención bajo arresto domiciliario. </w:t>
      </w:r>
    </w:p>
    <w:p w:rsidR="001C705E" w:rsidRDefault="001C705E" w:rsidP="001C705E">
      <w:pPr>
        <w:pStyle w:val="TextoNormal"/>
      </w:pPr>
      <w:r>
        <w:t xml:space="preserve">En el escrito suplica la apertura del procedimiento de habeas corpus y, previos los trámites pertinentes, la inmediata puesta en libertad, sin perjuicio de las acciones legales que procedan. </w:t>
      </w:r>
    </w:p>
    <w:p w:rsidR="001C705E" w:rsidRDefault="001C705E" w:rsidP="001C705E">
      <w:pPr>
        <w:pStyle w:val="TextoNormal"/>
      </w:pPr>
      <w:r>
        <w:t xml:space="preserve">En el mencionado escrito se sostiene que se ha procedido a la detención del funcionario sin haberse cumplido las formalidades prevenidas y requisitos exigidos por las Leyes, puesto que se le considera autor de una falta grave y no obstante se prescinde de forma total y absoluta del procedimiento previsto para tal tipo de faltas en los arts. 1.003 y ss. del </w:t>
      </w:r>
      <w:r>
        <w:lastRenderedPageBreak/>
        <w:t xml:space="preserve">Código de Justicia Militar, emanando además de un órgano cuya incompetencia para este caso es manifiesta. Por otra parte, de acuerdo con la segunda notificación, se le somete a privación de libertad sin la más mínima apoyatura legal para ello, al considerarle como incurso en una posible falta grave. </w:t>
      </w:r>
    </w:p>
    <w:p w:rsidR="001C705E" w:rsidRDefault="001C705E" w:rsidP="001C705E">
      <w:pPr>
        <w:pStyle w:val="TextoNormal"/>
      </w:pPr>
      <w:r>
        <w:t xml:space="preserve">Todo ello quebranta principios consagrados por la Constitución, como el establecido en el art. 25.1 (que transcribe), el principio de legalidad reconocido en el art. 9.1 y 3, y el art. 24, al habérsele privado del más elemental de los derechos que es el de defensa: tutela de los Jueces y Tribunales, utilización de medios de prueba, presunción de inocencia, etc. Todo lo cual ha derivado en una más clara situación de indefensión. En el escrito figura la fecha de entrada en el Registro General de la Policía Nacional de Santander, que es la del día 10 de septiembre. </w:t>
      </w:r>
    </w:p>
    <w:p w:rsidR="001C705E" w:rsidRDefault="001C705E" w:rsidP="001C705E">
      <w:pPr>
        <w:pStyle w:val="TextoNormal"/>
      </w:pPr>
      <w:r>
        <w:t xml:space="preserve">d) En las actuaciones consta un informe de fecha 11 de septiembre que emite el Capitán de Policía Nacional, Jefe accidental provincial del Cuerpo de Policía Nacional de Cantabria, en relación con recursos interpuestos por don Roberto Martínez Rosales. en este informe se efectúa una detenida exposición de los hechos y se hace constar que el día 16 del mes de agosto se recibió en la Jefatura el parte emitido por el Capitán-Jefe de la 2.ª Compañía dando cuenta de los hechos acaecidos el día anterior, por los que imponía al Policía don Roberto Martínez Rosales el correctivo de un mes de arresto, sin perjuicio del servicio, como posible autor de una falta grave prevista en el art. 437 del Código de Justicia Militar (apartado 8. ); asimismo consta que el propio día 16 el Comandante-Jefe que suscribe el informe da cuenta de los hechos al General Inspector del Cuerpo y al Coronel-Jefe de la 7.ª Región Policial del Cuerpo, solicitando de la Inspección General, de acuerdo con cuanto dispone el art. 517 del Reglamento Orgánico de la Policía, número para abrir informe al citado Policía, habiéndose asignado a dicha información gubernativa el núm. 920/1984. </w:t>
      </w:r>
    </w:p>
    <w:p w:rsidR="001C705E" w:rsidRDefault="001C705E" w:rsidP="001C705E">
      <w:pPr>
        <w:pStyle w:val="TextoNormal"/>
      </w:pPr>
      <w:r>
        <w:t xml:space="preserve">e) En el mencionado parte, que figura en las actuaciones, se indica que a la vista de los hechos «y haciendo uso de las facultades que me confiere el art. 421 del Código de Justicia Militar, con esta fecha le impongo al citado Policía treinta días de arresto en su domicilio, sin perjuicio del servicio, como posible autor de una falta grave prevista en el art. 437.8 del citado texto legal, bajo el concepto de «Excusarse con males supuestos o cualquier otro pretexto de cumplir sus deberes o no conformarse con su puesto o servicio que tenía nombrado». </w:t>
      </w:r>
    </w:p>
    <w:p w:rsidR="001C705E" w:rsidRDefault="001C705E" w:rsidP="001C705E">
      <w:pPr>
        <w:pStyle w:val="TextoNormal"/>
      </w:pPr>
      <w:r>
        <w:t xml:space="preserve">f) La primera Providencia del Juez Togado es de 20 de septiembre, y en ella se tiene por recibido el escrito formulado por el actual recurrente en amparo en solicitud de que se incoe el procedimiento de habeas corpus; concurriendo los requisitos necesarios para su tramitación, añade la providencia, acúsese recibo, ábrase cubierta, únase con antelación la solicitud presentada junto con la documentación que se acompaña. </w:t>
      </w:r>
    </w:p>
    <w:p w:rsidR="001C705E" w:rsidRDefault="001C705E" w:rsidP="001C705E">
      <w:pPr>
        <w:pStyle w:val="TextoNormal"/>
      </w:pPr>
      <w:r>
        <w:t xml:space="preserve">g) El Auto aquí impugnado, de fecha 21 de septiembre de 1984, acuerda denegar la solicitud de apertura de procedimiento de habeas corpus, de regularización de situación personal del Policía Nacional don Roberto Martínez Rosales, declarándola improcedente. </w:t>
      </w:r>
    </w:p>
    <w:p w:rsidR="001C705E" w:rsidRDefault="001C705E" w:rsidP="001C705E">
      <w:pPr>
        <w:pStyle w:val="TextoNormal"/>
      </w:pPr>
      <w:r>
        <w:t xml:space="preserve">En el mencionado Auto -resultando primero- se hace una referencia a los antecedentes a partir de la notificación al actor el día 16 de agosto de 1984 de su «detención, en concepto de arresto domiciliario, consistente en treinta días como incurso en una falta grave del art. 437.8 del vigente Código Castrense, situación ésta mantenida hasta el día de la fecha, y que, presumiblemente, ha superado ya en la actualidad, dada la fecha de la imposición del arresto y el tiempo transcurrido hasta hoy», haciéndose referencia en el propio resultando a la nueva notificación de 4 de septiembre; en el resultanto segundo se indica que el solicitante aporta como fundamentos de derecho la vulneración de los arts. 1.003 y ss. del </w:t>
      </w:r>
      <w:r>
        <w:lastRenderedPageBreak/>
        <w:t xml:space="preserve">Código Castrense, así como también los arts. 25, 9 y 24 de la Constitución. A partir de estos resultandos, en el considerando primero se indica que en la solicitud concurren los requisitos exigidos en los arts. 6, 3 y 4, todos ellos de la Ley Orgánica 6/1984, de 24 de mayo, y en el considerando segundo se razona la decisión que se adopta en los siguientes términos: </w:t>
      </w:r>
    </w:p>
    <w:p w:rsidR="001C705E" w:rsidRDefault="001C705E" w:rsidP="001C705E">
      <w:pPr>
        <w:pStyle w:val="TextoNormal"/>
      </w:pPr>
      <w:r>
        <w:t>«Que como argumentos jurídicos aportables al caso concreto, y que desvirtúan los contenidos en el resultando segundo de este auto, detraemos los preceptos 420 y 421, ambos del vigente Código Castrense, por los que se faculta a los Jefes y Oficiales a imponer a las clases de tropa correctivos consistentes en arrestos hasta de dos meses, sin que ello suponga en absoluto la procesal exigencia de instruir procedimiento o expediente judicial que investigue y sancione los hechos origen de los mismos, como disponen los arts. 1.003 y ss. del Código Castrense, en relación con el art. 517 del Decreto 2038/1975, de 17 de julio de 1975, y art. 12 de la Ley de Policía (Cuerpo de Policía Nacional) 55/1978, de 4 de diciembre, resultando por tanto inoperante y carente de relevancia jurídica, a los efectos sancionadores, y por ende ejemplares, máxime teniendo en cuenta la naturaleza y duración del arresto impuesto (treinta días), la calificación inicial de "falta grave" o supuestamente "posible falta grave", mantenida por el Jefe sancionador, y que con evidencia objetiva, resulta para el sancionado más benigna que la comprendida en el supracitado art. 421 del Código de Justicia Militar, llevándonos, de no aceptar este argumento, a admitir soluciones jurídicas que en estricta técnica judicial representarían una invasión, con el consiguiente decaimiento, de las facultades gubernativas militares, consagradas, durante largo tiempo, en nuestra Ley Marcial; huelga, por tanto, el poder admitir la tesis de conculcación constitucional, aducida por el corregido».</w:t>
      </w:r>
    </w:p>
    <w:p w:rsidR="001C705E" w:rsidRDefault="001C705E" w:rsidP="001C705E">
      <w:pPr>
        <w:pStyle w:val="TextoNormal"/>
      </w:pPr>
    </w:p>
    <w:p w:rsidR="001C705E" w:rsidRDefault="001C705E" w:rsidP="001C705E">
      <w:pPr>
        <w:pStyle w:val="TextoNormal"/>
      </w:pPr>
      <w:r w:rsidRPr="001C705E">
        <w:rPr>
          <w:rStyle w:val="NumeroAFNegritaCaracter"/>
        </w:rPr>
        <w:t>9</w:t>
      </w:r>
      <w:r>
        <w:t>. Por providencia de 10 de enero de 1985, la Sala acordó no acceder a la petición de recibimiento a prueba, formulada por la actora, por no estimarlo necesario para la resolución del recurso.</w:t>
      </w:r>
    </w:p>
    <w:p w:rsidR="001C705E" w:rsidRDefault="001C705E" w:rsidP="001C705E">
      <w:pPr>
        <w:pStyle w:val="TextoNormal"/>
      </w:pPr>
    </w:p>
    <w:p w:rsidR="001C705E" w:rsidRDefault="001C705E" w:rsidP="001C705E">
      <w:pPr>
        <w:pStyle w:val="TextoNormal"/>
      </w:pPr>
      <w:r w:rsidRPr="001C705E">
        <w:rPr>
          <w:rStyle w:val="NumeroAFNegritaCaracter"/>
        </w:rPr>
        <w:t>10</w:t>
      </w:r>
      <w:r>
        <w:t>. En 17 de enero de 1985 la representación del actor presenta un escrito al que acompaña Auto dictado por la Sala de Justicia del Consejo Supremo de Justicia Militar en 28 de noviembre de 1984, por el que se admite el recurso de queja formulado por el solicitante del amparo, declarando la nulidad de lo actuado y la reposición de las resoluciones al momento inicial del correctivo. Este Auto acredita y abunda acerca de la existencia de la detención ilegal y la consiguiente vulneración del art. 17.4 de la Constitución. Solicita se practique prueba documental consistente en recabar testimonio de dicho Auto.</w:t>
      </w:r>
    </w:p>
    <w:p w:rsidR="001C705E" w:rsidRDefault="001C705E" w:rsidP="001C705E">
      <w:pPr>
        <w:pStyle w:val="TextoNormal"/>
      </w:pPr>
    </w:p>
    <w:p w:rsidR="001C705E" w:rsidRDefault="001C705E" w:rsidP="001C705E">
      <w:pPr>
        <w:pStyle w:val="TextoNormal"/>
      </w:pPr>
      <w:r w:rsidRPr="001C705E">
        <w:rPr>
          <w:rStyle w:val="NumeroAFNegritaCaracter"/>
        </w:rPr>
        <w:t>11</w:t>
      </w:r>
      <w:r>
        <w:t>. Por providencia de 30 de enero de 1985, la Sección acordó dar traslado al Ministerio Fiscal del escrito y auto acompañado, a fin de que en el plazo de diez días manifestara si aceptaba o no el contenido del documento aportado y formulara las alegaciones oportunas.</w:t>
      </w:r>
    </w:p>
    <w:p w:rsidR="001C705E" w:rsidRDefault="001C705E" w:rsidP="001C705E">
      <w:pPr>
        <w:pStyle w:val="TextoNormal"/>
      </w:pPr>
    </w:p>
    <w:p w:rsidR="001C705E" w:rsidRDefault="001C705E" w:rsidP="001C705E">
      <w:pPr>
        <w:pStyle w:val="TextoNormal"/>
      </w:pPr>
      <w:r w:rsidRPr="001C705E">
        <w:rPr>
          <w:rStyle w:val="NumeroAFNegritaCaracter"/>
        </w:rPr>
        <w:t>12</w:t>
      </w:r>
      <w:r>
        <w:t>. En 13 de febrero de 1985, el Ministerio Fiscal formula escrito de alegaciones en el que manifiesta que no se opone a la aportación del documento, cuyo contenido no objeta, si bien estima que su contenido se refiere a temas ajenos al recurso de amparo.</w:t>
      </w:r>
    </w:p>
    <w:p w:rsidR="001C705E" w:rsidRDefault="001C705E" w:rsidP="001C705E">
      <w:pPr>
        <w:pStyle w:val="TextoNormal"/>
      </w:pPr>
    </w:p>
    <w:p w:rsidR="001C705E" w:rsidRDefault="001C705E" w:rsidP="001C705E">
      <w:pPr>
        <w:pStyle w:val="TextoNormal"/>
      </w:pPr>
      <w:r w:rsidRPr="001C705E">
        <w:rPr>
          <w:rStyle w:val="NumeroAFNegritaCaracter"/>
        </w:rPr>
        <w:t>13</w:t>
      </w:r>
      <w:r>
        <w:t>. Por providencia de 20 de febrero de 1985, la Sala señaló para deliberación y fallo el día 27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pretensión formulada por el actor consiste en que se declare la nulidad del Auto impugnado, dictado en un procedimiento de habeas corpus, y se reconozca el derecho que tenía el recurrente a su inmediata puesta a disposición judicial. Esta pretensión se fundamenta en la violación producida, en los términos que refleja el antecedente 3, de los arts. 17, 24 y 25 de la Constitución.</w:t>
      </w:r>
    </w:p>
    <w:p w:rsidR="001C705E" w:rsidRDefault="001C705E" w:rsidP="001C705E">
      <w:pPr>
        <w:pStyle w:val="TextoNormal"/>
      </w:pPr>
    </w:p>
    <w:p w:rsidR="001C705E" w:rsidRDefault="001C705E" w:rsidP="001C705E">
      <w:pPr>
        <w:pStyle w:val="TextoNormal"/>
      </w:pPr>
      <w:r w:rsidRPr="001C705E">
        <w:rPr>
          <w:rStyle w:val="NumeroAFNegritaCaracter"/>
        </w:rPr>
        <w:t>2</w:t>
      </w:r>
      <w:r>
        <w:t>. El procedimiento de habeas corpus se regula por la Ley Orgánica 6/1984, de 24 de mayo, la cual viene a desarrollar lo dispuesto en el art. 17.4 de la Constitución que, por lo que aquí interesa, dice así:</w:t>
      </w:r>
    </w:p>
    <w:p w:rsidR="001C705E" w:rsidRDefault="001C705E" w:rsidP="001C705E">
      <w:pPr>
        <w:pStyle w:val="TextoNormal"/>
      </w:pPr>
      <w:r>
        <w:t>«La Ley regulará el procedimiento de habeas corpus para producir la inmediata puesta a disposición judicial de toda persona detenida ilegalmente.»</w:t>
      </w:r>
    </w:p>
    <w:p w:rsidR="001C705E" w:rsidRDefault="001C705E" w:rsidP="001C705E">
      <w:pPr>
        <w:pStyle w:val="TextoNormal"/>
      </w:pPr>
      <w:r>
        <w:t>Este apartado se encuentra en íntima conexión con lo establecido por los anteriores, y en especial con lo dispuesto en el núm. 1 del mismo precepto el cual establece que «toda persona tiene derecho a la libertad y a la seguridad.  Nadie puede ser privado de su libertad, sino con la observancia de lo establecido en este artículo y en los casos y en la forma previstos en la Ley».</w:t>
      </w:r>
    </w:p>
    <w:p w:rsidR="001C705E" w:rsidRDefault="001C705E" w:rsidP="001C705E">
      <w:pPr>
        <w:pStyle w:val="TextoNormal"/>
      </w:pPr>
      <w:r>
        <w:t>La lectura de este precepto evidencia que la libertad personal reconocida en el art. 17.1 de la Constitución queda vulnerada cuando se priva de ella a una persona sin observar lo dispuesto en el mismo o en casos o forma no previstos en la Ley. De aquí que el incumplimiento del principio de legalidad punitiva (tipicidad) y procesal, pueda configurarse como una vulneración de la libertad personal, en garantía de la cual el propio art. 17.1 prevé la regulación por Ley de un procedimiento de habeas corpus para producir la inmediata puesta a disposición judicial de toda persona detenida ilegalmente. Dada la función que cumple este procedimiento, no cabe duda de que comprende potencialmente a todos los supuestos en que se produce una privación de libertad no acordada por el Juez, con objeto de conseguir el resultado indicado si la detención fuera ilegal, en la forma y con el alcance que precisa la Ley Orgánica 6/1984, según se verá más adelante.</w:t>
      </w:r>
    </w:p>
    <w:p w:rsidR="001C705E" w:rsidRDefault="001C705E" w:rsidP="001C705E">
      <w:pPr>
        <w:pStyle w:val="TextoNormal"/>
      </w:pPr>
      <w:r>
        <w:t>Las consideraciones anteriores conducen a la afirmación de que toda persona privada de libertad que considere lo ha sido ilegalmente, puede acudir al procedimiento de habeas corpus. El Juez competente, al decidir mediante la oportuna resolución, determinará si la detención es ilegal o no, y acordará lo procedente. Ahora bien, si no calificara de ilegal una privación de libertad en la que no se haya observado el principio de legalidad en el orden punitivo (tipicidad) y procesal, con los efectos consiguientes, la decisión dictada vulneraría el art. 24.1 de la Constitución, que establece con toda rotundidad tales principios.</w:t>
      </w:r>
    </w:p>
    <w:p w:rsidR="001C705E" w:rsidRDefault="001C705E" w:rsidP="001C705E">
      <w:pPr>
        <w:pStyle w:val="TextoNormal"/>
      </w:pPr>
      <w:r>
        <w:t>En esta línea de razonamiento, no cabe duda de que al mismo resultado habrá de llegarse si la privación de libertad se produce en forma tal que vulnere derechos fundamentales previstos en la Constitución -íntimamente conectados con la libertad personal-, como el art. 25.3, el cual establece que la Administración Civil no podrá imponer sanciones que directa o subsidiariamente impliquen privación de libertad, o el 24.2 en la medida en que consagra unos valores que han de ser observados cuando se imponen sanciones privativas de libertad por la Administración Militar, tal y como puso de manifiesto con detalle la Sentencia del Tribunal 21/1981, de 15 de junio, «Boletín Oficial del Estado» de 7 de julio, especialmente FJ 9 y 10; ello, al subrayar de una parte el valor primordial de la subordina</w:t>
      </w:r>
      <w:r>
        <w:lastRenderedPageBreak/>
        <w:t>ción jerárquica y la disciplina en el ámbito militar, y de otra, con referencia a aquellos casos en que la sanción disciplinaria conlleva una privación de libertad, la necesidad de que el procedimiento disciplinario legalmente establecido haya de responder a los principios que dentro del ámbito penal determinan el contenido básico del derecho de defensa; por el momento resulta innecesario una exposición más detenida de esta doctrina, a la que nos remitimos, sin perjuicio de ulteriores precisiones si fueren necesarias para resolver el presente recurso.</w:t>
      </w:r>
    </w:p>
    <w:p w:rsidR="001C705E" w:rsidRDefault="001C705E" w:rsidP="001C705E">
      <w:pPr>
        <w:pStyle w:val="TextoNormal"/>
      </w:pPr>
    </w:p>
    <w:p w:rsidR="001C705E" w:rsidRDefault="001C705E" w:rsidP="001C705E">
      <w:pPr>
        <w:pStyle w:val="TextoNormal"/>
      </w:pPr>
      <w:r w:rsidRPr="001C705E">
        <w:rPr>
          <w:rStyle w:val="NumeroAFNegritaCaracter"/>
        </w:rPr>
        <w:t>3</w:t>
      </w:r>
      <w:r>
        <w:t>. Las ideas anteriores permiten pasar al examen de las cuestiones planteadas en el presente recurso, las cuales consisten en decidir si el Auto impugnado al denegar la solicitud de apertura del procedimiento de habeas corpus ha vulnerado los derechos fundamentales alegados por el actor; debiendo tenerse en cuenta además que como el objeto directo de tal procedimiento, y de la resolución final del mismo, es la protección de la libertad personal, la Sala puede adoptar la decisión procedente para su tutela si entendiera que no ha sido acordada por el Juez que ha dictado la resolución objeto del recurso, de acuerdo con los arts. 41.1 y 51.1 de la Ley Orgánica del Tribunal Constitucional.</w:t>
      </w:r>
    </w:p>
    <w:p w:rsidR="001C705E" w:rsidRDefault="001C705E" w:rsidP="001C705E">
      <w:pPr>
        <w:pStyle w:val="TextoNormal"/>
      </w:pPr>
      <w:r>
        <w:t>a) En primer lugar, partiendo de los hechos que dieron lugar al proceso, reflejados en el Auto impugnado en conexión con las actuaciones (antecedente 8), nos encontramos con que se impone al actor una sanción de arresto domiciliario de treinta días de duración, sin perjuicio del servicio, como posible autor de una falta grave prevista en el art. 437.8 del Código de Justicia Militar. Tal sanción disciplinaria la impone el Capitán de la 2.ª Compañía, y encuentra su fundamento en el art. 421 del Código de Justicia Militar.</w:t>
      </w:r>
    </w:p>
    <w:p w:rsidR="001C705E" w:rsidRDefault="001C705E" w:rsidP="001C705E">
      <w:pPr>
        <w:pStyle w:val="TextoNormal"/>
      </w:pPr>
      <w:r>
        <w:t>b) El arresto domiciliario es una sanción privativa de libertad, aun cuando se imponga «sin perjuicio del servicio». En consecuencia es necesario determinar si esta sanción privativa de libertad se impuso ilegalmente por infringir el principio de legalidad en materia punitiva o procesal, lo que vulneraría el art. 17.1 de la Constitución, o con violación de otros derechos fundamentales íntimamente conectados con tales principios, según antes dijimos; pues, en caso afirmativo, la resolución impugnada habría vulnerado tales derechos.</w:t>
      </w:r>
    </w:p>
    <w:p w:rsidR="001C705E" w:rsidRDefault="001C705E" w:rsidP="001C705E">
      <w:pPr>
        <w:pStyle w:val="TextoNormal"/>
      </w:pPr>
      <w:r>
        <w:t>c) En el presente caso no cabe duda de que el principio de legalidad en materia punitiva (tipicidad) no ha sido observado, pues el estar «incurso en una posible falta grave» no se encuentra tipificado por el Código de Justicia Militar como falta leve, aun suponiendo que ello fuera legal y constitucionalmente posible; de forma que tal falta leve pudiera ser corregida con la sanción de arresto impuesta al amparo de los arts. 420 y 421.</w:t>
      </w:r>
    </w:p>
    <w:p w:rsidR="001C705E" w:rsidRDefault="001C705E" w:rsidP="001C705E">
      <w:pPr>
        <w:pStyle w:val="TextoNormal"/>
      </w:pPr>
      <w:r>
        <w:t>d) Resulta asimismo claro que tampoco se ha observado el principio de legalidad procesal, por cuanto si se estimaba que el actor estaba «incurso en una posible falta grave» lo procedente era seguir el procedimiento legalmente establecido para tales supuestos en los arts. 1.003 y ss. del Código de Justicia Militar, con las garantías procesales previstas en los mismos, para depurar la existencia de la falta e imponer, en su caso, la correspondiente sanción.</w:t>
      </w:r>
    </w:p>
    <w:p w:rsidR="001C705E" w:rsidRDefault="001C705E" w:rsidP="001C705E">
      <w:pPr>
        <w:pStyle w:val="TextoNormal"/>
      </w:pPr>
      <w:r>
        <w:t>e) De acuerdo con las consideraciones anteriores, resulta que el arresto producido es una sanción privativa de libertad que vulnera el derecho a la libertad personal reconocido por el art. 17.1 de la Constitución, al no haberse producido en un caso previsto en la Ley ni de acuerdo con el procedimiento establecido por la misma para la determinación de la posible existencia de un supuesto tipificado como falta grave.</w:t>
      </w:r>
    </w:p>
    <w:p w:rsidR="001C705E" w:rsidRDefault="001C705E" w:rsidP="001C705E">
      <w:pPr>
        <w:pStyle w:val="TextoNormal"/>
      </w:pPr>
      <w:r>
        <w:t>f) En conclusión, resulta que la sanción disciplinaria privativa de libertad se impuso ilegalmente y, en consecuencia, debió dictarse auto de incoación, seguir el procedimiento con la posibilidad de que se hubiera celebrado prueba sobre si el arresto había o no finali</w:t>
      </w:r>
      <w:r>
        <w:lastRenderedPageBreak/>
        <w:t>zado, y dictar resolución en la que se reconociera el derecho a la libertad personal del actor en el momento de presentación de su solicitud de habeas corpus y, en consecuencia, se restableciera tal derecho poniendo en libertad al actor si todavía no hubiese cumplido el arresto, todo ello de acuerdo con lo dispuesto en la Ley 6/1984, en especial arts. primero, apartado a), sexto, séptimo y octavo, número 2, apartado a); en especial, debe señalarse que este último precepto contempla como una de las medidas a adoptar por el Juez la puesta en libertad del privado de ella, si lo fue ilegalmente, como sucede en el caso en que una persona -art. 1, apartado a)- estuviera detenida sin que concurran los requisitos legales o sin haber cumplido las formalidades prevenidas y requisitos exigidos por las Leyes.</w:t>
      </w:r>
    </w:p>
    <w:p w:rsidR="001C705E" w:rsidRDefault="001C705E" w:rsidP="001C705E">
      <w:pPr>
        <w:pStyle w:val="TextoNormal"/>
      </w:pPr>
      <w:r>
        <w:t>Según resulta de las consideraciones anteriores, y se comprueba con la lectura del art. 8 de la Ley 6/1984, reguladora del procedimiento de habeas corpus, el Juez puede adoptar diversas medidas como es decidir la puesta en libertad -en el supuesto indicado-, o acordar que la persona privada de libertad sea puesta inmediatamente a disposición de la autoridad judicial si ya hubiera transcurrido el plazo legalmente establecido para su detención. Al efectuar esta regulación, la Ley Orgánica desarrolla el procedimiento de habeas corpus en conexión con el derecho a la libertad personal y los derechos del detenido, lo que da lugar a que siendo su objeto la inmediata puesta a disposición de la autoridad judicial competente del detenido ilegalmente, de acuerdo con el art.  17.4 de la Constitución y el art. 1 de la Ley, la resolución judicial que finaliza el procedimiento contemple diversas decisiones judiciales posibles, una de las cuales es la puesta en libertad del privado de ella, si lo fue ilegalmente, refundiendo así en un solo momento la puesta a disposición y la decisión de la autoridad judicial de reconocer y restablecer el derecho a la libertad personal, lo que se justifica plenamente por razones de economía procesal y de urgencia en tal reconocimiento y restablecimiento; mientras que la puesta inmediata a disposición judicial, entendida en sentido formal estricto, encuentra su campo de aplicación al supuesto en que habiéndose producido una detención -en principio legal- ha transcurrido el plazo legal de duración.</w:t>
      </w:r>
    </w:p>
    <w:p w:rsidR="001C705E" w:rsidRDefault="001C705E" w:rsidP="001C705E">
      <w:pPr>
        <w:pStyle w:val="TextoNormal"/>
      </w:pPr>
    </w:p>
    <w:p w:rsidR="001C705E" w:rsidRDefault="001C705E" w:rsidP="001C705E">
      <w:pPr>
        <w:pStyle w:val="TextoNormal"/>
      </w:pPr>
      <w:r w:rsidRPr="001C705E">
        <w:rPr>
          <w:rStyle w:val="NumeroAFNegritaCaracter"/>
        </w:rPr>
        <w:t>4</w:t>
      </w:r>
      <w:r>
        <w:t>. El razonamiento anterior conduce a la estimación del recurso. Debemos ahora precisar el contenido del fallo de acuerdo con lo dispuesto en el art. 55.1 de la LOTC, el cual establece que la Sentencia que otorgue el amparo contendrá alguno o algunos de los pronunciamientos que enumera en orden a la declaración de la nulidad de la resolución que haya impedido el ejercicio de los derechos o libertades protegidos, al reconocimiento del derecho o libertad pública de conformidad con su contenido constitucionalmente declarado, y al restablecimiento del recurrente en la integridad de su derecho o libertad.</w:t>
      </w:r>
    </w:p>
    <w:p w:rsidR="001C705E" w:rsidRDefault="001C705E" w:rsidP="001C705E">
      <w:pPr>
        <w:pStyle w:val="TextoNormal"/>
      </w:pPr>
      <w:r>
        <w:t>En el presente caso, de acuerdo con dicho precepto y las consideraciones formuladas, procede declarar la nulidad del Auto impugnado, y reconocer el derecho que tenía el actor en el momento en que formuló la solicitud de habeas corpus de ser puesto inmediatamente a disposición judicial por darse el supuesto previsto en el art. 17.4 de la Constitución, y de acuerdo con el desarrollo ya expuesto que el art. 8 de la Ley Orgánica 6/1984 ha dado a este precepto, para su puesta en libertad según ha quedado ya justificado; sin que esta conclusión, por otra parte, prejuzgue la calificación de los hechos y sus consecuencias en el orden disciplinario, de conformidad con los principios de legalidad en el orden punitivo y procesal. En cambio no resulta posible restablecerlo en tal derecho, dado que el tiempo del arresto había ya finalizado en el momento de formular el presente recurso de amparo y, en consecuencia, en el momento actual de dictar Sentencia.</w:t>
      </w:r>
    </w:p>
    <w:p w:rsidR="001C705E" w:rsidRDefault="001C705E" w:rsidP="001C705E">
      <w:pPr>
        <w:pStyle w:val="TextoNormal"/>
      </w:pPr>
    </w:p>
    <w:p w:rsidR="001C705E" w:rsidRDefault="001C705E" w:rsidP="001C705E">
      <w:pPr>
        <w:pStyle w:val="TextoNormal"/>
      </w:pPr>
      <w:r w:rsidRPr="001C705E">
        <w:rPr>
          <w:rStyle w:val="NumeroAFNegritaCaracter"/>
        </w:rPr>
        <w:t>5</w:t>
      </w:r>
      <w:r>
        <w:t>. La conclusión expuesta da lugar a que sea innecesario enjuiciar la vulneración alegada de otros derechos fundamentales. No obstante, a mayor abundamiento, resulta opor</w:t>
      </w:r>
      <w:r>
        <w:lastRenderedPageBreak/>
        <w:t>tuno efectuar algunas consideraciones en orden a dos vulneraciones aducidas por el actor, que no han sido contempladas hasta ahora, y que no pueden encuadrarse dentro de los aspectos relativos a las garantías derivadas del principio de legalidad en materia punitiva y procesal. Estas dos infracciones son, de una parte, la relativa a la existencia de una dilación indebida contraria al art. 24.2 de la Constitución en la actuación del Juez Togado núm. 1 de Burgos; y, de otra, la referente a la inobservancia del art.  25.3 de la Constitución, el cual establece que la Administración Civil no podrá imponer sanciones que, directa o subsidiariamente, impliquen privación de libertad.</w:t>
      </w:r>
    </w:p>
    <w:p w:rsidR="001C705E" w:rsidRDefault="001C705E" w:rsidP="001C705E">
      <w:pPr>
        <w:pStyle w:val="TextoNormal"/>
      </w:pPr>
      <w:r>
        <w:t>a) En cuanto a la existencia de una dilación indebida en la actuación del Juez Togado núm. 1 de Burgos, es lo cierto que no resulta de las actuaciones, dado que sólo transcurren veinticuatro horas desde la primera providencia hasta el auto impugnado (antecedente 8, apartados c y f), sin que aparezca acreditado en las actuaciones el día en que tuvo entrada en el Juzgado la solicitud del actor, que fue presentada el 10 de septiembre de 1984 en el Registro General de la Policía Nacional (cuando ya había transcurrido la mayor parte de los treinta días del arresto), la cual remitió las actuaciones al Juez Togado con el informe mencionado en el antecedente 8.d.</w:t>
      </w:r>
    </w:p>
    <w:p w:rsidR="001C705E" w:rsidRDefault="001C705E" w:rsidP="001C705E">
      <w:pPr>
        <w:pStyle w:val="TextoNormal"/>
      </w:pPr>
      <w:r>
        <w:t>b) En cuanto a la posible vulneración del art. 25.3 de la Constitución, el actor estima que se ha producido porque la sanción de arresto domiciliario que implica privación de libertad, le ha sido impuesta por la Administración Civil, de la que forman parte los Cuerpos y Fuerzas de Seguridad, a los que la Constitución distingue de las Fuerzas Armadas.</w:t>
      </w:r>
    </w:p>
    <w:p w:rsidR="001C705E" w:rsidRDefault="001C705E" w:rsidP="001C705E">
      <w:pPr>
        <w:pStyle w:val="TextoNormal"/>
      </w:pPr>
      <w:r>
        <w:t>Siendo cierta tal distinción (arts. 8, 104, entre otros) debe señalarse sin embargo que la calificación como Administración Civil, a todos los efectos, de los Cuerpos y Fuerzas de Seguridad del Estado, no se deduce de la Constitución en la forma aducida por el actor. En efecto, el art. 25.3 contempla el aspecto sancionador de la disciplina militar, disciplina a la que se refiere con carácter general -al regular la libertad sindical- el art. 28.1 de la propia Constitución, al indicar que la Ley podrá limitar o exceptuar el ejercicio de este derecho a las Fuerzas o Institutos armados o a los demás Cuerpos sometidos a disciplina militar. De donde resulta que la Constitución contempla como ajustado a la misma el que la Ley pueda sujetar a la disciplina militar a los Institutos armados o a otros Cuerpos, por lo que no puede afirmarse que la aplicación del régimen disciplinario sancionador de carácter militar a los Cuerpos y Fuerzas de Seguridad del Estado sea contrario a la Constitución, aun cuando ello suponga excluirlos en este aspecto de la Administración Civil. Por ello la procedencia de aplicar este régimen es un problema de mera legalidad, que en este caso se fundamenta en la legislación aplicable, como se ha puesto de manifiesto por el Ministerio Fiscal, singularmente el art. 12 de la Ley de la Policía de 4 de diciembre de 1978, y los arts. 512 y ss. del Reglamento Orgánico de la Policía Gubernativa.</w:t>
      </w:r>
    </w:p>
    <w:p w:rsidR="001C705E" w:rsidRDefault="001C705E" w:rsidP="001C705E">
      <w:pPr>
        <w:pStyle w:val="TextoNormal"/>
      </w:pPr>
      <w:r>
        <w:t>Por otra parte, la conclusión anterior no queda desvirtuada por el hecho de que pueda haberse constituido una asociación sindical de la que forman parte funcionarios del Cuerpo de Policía Nacional, al amparo del Decreto regulador de tales asociaciones para los funcionarios civiles del Estado, y ello porque tal acto, según dice el actor, es posterior y no anterior al que fue objeto del procedimiento de habeas corpus, por lo que el principio del respeto a los actos propios, aun si fuera aplicable en el ámbito del Derecho Administrativo con el alcance que pretende el recurrente, jugaría a favor del respeto al acto anterior por el posterior, y no a la inversa.</w:t>
      </w:r>
    </w:p>
    <w:p w:rsidR="001C705E" w:rsidRDefault="001C705E" w:rsidP="001C705E">
      <w:pPr>
        <w:pStyle w:val="TextoNormal"/>
      </w:pPr>
    </w:p>
    <w:p w:rsidR="001C705E" w:rsidRDefault="001C705E" w:rsidP="001C705E">
      <w:pPr>
        <w:pStyle w:val="TextoNormalCentrado"/>
        <w:keepNext/>
      </w:pPr>
      <w:r>
        <w:lastRenderedPageBreak/>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Estimar el recurso de amparo y a tal efecto</w:t>
      </w:r>
    </w:p>
    <w:p w:rsidR="001C705E" w:rsidRDefault="001C705E" w:rsidP="001C705E">
      <w:pPr>
        <w:pStyle w:val="TextoNormal"/>
      </w:pPr>
      <w:r>
        <w:t>1. Declarar la nulidad del Auto impugnado.</w:t>
      </w:r>
    </w:p>
    <w:p w:rsidR="001C705E" w:rsidRDefault="001C705E" w:rsidP="001C705E">
      <w:pPr>
        <w:pStyle w:val="TextoNormal"/>
      </w:pPr>
      <w:r>
        <w:t>2. Reconocer el derecho que tenía el actor en el momento en que formuló la solicitud de habeas corpus a ser puesto inmediatamente a disposición judicial, en los términos y con el alcance fijados en el fundamento jurídico cuarto.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cinco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5" w:name="SENTENCIA_1985_32"/>
      <w:r>
        <w:lastRenderedPageBreak/>
        <w:t>SENTENCIA 32/1985, de 6 de marzo de 1985</w:t>
      </w:r>
    </w:p>
    <w:bookmarkEnd w:id="35"/>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ECLI:ES:TC:1985:32</w:t>
      </w:r>
    </w:p>
    <w:p w:rsidR="001C705E" w:rsidRDefault="001C705E" w:rsidP="001C705E">
      <w:pPr>
        <w:pStyle w:val="SntesisDescriptiva"/>
      </w:pPr>
    </w:p>
    <w:p w:rsidR="001C705E" w:rsidRDefault="001C705E" w:rsidP="001C705E">
      <w:pPr>
        <w:pStyle w:val="SntesisDescriptiva"/>
      </w:pPr>
      <w:r>
        <w:t>Recurso de amparo 573/1983. Contra Acuerdo del Pleno del Ayuntamiento de La Guardia sobre constitución y composición de las Comisiones Informativas Municipales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No hay ningún precepto constitucional que expresamente establezca cuál haya de ser la composición de las Comisiones Informativas Municipales, materia que tampoco ha sido regulada por el legislador posconstitucional, sin que, dada la sustancial diferencia existente entre estas Comisiones y la Comisión Permanente, pueda utilizarse para resolver el problema, ni «a pari», ni «a contrario», el argumento de que ha de ser proporcional, por ordenarlo así la Ley (art. 28, Ley 39/1978, de 17 de julio) la composición de esta última. </w:t>
      </w:r>
    </w:p>
    <w:p w:rsidR="001C705E" w:rsidRDefault="001C705E" w:rsidP="001C705E">
      <w:pPr>
        <w:pStyle w:val="Extracto"/>
      </w:pPr>
    </w:p>
    <w:p w:rsidR="001C705E" w:rsidRDefault="001C705E" w:rsidP="001C705E">
      <w:pPr>
        <w:pStyle w:val="Extracto"/>
      </w:pPr>
      <w:r>
        <w:t>2.</w:t>
      </w:r>
      <w:r>
        <w:tab/>
        <w:t xml:space="preserve">La inclusión del pluralismo político como un valor jurídico fundamental (art. 1.1 de la C.E.) y la consagración constitucional de los partidos políticos como expresión de tal pluralismo, cauces para la formación y manifestación de la voluntad popular e instrumentos fundamentales para la participación política de los ciudadanos (art. 6 de la C.E.), dotan de relevancia jurídica (y no sólo política) a la adscripción política de los representantes y hacen que, en consecuencia, esa adscripción no puede ser ignorada ni por las normas infraconstitucionales que regulen la estructura interna del Organo en el que tales representantes se integran, ni por el órgano mismo, en las decisiones que adopte en el ejercicio de la facultad de organización que es consecuencia de su autonomía. </w:t>
      </w:r>
    </w:p>
    <w:p w:rsidR="001C705E" w:rsidRDefault="001C705E" w:rsidP="001C705E">
      <w:pPr>
        <w:pStyle w:val="Extracto"/>
      </w:pPr>
    </w:p>
    <w:p w:rsidR="001C705E" w:rsidRDefault="001C705E" w:rsidP="001C705E">
      <w:pPr>
        <w:pStyle w:val="Extracto"/>
      </w:pPr>
      <w:r>
        <w:t>3.</w:t>
      </w:r>
      <w:r>
        <w:tab/>
        <w:t xml:space="preserve">La composición no proporcional de las Comisiones Informativas resulta constitucionalmente inaceptable, porque éstas son órganos sólo en sentido impropio y en realidad meras divisiones internas del Pleno Municipal, carentes de competencias decisorias propias y cuya función se reduce a preparar las decisiones de aquél, estudiando e informando previamente los asuntos sobre los que debe resolver. En cuanto partes del pleno, deben reproducir, en cuanto sea posible, la estructura política de éste, pues de otro modo, en efecto, no sólo se eliminaría toda participación de los Concejales de la minoría en un estadio importante del proceso de decisión (y sólo un formalismo que prescinda absolutamente de la realidad puede ignorar la trascendencia que en este proceso tiene la fase de estudio y elaboración de propuestas), sino que se hurtaría a la minoría incluso la posibilidad de participar con plena eficacia en el estadio final de la decisión, privándola del tiempo necesario para el estudio en detalle de los asuntos o de la documentación que ello requiere, o de ambas cosas. </w:t>
      </w:r>
    </w:p>
    <w:p w:rsidR="001C705E" w:rsidRDefault="001C705E" w:rsidP="001C705E">
      <w:pPr>
        <w:pStyle w:val="Extracto"/>
      </w:pPr>
    </w:p>
    <w:p w:rsidR="001C705E" w:rsidRDefault="001C705E" w:rsidP="001C705E">
      <w:pPr>
        <w:pStyle w:val="Extracto"/>
      </w:pPr>
      <w:r>
        <w:t>4.</w:t>
      </w:r>
      <w:r>
        <w:tab/>
        <w:t>La vinculación de todos los poderes públicos a la Constitución (art. 9.1 de la C.E.) obliga, en consecuencia, a los Ayuntamientos al respeto de esta proporcio</w:t>
      </w:r>
      <w:r>
        <w:lastRenderedPageBreak/>
        <w:t xml:space="preserve">nalidad que, naturalmente, no implica la necesidad de que cada una de las Comisiones sea producción exacta, a escala menor, del Pleno Municipal, sino sólo la de que, en cuanto la diferencia cuantitativa y otras consideraciones objetivas lo hagan posible, al fijar la composición de las Comisiones se procure dotar de presencia en ellas a las fuerzas políticas presentes en el Pleno. </w:t>
      </w:r>
    </w:p>
    <w:p w:rsidR="001C705E" w:rsidRDefault="001C705E" w:rsidP="001C705E">
      <w:pPr>
        <w:pStyle w:val="Extracto"/>
      </w:pPr>
    </w:p>
    <w:p w:rsidR="001C705E" w:rsidRDefault="001C705E" w:rsidP="001C705E">
      <w:pPr>
        <w:pStyle w:val="Extracto"/>
      </w:pPr>
      <w:r>
        <w:t>5.</w:t>
      </w:r>
      <w:r>
        <w:tab/>
        <w:t xml:space="preserve">En la distribución de funciones (y asignación de puestos) entre mayoría y minoría en el seno de un órgano representativo, la diferencia ideológica es legítima y relevante, de modo tal que puede (y aun debe) ser considerada como una diferencia fáctica que autoriza el trato desigual. </w:t>
      </w:r>
    </w:p>
    <w:p w:rsidR="001C705E" w:rsidRDefault="001C705E" w:rsidP="001C705E">
      <w:pPr>
        <w:pStyle w:val="Extracto"/>
      </w:pPr>
    </w:p>
    <w:p w:rsidR="001C705E" w:rsidRDefault="001C705E" w:rsidP="001C705E">
      <w:pPr>
        <w:pStyle w:val="Extracto"/>
      </w:pPr>
      <w:r>
        <w:t>6.</w:t>
      </w:r>
      <w:r>
        <w:tab/>
        <w:t xml:space="preserve">El derecho a acceder a los cargos y funciones públicas implica también, necesariamente, el de mantenerse en ellos y desempeñarlos de acuerdo con lo previsto en la Ley, que, como es evidente, no podrá regular el ejercicio de los cargos representativos en términos tales que se vacíe de contenido la función que han de desempeñar, o se la estorbe o dificulte mediante obstáculos artificiales, o se coloque a ciertos representantes en condiciones inferiores a otros, pues si es necesario que el órgano representativo decida siempre en el sentido querido por la mayoría, no lo es menos que se ha de asignar a todos los votos igual valor y se ha de colocar a todos los votantes en iguales condiciones de acceso al conocimiento de los asuntos y de participación en los distintos estadios del proceso de decisión. </w:t>
      </w:r>
    </w:p>
    <w:p w:rsidR="001C705E" w:rsidRDefault="001C705E" w:rsidP="001C705E">
      <w:pPr>
        <w:pStyle w:val="Extracto"/>
      </w:pPr>
    </w:p>
    <w:p w:rsidR="001C705E" w:rsidRDefault="001C705E" w:rsidP="001C705E">
      <w:pPr>
        <w:pStyle w:val="Extracto"/>
      </w:pPr>
      <w:r>
        <w:t>7.</w:t>
      </w:r>
      <w:r>
        <w:tab/>
        <w:t xml:space="preserve">Los representantes miembros de la minoría tienen derecho a que la opinión de ésta (que es el instrumento de participación en los asuntos públicos de quienes fueron sus electores) sea oída sobre todos los asuntos que el órgano de que forman parte ha de conocer y resolver y lo sea, además, en los diferentes estadios del proceso de decisión.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lastRenderedPageBreak/>
        <w:t>SENTENCIA</w:t>
      </w:r>
    </w:p>
    <w:p w:rsidR="001C705E" w:rsidRDefault="001C705E" w:rsidP="001C705E">
      <w:pPr>
        <w:pStyle w:val="TextoNormalCentrado"/>
        <w:keepNext/>
      </w:pPr>
    </w:p>
    <w:p w:rsidR="001C705E" w:rsidRDefault="001C705E" w:rsidP="001C705E">
      <w:pPr>
        <w:pStyle w:val="TextoNormalCentrado"/>
        <w:keepNext/>
      </w:pPr>
      <w:r>
        <w:t xml:space="preserve">En recurso de amparo número 573/1984, interpuesto por el Procurador don Argimiro Vázquez Guillén, asistido por el Letrado don Santiago Muñoz Machado, en nombre de don José Luis Lomba Alonso, don José Antonio Uris Guisantes, don Pedro Borrajo Rivas, don Feliciano González Otero y don Agustín A. M. Pérez Alonso, contra Acuerdo del Pleno del Ayuntamiento de La Guardia, confirmado por la Sala Tercera del Tribunal Supremo, sobre constitución y composición de las Comisiones Informativas Municipales. </w:t>
      </w:r>
    </w:p>
    <w:p w:rsidR="001C705E" w:rsidRDefault="001C705E" w:rsidP="001C705E">
      <w:pPr>
        <w:pStyle w:val="TextoNormal"/>
      </w:pPr>
      <w:r>
        <w:t>Han sido parte en el asunto el Abogado del Estado y el Fiscal General del Estado y ha sido Ponente el Magistrado don Francisco Rubio Llorente,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Don José Luis Lomba Alonso, don Antonio Uris Guisantes, don Pedro Borrajo Rivas, don Feliciano González Otero y don Agustín A. M. Pérez Alonso, el primero Teniente de Alcalde y los demás Concejales del Ayuntamiento de La Guardia (Pontevedra), formularon demanda de amparo el día 26 de julio de 1984, representados por el Procurador don Argimiro Vázquez Guillén y asistidos por el Letrado don Santiago Muñoz Machado, contra el Acuerdo del Pleno del Ayuntamiento de La Guardia, adoptado en la sesión extraordinaria del día 4 de junio de 1983, así como contra la Sentencia de la Sala Tercera del Tribunal Supremo de 14 de junio de 1984, que revocó la dictada por la Sala de lo Contencioso-Administrativo de la Audiencia Territorial de La Coruña con fecha 2 de marzo del mismo año.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Los hechos en los que se basa la demanda de amparo pueden resumirse como sigue: </w:t>
      </w:r>
    </w:p>
    <w:p w:rsidR="001C705E" w:rsidRDefault="001C705E" w:rsidP="001C705E">
      <w:pPr>
        <w:pStyle w:val="TextoNormal"/>
      </w:pPr>
      <w:r>
        <w:t xml:space="preserve">a) En la referida sesión extraordinaria de 4 de junio de 1983, el Pleno del Ayuntamiento de La Guardia acordó la constitución y composición de las comisiones informativas municipales a propuesta del Alcalde y según lo dispuesto por el art. 4 b) del Real Decreto de 16 de marzo de 1979. Este Acuerdo fue adoptado por mayoría de ocho votos positivos, entre los que estaban los de los Concejales del grupo de Alianza Popular, y contra los expresados por los Concejales de la oposición, hoy recurrentes, del Partido Socialista de Galicia-PSOE y del grupo Independiente «Asociación La Guardia». Fueron constituidas cinco Comisiones -de Hacienda, de Obras, de gobierno y Régimen Interior, de Enseñanza, Cultura, Festejos, Deporte y Turismo y de Sanidad y Beneficencia- compuestas, las tres primeras, por tres Concejales cada una, la cuarta por cinco Concejales y la última por seis. La integración política de estas Comisiones informativas se realizó reservando en su totalidad los puestos de las cuatro primeras a los Concejales del Grupo mayoritario (Alianza Popular), asignando los cinco Concejales de los grupos de la oposición, exclusivamente, a la Comisión de Sanidad y Beneficencia, atribuyéndoseles cinco de sus seis puestos. </w:t>
      </w:r>
    </w:p>
    <w:p w:rsidR="001C705E" w:rsidRDefault="001C705E" w:rsidP="001C705E">
      <w:pPr>
        <w:pStyle w:val="TextoNormal"/>
      </w:pPr>
      <w:r>
        <w:t>b) Ante lo que entendieron era una decisión arbitraria, los hoy demandantes de amparo interpusieron recurso contencioso-administrativo contra el citado Acuerdo municipal ante la Sala competente de la Audiencia Territorial de La Coruña. El recurso fundamentado -en la lesión de los derechos de los actores declarados en los arts. 23.2 y 14 de la Constitución-, fue resuelto por Sentencia de 2 de marzo de 1984 en la que se estimó la pretensión deducida, declarándose la nulidad del Acuerdo impugnado y ordenándose que se procedie</w:t>
      </w:r>
      <w:r>
        <w:lastRenderedPageBreak/>
        <w:t xml:space="preserve">ra a nueva convocatoria para decidir la composición de las Comisiones informativas municipales de acuerdo con criterios de participación y proporcionalidad. </w:t>
      </w:r>
    </w:p>
    <w:p w:rsidR="001C705E" w:rsidRDefault="001C705E" w:rsidP="001C705E">
      <w:pPr>
        <w:pStyle w:val="TextoNormal"/>
      </w:pPr>
      <w:r>
        <w:t>c) Contra dicha Sentencia se interpuso recurso de apelación por la Administración General del Estado, representada y defendida por el Abogado del Estado. El recurso fue resuelto por Sentencia de 14 de junio de 1984 en la que, estimándose la apelación, se revocó la Sentencia dictada por la Audiencia Territorial. Estimó en esta resolución el Tribunal Supremo que no hubo en el caso lesión del derecho fundamental reconocido en el art. 23.2 de la Constitución por que el acceso en condiciones de igualdad a las funciones y cargos públicos que este precepto impone queda subordinado a los requisitos que señalan las leyes, siendo así que en el caso decidido la designación de las Comisiones municipales se rige por las normas de los acuerdos municipales, normas adoptadas por mayoría de votos (art. 302 de la Ley de Régimen Local de 25 de julio de 1955). De otra parte, la exigencia de la participación en estas mismas Comisiones impuesta por el art. 91 del Reglamento de Régimen Jurídico de las Corporaciones Locales no sería relevante a efectos de apreciar la violación argüida, por el rango de esta misma disposición.</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La fundamentación en derecho de la demanda de amparo puede sintetizarse así: </w:t>
      </w:r>
    </w:p>
    <w:p w:rsidR="001C705E" w:rsidRDefault="001C705E" w:rsidP="001C705E">
      <w:pPr>
        <w:pStyle w:val="TextoNormal"/>
      </w:pPr>
      <w:r>
        <w:t xml:space="preserve">a) Los recurrentes alegan que el Acuerdo municipal de 4 de junio de 1983 y la Sentencia del Tribunal Supremo de 14 de junio de 1984 les depararon lesión en sus derechos fundamentales declarados en los arts. 23.2 y 14 de la Constitución. Por lo que a la primera violación se refiere, es necesario, ante todo, analizar el mismo art. 23.2 de la norma fundamental, precepto que -a la luz de la doctrina del Tribunal Constitucional y de acuerdo, asimismo, con los Pactos internacionales en la materia suscritos por España- se refiere también a los cargos públicos de representación política en el ámbito municipal, según la Sentencia del Tribunal Constitucional de 20 de febrero de 1984. Es claro que esta disposición no garantiza a todos los ciudadanos un derecho absoluto a acceder a los cargos públicos, pero sí impone el que tal acceso se realice «en condiciones de igualdad» con los requisitos que dispongan las leyes, respetuosas ellas mismas del principio de igualdad. </w:t>
      </w:r>
    </w:p>
    <w:p w:rsidR="001C705E" w:rsidRDefault="001C705E" w:rsidP="001C705E">
      <w:pPr>
        <w:pStyle w:val="TextoNormal"/>
      </w:pPr>
      <w:r>
        <w:t xml:space="preserve">b) Sobre esta base, es necesario determinar tanto el carácter del cargo de miembro de una Comisión informativa municipal, como el significado de la igualdad jurídica en este caso. Por lo que se refiere al primer extremo, las citadas Comisiones han de situarse, según nuestra legislación de régimen local, entre los órganos municipales que, como el Pleno del Ayuntamiento y su Comisión Permanente, han de venir integrados por todos los Concejales, con vistas a que en su seno se puedan realizar debidamente las funciones de participación, de control y de crítica de la gestión municipal y, en su caso, de propuesta de alternativas frente a la labor desarrollada por los otros órganos municipales (el Alcalde y, en su caso, los Tenientes de Alcalde u otros miembros de la Corporación en los que aquél delegue). Desde este punto de vista, las Comisiones informativas pueden compararse, mutatis mutandis, con las Comisiones de las Cámaras legislativas. Estos órganos tienen como función, en efecto, la preparación y estudio de los asuntos que han de someterse a la decisión de los órganos y autoridades del Ayuntamiento con capacidad para la adopción de Acuerdos (art. 90 del Reglamento de Organización, Funcionamiento y Régimen Jurídico de las Corporaciones Locales, aprobado por Decreto de 17 de mayo de 1952). Y no cabría sostener que las Comisiones informativas son órganos de gobierno o gestión municipal porque, de acuerdo con el citado Reglamento, carecen de potestades decisorias, ni siquiera por delegación, según dispone su art. 126, requiriéndose también (art. 128.2) que sus dictámenes se aprueben por mayoría de votos de sus miembros, pudiendo el vocal o los vocales disidentes pedir que conste en acta su criterio o formular voto particular. Estas normas </w:t>
      </w:r>
      <w:r>
        <w:lastRenderedPageBreak/>
        <w:t xml:space="preserve">-junto con la previsión en el art. 91 del Reglamento de que habrá de procurarse la participación de todos los Concejales en las Comisiones-, si interpretadas a la luz del principio democrático presente en la Constitución, llevan a concluir que lo normal, o lo característico, incluso, de las Comisiones informativas es la presencia en ellas de la oposición municipal. Las Comisiones en cuestión son, pues, órganos colegiados a través de los que se expresa, en forma delegada o derivada del Pleno, la representación política que el cuerpo electoral ha conferido a los miembros de la Corporación. </w:t>
      </w:r>
    </w:p>
    <w:p w:rsidR="001C705E" w:rsidRDefault="001C705E" w:rsidP="001C705E">
      <w:pPr>
        <w:pStyle w:val="TextoNormal"/>
      </w:pPr>
      <w:r>
        <w:t xml:space="preserve">c) Por lo dicho, cabe trasladar aquí lo declarado por la Sentencia de la Audiencia de La Coruña de 2 de marzo de 1984 en la que -refiriéndose a la del Tribunal Supremo de 27 de septiembre de 1983- se afirmó que la reducción o limitación del derecho a ser integrado en los diversos órganos delegados de un Cuerpo colegiado supone una transgresión del derecho de participación en condiciones de igualdad reconocido en el art. 23 de la Constitución, especialmente en su apartado 2. Y esto cabría recalcarlo ahora destacando cómo, atendiendo a las funciones y fines de las comisiones, su composición no puede ser sino proporcional. Esto es así, porque, como queda dicho, las repetidas Comisiones no son órganos de gobierno o de gestión, sino de debate y consulta en los que se ejerce la colaboración y, en su caso, la crítica de la gestión municipal, razón por la cual carece de toda justificación la desigualdad que supone rechazar a los miembros de la oposición en su composición. Esta desigualdad cabe imputársela al Acuerdo impugnado del Pleno del Ayuntamiento de La Guardia, tratándose, además, de una discriminación por razones políticas, expresamente excluida por el art. 14 de la norma fundamental. Por ello, este Acuerdo, en el punto 3. de acta de la sesión extraordinaria, ha de declararse nulo. </w:t>
      </w:r>
    </w:p>
    <w:p w:rsidR="001C705E" w:rsidRDefault="001C705E" w:rsidP="001C705E">
      <w:pPr>
        <w:pStyle w:val="TextoNormal"/>
      </w:pPr>
      <w:r>
        <w:t xml:space="preserve">d) De otra parte, el señalado acuerdo no se limitó a infringir la norma reglamentaria citada que dispone la procuración de la participación de todos los Concejales en las Comisiones informativas. Quebrantó, sobre todo, un mandato superior derivado de los principios propios al régimen democrático, uno de los cuales es, precisamente, el derecho a acceder a los cargos públicos en condiciones de igualdad. Tal infracción provoca una merma considerable en los derechos y en las posibilidades de acción institucional de la oposición municipal, lesionando, asimismo, los principios contenidos en los arts. 1.2 y 9.2 de la norma fundamental. Lo anterior no quedaría contradicho por el hecho de que las Comisiones informativas no sean órganos necesarios ni tampoco por la circunstancia de que puedan ser hechas desaparecer en cualquier momento por reforma legal o reglamentaria, ya que, en tanto existan, su organización ha de conformarse a los principios y derechos constitucionales reseñados. Si así no fuera, se llegaría a provocar un fraude al electorado, presentándose ante el mismo como cuestiones estudiadas, debatidas e informadas, lo que no serían sino asuntos tratados por una sola parte de la Corporación y afectándose, incluso, a los derechos consagrados en el número 1. del art. 23 de la Constitución, derechos que se hallan en relación directa con los declarados en el número 2. del mismo precepto, según ha reconocido la Sentencia del Tribunal Constitucional de 20 de febrero de 1984, entre otras. </w:t>
      </w:r>
    </w:p>
    <w:p w:rsidR="001C705E" w:rsidRDefault="001C705E" w:rsidP="001C705E">
      <w:pPr>
        <w:pStyle w:val="TextoNormal"/>
      </w:pPr>
      <w:r>
        <w:t xml:space="preserve">e) Por lo expuesto, no es aceptable la doctrina contenida en la Sentencia del Tribunal Supremo de 14 de junio de 1984, frente a la que este recurso se plantea. No puede aceptarse, así, que quepa excluir la lesión argüida por el hecho de que la participación en las Comisiones informativas venga exigida por una disposición de mero rango reglamentario. En primer lugar, porque, vista la naturaleza del órgano, la proporcionalidad vendría exigida aun sin tal previsión normativa y de acuerdo con el art. 23.2 de la Constitución. En segundo lugar, porque no hay razón para desconocer que la infracción de un precepto reglamentario pueda deparar lesión en un derecho fundamental. En todo caso, lo que se recurrió en la vía contencioso-administrativa no fue una infracción de un Reglamento, sino más bien </w:t>
      </w:r>
      <w:r>
        <w:lastRenderedPageBreak/>
        <w:t xml:space="preserve">una vulneración de un derecho fundamental. De otra parte, la referencia del propio art. 23.2 de la Constitución a las «leyes» que dispongan los requisitos para el acceso a las funciones y cargos públicos no puede llevar a concluir en que no pueden darse discriminaciones cuando el acceso haya de producirse en razón de normas reglamentarias. Por «leyes», en este precepto, no ha de entenderse sólo las normas dotadas de rango o fuerza de ley, sino, más ampliamente, toda norma escrita o, incluso, toda norma jurídica. De lo contrario, el campo de aplicación del principio de igualdad en el acceso a las funciones y cargos públicos se vería radicalmente limitado. Lo sustantivo es, pues, la violación del derecho fundamental alegado, y no tanto el rango de la norma que regule el acceso al cargo público. Tampoco es aceptable el argumento recogido en la Sentencia recurrida de que el único parámetro legal aplicable para determinar los requisitos de acceso a las Comisiones informativas municipales sea el art. 302 de la Ley de Régimen Local, según el cual los Acuerdos municipales se adoptan por mayoría; esta tesis supondría desconocer que la potestad decisoria de los órganos municipales tiene unos límites, entre los que está el del respeto a los derechos fundamentales proclamados en la Constitución. </w:t>
      </w:r>
    </w:p>
    <w:p w:rsidR="001C705E" w:rsidRDefault="001C705E" w:rsidP="001C705E">
      <w:pPr>
        <w:pStyle w:val="TextoNormal"/>
      </w:pPr>
      <w:r>
        <w:t xml:space="preserve">f) Por último, afirman los recurrentes que, en el caso de que el Tribunal Constitucional no considerase los puestos de las Comisiones informativas como cargos representativos garantizados por el art. 23.2 de la Constitución, al menos sí habría de reconocerse que, en el presente caso, se ha provocado una violación del derecho reconocido en el art. 14 de la norma fundamental, toda vez que resulta notorio que los actores han sido objeto de un trato discriminatorio en razón de sus concepciones políticas e ideológicas. </w:t>
      </w:r>
    </w:p>
    <w:p w:rsidR="001C705E" w:rsidRDefault="001C705E" w:rsidP="001C705E">
      <w:pPr>
        <w:pStyle w:val="TextoNormal"/>
      </w:pPr>
      <w:r>
        <w:t>Los demandantes concluyen solicitando la declaración de nulidad del Acuerdo del Ayuntamiento de La Guardia recurrido y el reconocimiento de que, por su condición de Concejales, son titulares del derecho fundamental a participar en condiciones de igualdad en las Comisiones informativas municipales del Ayuntamiento, a las que tienen derecho a acceder junto con los restantes Concejales según un criterio de proporcionalidad. Se pide, asimismo, que se les restablezca en el derecho violado, ordenando a tal efecto al Alcalde del Ayuntamiento de La Guardia la formulación de nueva propuesta al Pleno para la composición de las Comisiones informativas.</w:t>
      </w:r>
    </w:p>
    <w:p w:rsidR="001C705E" w:rsidRDefault="001C705E" w:rsidP="001C705E">
      <w:pPr>
        <w:pStyle w:val="TextoNormal"/>
      </w:pPr>
    </w:p>
    <w:p w:rsidR="001C705E" w:rsidRDefault="001C705E" w:rsidP="001C705E">
      <w:pPr>
        <w:pStyle w:val="TextoNormal"/>
      </w:pPr>
      <w:r w:rsidRPr="001C705E">
        <w:rPr>
          <w:rStyle w:val="NumeroAFNegritaCaracter"/>
        </w:rPr>
        <w:t>4</w:t>
      </w:r>
      <w:r>
        <w:t>. Por providencia de 10 de octubre de 1984, la Sección Tercera de la Sala Segunda acordó la admisión a trámite de la demanda, así como que se dirigieran atentas comunicaciones al Ayuntamiento de La Guardia, a la Sala de lo Contencioso-Administrativo de la Audiencia Territorial de La Coruña y al excelentísimo señor Presidente del Tribunal Supremo, interesando las remisiones de las actuaciones respectivas, así como el emplazamiento, por parte de la citada Sala de la Audiencia Territorial, de todos cuantos hubiesen sido partes en el recurso del que la misma conoció.</w:t>
      </w:r>
    </w:p>
    <w:p w:rsidR="001C705E" w:rsidRDefault="001C705E" w:rsidP="001C705E">
      <w:pPr>
        <w:pStyle w:val="TextoNormal"/>
      </w:pPr>
    </w:p>
    <w:p w:rsidR="001C705E" w:rsidRDefault="001C705E" w:rsidP="001C705E">
      <w:pPr>
        <w:pStyle w:val="TextoNormal"/>
      </w:pPr>
      <w:r w:rsidRPr="001C705E">
        <w:rPr>
          <w:rStyle w:val="NumeroAFNegritaCaracter"/>
        </w:rPr>
        <w:t>5</w:t>
      </w:r>
      <w:r>
        <w:t>. En nueva providencia del 19 de diciembre, la misma Sección Tercera acordó tener por personado en el recurso al Abogado del Estado, así como acusar recibo a la Sala de lo Contencioso-Administrativo de la Audiencia Territorial de La Coruña, a la Sala Tercera del Tribunal Supremo y al Ayuntamiento de La Guardia de las actuaciones remitidas. Acordó asimismo la Sección oír a las partes y al Ministerio Fiscal por plazo común de tres días para que manifestasen su criterio en orden a que las actuaciones siguiesen por el trámite de alegaciones escritas o por el de vista oral.</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6</w:t>
      </w:r>
      <w:r>
        <w:t>. Oídas las partes y el Ministerio Fiscal, la Sala Segunda, en providencia de 16 de enero de 1985 y de conformidad con lo dispuesto en el art. 52.2 de la Ley orgánica del Tribunal Constitucional, acordó sustituir el trámite de alegaciones escritas por el de vista oral, y con este fin, poner de manifiesto las actuaciones a las partes y al Ministerio Fiscal por plazo común de veinte días. Se acordó, asimismo, señalar para la vista pública del recurso la audiencia del día 20 de febrero de 1985, a las diez horas y treinta minutos, en que tuvo lugar dicho acto; en él informó el Abogado don Santiago Muñoz Machado en apoyo de la pretensión de amparo de los recurrentes en los términos suplicados en su demanda; el Abogado del Estado informó oponiéndose a la demanda y pidiendo su desestimación; asimismo informó el Ministerio Fiscal oponiéndose a la demanda e interesando del Tribunal la denegación del amparo pedido. Las actuaciones quedaron pendientes de deliberación y votación, la cual quedó concluida el día 6 de marzo en curso.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Parece necesario, antes de analizar los argumentos jurídicos que a favor o en contra del otorgamiento del amparo se han ofrecido establecer con precisión el alcance del acuerdo municipal al que se imputa la supuesta lesión.</w:t>
      </w:r>
    </w:p>
    <w:p w:rsidR="001C705E" w:rsidRDefault="001C705E" w:rsidP="001C705E">
      <w:pPr>
        <w:pStyle w:val="TextoNormal"/>
      </w:pPr>
      <w:r>
        <w:t>Ese acuerdo, adoptado a propuesta del Alcalde y aprobado por siete votos favorables y cinco en contra, designa a los componentes de las Comisiones informativas, de tal modo que tres de ellas quedan integradas por tres Concejales cada una, una por cinco Concejales y otra por seis. Seis de los siete Concejales que votaron en favor de la propuesta del Alcalde forman parte cada uno de ellos de, al menos, dos Comisiones distintas, en tanto que el restante es miembro de tres. Por el contrario, todos los Concejales que votaron en contra de dicha propuesta participan en una sola Comisión y, además, todos ellos en la misma. Como los Concejales que votaron el Acuerdo integran, con el Alcalde, el grupo mayoritario, vencedor en las elecciones municipales, y quienes votaron en contra forman la minoría (integrada, a su vez, por dos grupos políticos distintos, de muy diferentes dimensiones), el acuerdo referido resulta manifiestamente sesgado en favor de la mayoría y en contra de la minoría. La desviación respecto de la pura proporcionalidad se proyecta además en dos planos distintos, pues de una parte la mayoría recibe quince de los veinte puestos existentes en las Comisiones, de los que sólo cinco se atribuyen a la minoría (la proporcionalidad hubiera llevado a otorgar doce puestos a la mayoría y ocho a la minoría), mientras que, de la otra, la mayoría está presente en todas las Comisiones, sin excepción alguna, en tanto que la minoría sólo tiene presencia en una Comisión.</w:t>
      </w:r>
    </w:p>
    <w:p w:rsidR="001C705E" w:rsidRDefault="001C705E" w:rsidP="001C705E">
      <w:pPr>
        <w:pStyle w:val="TextoNormal"/>
      </w:pPr>
      <w:r>
        <w:t>La existencia de un criterio diferenciador que lleva a dar a la mayoría un trato más favorable que el recibido por la minoría resulta así evidente y fuera de toda cuestión. El punto a determinar es, en consecuencia y en primer lugar, el de si esa configuración de las Comisiones informativas, ajena a toda idea de proporcionalidad, es conciliable o no con la Constitución. En el segundo de estos supuestos habrá de determinarse también si el acuerdo que impone tal configuración lesiona por ello algún derecho fundamental de los recurrentes.</w:t>
      </w:r>
    </w:p>
    <w:p w:rsidR="001C705E" w:rsidRDefault="001C705E" w:rsidP="001C705E">
      <w:pPr>
        <w:pStyle w:val="TextoNormal"/>
      </w:pPr>
    </w:p>
    <w:p w:rsidR="001C705E" w:rsidRDefault="001C705E" w:rsidP="001C705E">
      <w:pPr>
        <w:pStyle w:val="TextoNormal"/>
      </w:pPr>
      <w:r w:rsidRPr="001C705E">
        <w:rPr>
          <w:rStyle w:val="NumeroAFNegritaCaracter"/>
        </w:rPr>
        <w:t>2</w:t>
      </w:r>
      <w:r>
        <w:t>. No hay ningún precepto constitucional que expresamente establezca cuál haya de ser la composición de las Comisiones informativas municipales, materia que tampoco ha sido regulada por el legislador postconstitucional, sin que, dada la sustancial diferencia existente entre estas Comisiones y la Comisión Permanente, pueda utilizarse para resolver el pro</w:t>
      </w:r>
      <w:r>
        <w:lastRenderedPageBreak/>
        <w:t>blema, ni a pari, ni a contrario, el argumento de que ha de ser proporcional, por ordenarlo así la Ley (art. 28, Ley 39/1978, de 17 de julio) la composición de esta última.</w:t>
      </w:r>
    </w:p>
    <w:p w:rsidR="001C705E" w:rsidRDefault="001C705E" w:rsidP="001C705E">
      <w:pPr>
        <w:pStyle w:val="TextoNormal"/>
      </w:pPr>
      <w:r>
        <w:t>Los recurrentes han invocado en su favor el art. 91 del reglamento de Organización, Funcionamiento y Régimen Jurídico de las Corporaciones Locales (en adelante ROFR) que consideran infringido por el acuerdo impugnado.  Prescindiendo del hecho de que la alegada infracción de un precepto reglamentario no implica necesariamente una violación constitucional, es lo cierto que, dado que literalmente dicho artículo se limita a advertir de la conveniencia de que todos los Concejales formen parte de las Comisiones informativas y todos los Concejales del Ayuntamiento de La Guardia forman efectivamente parte de alguna de ellas, cabe sostener que el precepto en cuestión ha sido estrictamente respetado. Para alegar su violación es preciso demostrar que la promulgación de la Constitución exige que el art. 91 del ROFRJ sea interpretado en un sentido distinto del literal, por lo que, sin pronunciarnos ahora sobre ello, sí resulta evidente que la supuesta violación de la norma reglamentaria puede ser consecuencia de la existencia de un mandato constitucional que imponga una determinada composición de las Comisiones informativas o, más exactamente, prohíba que se dé a éstas una composición que no refleje de algún modo la del Ayuntamiento, pero no un argumento para demostrar que existe un mandato de ese género. La existencia o inexistencia de éste, que es el prius lógico de todo el razonamiento sólo puede ser determinada por eso a partir del análisis de las normas, haciendo provisionalmente abstracción de cuál haya sido la conducta del Ayuntamiento autor del acto impugnado.</w:t>
      </w:r>
    </w:p>
    <w:p w:rsidR="001C705E" w:rsidRDefault="001C705E" w:rsidP="001C705E">
      <w:pPr>
        <w:pStyle w:val="TextoNormal"/>
      </w:pPr>
      <w:r>
        <w:t>Fijada así la cuestión, su respuesta habrá de buscarse en el análisis conjunto del texto constitucional y del texto de aquellas normas que establecen la naturaleza y funciones de las Comisiones informativas.</w:t>
      </w:r>
    </w:p>
    <w:p w:rsidR="001C705E" w:rsidRDefault="001C705E" w:rsidP="001C705E">
      <w:pPr>
        <w:pStyle w:val="TextoNormal"/>
      </w:pPr>
      <w:r>
        <w:t>La Constitución (art. 140) confía el gobierno y administración de los municipios a los Ayuntamientos, integrados por los Alcaldes y los Concejales, precisando que estos últimos han de ser elegidos por los vecinos mediante sufragio universal, igual, libre, directo y secreto. Es por tanto evidente que sería constitucionalmente inadmisible toda decisión, fuere cual fuere su forma y rango, que excluyera del Ayuntamiento a los Concejales elegidos por determinado grupo de vecinos, pero no alcanza el mismo grado de evidencia la posible ilegitimidad de una decisión, como la que aquí se ataca, por la que, sin excluir a ningún Concejal del Consistorio, y ni siquiera de participar en las Comisiones informativas, se impide a un conjunto de ellos, políticamente definido, toda participación en cuatro de las cinco Comisiones existentes, dando además a ese conjunto en cuanto tal una participación cuantitativamente muy inferior a la que proporcionalmente a su fuerza en el Ayuntamiento le correspondería.</w:t>
      </w:r>
    </w:p>
    <w:p w:rsidR="001C705E" w:rsidRDefault="001C705E" w:rsidP="001C705E">
      <w:pPr>
        <w:pStyle w:val="TextoNormal"/>
      </w:pPr>
      <w:r>
        <w:t>En efecto, en el acto de la vista, tanto el Abogado del Estado, en su calidad de representante del Ayuntamiento de La Guardia, como el Ministerio Fiscal, negaron esa evidencia y sostuvieron por tanto que no existía la contradicción, afirmada por el demandante, de esta decisión mayoritaria con la Constitución.  Su postura (y con ella su oposición al otorgamiento del amparo) se fundamenta en la idea de que, careciendo estas Comisiones de carácter representativo, nada impide al Ayuntamiento, cuya voluntad es determinada por el voto de la mayoría de los Concejales (art. 2.1 Ley 40/1981, de 28 de octubre), distribuir entre ellas a los miembros del Concejo como considere más oportuno, sin sujetarse a los límites que resultarían de la necesidad de dotar a estas Comisiones de una estructura política que reproduzca, en cuanto sea posible, la existente en el Ayuntamiento.</w:t>
      </w:r>
    </w:p>
    <w:p w:rsidR="001C705E" w:rsidRDefault="001C705E" w:rsidP="001C705E">
      <w:pPr>
        <w:pStyle w:val="TextoNormal"/>
      </w:pPr>
      <w:r>
        <w:t xml:space="preserve">Esta idea (de cuyo supuesto implícito nos ocuparemos más adelante) se sostiene con un doble argumento: De una parte, el de que no puede tener carácter representativo un órgano </w:t>
      </w:r>
      <w:r>
        <w:lastRenderedPageBreak/>
        <w:t>que carece de funciones decisorias de cualquier tipo, lo que arrastra la inexistencia de toda presencia (o representación) exterior y, de la otra y más simplemente, el de que sólo tienen carácter representativo los órganos a los que la Ley se lo atribuye, lo que no es el caso de las Comisiones informativas. Como es evidente, el primer argumento incurre en una confusión, por lo demás frecuente, entre la relación orgánica y la de representación, para extraer de ella la conclusión (menos frecuente) de que no puede haber representación en donde no hay órgano. Si lo propio de éste, lo que le da su naturaleza, es el formar una voluntad que se imputa a la persona jurídica de la que es órgano, resulta claro que no será órgano la institución que no expresa voluntad alguna (sólo criterio). Las Comisiones informativas no son, en consecuencia, órganos representativos, por la buena y sencilla razón de que no son órganos de especie alguna, y no siéndolo, la mayoría municipal puede darles, de acuerdo con esta argumentación, la composición que quiera, sin limitación alguna, salvo, si acaso, la que resulte de la recomendación que hace el art. 91 del ROFRJ que, como antes se dice, ha sido respetado en su literalidad.</w:t>
      </w:r>
    </w:p>
    <w:p w:rsidR="001C705E" w:rsidRDefault="001C705E" w:rsidP="001C705E">
      <w:pPr>
        <w:pStyle w:val="TextoNormal"/>
      </w:pPr>
      <w:r>
        <w:t>La noción estricta de órgano que este argumento utiliza lo priva, sin embargo, de toda fuerza para resolver, en cualquier sentido, el caso que ahora nos ocupa, pues si las Comisiones informativas no son órganos habrá que determinar cuál es su naturaleza antes de hacer afirmación alguna sobre cuál sea su composición constitucionalmente necesaria o constitucionalmente imposible.</w:t>
      </w:r>
    </w:p>
    <w:p w:rsidR="001C705E" w:rsidRDefault="001C705E" w:rsidP="001C705E">
      <w:pPr>
        <w:pStyle w:val="TextoNormal"/>
      </w:pPr>
      <w:r>
        <w:t>El segundo de los mencionados argumentos, inspirado en la construcción dogmática kelseniana, no lo es enteramente fiel y en esa misma medida pierde también su fuerza suasoria. Es cierto que Kelsen distingue nítidamente entre la relación orgánica, como relación jurídica esencial o fundamental, y la relación de representación, que es siempre creación del derecho positivo. De esta distinción, sin embargo, no extrae Kelsen ni cabe extraer, en modo alguno, la conclusión de que sólo son órganos representativos aquellos a quienes el ordenamiento jurídico positivo atribuye este carácter, sino sólo la de que ambas relaciones, la orgánica y la de representación, son recíprocamente excluyentes, de manera que el órgano, por serlo, no es nunca representante y éste, por serlo, no es nunca órgano, y la noción de «órgano representativo» es, desde el punto de vista jurídico, contradictoria y absurda, aunque su empleo pueda justificarse desde el punto de vista político.  De acuerdo con esta construcción dogmática, las Comisiones informativas no son órganos representativos, pero tampoco los Ayuntamientos y, en consecuencia, ningún argumento puede extraerse de ella para demostrar cuál haya de ser la composición de aquéllas en relación con la de éstos.</w:t>
      </w:r>
    </w:p>
    <w:p w:rsidR="001C705E" w:rsidRDefault="001C705E" w:rsidP="001C705E">
      <w:pPr>
        <w:pStyle w:val="TextoNormal"/>
      </w:pPr>
      <w:r>
        <w:t>Los argumentos aducidos para combatirla no permiten por tanto invalidar la afirmación del recurrente, que paradójicamente resulta en cierto modo fortalecida por el supuesto implícito de que dichos argumentos arrancan. Este supuesto implícito es, claro está, el de que todo órgano representativo ha de reflejar en su composición el resultado de la elección popular. En cuanto que ésta, aunque pronunciándose de modo inmediato sobre personas concretas, se pronuncia también, mediatamente, sobre los partidos o grupos políticos que los proponen como candidatos, la idea de representación política exige, para el Abogado del Estado y para el Ministerio Fiscal, lo que la representación de los recurrentes llama proporcionalidad en la composición de los órganos, que el Abogado del Estado y el Ministerio Fiscal no creen obligatoria en las Comisiones informativas sólo por carecer éstas de naturaleza representativa.</w:t>
      </w:r>
    </w:p>
    <w:p w:rsidR="001C705E" w:rsidRDefault="001C705E" w:rsidP="001C705E">
      <w:pPr>
        <w:pStyle w:val="TextoNormal"/>
      </w:pPr>
      <w:r>
        <w:t>Aunque la coincidencia entre las partes sobre un punto de Derecho no conlleva la necesidad de que este Tribunal haga suya esa opinión compartida, sí nos dispensa de fundamentar muy extensamente su aceptación. Es claro, en efecto, que la inclusión del plura</w:t>
      </w:r>
      <w:r>
        <w:lastRenderedPageBreak/>
        <w:t>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dotan de relevancia jurídica (y no sólo política) a la adscripción política de los representantes y que, en consecuencia, esa adscripción no puede ser ignorada, ni por las normas infraconstitucionales que regulen la estructura interna del órgano en el que tales representantes se integran, ni por el órgano mismo, en las decisiones que adopte en ejercicio de la facultad de organización que es consecuencia de su autonomía. Estas decisiones, que son, por definición, decisiones de la mayoría, no pueden ignorar lo que en este momento, sin mayor precisión, podemos llamar derechos de las minorías.</w:t>
      </w:r>
    </w:p>
    <w:p w:rsidR="001C705E" w:rsidRDefault="001C705E" w:rsidP="001C705E">
      <w:pPr>
        <w:pStyle w:val="TextoNormal"/>
      </w:pPr>
      <w:r>
        <w:t>Siendo ello así, la composición no proporcional de las Comisiones informativas resulta constitucionalmente inaceptable porque éstas son órganos sólo en sentido impropio y en realidad meras divisiones internas del Pleno Municipal, carentes de competencias decisorias propias y cuya función se reduce a preparar las decisiones de aquél, estudiando e informando previamente los asuntos sobre los que debe resolver. En cuanto partes del Pleno deben reproducir, en cuanto sea posible, la estructura política de éste, pues, de otro modo, en efecto, no sólo se eliminaría toda participación de los Concejales de la minoría en un estadioimportante del proceso de decisión (y sólo un formalismo que prescinda absolutamente de la realidad puede ignorar la trascendencia que en este proceso tiene la fase de estudio y elaboración de propuestas), sino que se hurtaría a la minoría incluso la posibilidad de participar con plena eficacia en el estadio final de la decisión, privándola del tiempo necesario para el estudio en detalle de los asuntos, o de la documentación que ello requiere, o de ambas cosas.</w:t>
      </w:r>
    </w:p>
    <w:p w:rsidR="001C705E" w:rsidRDefault="001C705E" w:rsidP="001C705E">
      <w:pPr>
        <w:pStyle w:val="TextoNormal"/>
      </w:pPr>
      <w:r>
        <w:t>La normativa vigente sobre la materia, constituida en lo esencial por el ROFRJ citado, no deja dudas acerca de cuál sea la auténtica naturaleza de estas Comisiones informativas. Los Ayuntamientos gozan de libertad para determinar su número y ámbito competencial (art. 91 ROFRJ), decisión que cada Ayuntamiento puede adoptar sólo para la duración de su propio mandato, o establecer como norma organizativa en su Reglamento de Régimen Interior (ROFR art. 94). Sus funciones, sin embargo, establecidas por la legislación vigente, no pueden ser otras que las de dictaminar los asuntos que se sometan a su consideración, que habrán de ser todos aquellos que correspondan al Pleno y no hayan sido declarados urgentes (ROFRJ art. 124) y los que, facultativamente, decidan someterles el Alcalde o la Comisión Permanente dentro del ámbito de sus competencias respectivas (íd. art. 125). Estos dictámenes o informes, que se adoptarán por mayoría de votos y recogerán el voto particular de quien así lo desee (íd. art.  128), no podrán revestir nunca forma de acuerdo, pues el cometido de las Comisiones «deberá limitarse al estudio y preparación de los asuntos», sin que tengan facultades decisorias propias, ni puedan delegar en ellas el Alcalde o la Comisión Permanente el ejercicio de sus propias competencias «regladas o discrecionales» (íd. art.  126).</w:t>
      </w:r>
    </w:p>
    <w:p w:rsidR="001C705E" w:rsidRDefault="001C705E" w:rsidP="001C705E">
      <w:pPr>
        <w:pStyle w:val="TextoNormal"/>
      </w:pPr>
      <w:r>
        <w:t xml:space="preserve">La composición no proporcional de las Comisiones informativas vendría a falsear, en consecuencia, el funcionamiento del Ayuntamiento en Pleno, tanto en lo que toca al ejercicio de las competencias decisorias que la Ley le atribuye, como en lo que respecta a la función, intrínseca a todo órgano representativo, de controlar, discutir y criticar la actuación de todos aquellos órganos de gobierno y administración que no emanan directamente de la elección popular. La vinculación de todos los poderes públicos a la Constitución (art. 9.1 C.E.)  obliga en consecuencia a los Ayuntamientos al respecto de esta proporcionalidad que, naturalmente, no implica la necesidad de que cada una de las Comisiones sea </w:t>
      </w:r>
      <w:r>
        <w:lastRenderedPageBreak/>
        <w:t>reproducción exacta, a escala menor, del Pleno Municipal, sino sólo la de que, en cuanto la diferencia cuantitativa y otras consideraciones objetivas lo hagan posible, al fijar la composición de las Comisiones se procure dotar de presencia en ellas a las fuerzas políticas presentes en el Pleno. Esta necesidad ha sido manifiestamente desconocida por el acuerdo municipal impugnado, que ni en términos cuantitativos (respecto del número de puestos de comisionados asignados a cada grupo político), ni en términos cualitativos (en cuanto al confinamiento de todos los Concejales de la minoría en una sola Comisión) se aproxima, aunque sea lejanamente, a una distribución proporcional de los Concejales.</w:t>
      </w:r>
    </w:p>
    <w:p w:rsidR="001C705E" w:rsidRDefault="001C705E" w:rsidP="001C705E">
      <w:pPr>
        <w:pStyle w:val="TextoNormal"/>
      </w:pPr>
      <w:r>
        <w:t>De esta divergencia entre la exigencia constitucional y el acuerdo municipal no se sigue, sin embargo, necesariamente, como ya señalamos antes, que el mismo haya infringido derechos fundamentales de los recurrentes, pues una cosa es que la situación constitucional de la minoría (a la que la Constitución no atribuye derechos en el sentido riguroso del concepto) haya sido desconocida, y otra bien distinta la de que tal desconocimiento implique, además, una lesión de los derechos fundamentales de quienes la componen. De ello nos ocuparemos en el punto siguiente.</w:t>
      </w:r>
    </w:p>
    <w:p w:rsidR="001C705E" w:rsidRDefault="001C705E" w:rsidP="001C705E">
      <w:pPr>
        <w:pStyle w:val="TextoNormal"/>
      </w:pPr>
    </w:p>
    <w:p w:rsidR="001C705E" w:rsidRDefault="001C705E" w:rsidP="001C705E">
      <w:pPr>
        <w:pStyle w:val="TextoNormal"/>
      </w:pPr>
      <w:r w:rsidRPr="001C705E">
        <w:rPr>
          <w:rStyle w:val="NumeroAFNegritaCaracter"/>
        </w:rPr>
        <w:t>3</w:t>
      </w:r>
      <w:r>
        <w:t>. Los derechos cuya lesión invocaron los recurrentes en el proceso contencioso seguido ante la Audiencia Territorial de La Coruña y el Tribunal Supremo, son los garantizados por los arts. 14 y 23.2 C.E. (también hay en la demanda algunas alusiones marginales al art. 23.1 C.E.)  y estos derechos son también los que ante nosotros se pretende hacer valer y aquellos cuya posible violación hemos de considerar.</w:t>
      </w:r>
    </w:p>
    <w:p w:rsidR="001C705E" w:rsidRDefault="001C705E" w:rsidP="001C705E">
      <w:pPr>
        <w:pStyle w:val="TextoNormal"/>
      </w:pPr>
      <w:r>
        <w:t>Antes de adentrarnos en esa consideración, parece necesario precisar que tales derechos los ostentan sólo las personas físicas o jurídicas, no los grupos políticos carentes de personalidad, como son las fracciones políticas presentes en un órgano colegiado, y que, en consecuencia, la minoría de uno de tales órganos no puede, en cuanto tal, invocar su infracción, ni acudir para remediarla ante la jurisdicción ordinaria y en consecuencia tampoco ante nosotros en la vía del amparo. Es cierto que la infracción de las normas constitucionales o, si existieran (lo que aquí no es el caso) legales o reglamentarias, que protegen a las minorías, puede ser corregida a través del recurso contencioso-administrativo que los Concejales que hayan votado en contra pueden interponer contra los acuerdos municipales (Ley 39/1981, de 28 de octubre, art. 9), pero no ha sido ésta la vía escogida por los recurrentes, que acudieron ante la jurisdicción contencioso-administrativa acogidos a la Ley 62/1978 y vienen ante este Tribunal en demanda de amparo constitucional.  La existencia o inexistencia de las mencionadas infracciones ha de ser apreciada por tanto como infracción de los derechos de todos y cada uno de los recurrentes, no del grupo político a que pertenecen.  No significa esto, sin embargo, en modo alguno, que en dicha apreciación pueda hacerse abstracción del hecho de que los recurrentes son todos ellos, como titulares de cargos electivos, representantes del cuerpo electoral municipal, pero también, aunque en otro sentido, representantes de sus electores, quienes a su través ejercen el derecho de participación en los asuntos públicos que, como derecho fundamental, garantiza el art. 23.1 C.E. y de que como tales representantes integran la minoría, cuyo tratamiento constitucional ya descrito debe ser tomado en consideración al determinar el contenido concreto que en su caso tienen los derechos que la Constitución les otorga.</w:t>
      </w:r>
    </w:p>
    <w:p w:rsidR="001C705E" w:rsidRDefault="001C705E" w:rsidP="001C705E">
      <w:pPr>
        <w:pStyle w:val="TextoNormal"/>
      </w:pPr>
      <w:r>
        <w:t>Otra puntualización previa al análisis de las alegadas violaciones de los derechos fundamentales citados es la de que, habiéndose evidenciado en el Acuerdo impugnado un doble apartamiento de la proporcionalidad constitucionalmente exigible en cuanto que, de un lado, ha asignado a cada uno de los recurrentes un solo puesto de Comisionado, mientras que todos los Concejales mayoritarios ocupan dos y a veces tres, y, de otro, ha agru</w:t>
      </w:r>
      <w:r>
        <w:lastRenderedPageBreak/>
        <w:t>pado a todos los recurrentes en una sola Comisión, estando compuestas todas las restantes en su integridad por Concejales de la mayoría, cada una de estas formas o manifestaciones de la desviación (que hemos denominado, respectivamente, cuantitativa y cualitativa) habrá de ser considerada también separadamente, distinción que los recurrentes en ningún caso hacen.</w:t>
      </w:r>
    </w:p>
    <w:p w:rsidR="001C705E" w:rsidRDefault="001C705E" w:rsidP="001C705E">
      <w:pPr>
        <w:pStyle w:val="TextoNormal"/>
      </w:pPr>
      <w:r>
        <w:t>El primero de los derechos fundamentales que los recurrentes consideran lesionados por esta doble desviación es, según queda dicho, el de igualdad, consagrado por el artículo 14, pues, según afirman, el trato diferente (y peor) que se les ha dispensado, en relación con los miembros de la mayoría, permite apreciar la existencia de una discriminación ideológica (en razón de la opinión que profesan), prohibida por dicho artículo.</w:t>
      </w:r>
    </w:p>
    <w:p w:rsidR="001C705E" w:rsidRDefault="001C705E" w:rsidP="001C705E">
      <w:pPr>
        <w:pStyle w:val="TextoNormal"/>
      </w:pPr>
      <w:r>
        <w:t>Que el trato ha sido diferente y peor es cosa que ya queda dicha, y todo lleva a creer que efectivamente la razón de la diferencia está precisamente en el hecho de que expresan opciones distintas a las que mantienen los miembros de la mayoría. Aunque ello fuera así, no podría concluirse, sin embargo, que ese trato diferencial implica una violación del art. 14 de la Constitución, sin probar antes que éste exige que a los titulares de cargos representativos se les dé siempre el mismo trato, prescindiendo de las opciones que expresen, y tal demostración es, sencillamente, imposible, pues pertenece a la esencia de la democracia representativa la distinción entre mayoría y minoría (que es simple proyección de las preferencias manifestadas por la voluntad popular) y la ocupación por la primera de los puestos de dirección política.</w:t>
      </w:r>
    </w:p>
    <w:p w:rsidR="001C705E" w:rsidRDefault="001C705E" w:rsidP="001C705E">
      <w:pPr>
        <w:pStyle w:val="TextoNormal"/>
      </w:pPr>
      <w:r>
        <w:t>Si ninguna otra norma lo impide, por tanto, no hay discriminación ideológica en el hecho de que, al proveer cargos públicos de naturaleza política (no, naturalmente, al resolver sobre el acceso a la función pública o en la provisión de cargos reservados a los funcionarios públicos, en donde, por mandato constitucional -art. 103.3- sólo cabe atender a las condiciones de mérito y capacidad), se dé preferencia a los correligionarios, de manera que lo decisivo será siempre la existencia o no de esa otra norma impeditiva.</w:t>
      </w:r>
    </w:p>
    <w:p w:rsidR="001C705E" w:rsidRDefault="001C705E" w:rsidP="001C705E">
      <w:pPr>
        <w:pStyle w:val="TextoNormal"/>
      </w:pPr>
      <w:r>
        <w:t>De otra parte, y como también es evidente, el tratamiento «igual» de los recurrentes, individualmente considerados, al asignar puestos en las Comisiones, llevaría a atribuir a cada uno de ellos tantos puestos como los atribuidos a los miembros de la mayoría, consecuencia seguramente no pretendida por los propios recurrentes, pero lógica, y que vendría justamente a destruir (esta vez en contra de la mayoría y, por tanto, también de la voluntad popular libremente manifestada) la misma proporcionalidad que ellos invocan en su favor. Todas estas razones y otras que pudieran añadirse, evidencian suficientemente, que en la distribución de funciones (y asignación de puestos) entre mayoría y minoría en el seno de un órgano representativo, la diferencia ideológica es legítima y relevante, de modo tal que puede (y aun debe) ser considerada como una diferencia fáctica que autoriza el trato desigual.</w:t>
      </w:r>
    </w:p>
    <w:p w:rsidR="001C705E" w:rsidRDefault="001C705E" w:rsidP="001C705E">
      <w:pPr>
        <w:pStyle w:val="TextoNormal"/>
      </w:pPr>
      <w:r>
        <w:t>El otro derecho fundamental cuya lesión alegan los recurrentes es el garantizado por el art. 23.2 que definen como «especificación del principio de igualdad jurídica», y del que deducen la necesidad de que la composición de las Comisiones sea proporcional y, en consecuencia, la imposibilidad constitucional de que todos los Concejales minoritarios sean agrupados en una misma Comisión, en tanto que los Concejales de la mayoría se reparten entre ellos todos los puestos de las restantes Comisiones. El análisis de este precepto es así ya en este punto la clave de nuestra decisión.</w:t>
      </w:r>
    </w:p>
    <w:p w:rsidR="001C705E" w:rsidRDefault="001C705E" w:rsidP="001C705E">
      <w:pPr>
        <w:pStyle w:val="TextoNormal"/>
      </w:pPr>
      <w:r>
        <w:t xml:space="preserve">El art. 23.2 C.E. consagra el derecho de todos los ciudadanos a acceder en condiciones de igualdad a los cargos y funciones públicas, con los requisitos que señalen las leyes. Como ya hemos declarado en anteriores ocasiones (Sentencia de 20 de febrero de 1984), el derecho a acceder a los cargos y funciones públicas implica también, necesariamente, el </w:t>
      </w:r>
      <w:r>
        <w:lastRenderedPageBreak/>
        <w:t>de mantenerse en ellos y desempeñarlos de acuerdo con lo previsto en la Ley, que, como es evidente, no podrá regular el ejercicio de los cargos representativos en términos tales que se vacíe de contenido la función que han de desempeñar, o se la estorbe o dificulte mediante obstáculos artificiales, o se coloque a ciertos representantes en condiciones inferiores a otros, pues si es necesario que el órgano representativo decida siempre en el sentido querido por la mayoría, no lo es menos que se ha de asignar a todos los votos igual valor y se ha de colocar a todos los votantes en iguales condiciones de acceso al conocimiento de los asuntos y de participación en los distintos estadios del proceso de decisión. Y, naturalmente, si estos límites condicionan la actuación del legislador, con igual fuerza, cuando menos, han de condicionar la actuación de los propios órganos representativos al adoptar éstos las medidas de estructuración interna que su autonomía les permite.</w:t>
      </w:r>
    </w:p>
    <w:p w:rsidR="001C705E" w:rsidRDefault="001C705E" w:rsidP="001C705E">
      <w:pPr>
        <w:pStyle w:val="TextoNormal"/>
      </w:pPr>
      <w:r>
        <w:t>Por consiguiente, un Acuerdo como el impugnado, que, según lo ya expuesto en el punto anterior de estos fundamentos, ha de ser considerado constitucionalmente incorrecto, lesiona, al ser ejecutado, el derecho fundamental de aquellos que con su aplicación son sometidos, en el ejercicio de su función representativa, a unas condiciones que ninguna Ley válida podría establecer.</w:t>
      </w:r>
    </w:p>
    <w:p w:rsidR="001C705E" w:rsidRDefault="001C705E" w:rsidP="001C705E">
      <w:pPr>
        <w:pStyle w:val="TextoNormal"/>
      </w:pPr>
      <w:r>
        <w:t>La determinación del grado de la lesión sufrida exige que, de nuevo, recordemos la necesidad de tomar en cuenta el hecho de que los recurrentes son miembros de una minoría municipal, que a estos efectos, y prescindiendo de las diferencias políticas que en su seno existan, consideraremos como entidad homogénea. La pertenencia a la minoría es, en efecto, un dato concreto que no puede ser olvidado, pues, de una parte, el principio que ha de orientar los Acuerdos que se adopten en cuanto a estructura y funcionamiento interno del Ayuntamiento no es, según ya dijimos, el de igualdad, sino el de proporcionalidad, que no cabe establecer si no es a partir de la relación existente entre mayoría y minoría, y de otra, sólo teniendo presente la situación política relativamente homogénea de todos los recurrentes, se hace perceptible, en virtud de la conexión que, cuando se trata de cargos representativos, hay que establecer entre los dos apartados del art. 23 el daño que de una lesión al derecho de los representantes resulta también para el derecho de los representados.</w:t>
      </w:r>
    </w:p>
    <w:p w:rsidR="001C705E" w:rsidRDefault="001C705E" w:rsidP="001C705E">
      <w:pPr>
        <w:pStyle w:val="TextoNormal"/>
      </w:pPr>
      <w:r>
        <w:t>Dicho lo anterior, es evidente que las dos desviaciones de la proporcionalidad en las que el Acuerdo municipal incurre lesionan el derecho de los recurrentes, colocando el ejercicio de sus funciones representativas en una situación notablemente desventajosa en relación con la atribuida a los Concejales de la mayoría. En la que llamábamos desviación cuantitativa, esta lesión se patentiza con la simple comparación de las cifras, pues, si como indicábamos en este punto primero de estos fundamentos, la porporcionalidad exigía que se atribuyeran a la mayoría doce puestos en las Comisiones y ocho a la minoría, la relación abstracta entre cada miembro de la minoría y cada miembro de la mayoría habría de ser, desde el punto de vista, la de dos a tres y no, como ahora sucede, la de uno a dos. Es evidente que, como ya dijimos, la proporcionalidad que aquí consideramos no puede ser entendida en forma matemática, pero, de una parte, la amplitud de la desviación matemática, generalizada además a todos los Concejales de la minoría, y de otra, la ausencia de todo intento de razonamiento para justificarla, obligan a considerarla ilegítima y lesiva.</w:t>
      </w:r>
    </w:p>
    <w:p w:rsidR="001C705E" w:rsidRDefault="001C705E" w:rsidP="001C705E">
      <w:pPr>
        <w:pStyle w:val="TextoNormal"/>
      </w:pPr>
      <w:r>
        <w:t>Evidente resulta también la lesión que, en el derecho fundamental al ejercicio de la función representativa en términos de igualdad (aquí proporcionalidad) con el resto de los integrantes del órgano representativo, resulta de la que denominábamos desviación cualitativa. Los representantes miembros de la minoría tienen derecho a que la opinión de ésta (que es el instrumento de participación en los asuntos públicos de quienes fueron sus electores) sea oída sobre todos los asuntos que el órgano de que forman parte ha de conocer y resolver y lo sea, además, en los diferentes estadios del proceso de decisión.  Con la com</w:t>
      </w:r>
      <w:r>
        <w:lastRenderedPageBreak/>
        <w:t>posición dada a las Comisiones informativas, todos y cada uno de los recurrentes, si bien podrán hacerse oír en el momento final de resolver sobre todos los asuntos que sean competencia del Pleno Municipal y podrán incluso determinar el sentido del informe de Comisión en todo cuanto se relacione con la Sanidad y la Beneficencia, se ven privados de toda posibilidad de participar, incluso salvando su voto, en los informes y propuestas relativos a la Hacienda municipal, a las Obras, el Gobierno y Régimen Interior del Ayuntamiento, o la Enseñanza, Cultura, Festejos, Deportes y Turismo.</w:t>
      </w:r>
    </w:p>
    <w:p w:rsidR="001C705E" w:rsidRDefault="001C705E" w:rsidP="001C705E">
      <w:pPr>
        <w:pStyle w:val="TextoNormal"/>
      </w:pPr>
      <w:r>
        <w:t>La lesión del derecho que constatamos conduce, naturalmente, al otorgamiento del amparo que se nos pide. La determinación del alcance que a éste se haya de dar requiere, sin embargo, algunas consideraciones suplementarias, que exponemos en el punto siguiente.</w:t>
      </w:r>
    </w:p>
    <w:p w:rsidR="001C705E" w:rsidRDefault="001C705E" w:rsidP="001C705E">
      <w:pPr>
        <w:pStyle w:val="TextoNormal"/>
      </w:pPr>
    </w:p>
    <w:p w:rsidR="001C705E" w:rsidRDefault="001C705E" w:rsidP="001C705E">
      <w:pPr>
        <w:pStyle w:val="TextoNormal"/>
      </w:pPr>
      <w:r w:rsidRPr="001C705E">
        <w:rPr>
          <w:rStyle w:val="NumeroAFNegritaCaracter"/>
        </w:rPr>
        <w:t>4</w:t>
      </w:r>
      <w:r>
        <w:t>. Los recurrentes piden en su demanda que, junto con la anulación del Acuerdo municipal impugnado y el reconocimiento de su derecho a participar en las Comisiones informativas según un criterio de proporcionalidad entre los diversos grupos políticos que integran la Corporación, ordenemos al Alcalde del Ayuntamiento de La Guardia formula nueva propuesta de composición de las Comisiones informativas del Pleno a fin de que éste, en el plazo establecido por el Real Decreto de 16 de marzo de 1979 [art.  4b)], la apruebe y dote a las mencionadas Comisiones de una composición que respete la indicada proporcionalidad.</w:t>
      </w:r>
    </w:p>
    <w:p w:rsidR="001C705E" w:rsidRDefault="001C705E" w:rsidP="001C705E">
      <w:pPr>
        <w:pStyle w:val="TextoNormal"/>
      </w:pPr>
      <w:r>
        <w:t>Si la concesión de cuanto nos piden en los dos primeros puntos de su súplica no suscita dificultad alguna, no ocurre otro tanto en lo que respecta al señalado en último lugar, pues si es cierto que de mantenerse las actuales Comisiones una vez anulado el Acuerdo por el que se designaban sus componentes, cualquier otro que decida su composición habrá de respetar el criterio de la proporcionalidad, no lo es menos que, correspondiendo sólo al Ayuntamiento decidir cuál sea el número y competencia de las Comisiones informativas a constituir, no podríamos nosotros, sin violentar la autonomía municipal, emitir un orden que, implícitamente, impediría una reconsideración de los acuerdos ya adoptados en cuanto a tales extremos.</w:t>
      </w:r>
    </w:p>
    <w:p w:rsidR="001C705E" w:rsidRDefault="001C705E" w:rsidP="001C705E">
      <w:pPr>
        <w:pStyle w:val="TextoNormal"/>
      </w:pPr>
      <w:r>
        <w:t>En el bien entendido de que la composición de las Comisiones informativas del Pleno Municipal ha de respetar siempre el criterio de la proporcionalidad, el amparo que otorgamos no puede extenderse, sin embargo, a ordenar el mantenimiento de las que ya existen.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y, en consecuencia:</w:t>
      </w:r>
    </w:p>
    <w:p w:rsidR="001C705E" w:rsidRDefault="001C705E" w:rsidP="001C705E">
      <w:pPr>
        <w:pStyle w:val="TextoNormal"/>
      </w:pPr>
      <w:r>
        <w:t>1. Anular el Acuerdo adoptado el 4 de junio de 1983 por el Pleno del Ayuntamiento de La Guardia por el que se establece la composición de las Comisiones informativas.</w:t>
      </w:r>
    </w:p>
    <w:p w:rsidR="001C705E" w:rsidRDefault="001C705E" w:rsidP="001C705E">
      <w:pPr>
        <w:pStyle w:val="TextoNormal"/>
      </w:pPr>
      <w:r>
        <w:t>2. Reconocer el derecho de los recurrentes a que cada una de las Comisiones informativas del Ayuntamiento del que son Concejales estén integradas de forma que se acomode a la proporcionalidad existente entre los distintos grupos políticos representados en el Ayuntamiento.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seis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6" w:name="SENTENCIA_1985_33"/>
      <w:r>
        <w:lastRenderedPageBreak/>
        <w:t>SENTENCIA 33/1985, de 7 de marzo de 1985</w:t>
      </w:r>
    </w:p>
    <w:bookmarkEnd w:id="36"/>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ECLI:ES:TC:1985:33</w:t>
      </w:r>
    </w:p>
    <w:p w:rsidR="001C705E" w:rsidRDefault="001C705E" w:rsidP="001C705E">
      <w:pPr>
        <w:pStyle w:val="SntesisDescriptiva"/>
      </w:pPr>
    </w:p>
    <w:p w:rsidR="001C705E" w:rsidRDefault="001C705E" w:rsidP="001C705E">
      <w:pPr>
        <w:pStyle w:val="SntesisDescriptiva"/>
      </w:pPr>
      <w:r>
        <w:t>Recurso de amparo 372/1984. Aplicación del art. 13.1 de la Ley Orgánica 9/1980, de 6 de noviembre de reforma del Código de Justicia Militar, en la nueva redacción dada al mismo por STC 27/1985</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Al versar la primera pretensión del recurso sobre el mismo tema ya resuelto directamente por la Sentencia 27/1985, de 26 de febrero, han de aplicarse los efectos de la inconstitucionalidad del inciso del art. 13.1 de la Ley 9/1980 al presente caso y, por consiguiente, según el art. 55.1 de la LOTC, se debe conceder al recurrente el derecho que le había sido negado, de formular el recurso de casación contra la Sentencia que le condenó, por formar parte del derecho a la tutela judicial efectiva.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372/1984, promovido por don Juan Manuel Suárez Sánchez, representado por el Procurador don José Manuel Fernández Castro, y dirigido por el Letrado don Eduardo Lalanda Pisoán, contra el acuerdo del Capitán General de la Primera Región Militar de 30 de abril de 1984, no otorgando recurso de casación contra la Resolución del Consejo de Guerra que le condenó por delito, y contra la sentencia que puso fin a la causa núm. 140/1982, de la Primera Región Militar, que le condenó a la pena de un año y seis meses de prisión militar, por un delito contra el honor militar, habiendo comparecido en el proceso el Ministerio Fiscal, y siendo Ponente el Magistrado de la Sala don Angel Escudero del Corral, quien expresa el parecer de la misma.</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recurso de amparo anteriormente indicado se fundó en los hechos siguientes: </w:t>
      </w:r>
    </w:p>
    <w:p w:rsidR="001C705E" w:rsidRDefault="001C705E" w:rsidP="001C705E">
      <w:pPr>
        <w:pStyle w:val="TextoNormal"/>
      </w:pPr>
      <w:r>
        <w:t xml:space="preserve">a) En la causa núm. 140/1982, de la Primera Región Militar, se procesó y más tarde condenó en Consejo de Guerra al recurrente, a la pena de un año y seis meses de prisión militar, como autor de un delito contra el honor militar, tipificado en el art. 352 del Código de Justicia Militar, con el efecto de pérdida de tiempo para el servicio y antigüedad en el mismo. </w:t>
      </w:r>
    </w:p>
    <w:p w:rsidR="001C705E" w:rsidRDefault="001C705E" w:rsidP="001C705E">
      <w:pPr>
        <w:pStyle w:val="TextoNormal"/>
      </w:pPr>
      <w:r>
        <w:t xml:space="preserve">b) Contra dicha sentencia su defensor presentó escrito solicitando que se tuviera por preparado recurso de casación ante el Consejo Supremo de Justicia Militar, en tiempo y forma, siendo desestimada dicha petición por acuerdo del Capitán General de la Primera Región Militar, por entender que el núm. 1 del art. 13 de la Ley orgánica 9/1980, de 6 de noviembre, establece que sólo son recurribles en casación las sentencias de los Consejos de Guerra en las que se hubieran impuesto penas privativas de libertad superiores a tres años, situación que no se cumplía en el caso enjuiciado, quedando por lo tanto dicha Sentencia firme, y en fase de ejecución desde el momento de su comunicación al defensor el 21 de mayo de 1984. </w:t>
      </w:r>
    </w:p>
    <w:p w:rsidR="001C705E" w:rsidRDefault="001C705E" w:rsidP="001C705E">
      <w:pPr>
        <w:pStyle w:val="TextoNormal"/>
      </w:pPr>
      <w:r>
        <w:t xml:space="preserve">c) La Sentencia del Tribunal Constitucional de 14 de diciembre de 1982, declara inconstitucional el inciso «superiores a tres años en una o en la suma de varias» del art. 14 de la Ley orgánica 9/1980, de 6 de noviembre. Dicho artículo regula la posibilidad de interponer recurso de casación ante la Sala de lo Penal del Tribunal Supremo, contra las sentencias dictadas en primera instancia por el Consejo Supremo de Justicia Militar. Por lo que puede entenderse por analogía que esa inconstitucionalidad es perfectamente aplicable al art. 13 de la misma Ley, que regula la forma de interponer recurso de casación contra las sentencias dictadas por los Consejos de Guerra ante dicho Consejo Supremo. </w:t>
      </w:r>
    </w:p>
    <w:p w:rsidR="001C705E" w:rsidRDefault="001C705E" w:rsidP="001C705E">
      <w:pPr>
        <w:pStyle w:val="TextoNormal"/>
      </w:pPr>
      <w:r>
        <w:t xml:space="preserve">d) Los hechos que motivaron la condena consistieron en unas relaciones homosexuales, consentidas mutuamente, con otro soldado, ocurridas de noche, fuera del servicio, en los recintos del acuartelamiento, y en zona totalmente apartada. Relaciones que fueron conocidas por la Autoridad Judicial Militar, a través de la confesión del actor, en circunstancias que se desconocen, por no haber tenido acceso a las actuaciones al momento de redactar el recurso. </w:t>
      </w:r>
    </w:p>
    <w:p w:rsidR="001C705E" w:rsidRDefault="001C705E" w:rsidP="001C705E">
      <w:pPr>
        <w:pStyle w:val="TextoNormal"/>
      </w:pPr>
      <w:r>
        <w:t xml:space="preserve">e) El art. 352 del Código de Justicia Militar (CJM) castiga al militar que cometa actos deshonestos con individuos del mismo sexo, a la pena de seis meses y un día, a seis años de prisión militar, con la pérdida de la accesoria de separación del servicio. </w:t>
      </w:r>
    </w:p>
    <w:p w:rsidR="001C705E" w:rsidRDefault="001C705E" w:rsidP="001C705E">
      <w:pPr>
        <w:pStyle w:val="TextoNormal"/>
      </w:pPr>
      <w:r>
        <w:t xml:space="preserve">En los fundamentos jurídicos se alega que el art. 14 de la Constitución (C.E.) establece la no discriminación por razón del sexo, por lo que se entiende que al condenar el art. 352 del CJM la comisión de actos deshonestos con individuos del mismo sexo, se está cometiendo una discriminación al no castigar como delito los iguales actos realizados con individuos de diferente sexo, por lo que dicha norma y la sentencia aquí recurrida están en contra de lo dispuesto en el indicado art. 14 de la C. E. </w:t>
      </w:r>
    </w:p>
    <w:p w:rsidR="001C705E" w:rsidRDefault="001C705E" w:rsidP="001C705E">
      <w:pPr>
        <w:pStyle w:val="TextoNormal"/>
      </w:pPr>
      <w:r>
        <w:t xml:space="preserve">La súplica de la demanda pide la reclamación de nulidad de la sentencia indicada, por vulnerar lo dispuesto en el art. 14 de la C.E.; y dado que el art. 352 del CJM lesiona uno de los derechos fundamentales reconocidos en la suprema Ley, se eleve la cuestión al Pleno del Tribunal Constitucional, a fin de que éste declare por sentencia la inconstitucionalidad del citado artículo del CJM, con todo lo demás que en Derecho corresponda. </w:t>
      </w:r>
    </w:p>
    <w:p w:rsidR="001C705E" w:rsidRDefault="001C705E" w:rsidP="001C705E">
      <w:pPr>
        <w:pStyle w:val="TextoNormal"/>
      </w:pPr>
      <w:r>
        <w:t>Por otrosí solicitó la suspensión de la ejecución de la sentencia indicada, en tanto se resolviera el recurso de amparo.</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2</w:t>
      </w:r>
      <w:r>
        <w:t xml:space="preserve">. La Sección Segunda, por providencia, luego de tener por comparecido al Procurador en nombre del recurrente, abrió el trámite de inadmisión de la demanda, por poder concurrir la causa establecida en el art. 50.2 b) de la Ley orgánica del Tribunal Constitucional (LOTC), al carecer manifiestamente la demanda de contenido constitucional, que justificare la decisión, en sentencia, por parte de este Tribunal. Alegando el Ministerio Fiscal en dicho trámite, que no se debía apreciar la causa de inadmisión indicada, porque la posible inconstitucionalidad del art. 13.1 de la Ley orgánica 9/1980, negando el acceso al recurso de casación a la sentencia del Consejo de Guerra, podía haber conculcado el derecho del demandante a la plena tutela judicial que regula el artículo 24.1 de la C. E. El recurrente también en dicho trámite insistió que se le había impedido indebidamente plantear el recurso de casación, dejándole indefenso y reproduciendo los argumentos de la demanda; así como vulnerado el art. 14 de la C. E. al condenarle por un delito que era discriminatorio en relación al sexo, solicitando se admitiera la demanda y se dictare sentencia otorgándole el amparo. </w:t>
      </w:r>
    </w:p>
    <w:p w:rsidR="001C705E" w:rsidRDefault="001C705E" w:rsidP="001C705E">
      <w:pPr>
        <w:pStyle w:val="TextoNormal"/>
      </w:pPr>
      <w:r>
        <w:t>La Sección acordó admitir la demanda a trámite, recabando del Capitán General de la Primera Región Militar el envío de las actuaciones, con el emplazamiento de quienes hubieran sido partes de la causa seguida al recurrente, para que comparecieran ante este Tribunal, mandando formar pieza separada de suspensión, en la que después de las alegaciones del recurrente y Fiscal, se dictó Auto de 21 de noviembre de 1984, otorgando la suspensión de la ejecución de la sentencia indicada.</w:t>
      </w:r>
    </w:p>
    <w:p w:rsidR="001C705E" w:rsidRDefault="001C705E" w:rsidP="001C705E">
      <w:pPr>
        <w:pStyle w:val="TextoNormal"/>
      </w:pPr>
    </w:p>
    <w:p w:rsidR="001C705E" w:rsidRDefault="001C705E" w:rsidP="001C705E">
      <w:pPr>
        <w:pStyle w:val="TextoNormal"/>
      </w:pPr>
      <w:r w:rsidRPr="001C705E">
        <w:rPr>
          <w:rStyle w:val="NumeroAFNegritaCaracter"/>
        </w:rPr>
        <w:t>3</w:t>
      </w:r>
      <w:r>
        <w:t>. Se recibieron las actuaciones referidas en el apartado anterior, otorgándose traslado de ella y del recurso de amparo, para que formularan alegaciones al Ministerio Fiscal y a la parte recurrente.</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Ministerio Fiscal evacuando dicho trámite alegó en síntesis, luego de establecer los hechos que resultaban de las actuaciones examinadas, que el recurso planteaba dos problemas: Uno, conocer si la sentencia del Consejo de Guerra violaba el art. 14 de la C. E., y otro, la imposibilidad de interponer recurso de casación contra la sentencia indicada, por aplicación de lo dispuesto en el art. 13.1 de la Ley orgánica 9/1980, dada la entidad de la pena impuesta, violando el art. 14 de la C.E., siendo por tanto inconstitucional dicho precepto. </w:t>
      </w:r>
    </w:p>
    <w:p w:rsidR="001C705E" w:rsidRDefault="001C705E" w:rsidP="001C705E">
      <w:pPr>
        <w:pStyle w:val="TextoNormal"/>
      </w:pPr>
      <w:r>
        <w:t xml:space="preserve">En relación al primer tema, estima no existe la discriminación alegada que lesione el art. 14 de la C. E. en el art. 352 del CJM incluyendo la relación homosexual como delito, y no haciéndolo en la relación heterosexual, por ser distintas ambas relaciones en su contenido y finalidad, no siendo asimilables ni comparables entre sí, habiéndose así reconocido por el Auto del Tribunal Constitucional de 11 de julio de 1984. Por lo que el diferente trato es fundado y racional. </w:t>
      </w:r>
    </w:p>
    <w:p w:rsidR="001C705E" w:rsidRDefault="001C705E" w:rsidP="001C705E">
      <w:pPr>
        <w:pStyle w:val="TextoNormal"/>
      </w:pPr>
      <w:r>
        <w:t xml:space="preserve">En orden a la segunda cuestión, afirma que el art. 13.1 de referencia otorga al Fiscal la posibilidad de recurrir en casación «en todo caso», mientras que no lo consiente a las partes condenadas a pena inferior a tres años. No existe diferente contenido entre dicho artículo y el art. 14, referido este último al recurso ante el Tribunal Supremo de Sentencias dictadas por el CSJM, y aquél al recurso de casación ante el CSJM de las Sentencias dictadas por Consejos de Guerra. Estima que la Sentencia del Tribunal Constitucional de 14 de diciembre de 1982, declarando la inconstitucionalidad del art. 14 en su inciso «superiores a tres años en una de ellas o en la suma de varias», por sus mismas razones es trasladable al art. 13.1. Asegura que el tema está sometido actualmente al conocimiento del T.C. </w:t>
      </w:r>
      <w:r>
        <w:lastRenderedPageBreak/>
        <w:t xml:space="preserve">en otros procesos en que se espera se dicte Sentencia. Estima finalmente que en caso de accederse al amparo, debe aplicarse el art. 55.2 de la LOTC, elevando al Pleno el recurso de amparo, a los efectos que en dicha norma se establecen, pronunciándose sobre la inconstitucionalidad del art. 13.1 precisado. </w:t>
      </w:r>
    </w:p>
    <w:p w:rsidR="001C705E" w:rsidRDefault="001C705E" w:rsidP="001C705E">
      <w:pPr>
        <w:pStyle w:val="TextoNormal"/>
      </w:pPr>
      <w:r>
        <w:t>En definitiva, el Fiscal solicitó se dicte Sentencia desestimando parcialmente el amparo, respecto a la presunta violación del art. 14 de la C.E. por la Sentencia del Consejo de Guerra, y estime el amparo respecto al derecho de instar el recurso de casación contra la Sentencia citada, otorgándole el plazo de cinco días para su preparación. Y que se eleve al Pleno, de estimarlo oportuno, el recurso de amparo, a los efectos del art. 55.2 de la Ley orgánica del Tribunal Constitucional.</w:t>
      </w:r>
    </w:p>
    <w:p w:rsidR="001C705E" w:rsidRDefault="001C705E" w:rsidP="001C705E">
      <w:pPr>
        <w:pStyle w:val="TextoNormal"/>
      </w:pPr>
    </w:p>
    <w:p w:rsidR="001C705E" w:rsidRDefault="001C705E" w:rsidP="001C705E">
      <w:pPr>
        <w:pStyle w:val="TextoNormal"/>
      </w:pPr>
      <w:r w:rsidRPr="001C705E">
        <w:rPr>
          <w:rStyle w:val="NumeroAFNegritaCaracter"/>
        </w:rPr>
        <w:t>5</w:t>
      </w:r>
      <w:r>
        <w:t>. La parte recurrente, en el mismo trámite, alegó exclusivamente que, habiéndose instruido el Letrado del actor del procedimiento, solicitaba la celebración de vista, de acuerdo con el apartado 2. del art. 52 de la Ley orgánica del Tribunal Constitucional.</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 27 de febrero de 1985, se acordó no acceder a la solicitud de vista realizada por la parte actora, y señalar el día 6 de marzo del propio año para la deliberación y fallo del presente proceso.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demanda de amparo y el Ministerio Fiscal someten a la consideración y decisión de la Sala dos pretensiones:</w:t>
      </w:r>
    </w:p>
    <w:p w:rsidR="001C705E" w:rsidRDefault="001C705E" w:rsidP="001C705E">
      <w:pPr>
        <w:pStyle w:val="TextoNormal"/>
      </w:pPr>
      <w:r>
        <w:t>La primera, consistente en la inadmisión del recurso de casación a la parte condenada contra la sentencia del Consejo de Guerra ante la Justicia Militar, por aplicación de lo dispuesto en el art. 13.1 de la Ley orgánica 9/1980, de 6 de noviembre, al no ser la pena privativa de libertad impuesta al recurrente superior a tres años de duración, estimándose por ambas partes que viola el art. 24 de la Constitución (C.E.)  al permitir, sin embargo, aquella norma, entablar tal recurso extraordinario, en todo caso, al Ministerio Fiscal Jurídico Militar, por establecer una situación de desigualdad que pudo originar indefensión del condenado.</w:t>
      </w:r>
    </w:p>
    <w:p w:rsidR="001C705E" w:rsidRDefault="001C705E" w:rsidP="001C705E">
      <w:pPr>
        <w:pStyle w:val="TextoNormal"/>
      </w:pPr>
      <w:r>
        <w:t>Y la segunda, dirigida a conocer si el art. 352 del Código de Justicia Militar (CJM) aplicado al condenado, y que castiga como delito contra el honor militar la actuación del militar que cometa actos deshonestos con individuos del mismo sexo, infringe el art. 14 de la C. E. por realizar una discriminación en razón al sexo, al no castigar como delito los iguales actos realizados con individuos de sexo diferente.</w:t>
      </w:r>
    </w:p>
    <w:p w:rsidR="001C705E" w:rsidRDefault="001C705E" w:rsidP="001C705E">
      <w:pPr>
        <w:pStyle w:val="TextoNormal"/>
      </w:pPr>
      <w:r>
        <w:t>Resulta indudable que debe considerarse prevalente en su examen la primera de las pretensiones indicadas, porque si se estimare su procedencia, habría que otorgar al actor el derecho al recurso de casación, que entabló y le fue denegado, por acuerdo del Capitán General de la Primera Región Militar, en el que debería plantear el contenido de la segunda pretensión, referido a una norma preconstitucional, para agotar antes de entablar la vía subsidiaria del recurso de amparo todos los recursos judiciales exigibles, según lo dispuesto en el art. 44.1 a) en relación con el 50.1 b) de la LOTC, entre las que se comprende el recurso de casación, resultando en definitiva imposible de examinar, en tal supuesto, la segunda de las pretensiones expuestas, que ya fue objeto de tratamiento en el Auto de este Tribunal de 11 de julio de 1984.</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2</w:t>
      </w:r>
      <w:r>
        <w:t>. Este Tribunal Constitucional, en su Sentencia 76/1982, de 14 de diciembre, declaró inconstitucional un inciso del art. 14 de la referida Ley 9/1980, que negaba el recurso de casación a los condenados ante la Sala de lo Penal del Tribunal Supremo, de las sentencias dictadas por el Consejo Supremo de Justicia Militar, cuando fueran castigados con penas de privación de libertad inferiores a tres años, y sin embargo permitía, en todo caso, tal recurso al Ministerio Fiscal Jurídico Militar, y ello, por vulnerar dicha disposición el art. 24 de la C.E. al tener en cuenta el contenido del art. 14.5 del Pacto Internacional de Derecho Civiles y Políticos de 16 de diciembre de 1966, que concede «derecho al declarado culpable de delito, a que el fallo condenatorio y la pena que le impusieren, sean sometidos a un Tribunal superior, conforme a lo previsto en la Ley», fundándose tal decisión en la razón de que la diferente y ventajosa posición del Ministerio Fiscal respecto a los ciudadanos no justificaba la desigualdad, que disminuía los medios de defensa de la parte acusada frente a la acusación pública........ y que podía originar la indefensión de los acusados, lesionando el art. 24 de la C.E. tanto por determinar falta de defensa frente al derecho a la tutela efectiva judicial, como por mermar las garantías del proceso, al no tener todas las partes el mismo derecho al recurso de casación, cuando el derecho a recurrir debía estar a disposición de todas las partes procesales, con entera igualdad entre todas ellas.</w:t>
      </w:r>
    </w:p>
    <w:p w:rsidR="001C705E" w:rsidRDefault="001C705E" w:rsidP="001C705E">
      <w:pPr>
        <w:pStyle w:val="TextoNormal"/>
      </w:pPr>
      <w:r>
        <w:t>En la reciente Sentencia de este Tribunal, núm. 27/1985, de 26 de febrero del mismo año, se resolvió una cuestión de inconstitucionalidad planteada por el Capitán General de la Quinta Región Militar, sobre la posible contradicción con el art. 24 de la C.E. del artículo 13.1 de la citada Ley 9/1980, que establecía la misma limitación, al aceptar contra las Sentencias de los Consejos de Guerra la interposición de recursos de casación ante la Justicia Militar, por el Ministerio Fiscal Jurídico Militar, en todo caso, pero no permitía que lo interpusieran los condenados a pena privativa de libertad inferior a tres años, estimándose en tal Resolución, que el inciso cuestionado era inconstitucional, por establecer dicha limitación a la posibilidad de recurrir los condenados de la misma naturaleza que la contenida en el art.  14, ya anteriormente declarado nulo, y decretándose en el fallo, que el art.  13.1 quedaría, ante su inconstitucionalidad, redactado de la siguiente forma: «Contra las Sentencias de los Consejos de Guerra podrán interponerse recursos de casación ante la Justicia Militar, por el Ministerio Fiscal Jurídico Militar, y por quienes hubieren sido condenados por las sentencias».</w:t>
      </w:r>
    </w:p>
    <w:p w:rsidR="001C705E" w:rsidRDefault="001C705E" w:rsidP="001C705E">
      <w:pPr>
        <w:pStyle w:val="TextoNormal"/>
      </w:pPr>
    </w:p>
    <w:p w:rsidR="001C705E" w:rsidRDefault="001C705E" w:rsidP="001C705E">
      <w:pPr>
        <w:pStyle w:val="TextoNormal"/>
      </w:pPr>
      <w:r w:rsidRPr="001C705E">
        <w:rPr>
          <w:rStyle w:val="NumeroAFNegritaCaracter"/>
        </w:rPr>
        <w:t>3</w:t>
      </w:r>
      <w:r>
        <w:t>. Lo anteriormente expuesto produce la consecuencia de entender, que al versar la primera pretensión del recurso sobre el mismo tema ya resuelto directamente por la Sentencia del 26 de febrero de 1985, han de aplicarse los efectos de la inconstitucionalidad del inciso del art. 13.1 de la Ley 9/1980, al presente caso, que estaba planteado en el recurso de amparo antes de producirse aquella Resolución, e incluso antes de formularse la cuestión de inconstitucionalidad que la motivó; y por consiguiente, según el art. 55.1 de la LOTC se debe conceder al recurrente el derecho que le había sido negado, de formular el recurso de casación contra la sentencia que le condenó, por formar parte del derecho a la tutela judicial efectiva, declarando la nulidad del acuerdo del Capitán General indicado, por ser el que impidió el pleno ejercicio a la segunda instancia casacional.</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en parte el amparo solicitado por don Juan Manuel Suárez Sánchez, y en su virtud:</w:t>
      </w:r>
    </w:p>
    <w:p w:rsidR="001C705E" w:rsidRDefault="001C705E" w:rsidP="001C705E">
      <w:pPr>
        <w:pStyle w:val="TextoNormal"/>
      </w:pPr>
      <w:r>
        <w:t>a) Declarar el derecho del mismo a formular recurso de casación contra la sentencia del Consejo de Guerra, celebrado en Alcalá de Henares, el 20 de marzo de 1984, y que le condenó en la causa 140/1982, de la Primera Región Militar, por delito contra el honor militar.</w:t>
      </w:r>
    </w:p>
    <w:p w:rsidR="001C705E" w:rsidRDefault="001C705E" w:rsidP="001C705E">
      <w:pPr>
        <w:pStyle w:val="TextoNormal"/>
      </w:pPr>
      <w:r>
        <w:t>b) Declarar la nulidad del acuerdo del excelentísimo señor Capitán General de la Primera Región Militar, de 30 de abril de 1984, que denegó al recurrente plantear el indicado recurso de casación, adoptando la decisión oportuna de admisión del mismo.</w:t>
      </w:r>
    </w:p>
    <w:p w:rsidR="001C705E" w:rsidRDefault="001C705E" w:rsidP="001C705E">
      <w:pPr>
        <w:pStyle w:val="TextoNormal"/>
      </w:pPr>
      <w:r>
        <w:t>Y denegar el recurso de amparo, en cuanto a lo que anteriormente no se haya dispuesto, sin perjuicio de la posible reproducción posterior, en su caso, de la segunda pretensión no examinada, que se determinó en el apartado b) del fundamento jurídico primero de esta Resolución.</w:t>
      </w:r>
    </w:p>
    <w:p w:rsidR="001C705E" w:rsidRDefault="001C705E" w:rsidP="001C705E">
      <w:pPr>
        <w:pStyle w:val="TextoNormal"/>
      </w:pPr>
    </w:p>
    <w:p w:rsidR="001C705E" w:rsidRDefault="001C705E" w:rsidP="001C705E">
      <w:pPr>
        <w:pStyle w:val="TextoNormal"/>
      </w:pPr>
      <w:r>
        <w:t>Dada en Madrid, a siete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7" w:name="SENTENCIA_1985_34"/>
      <w:r>
        <w:lastRenderedPageBreak/>
        <w:t>SENTENCIA 34/1985, de 7 de marzo de 1985</w:t>
      </w:r>
    </w:p>
    <w:bookmarkEnd w:id="37"/>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ECLI:ES:TC:1985:34</w:t>
      </w:r>
    </w:p>
    <w:p w:rsidR="001C705E" w:rsidRDefault="001C705E" w:rsidP="001C705E">
      <w:pPr>
        <w:pStyle w:val="SntesisDescriptiva"/>
      </w:pPr>
    </w:p>
    <w:p w:rsidR="001C705E" w:rsidRDefault="001C705E" w:rsidP="001C705E">
      <w:pPr>
        <w:pStyle w:val="SntesisDescriptiva"/>
      </w:pPr>
      <w:r>
        <w:t>Recurso de amparo 411/1984. Supuesta violación del derecho a ser informado de la acusación en juicio de faltas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Dada la regulación del juicio sobre faltas, no hay en él, a diferencia del proceso por delitos, una fase de instrucción o sumario, ni una fase intermedia, y, una vez iniciado por los medios normales, se pasa inmediatamente al juicio oral, en el que se formulan las pretensiones, se practican las pruebas y se dicta, si es posible (o de no serlo, dentro de los tres días siguientes), la correspondiente Sentencia (arts. 969 y 973 de la L.E. Cr.). La acusación se formaliza, pues, en el acto del juicio, constituyendo esta formalización el comienzo del mismo. </w:t>
      </w:r>
    </w:p>
    <w:p w:rsidR="001C705E" w:rsidRDefault="001C705E" w:rsidP="001C705E">
      <w:pPr>
        <w:pStyle w:val="Extracto"/>
      </w:pPr>
    </w:p>
    <w:p w:rsidR="001C705E" w:rsidRDefault="001C705E" w:rsidP="001C705E">
      <w:pPr>
        <w:pStyle w:val="Extracto"/>
      </w:pPr>
      <w:r>
        <w:t>2.</w:t>
      </w:r>
      <w:r>
        <w:tab/>
        <w:t xml:space="preserve">No hay falta de garantías constitucionales del proceso penal, como se dice en la STC 15/1984, de 6 de febrero, ya que, «siempre que en el juicio se dé oportunidad para que en él el acusado presente prueba de descargo sobre la acusación allí formulada, no puede decirse que no haya conocido a tiempo la acusación». </w:t>
      </w:r>
    </w:p>
    <w:p w:rsidR="001C705E" w:rsidRDefault="001C705E" w:rsidP="001C705E">
      <w:pPr>
        <w:pStyle w:val="Extracto"/>
      </w:pPr>
    </w:p>
    <w:p w:rsidR="001C705E" w:rsidRDefault="001C705E" w:rsidP="001C705E">
      <w:pPr>
        <w:pStyle w:val="Extracto"/>
      </w:pPr>
      <w:r>
        <w:t>3.</w:t>
      </w:r>
      <w:r>
        <w:tab/>
        <w:t xml:space="preserve">Es doctrina sentada por este Tribunal, entre otras, en la STC 20/1982, de 5 de mayo, que la incongruencia puede constituir una violación del art. 24 C.E. cuando la desviación respecto de la pretensión que ella implica «es de tal naturaleza que supone una completa modificación de los términos en que se produjo el debate procesal».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promovido por don Fernando Pertierra Peñaranda, representado por el Procurador don José Luis Pérez-Mulet y Suárez y bajo la dirección del Letrado don Eduardo García de Enterría respecto de la sentencia del Juzgado de Distrito de Sego</w:t>
      </w:r>
      <w:r>
        <w:lastRenderedPageBreak/>
        <w:t>via condenatoria por falta de lesiones por imprudencia y en el que ha comparecido don Francisco Manuel López García-Bermejo y doña Angela María López Domínguez, representados por el Procurador don Albito Martínez Díez y dirigidos por Letrado, así como el Ministerio Fiscal, siendo Ponente el Magistrado don Antonio Truyol Serra,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4 de junio de 1984, el Procurador de los Tribunales don José Luis Pérez Mulet y Suárez, en nombre de don Fernando Pertierra Peñaranda, interpuso recurso de amparo frente a sentencias del Juzgado de Distrito de Segovia, y del Juzgado de Instrucción núm. 2 de la misma capital, de fechas 9 de diciembre de 1983 y 18 de enero de 1984, respectivamente, y solicita sean declaradas nulas ambas sentencias.</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Los hechos en que fundamenta el recurrente su pretensión son, resumidamente, como siguen: </w:t>
      </w:r>
    </w:p>
    <w:p w:rsidR="001C705E" w:rsidRDefault="001C705E" w:rsidP="001C705E">
      <w:pPr>
        <w:pStyle w:val="TextoNormal"/>
      </w:pPr>
      <w:r>
        <w:t xml:space="preserve">Iniciadas diligencias previas por el Juzgado de Instrucción de Segovia, con motivo de las lesiones sufridas por la menor Angela López Domínguez, el recurrente prestó declaración en dos ocasiones, la primera de ellas asistido de Letrado. El Juez de Instrucción, por Auto de 16 de julio de 1983, resolvió que los hechos que originaron las diligencias podían ser constitutivos de falta, y remitió las actuaciones al Juzgado de Distrito. </w:t>
      </w:r>
    </w:p>
    <w:p w:rsidR="001C705E" w:rsidRDefault="001C705E" w:rsidP="001C705E">
      <w:pPr>
        <w:pStyle w:val="TextoNormal"/>
      </w:pPr>
      <w:r>
        <w:t xml:space="preserve">El 10 de octubre de 1983, el Juez de Distrito emitió cédula de citación para que comparecieran en juicio de faltas por lesiones diversas personas, entre ellas el hoy demandante de amparo, con los testigos y demás pruebas que tuvieran. Tras diversos aplazamientos se celebró el juicio el 5 de diciembre, al que acudió el hoy recurrente asistido de Letrado, y en el que el Fiscal pidió se condenara a don Fernando Pertierra a pena de multa y reprensión privada, pago de costas y diversas indemnizaciones. En el curso de la vista, la defensa del señor Pertierra adujo la vulneración de los derechos reconocidos en el art. 24 de la Constitución, derivada de no haber sido informado su representado del contenido y existencia de la acusación hasta el acto de celebración del juicio. </w:t>
      </w:r>
    </w:p>
    <w:p w:rsidR="001C705E" w:rsidRDefault="001C705E" w:rsidP="001C705E">
      <w:pPr>
        <w:pStyle w:val="TextoNormal"/>
      </w:pPr>
      <w:r>
        <w:t xml:space="preserve">Dictada el 9 de diciembre de 1983 sentencia condenatoria del señor Pertierra, fue recurrida por éste en apelación. En la vista de la misma se reiteró por el hoy demandante la alegación de la violación producida de derechos fundamentales. El recurso fue desestimado por sentencia de 18 de enero de 1984, señalando la sentencia en sus considerandos que no se había producido la indicada violación. </w:t>
      </w:r>
    </w:p>
    <w:p w:rsidR="001C705E" w:rsidRDefault="001C705E" w:rsidP="001C705E">
      <w:pPr>
        <w:pStyle w:val="TextoNormal"/>
      </w:pPr>
      <w:r>
        <w:t xml:space="preserve">Fundamenta el recurrente su pretensión en que se ha vulnerado su derecho a ser informado de la acusación formulada contra él, reconocido en el art. 24.2 de la Constitución Española; y ad cautelam, manifiesta que también se ha infringido el derecho a la tutela judicial efectiva, proclamado en el art. 24.1 del texto fundamental, al resultar la sentencia del Juzgado de Distrito patentemente incongruente con las pretensiones punitivas deducidas. </w:t>
      </w:r>
    </w:p>
    <w:p w:rsidR="001C705E" w:rsidRDefault="001C705E" w:rsidP="001C705E">
      <w:pPr>
        <w:pStyle w:val="TextoNormal"/>
      </w:pPr>
      <w:r>
        <w:t xml:space="preserve">En cuanto a la vulneración del derecho a ser informado de la acusación formulada, se habría producido, puesto que, al entregarse la citación al juicio verbal, no se le informó detalladamente y en concreto de cuáles eran los hechos punibles que se le imputaban, y ni siquiera se le apercibió de que era el acusado. Sin que sirvan para justificar tal omisión las posibles presunciones relativas a que el de hecho acusado conocía, por vías diversas, su condición de tal. La situación de desconocimiento de tales extremos, derivada de la falta </w:t>
      </w:r>
      <w:r>
        <w:lastRenderedPageBreak/>
        <w:t xml:space="preserve">de diligencia del órgano jurisdiccional, habría causado evidentes perjuicios a las posibilidades del acusado a la hora de proponer prueba y efectuar alegaciones: Lo que resulta especialmente relevante en un juicio que, si bien conceptuado como de faltas, y celebrado según un procedimiento muy breve, incide gravemente, en cuanto a sus consecuencias económicas, en los intereses del demandante de amparo. Tal vulneración se vio confirmada en la apelación, al no decidir el Juez de Instrucción, a la vista de las alegaciones efectuadas, la reposición de las actuaciones al momento de la citación al juicio verbal en primera instancia, de acuerdo con el art. 16.1 del Decreto de 21 de noviembre de 1952. En cuanto a la alegación de incongruencia, la funda en que la cuantía de la indemnización acordada por el Juez no coincidía con la pedida por el Ministerio Fiscal, sino que era muy superior y en uno de sus aspectos (indemnización a la Seguridad Social) ni siquiera había sido pedida por éste. </w:t>
      </w:r>
    </w:p>
    <w:p w:rsidR="001C705E" w:rsidRDefault="001C705E" w:rsidP="001C705E">
      <w:pPr>
        <w:pStyle w:val="TextoNormal"/>
      </w:pPr>
      <w:r>
        <w:t>Por lo que suplica al Tribunal declare nulas las sentencias impugnadas, retrotrayéndose las actuaciones al momento de la citación al juicio verbal, que debe realizarse de forma que se cumplan los preceptos constitucionales. Por otrosí se solicita se suspenda la ejecución de las resoluciones recurridas en lo que atañe a las indemnizaciones en ellas señaladas.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La Sección Cuarta de este Tribunal, por providencia de 27 de junio de 1984, acordó admitir a trámite la demanda de amparo, y, en aplicación de lo dispuesto en el art. 51 de la Ley orgánica del Tribunal Constitucional (LOTC), dirigir comunicación al Juzgado de Distrito de Segovia a fin de que en plazo que no excediese de diez días, remitiera testimonio de las actuaciones, emplazando previamente a quienes hubieren sido parte en el procedimiento para que pudieran comparecer ante este Tribunal. Acordó también dirigir comunicación al Juzgado de Instrucción núm. 2 de Segovia a fin de que remitiera testimonio del recurso de apelación. </w:t>
      </w:r>
    </w:p>
    <w:p w:rsidR="001C705E" w:rsidRDefault="001C705E" w:rsidP="001C705E">
      <w:pPr>
        <w:pStyle w:val="TextoNormal"/>
      </w:pPr>
      <w:r>
        <w:t>Por providencia de 27 de julio del mismo año, la Sección acordó tener por comparecido y parte a don Francisco Manuel López García-Bermejo, por sí y en representación legal de su hija menor Angela María López Domínguez, en calidad de demandado: Así como acusar recibo de las actuaciones al Juzgado de Distrito y Juzgado de Primera Instancia e Instrucción de Segovia, y dar vista de las mismas a las partes y al Ministerio Fiscal a fin de que, en el plazo de veinte días pudieran presentar las alegaciones que estimasen oportunas.</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Ministerio Fiscal, en su escrito de alegaciones, y tras una exposición de los hechos más relevantes para el caso, entre los que destaca que al recurrente en amparo se le citó para que compareciera en juicio con los testigos y demás pruebas que tuviera, y que no se le citó como testigo, señala que es conveniente una reflexión previa sobre las peculiaridades del juicio de faltas en lo que se refiere a la presencia de las partes en el mismo. Indica el Ministerio Fiscal que el juicio de faltas, con algunas analogías al proceso civil, se configura con características propias, de las que importa señalar los principios de concentración, inmediatividad, la atenuación del principio acusatorio que permite la reformatio in peius y la condena contumacial o en rebeldía. Debe así señalarse que en el juicio de faltas no existe el auto de procesamiento ni se dirige el procedimiento contra nadie, como inculpación previa, sino que, regido por el principio de concentración, el denunciado es llamado a juicio. No hay una fase de instrucción ni una fase intermedia. Es en el juicio cuando se formula la acusación, y en el mismo se proponen y rechazan las pruebas de una y otra parte, tanto de cargo como de descargo. </w:t>
      </w:r>
    </w:p>
    <w:p w:rsidR="001C705E" w:rsidRDefault="001C705E" w:rsidP="001C705E">
      <w:pPr>
        <w:pStyle w:val="TextoNormal"/>
      </w:pPr>
      <w:r>
        <w:lastRenderedPageBreak/>
        <w:t xml:space="preserve">La argumentación del recurso se basa en una interpretación errónea del concepto de «información de la acusación». Pues para tener derecho a esa información es necesario ser acusado, y en el procedimiento de faltas se puede abrir el juicio sin la existencia de acusado. Cuando esa acusación se formula es en el transcurso del juicio, y entonces es cuando deben materializarse los derechos del acusado a ser informado. </w:t>
      </w:r>
    </w:p>
    <w:p w:rsidR="001C705E" w:rsidRDefault="001C705E" w:rsidP="001C705E">
      <w:pPr>
        <w:pStyle w:val="TextoNormal"/>
      </w:pPr>
      <w:r>
        <w:t xml:space="preserve">Las diferencias entre el juicio por delito y el juicio por falta, determina, dice el Ministerio Fiscal, un tempo distinto en cuanto a la realización de la actividad procesal, pero no originan una menor garantía de los derechos constitucionales de los ciudadanos. La naturaleza de la infracción que se examina en el juicio de faltas determina particularidades respecto al procedimiento ordinario, dada la menor entidad delictiva, pero dichas particularidades no disminuyen los derechos constitucionales, aun cuando el tiempo de la actividad procesal se concentre en el juicio oral. Si la información de la acusación se realiza en el propio juicio, y la acusación es clara y precisa, y el acusado tiene posibilidades de proponer y practicar pruebas de descargo sobre los hechos, no existe violación del art. 24.2 de la CE, como afirma el recurrente. La jurisprudencia del Tribunal Constitucional es clara en este sentido, como resulta del Auto de 16 de diciembre de 1983 y de la Sentencia de la Sala Segunda de 6 de febrero de 1984. De la documentación obrante en el recurso puede deducirse que el recurrente conoció de manera formal en el momento procesal oportuno la acusación imputada, que pudo proponer pruebas, que fue citado más de una vez como parte en el juicio, y que compareció con Letrado para su defensa, de lo que resulta que conocía su condición de acusado, ya que en un juicio penal, si se cita a una persona y no se hace la citación como testigo o perito, sólo se le puede citar como acusado o acusador. Además, no se le exigió en el juicio juramento, sino que se le exhortó a decir verdad. Por otra parte, se deduce de toda la dinámica procesal que la información sobre la acusación fue clara. Y en el acto del juicio oral no propuso prueba de clase alguna, aunque pudo hacerlo, e incluso para su práctica en ulterior sesión. Tampoco le fue negada ninguna actividad probatoria. Con respecto, pues, a la presunta violación del art. 24.2 de la CE no existe, ya que el recurrente conoció la acusación, y tuvo posibilidad de defenderse de la misma. </w:t>
      </w:r>
    </w:p>
    <w:p w:rsidR="001C705E" w:rsidRDefault="001C705E" w:rsidP="001C705E">
      <w:pPr>
        <w:pStyle w:val="TextoNormal"/>
      </w:pPr>
      <w:r>
        <w:t xml:space="preserve">Por lo que atañe a la denuncia ad cautelam de la infracción del art. 24.1 por incongruencia de la sentencia del Juzgado de Distrito, al exceder la indemnización por ella fijada de lo solicitado por las partes, mantiene el Ministerio Fiscal que tal incongruencia no fue denunciada ni invocada formalmente en la apelación, ni en el escrito de interposición ni en la vista. Además la incongruencia de que se trata no existe en la acción civil de indemnización. A una solicitud de indemnización el Juez ha dado una respuesta indemnizatoria, fundada tanto en datos objetivos como en una apreciación subjetiva, única posible cuando se trata de lesiones y secuelas de las mismas. </w:t>
      </w:r>
    </w:p>
    <w:p w:rsidR="001C705E" w:rsidRDefault="001C705E" w:rsidP="001C705E">
      <w:pPr>
        <w:pStyle w:val="TextoNormal"/>
      </w:pPr>
      <w:r>
        <w:t>Por todo ello, el Ministerio Fiscal interesa del Tribunal que dicte sentencia desestimatoria de la demanda de amparo.</w:t>
      </w:r>
    </w:p>
    <w:p w:rsidR="001C705E" w:rsidRDefault="001C705E" w:rsidP="001C705E">
      <w:pPr>
        <w:pStyle w:val="TextoNormal"/>
      </w:pPr>
    </w:p>
    <w:p w:rsidR="001C705E" w:rsidRDefault="001C705E" w:rsidP="001C705E">
      <w:pPr>
        <w:pStyle w:val="TextoNormal"/>
      </w:pPr>
      <w:r w:rsidRPr="001C705E">
        <w:rPr>
          <w:rStyle w:val="NumeroAFNegritaCaracter"/>
        </w:rPr>
        <w:t>5</w:t>
      </w:r>
      <w:r>
        <w:t>. Dentro del plazo concedido, don Albito Martínez Díez, Procurador de don Francisco Manuel López García-Bermejo, padre y representante legal de la menor Angela María López Domínguez, presentó escrito de alegaciones en que impugna el recurso de amparo interpuesto. Sostiene que la cuestión de fondo planteada en el recurso ha sido ya resuelta por varias Sentencias de este Tribunal, citando las de 29 de diciembre de 1983, 10 de abril de 1981 y 23 de noviembre de 1983. El recurrente fue informado de la acusación, tuvo ocasión de defenderse, y el procedimiento se sustanció correctamente, como se deriva de las actuaciones, según las cuales el señor Pertierra conoció de las diligencias previas desde el primer momento; y si su defensa apreció defecto en la citación debió pedir la suspen</w:t>
      </w:r>
      <w:r>
        <w:lastRenderedPageBreak/>
        <w:t xml:space="preserve">sión del juicio, lo que no hizo. Es por otra parte inexacto que la defensa del recurrente hubiera de repentizar, al ser perfectamente conocedora de los hechos por haber intervenido en las declaraciones anteriores. </w:t>
      </w:r>
    </w:p>
    <w:p w:rsidR="001C705E" w:rsidRDefault="001C705E" w:rsidP="001C705E">
      <w:pPr>
        <w:pStyle w:val="TextoNormal"/>
      </w:pPr>
      <w:r>
        <w:t>Añade el escrito de alegaciones que de las diligencias previas se deduce suficientemente la responsabilidad del recurrente de las lesiones sufridas por la menor Angela María López Domínguez; y que no ha habido la indefensión invocada, como se desprende de los considerandos de las sentencias que se impugnan y que se reproducen en el escrito. En cuanto a la aducida incongruencia, no se ha producido, ya que, por un lado, se pidió una indemnización por responsabilidad civil superior a la concedida, y por otro, es reiterada jurisprudencia del Tribunal Supremo el pleno arbitrio judicial al respecto, consagrado en los arts. 103 y 109 del Código Penal y el art. 973 de la Ley de Enjuiciamiento Criminal. Por lo que suplica se desestime el recurso de amparo presentado.</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La representación del recurrente, en su escrito de alegaciones, señala, en cuanto a las actuaciones remitidas por el Juzgado de Distrito, el hecho de que no se incluyera al recurrente en la primera cédula de citación, y que en las siguientes no hubiera la menor mención del concepto o razones por las que se le cita. Respecto a las actuaciones en el recurso de apelación, señala que en el acta del juicio consta que se adujo el desconocimiento de la acusación en primera instancia, y la consiguiente indefensión, como punto central de la argumentación empleada. </w:t>
      </w:r>
    </w:p>
    <w:p w:rsidR="001C705E" w:rsidRDefault="001C705E" w:rsidP="001C705E">
      <w:pPr>
        <w:pStyle w:val="TextoNormal"/>
      </w:pPr>
      <w:r>
        <w:t xml:space="preserve">En cuanto a la fundamentación jurídico-constitucional, se reitera en los términos de la demanda, manifestando que se pretende ahora únicamente perfilar algunos extremos de la misma. Se señala así que, al no precisarse en la citación el concepto de que se le convocaba a la vista oral, no sólo no se le daban las facilidades necesarias para preparar su defensa, sino que además se le impidió ejercitar este derecho sin que tuviera obligación de conjeturar en calidad de qué se le citaba ni por qué hechos. Tampoco puede entenderse que tuviera la carga, y mucho menos la obligación de solicitar al Juzgado que se pormenorizara la acusación y que se suspendiera el acto del juicio para dejarle tiempo para preparar su defensa. Sin que el hecho de que ejerciera su derecho de hacerse asistir por Letrado pueda convertirse en fuente de perjuicio para un derecho distinto, como es el ser informado de la acusación. Sólo supo el hoy recurrente que era el acusado cuando el Fiscal dedujo la pretensión punitiva contra él, y la invocación de la Constitución que realizó entonces fue desatendida, con lo que se consumó la violación del derecho constitucional reconocido en el art. 24.1 de la C.E. </w:t>
      </w:r>
    </w:p>
    <w:p w:rsidR="001C705E" w:rsidRDefault="001C705E" w:rsidP="001C705E">
      <w:pPr>
        <w:pStyle w:val="TextoNormal"/>
      </w:pPr>
      <w:r>
        <w:t>Concluye el escrito señalando que el presente caso no es parangonable al resuelto por Sentencia de 6 de febrero de 1984, al haberse invocado en su momento el Derecho constitucional vulnerado y al constar en las actuaciones las citaciones defectuosas. Por lo que se suplica al Tribunal estime en su totalidad las pretensiones deducidas en el escrito de demanda de amparo.</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Por providencia de 10 de octubre de 1984, la Sección otorgó plazo de seis días al recurrente y al Ministerio Fiscal para que manifiesten si reconocen como admisible el documento presentado por fotocopia con el escrito de alegaciones de la representación de la parte demandada, relativo a la suspensión del procedimiento con fecha 28 de noviembre de 1983. Dentro de dicho plazo, manifestó el recurrente que tal fotocopia es reproducción de la que figura en las actuaciones, si bien ello no significa que se admitan las valoraciones que sobre ella hace la parte contraria. El Ministerio Fiscal, en su escrito correspondiente, señaló que el documento presentado ya se encontraba en los autos, y que no reúne </w:t>
      </w:r>
      <w:r>
        <w:lastRenderedPageBreak/>
        <w:t>las exigencias que para su admisión como prueba exige la Ley de Enjuiciamiento Civil, por lo que interesa su no aceptación.</w:t>
      </w:r>
    </w:p>
    <w:p w:rsidR="001C705E" w:rsidRDefault="001C705E" w:rsidP="001C705E">
      <w:pPr>
        <w:pStyle w:val="TextoNormal"/>
      </w:pPr>
    </w:p>
    <w:p w:rsidR="001C705E" w:rsidRDefault="001C705E" w:rsidP="001C705E">
      <w:pPr>
        <w:pStyle w:val="TextoNormal"/>
      </w:pPr>
      <w:r w:rsidRPr="001C705E">
        <w:rPr>
          <w:rStyle w:val="NumeroAFNegritaCaracter"/>
        </w:rPr>
        <w:t>8</w:t>
      </w:r>
      <w:r>
        <w:t>. La Sección, por providencia de 14 de noviembre de 1984, acordó tener por presentados los escritos de la representación del demandante y del Ministerio Fiscal y quedarse el recurso pendiente para señalamiento cuando por turno le correspondiera.</w:t>
      </w:r>
    </w:p>
    <w:p w:rsidR="001C705E" w:rsidRDefault="001C705E" w:rsidP="001C705E">
      <w:pPr>
        <w:pStyle w:val="TextoNormal"/>
      </w:pPr>
    </w:p>
    <w:p w:rsidR="001C705E" w:rsidRDefault="001C705E" w:rsidP="001C705E">
      <w:pPr>
        <w:pStyle w:val="TextoNormal"/>
      </w:pPr>
      <w:r w:rsidRPr="001C705E">
        <w:rPr>
          <w:rStyle w:val="NumeroAFNegritaCaracter"/>
        </w:rPr>
        <w:t>9</w:t>
      </w:r>
      <w:r>
        <w:t>. La Sala, por providencia de 28 de noviembre de 1984, acordó señalar para deliberación y votación del presente recurso el día 6 de febrero de 1985, quedando concluida el 6 de marzo.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cuestión que se plantea a este Tribunal es la de si se han violado los derechos del demandante a ser informado de la acusación formulada contra él, y a obtener la tutela efectiva de los Tribunales sin que se produzca indefensión, reconocidos respectivamente en los apartados 2 y 1 del art. 24 de la Constitución. La aducida violación resultaría de la actuación del Juzgado de Distrito de Segovia, que dictó Sentencia en juicio de faltas condenatoria del hoy solicitante de amparo, y fue confirmada en apelación por el Juzgado de Instrucción núm. 2 de la misma capital. Dicha violación de derechos constitucionales tendría su origen, siempre según el recurrente, por una parte, en que en la citación efectuada al solicitante de amparo para la vista del juicio de faltas no se especificaba la condición de acusado del destinatario ni la naturaleza de la acusación; y por otra, en que la sentencia sería incongruente con los pedimentos realizados en el acto del juicio.  Conviene, pues, examinar separadamente los dos aspectos del caso, referidos a la falta de información del acusado, el primero, y a la indefensión causada por la incongruencia de la sentencia, el segundo.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Con respecto al presente caso, el hoy recurrente, una vez concluidas las diligencias previas, en las que compareció e intervino, asistido de Letrado, alegando lo que creyó oportuno, fue citado a juicio «con los testigos y demás pruebas que tenga», según lo exigido por el art. 965 de la Ley de Enjuiciamiento Criminal (L.E.Cr.); por lo que, no siendo testigo de los hechos ni querellante, sólo podría ser llamado en calidad de «presunto culpable»» o «acusado»», según los términos utilizados respectivamente en los arts. 962, 965, 967 y 970 y los arts. 969 y 971 de la mencionada Ley. En todo caso, su derecho a ser informado de la acusación formulada, amparado por el art. 24.2 de la Constitución, y que como tal ha de considerarse distinto, dentro del marco del mismo, del derecho a la defensa, no fue conculcado en el proceso previo del que trae causa este recurso. Lo que ocurre es que, dada la regulación del juicio sobre faltas, no hay en él, a diferencia del proceso por delitos, una fase de instrucción o sumario, ni una fase intermedia, y, una vez iniciado por los medios normales, se pasa inmediatamente al juicio oral, en el que se formulan las pretensiones, se practican las pruebas y se dicta, si es posible (o de no serlo, dentro de los tres días siguientes), la correspondiente sentencia (arts. 969 y 973 de la L.E.Cr.). La acusación se formaliza, pues, en el acto del juicio, constituyendo esta formalización el comienzo del mismo. Así ocurrió en el proceso en cuestión, con respecto al hoy recurrente en amparo, el cual, una vez que conoció la acusación, pudo formular las alegaciones y proponer las </w:t>
      </w:r>
      <w:r>
        <w:lastRenderedPageBreak/>
        <w:t>pruebas que considerase oportunas para su defensa. No se produjo, pues, falta de las garantías constitucionales del proceso penal, ya que, como ha dicho esta Sala en su Sentencia núm. 15/1984, de 6 de febrero («Boletín Oficial del Estado» del 18), en su fundamento 2. : «siempre que en el juicio se dé oportunidad para que en él el acusado presente prueba de descargo sobre la acusación allí formulada, no puede decirse que no haya conocido a tiempo la acusación», siendo esta afirmación aplicable al presente recurso.</w:t>
      </w:r>
    </w:p>
    <w:p w:rsidR="001C705E" w:rsidRDefault="001C705E" w:rsidP="001C705E">
      <w:pPr>
        <w:pStyle w:val="TextoNormal"/>
      </w:pPr>
    </w:p>
    <w:p w:rsidR="001C705E" w:rsidRDefault="001C705E" w:rsidP="001C705E">
      <w:pPr>
        <w:pStyle w:val="TextoNormal"/>
      </w:pPr>
      <w:r w:rsidRPr="001C705E">
        <w:rPr>
          <w:rStyle w:val="NumeroAFNegritaCaracter"/>
        </w:rPr>
        <w:t>3</w:t>
      </w:r>
      <w:r>
        <w:t>. Si, pues, no fue violado en el caso que aquí consideramos el derecho del acusado a ser informado de la acusación de la que es objeto, reconocido en el art. 24.2 de la Constitución, tampoco lo ha sido el derecho a la defensa, tutelado por este mismo artículo y número, no resultando de las circunstancias del caso una merma de sus posibilidades al respecto. El acusado dispuso de asistencia de Letrado durante el juicio, un Letrado conocedor de los hechos, por haber asistido al hoy recurrente en las diligencias previas y con ocasión de trámites anteriores en el mismo proceso. Se debe, por consiguiente, estimar que la información sobre la amplitud y características de la acusación en el acto del juicio fue suficiente para, en tales circunstancias, llevar a cabo una adecuada defensa. Es de destacar al respecto que el acusado no propuso prueba de ninguna clase, como resulta del acta. Lo es también que pudo, a partir del momento en que conoció la acusación, pedir, al amparo de lo dispuesto en el art.  6 del Decreto de 21 de noviembre de 1952, el aplazamiento del juicio al objeto de preparar su defensa, si lo estimaba necesario, cosa que no hizo. No puede, en conclusión de todo ello, afirmarse que el hoy recurrente en amparo se vio privado de los medios de defensa previstos en el ordenamiento jurídico penal.</w:t>
      </w:r>
    </w:p>
    <w:p w:rsidR="001C705E" w:rsidRDefault="001C705E" w:rsidP="001C705E">
      <w:pPr>
        <w:pStyle w:val="TextoNormal"/>
      </w:pPr>
    </w:p>
    <w:p w:rsidR="001C705E" w:rsidRDefault="001C705E" w:rsidP="001C705E">
      <w:pPr>
        <w:pStyle w:val="TextoNormal"/>
      </w:pPr>
      <w:r w:rsidRPr="001C705E">
        <w:rPr>
          <w:rStyle w:val="NumeroAFNegritaCaracter"/>
        </w:rPr>
        <w:t>4</w:t>
      </w:r>
      <w:r>
        <w:t>. Por lo que se refiere a la alegada vulneración, por incongruencia, de la Sentencia con lo pedido por las partes de derechos reconocidos en el art.  24.1 de la C.E., procede señalar que no se hizo mención alguna de tal vulneración al plantearse el recurso de apelación, por lo que no se dio oportunidad a los órganos judiciales ordinarios para remediarla, quedando sin cumplirse así el requisito exigido por el artículo 44.1 c) de la LOTC, que impone la invocación formal en el proceso del Derecho constitucional vulnerado, tan pronto como, una vez conocida la violación, hubiera lugar para ello. Esta omisión, que habría podido ser causa de inadmisibilidad del recurso si éste se hubiera fundado únicamente en la alegación de la violación del derecho fundamental de que se trata, constituye, en la actual fase procesal, una causa de desestimación del mismo en este aspecto, como reiteradamente ha señalado este Tribunal. A mayor abundamiento, cabe recordar que es doctrina sentada por el mismo, entre otras, en la Sentencia de esta Sala núm. 20/1982, de 5 de mayo («Boletín Oficial del Estado» del 18), que la incongruencia puede constituir una violación del art. 24 de la C.E. cuando la desviación respecto de la pretensión que ella implica «es de tal naturaleza que supone una completa modificación de los términos en que se produjo el debate procesal» (fundamento jurídico 1. ), lo que en modo alguno es aquí el caso, pues, como indica el Ministerio Fiscal, el Juez resuelve en una sentencia indemnizatoria una pretensión indemnizatoria, empleando para su fijación, junto a criterios objetivos, otros criterios necesariamente subjetivos que completan o modifican los empleados por las partes.</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 por don Fernando Pertierra Peñaranda.</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siete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8" w:name="SENTENCIA_1985_35"/>
      <w:r>
        <w:lastRenderedPageBreak/>
        <w:t>SENTENCIA 35/1985, de 7 de marzo de 1985</w:t>
      </w:r>
    </w:p>
    <w:bookmarkEnd w:id="38"/>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ECLI:ES:TC:1985:35</w:t>
      </w:r>
    </w:p>
    <w:p w:rsidR="001C705E" w:rsidRDefault="001C705E" w:rsidP="001C705E">
      <w:pPr>
        <w:pStyle w:val="SntesisDescriptiva"/>
      </w:pPr>
    </w:p>
    <w:p w:rsidR="001C705E" w:rsidRDefault="001C705E" w:rsidP="001C705E">
      <w:pPr>
        <w:pStyle w:val="SntesisDescriptiva"/>
      </w:pPr>
      <w:r>
        <w:t>Recurso de amparo 444/1984. Derecho a la objeción de conciencia en la situación de reserva del servicio militar</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derecho de objeción de conciencia al servicio militar, derivado de la libertad ideológica establecida en el art. 16 de la C.E., como ha precisado la STC 15/1982, es un derecho, reconocido en el artículo 30.2 de la misma Ley suprema a ser declarado exento del deber de cumplir tal servicio militar, sometiendo al solicitante a una prestación social sustitutoria, y que, por lo tanto, no garantizaba la abstención del objetor, pues de no mediar la declaración sería exigida la realización del servicio coactivamente; estando el derecho del objetor sometido a la necesidad de que actúe la interpositio legislatoris, para regularlo de manera plena y eficaz en su contenido y alcance, y fijando un procedimiento con las «debidas garantías». </w:t>
      </w:r>
    </w:p>
    <w:p w:rsidR="001C705E" w:rsidRDefault="001C705E" w:rsidP="001C705E">
      <w:pPr>
        <w:pStyle w:val="Extracto"/>
      </w:pPr>
    </w:p>
    <w:p w:rsidR="001C705E" w:rsidRDefault="001C705E" w:rsidP="001C705E">
      <w:pPr>
        <w:pStyle w:val="Extracto"/>
      </w:pPr>
      <w:r>
        <w:t>2.</w:t>
      </w:r>
      <w:r>
        <w:tab/>
        <w:t xml:space="preserve">El 26 de diciembre se publicó la Ley 46/1984, reguladora de la objeción de conciencia y de la prestación social sustitutoria, que entró en vigor el 22 de enero de 1985, y con ella se ha producido el cumplimiento de lo dispuesto en el art. 30.2 de la CE, y una afectación, por circunstancia sobrevenida, de lo que es objeto de este proceso, al complementar la norma básica constitucional con las disposiciones de la Ley subordinada, regulando el derecho de objeción de conciencia, y variando el contenido de las pretensiones de la parte recurrente, tanto por el derecho material establecido, como por el procedimiento marcado. </w:t>
      </w:r>
    </w:p>
    <w:p w:rsidR="001C705E" w:rsidRDefault="001C705E" w:rsidP="001C705E">
      <w:pPr>
        <w:pStyle w:val="Extracto"/>
      </w:pPr>
    </w:p>
    <w:p w:rsidR="001C705E" w:rsidRDefault="001C705E" w:rsidP="001C705E">
      <w:pPr>
        <w:pStyle w:val="Extracto"/>
      </w:pPr>
      <w:r>
        <w:t>3.</w:t>
      </w:r>
      <w:r>
        <w:tab/>
        <w:t xml:space="preserve">Del contenido de las normas sustantivas y de procedimiento previstas en la Ley, resulta que el reconocimiento a la declaración de aplazamiento en la realización de las revistas anuales, debe ahora ampliarse, en lo que resulte preciso, en tanto se resuelva sobre el derecho del actor (que solicitó ser declarado objetor de conciencia en fase de reserva), en el sentido del derecho a que reitere su petición ante el Consejo Nacional de Objetores de Conciencia, una vez constituido, dentro de los tres meses siguientes, para que éste la resuelva. Contra tal decisión cabrá la vía de recursos establecida en el artículo 1 de la Ley Orgánica 8/1984, de 26 de diciembre y, en su caso, el recurso de amparo constitucional.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lastRenderedPageBreak/>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número 444/1984, promovido por don Angel Sabroso Orejón, representado por la Procuradora doña Isabel Díaz Solano y dirigido por el Letrado don Teodoro Mota Truncer, contra la Resolución de la Subsecretaría de Política de Defensa (Junta Interministerial de Reclutamiento), de 9 de febrero de 1984, habiendo comparecido en el proceso el Ministerio Fiscal, y siendo Ponente el Magistrado de la Sala don Angel Escudero del Corral, quien expresa el parecer de la misma.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La Procuradora doña Isabel Díaz Solano, en nombre de don Angel Sabroso Orejón, formuló recurso de amparo, por violación del art. 30.2 de la Constitución Española (C.E.), contra la Resolución de la Subsecretaría de Política de Defensa (Junta Interministerial de Reclutamiento) de 9 de febrero de 1984. </w:t>
      </w:r>
    </w:p>
    <w:p w:rsidR="001C705E" w:rsidRDefault="001C705E" w:rsidP="001C705E">
      <w:pPr>
        <w:pStyle w:val="TextoNormal"/>
      </w:pPr>
      <w:r>
        <w:t xml:space="preserve">La demanda se basa esencialmente en los hechos siguientes: </w:t>
      </w:r>
    </w:p>
    <w:p w:rsidR="001C705E" w:rsidRDefault="001C705E" w:rsidP="001C705E">
      <w:pPr>
        <w:pStyle w:val="TextoNormal"/>
      </w:pPr>
      <w:r>
        <w:t xml:space="preserve">a) Que en fecha reglamentaria el actor pasó a situación de reserva militar, como consta en la cartilla militar. </w:t>
      </w:r>
    </w:p>
    <w:p w:rsidR="001C705E" w:rsidRDefault="001C705E" w:rsidP="001C705E">
      <w:pPr>
        <w:pStyle w:val="TextoNormal"/>
      </w:pPr>
      <w:r>
        <w:t xml:space="preserve">b) Que el 20 de enero de 1984 dirigió escrito al Ministerio de Defensa, ejercitando el derecho de libertad de pensamiento, ideas y opiniones, para discrepar y disentir del Ejército en cuanto a sus obligaciones militares por motivo de conciencia, y en especial para que le reconociese el derecho a ser objetor de conciencia en cualquier momento, edad o situación en que se encuentre respecto al Ejército, derecho que puede hacerse valer antes, durante y después del servicio militar, y en el último supuesto, mediante la devolución de los documentos militares en su poder, declarándose públicamente ser objetor de conciencia y estar prácticamente exento de cualquier vinculación con el Ejército, así como de posibles obligaciones militares. </w:t>
      </w:r>
    </w:p>
    <w:p w:rsidR="001C705E" w:rsidRDefault="001C705E" w:rsidP="001C705E">
      <w:pPr>
        <w:pStyle w:val="TextoNormal"/>
      </w:pPr>
      <w:r>
        <w:t xml:space="preserve">c) La Subsecretaría de Política de Defensa, el 9 de febrero de 1984 adoptó resolución, contestando al escrito indicado en el apartado anterior, en la que teniendo en cuenta que la Ley de Objeción de Conciencia no había sido promulgada, y mientras no se publique el Reglamento de aplicación, procedía cumplir la actual legislación, decretando que se comunique al interesado y que, según el art. 498 del Reglamento de la Ley General del Servicio Militar (RLGSM), la cartilla debía permanecer siempre en poder del titular. </w:t>
      </w:r>
    </w:p>
    <w:p w:rsidR="001C705E" w:rsidRDefault="001C705E" w:rsidP="001C705E">
      <w:pPr>
        <w:pStyle w:val="TextoNormal"/>
      </w:pPr>
      <w:r>
        <w:t xml:space="preserve">d) Interpuso el 1 de marzo de 1984 recurso de alzada contra la anterior resolución del actor. </w:t>
      </w:r>
    </w:p>
    <w:p w:rsidR="001C705E" w:rsidRDefault="001C705E" w:rsidP="001C705E">
      <w:pPr>
        <w:pStyle w:val="TextoNormal"/>
      </w:pPr>
      <w:r>
        <w:t xml:space="preserve">e) No se produjo contestación a este recurso por parte del órgano administrativo, en el plazo de tres meses que dispone el art. 125 de la Ley de Procedimiento Administrativo, adaptado por Decreto de 2 de junio de 1966 a los Ministerios Militares, por lo que el recurrente agotó la vía administrativa. </w:t>
      </w:r>
    </w:p>
    <w:p w:rsidR="001C705E" w:rsidRDefault="001C705E" w:rsidP="001C705E">
      <w:pPr>
        <w:pStyle w:val="TextoNormal"/>
      </w:pPr>
      <w:r>
        <w:t xml:space="preserve">En los fundamentos jurídicos, en síntesis expuso: </w:t>
      </w:r>
    </w:p>
    <w:p w:rsidR="001C705E" w:rsidRDefault="001C705E" w:rsidP="001C705E">
      <w:pPr>
        <w:pStyle w:val="TextoNormal"/>
      </w:pPr>
      <w:r>
        <w:t>En primer lugar sobre la concurrencia de legitimación, competencia y objeto del recurso. Así como sobre admisibilidad del recurso en relación al agotamiento de la vía adminis</w:t>
      </w:r>
      <w:r>
        <w:lastRenderedPageBreak/>
        <w:t xml:space="preserve">trativa procedente, determinando que la interpretación del Tribunal Constitucional en la Sentencia de 23 de abril de 1982, reiterada en la Sentencia de 13 de mayo siguiente, en relación al art. 45 de la Ley Orgánica del Tribunal Constitucional (LOTC), proclamó: Que esta norma exime de agotar la vía judicial previa, determinada en el artículo 43.1 de la misma, con carácter general, a las resoluciones que imponen la obligación de prestar el servicio militar, al sustituir el cumplimiento de este cauce por el carácter ejecutivo de la resolución, y esta ejecutoriedad no existe hasta que se resuelva el recurso en alzada y se notifique, así como que el art. 45.1 de la LOTC exige, implícita, pero evidentemente, como requisito previo al amparo, la interposición del recurso de alzada, que permita alcanzar aquella indispensable ejecutoriedad en vía administrativa. </w:t>
      </w:r>
    </w:p>
    <w:p w:rsidR="001C705E" w:rsidRDefault="001C705E" w:rsidP="001C705E">
      <w:pPr>
        <w:pStyle w:val="TextoNormal"/>
      </w:pPr>
      <w:r>
        <w:t xml:space="preserve">Estima como infringidos el art. 30.2 de la C.E., en relación con los arts. 10.2, 96.1, 9.1 y 53.1, todos de la Constitución, que copia literalmente. </w:t>
      </w:r>
    </w:p>
    <w:p w:rsidR="001C705E" w:rsidRDefault="001C705E" w:rsidP="001C705E">
      <w:pPr>
        <w:pStyle w:val="TextoNormal"/>
      </w:pPr>
      <w:r>
        <w:t xml:space="preserve">Alega que la objeción de conciencia es una manifestación específica de la libertad de conciencia, fundada no en la libertad moral, sino en la inmunidad de coacción por el Estado y la sociedad, el pertenecer el juicio de conciencia al ámbito de la intimidad de la persona. Así queda reconocida la objeción de conciencia en el Pacto Internacional de Derechos Civiles y Políticos en su art. 18; en el Convenio para la Protección de los Derechos Humanos y las Libertades Fundamentales, art. 9; y en la Declaración Universal de los Derechos Humanos, art. 18; todos los que entraron en vigor y rigen en España, según el art. 96.1 de la C.E. por ser tratados internacionales que forman parte de nuestro ordenamiento jurídico, siendo tal objeción un derecho fundamental que según el art. 10.2 de la C.E. debe ser interpretado conforme tales declaraciones y acuerdos internacionales sobre la misma materia. </w:t>
      </w:r>
    </w:p>
    <w:p w:rsidR="001C705E" w:rsidRDefault="001C705E" w:rsidP="001C705E">
      <w:pPr>
        <w:pStyle w:val="TextoNormal"/>
      </w:pPr>
      <w:r>
        <w:t xml:space="preserve">Cita la Sentencia de este Tribunal 15/1982, de 23 de abril, en relación a que dicha objeción es un derecho, que para su desarrollo y eficacia requiere la interpositio legislatoris, pero que no significa que sea exigible tan sólo cuando el legislador lo haya desarrollado; por lo que la no admisión de la devolución de la cartilla militar, en la fase de reserva del servicio militar, supone el no reconocimiento de un derecho establecido en la C.E., situación de reserva que reconoce el art. 493 del RLGSM, y el art. 30.2 admite la objeción de conciencia como causa de exención del servicio militar sustituible por una prestación sustitutoria. Derecho que la jurisprudencia del Tribunal Constitucional reconoce que ha de tener al menos un mínimo contenido que debe protegerse, por ser un derecho de toda persona a declararse objetor y suspender la incorporación a filas, hasta tanto no se desarrolle el mandato constitucional por el legislador. Y como el art. 30.2 de la C.E. al establecer la causa dicha de exención, comprende al servicio militar obligatorio, dentro de ellas está comprendida también la fase de reserva militar, por lo que cualquier ciudadano sujeto a este período puede realizar objeción de conciencia en el mismo. </w:t>
      </w:r>
    </w:p>
    <w:p w:rsidR="001C705E" w:rsidRDefault="001C705E" w:rsidP="001C705E">
      <w:pPr>
        <w:pStyle w:val="TextoNormal"/>
      </w:pPr>
      <w:r>
        <w:t xml:space="preserve">Los arts. 498 y 499 de dicho Reglamento establecen el documento denominado «Cartilla del servicio militar» para recoger el resumen de las situaciones militares del interesado y controlar al reservista, a efecto de movilizaciones, anotando sus revistas periódicas, que deberá permanecer en poder de los interesados, por lo que si se produce la objeción en período de reserva, procede eximírsele del deber de poseer la cartilla el objetante, por lo que la resolución denegatoria de la devolución indicada, supone la no sujeción de los poderes públicos a la C.E. y el vínculo de éstos con los principios constitucionales -arts. 9.1 y 53.1 de la C.E.-, por lo que son manifiestamente inconstitucionales el contenido íntegro de los artículos, que afectan a la situación de reservistas: el 15, 663 y 689.1 del RLGSM, y el 3 d) y 16 del Real Decreto 3179/1977, al haber sido legislados antes de regir la C.E., estando en contradicción manifiesta con el art. 30.2 de la C.E. </w:t>
      </w:r>
    </w:p>
    <w:p w:rsidR="001C705E" w:rsidRDefault="001C705E" w:rsidP="001C705E">
      <w:pPr>
        <w:pStyle w:val="TextoNormal"/>
      </w:pPr>
      <w:r>
        <w:lastRenderedPageBreak/>
        <w:t xml:space="preserve">En la súplica de la demanda, pide se dicte Sentencia otorgando el amparo, de acuerdo con el art. 30.2 de la C.E., debiendo admitirse por parte del Ministerio de Defensa la devolución de la cartilla militar del recurrente, dejando sin efecto la resolución administrativa impugnada de la Subsecretaría de Política de Defensa, que supondría el reconocimiento del derecho constitucional a manifestar la objeción de conciencia en la situación de reserva del servicio militar, que implicaría una situación de «reserva aplazada»», hasta tanto se desarrolle el mandato constitucional. </w:t>
      </w:r>
    </w:p>
    <w:p w:rsidR="001C705E" w:rsidRDefault="001C705E" w:rsidP="001C705E">
      <w:pPr>
        <w:pStyle w:val="TextoNormal"/>
      </w:pPr>
      <w:r>
        <w:t>Por otrosí solicitó, invocando el art. 56 de la LOTC, la suspensión de la ejecución de la resolución administrativa impugnada.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Sección por providencia acordó admitir a trámite la demanda presentada y tener por personada a la Procuradora, y acordó solicitar el envío de las actuaciones con el emplazamiento de las partes, mandándose formar pieza separada sobre la suspensión que fue denegada por Auto de 26 de julio de 1984. </w:t>
      </w:r>
    </w:p>
    <w:p w:rsidR="001C705E" w:rsidRDefault="001C705E" w:rsidP="001C705E">
      <w:pPr>
        <w:pStyle w:val="TextoNormal"/>
      </w:pPr>
      <w:r>
        <w:t>Enviada la documentación solicitada, se acordó por la Sección abrir el plazo de diez días para alegaciones del Ministerio Fiscal y el recurrente.</w:t>
      </w:r>
    </w:p>
    <w:p w:rsidR="001C705E" w:rsidRDefault="001C705E" w:rsidP="001C705E">
      <w:pPr>
        <w:pStyle w:val="TextoNormal"/>
      </w:pPr>
    </w:p>
    <w:p w:rsidR="001C705E" w:rsidRDefault="001C705E" w:rsidP="001C705E">
      <w:pPr>
        <w:pStyle w:val="TextoNormal"/>
      </w:pPr>
      <w:r w:rsidRPr="001C705E">
        <w:rPr>
          <w:rStyle w:val="NumeroAFNegritaCaracter"/>
        </w:rPr>
        <w:t>3</w:t>
      </w:r>
      <w:r>
        <w:t>. El Ministerio Fiscal, evacuando tal trámite, alegó en síntesis, y después de exponer los antecedentes, como fundamentos jurídicos: Que la objeción de conciencia no se hizo al cumplir el servicio militar, sino una vez cumplido, encontrándose en situación de reserva militar, cuya duración es de dieciocho años desde la incorporación. Tal derecho no puede ser negado según reiterada jurisprudencia del Tribunal Constitucional, interpretando el art. 30.2 de la C.E. por ser un derecho constitucional que excepciona al deber de cumplir el servicio militar, pero el derecho debe ser declarado efectivamente en cada caso. Estima que también el reservista puede alegar la objeción, pero que la concreción de este derecho no se ha realizado, faltando Ley que cumpla el mandato constitucional, por lo que existe una laguna, para hacer efectivo el derecho de referencia. Es exigible una Ley que determine el alcance de la objeción y los medios sustitutorios del cumplimiento del servicio, así como un procedimiento para exigir el derecho, lo que no puede hacer el Tribunal Constitucional. Por otro lado, plantea el recurso un tema todavía no resuelto por dicho órgano jurisdiccional, que sólo en sus resoluciones se ha referido al supuesto de objetores incorporados a filas. En el caso concreto se niega el recurrente a tener en su poder la cartilla militar por suponer vinculación al Ejército, aunque el documento no tenga más trascendencia que acreditar haber cumplido el servicio, aunque supone un ataque a la conciencia del recurrente. Este es el mismo contenido a que se refiere la Sentencia de 23 de abril de 1982. Pero estima que el actor tiene derecho a que su permanencia en la situación militar de reserva se suspenda, hasta que la Ley determine el procedimiento que pueda conferir de manera plena la realización de su derecho a ser objetor. Solicitó en definitiva se dicte Sentencia, estimando el recurso de amparo, y acordando reconocer el derecho del recurrente a que se suspenda su permanencia en la situación de reserva del servicio militar, hasta que se dicte la Ley prevista en el art. 30.2 de la C.E., que permita la plena aplicabilidad y eficacia del derecho a la objeción de conciencia alegada, y de la misma forma, la nulidad de la resolución impugnada.</w:t>
      </w:r>
    </w:p>
    <w:p w:rsidR="001C705E" w:rsidRDefault="001C705E" w:rsidP="001C705E">
      <w:pPr>
        <w:pStyle w:val="TextoNormal"/>
      </w:pPr>
    </w:p>
    <w:p w:rsidR="001C705E" w:rsidRDefault="001C705E" w:rsidP="001C705E">
      <w:pPr>
        <w:pStyle w:val="TextoNormal"/>
      </w:pPr>
      <w:r w:rsidRPr="001C705E">
        <w:rPr>
          <w:rStyle w:val="NumeroAFNegritaCaracter"/>
        </w:rPr>
        <w:t>4</w:t>
      </w:r>
      <w:r>
        <w:t>. La representación procesal de la parte recurrente, en tal trámite, presentó escrito remitiéndose a su escrito de demanda íntegramente, sin nuevas alegaciones, suplicando que así se estime ratificada aquélla, y que se dicte resolución estimando el amparo pedido.</w:t>
      </w:r>
    </w:p>
    <w:p w:rsidR="001C705E" w:rsidRDefault="001C705E" w:rsidP="001C705E">
      <w:pPr>
        <w:pStyle w:val="TextoNormal"/>
      </w:pPr>
    </w:p>
    <w:p w:rsidR="001C705E" w:rsidRDefault="001C705E" w:rsidP="001C705E">
      <w:pPr>
        <w:pStyle w:val="TextoNormal"/>
      </w:pPr>
      <w:r w:rsidRPr="001C705E">
        <w:rPr>
          <w:rStyle w:val="NumeroAFNegritaCaracter"/>
        </w:rPr>
        <w:t>5</w:t>
      </w:r>
      <w:r>
        <w:t>. La Sección, por providencia de 23 de enero de 1985, acordó aplicar lo dispuesto en el art. 84 de la Ley orgánica de este Tribunal, otorgando un plazo de diez días a la parte recurrente y al Ministerio Fiscal, para que se manifestaren sobre la posible eventualidad de existir otros motivos distintos de los alegados, con relevancia en la decisión final del proceso, por la vigencia de la Ley 48/1984, de 26 de diciembre, reguladora de la objeción de conciencia y de la prestación social sustitutoria.</w:t>
      </w:r>
    </w:p>
    <w:p w:rsidR="001C705E" w:rsidRDefault="001C705E" w:rsidP="001C705E">
      <w:pPr>
        <w:pStyle w:val="TextoNormal"/>
      </w:pPr>
    </w:p>
    <w:p w:rsidR="001C705E" w:rsidRDefault="001C705E" w:rsidP="001C705E">
      <w:pPr>
        <w:pStyle w:val="TextoNormal"/>
      </w:pPr>
      <w:r w:rsidRPr="001C705E">
        <w:rPr>
          <w:rStyle w:val="NumeroAFNegritaCaracter"/>
        </w:rPr>
        <w:t>6</w:t>
      </w:r>
      <w:r>
        <w:t>. El Ministerio Fiscal, evacuando dicho trámite, manifestó haber solicitado al contestar a la demanda de amparo, la estimación del recurso, reconociendo al actor el derecho a que se suspendiera su permanencia en la situación de reserva del servicio militar, hasta que se dictara la Ley prevista en el art. 30.2 de la C.E. Y como la misma se publicó con posterioridad, en fecha 26 de diciembre de 1984, modificando la situación del recurrente y alterando el planteamiento del recurso de amparo, entiende que la estimación de éste supone la suspensión de la permanencia en la situación de reserva del servicio militar, lo que por aplicación de dicha Ley puede obtener si lo alega ante el Consejo Nacional de Objeción de Conciencia. Este cauce legal deja sin efecto el amparo formulado, ya que éste al resolverse conduce a la misma situación. Si su solicitud de efectividad del derecho no se admitiera, contra la decisión denegatoria tiene en sistema de recursos que fija la Ley y también el recurso de amparo. Por ello entiende, que de acuerdo con el art. 84 de la LOTC, ha sobrevenido una causa de inadmisión, la del art. 50.1 b), en relación con el art. 43 de la misma, interesando se desestime la demanda de amparo por incurrir en la causa de inadmisión dicha.</w:t>
      </w:r>
    </w:p>
    <w:p w:rsidR="001C705E" w:rsidRDefault="001C705E" w:rsidP="001C705E">
      <w:pPr>
        <w:pStyle w:val="TextoNormal"/>
      </w:pPr>
    </w:p>
    <w:p w:rsidR="001C705E" w:rsidRDefault="001C705E" w:rsidP="001C705E">
      <w:pPr>
        <w:pStyle w:val="TextoNormal"/>
      </w:pPr>
      <w:r w:rsidRPr="001C705E">
        <w:rPr>
          <w:rStyle w:val="NumeroAFNegritaCaracter"/>
        </w:rPr>
        <w:t>7</w:t>
      </w:r>
      <w:r>
        <w:t>. El demandante de amparo, también evacuó dicho trámite, se limitó a reproducir los argumentos utilizados en la demanda, sin ninguna otra alegación nueva, solicitando en el suplico se tuviera por contestada la providencia de 23 de enero de 1985 y la concesión del amparo solicitado por considerar «que la promulgación de la Ley 48/1984, de 26 de diciembre, no ha modificado las pretensiones contenidas en nuestra demanda principal»».</w:t>
      </w:r>
    </w:p>
    <w:p w:rsidR="001C705E" w:rsidRDefault="001C705E" w:rsidP="001C705E">
      <w:pPr>
        <w:pStyle w:val="TextoNormal"/>
      </w:pPr>
    </w:p>
    <w:p w:rsidR="001C705E" w:rsidRDefault="001C705E" w:rsidP="001C705E">
      <w:pPr>
        <w:pStyle w:val="TextoNormal"/>
      </w:pPr>
      <w:r w:rsidRPr="001C705E">
        <w:rPr>
          <w:rStyle w:val="NumeroAFNegritaCaracter"/>
        </w:rPr>
        <w:t>8</w:t>
      </w:r>
      <w:r>
        <w:t>. Por providencia de 27 de febrero de 1985, se acordó citar para la deliberación y fallo de este proceso el día 6 de marzo de 1985.</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objeto del proceso de amparo, según el contenido de la demanda y muy especialmente de la súplica de la misma, está determinado por la pretensión consistente en que se reconozca al actor el derecho establecido en el art.  30.2 de la Constitución (C.E.), de manifestar la objeción de conciencia al servicio militar en la fase de «reserva militar», lo que implicaría, por así solicitarse expresamente, una situación de «reserva aplazada» hasta tanto se desarrollara por la Ley el mandato contenido en dicha norma constitucional; y a que se dejara sin efecto la Resolución de la Subsecretaría de Política de Defensa (Junta Interministerial de Reclutamiento), de 9 de febrero de 1984, con la devolución a la misma de la cartilla militar, que no quiso aceptar, y que pospuso resolver sobre dicha objeción de conciencia hasta que se desarrollara dicha norma de la Constitución.</w:t>
      </w:r>
    </w:p>
    <w:p w:rsidR="001C705E" w:rsidRDefault="001C705E" w:rsidP="001C705E">
      <w:pPr>
        <w:pStyle w:val="TextoNormal"/>
      </w:pPr>
      <w:r>
        <w:lastRenderedPageBreak/>
        <w:t>Se apoyan estas pretensiones en que el citado art. 30.2 de la C.E. establece, como excepción al deber de prestar el servicio militar, la objeción de conciencia con carácter general, no sólo en la fase activa de su cumplimiento material, sino también comprendiendo en ella la «fase de reserva militar», y que podía desarrollarse antes de que el legislador determinara el contenido de la objeción de conciencia, por lo que la no admisión de la devolución de la cartilla que regulan los arts. 498 y 499 del Reglamento de la Ley General del Servicio Militar, y que mandan permanezca en poder del interesado, supone el no reconocimiento de un derecho constitucional por un órgano de los poderes públicos -arts. 9.1 y 53.1 de la C.E.-.</w:t>
      </w:r>
    </w:p>
    <w:p w:rsidR="001C705E" w:rsidRDefault="001C705E" w:rsidP="001C705E">
      <w:pPr>
        <w:pStyle w:val="TextoNormal"/>
      </w:pPr>
    </w:p>
    <w:p w:rsidR="001C705E" w:rsidRDefault="001C705E" w:rsidP="001C705E">
      <w:pPr>
        <w:pStyle w:val="TextoNormal"/>
      </w:pPr>
      <w:r w:rsidRPr="001C705E">
        <w:rPr>
          <w:rStyle w:val="NumeroAFNegritaCaracter"/>
        </w:rPr>
        <w:t>2</w:t>
      </w:r>
      <w:r>
        <w:t>. Esta Sala en su Sentencia número 15/1982, de 23 de abril, precisó claramente que el derecho de objeción de conciencia al servicio militar, derivado de la libertad ideológica establecida en el art. 16 de la C.E., es un derecho reconocido en el art.  30.2 de la misma Ley suprema, a ser declarado exento del deber de cumplir tal servicio militar, sometiendo al solicitante a una prestación social sustitutoria, y que por lo tanto no garantizaba la abstención del objetor, pues de no mediar la declaración sería exigida la realización del servicio coactivamente; estando el derecho del objetor sometido a la necesidad de que actúe la interpositio legislatoris, para regularlo de manera plena y eficaz en su contenido y alcance, y fijando un procedimiento con las «debidas garantías»»; por lo que únicamente si existía tal regulación podía generarse la declaración en la que el derecho de objeción de conciencia encontrara su plenitud; y que en tanto no se desarrollara esa Ley, mandada dictar por el art. 30.2 de la C.E., el objetor poseía el derecho a que la incorporación a filas se aplazara hasta que se configurara el procedimiento que pudiera otorgar plena realización al mencionado derecho de exención al servicio militar del objetor.</w:t>
      </w:r>
    </w:p>
    <w:p w:rsidR="001C705E" w:rsidRDefault="001C705E" w:rsidP="001C705E">
      <w:pPr>
        <w:pStyle w:val="TextoNormal"/>
      </w:pPr>
      <w:r>
        <w:t>La aplicación de esta doctrina al caso de autos, mutatis mutandis, supondría tener que aceptar en principio por realizada la solicitud de situación de «reserva aplazada» pedida en el suplico de la demanda, hasta tanto se publicara la Ley ordenada por el artículo 30.2 de la C.E., que desarrollara el alcance y condiciones del derecho a la objeción de conciencia, pero sin que este Tribunal pudiera dejar sin efecto la resolución recurrida de la Subsecretaría de Política de Defensa, ni exigirle la aceptación de la cartilla militar pedida por el presunto objetor, por estar ajustada a la legalidad vigente dicha decisión, remitiendo la determinación final procedente al contenido de la nueva Ley todavía no publicada, de cuya regulación y alcance, como se indicó, derivaría la posible aceptación de tal objeción y las condiciones que, en su caso, exigiera para otorgarla, sin tener posibilidad este Tribunal de sustituir anticipadamente al legislador ordinario en su cometido intransferible, máxime cuando a su soberanía corresponde determinar la extensión de la objeción de conciencia, y el órgano que, caso a caso, debería apreciarla a través del procedimiento adecuado, existiendo en tanto una laguna imposible de llenar, que sólo se palia con la medida de aplazamiento indicada por este Tribunal, y que en el caso de examen tendría el contenido de aplazar las revistas anuales, hasta que se pudiera determinar si era concedida o no la excepción en la fase de «reserva del servicio militar» y el órgano que debía, en su caso, determinarla.</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Durante el curso de este proceso de amparo constitucional y, concretamente, el 26 de diciembre de 1984, se publicó la Ley 48/1984 reguladora de la objeción de conciencia y de la prestación social sustitutoria, que entró en vigor el 22 de enero de 1985, y con ella se ha producido el cumplimiento de lo dispuesto en el art. 30.2 de la C.E., y una afectación, por circunstancia sobrevenida, de lo que es objeto de dicho proceso, al complementarse la </w:t>
      </w:r>
      <w:r>
        <w:lastRenderedPageBreak/>
        <w:t>norma básica constitucional con las disposiciones de la Ley subordinada, regulando el derecho de objeción de conciencia, y variando el contenido de las pretensiones de la parte recurrente, tanto por el derecho material establecido, como por el procedimiento marcado.</w:t>
      </w:r>
    </w:p>
    <w:p w:rsidR="001C705E" w:rsidRDefault="001C705E" w:rsidP="001C705E">
      <w:pPr>
        <w:pStyle w:val="TextoNormal"/>
      </w:pPr>
      <w:r>
        <w:t>Debe ponerse de manifiesto, en cuanto resulta preciso para el supuesto de examen, el contenido de dicha Ley:</w:t>
      </w:r>
    </w:p>
    <w:p w:rsidR="001C705E" w:rsidRDefault="001C705E" w:rsidP="001C705E">
      <w:pPr>
        <w:pStyle w:val="TextoNormal"/>
      </w:pPr>
      <w:r>
        <w:t>a) En el art. 3.1 concede el derecho a la objeción de conciencia, no sólo a la persona que vaya a incorporarse al servicio militar, hasta el momento en que se produzca la incorporación, sino también, «una vez finalizado, mientras permanezca en situación de reserva»; regulando así expresamente la excepción para la «fase de reserva del servicio militar», al conceder un alcance superior a la misma, que la de la incorporación a filas.</w:t>
      </w:r>
    </w:p>
    <w:p w:rsidR="001C705E" w:rsidRDefault="001C705E" w:rsidP="001C705E">
      <w:pPr>
        <w:pStyle w:val="TextoNormal"/>
      </w:pPr>
      <w:r>
        <w:t>b) En el art. 8.1 precisa que el régimen de prestación social sustitutoria, en el caso de disponibilidad activa y reserva, tendrá una duración de quince años.</w:t>
      </w:r>
    </w:p>
    <w:p w:rsidR="001C705E" w:rsidRDefault="001C705E" w:rsidP="001C705E">
      <w:pPr>
        <w:pStyle w:val="TextoNormal"/>
      </w:pPr>
      <w:r>
        <w:t>c) En el propio art. 8.4 determina que la situación de reserva empezará al día siguiente de la situación de actividad, y se extenderá hasta el 1 de enero del año en que el objetor cumpla los treinta y cuatro años de edad, en el que se extenderá la licencia absoluta. Lo que supone una limitación de la duración anteriormente establecida en dieciocho años.</w:t>
      </w:r>
    </w:p>
    <w:p w:rsidR="001C705E" w:rsidRDefault="001C705E" w:rsidP="001C705E">
      <w:pPr>
        <w:pStyle w:val="TextoNormal"/>
      </w:pPr>
      <w:r>
        <w:t>d) En el mismo art. 8, pero en el apartado 5. concreta, que si el objetor hubiera presentado la solicitud durante la situación de reserva del servicio militar, una vez reconocida su condición, quedará adscrito al régimen de reserva de la prestación social sustitutoria.</w:t>
      </w:r>
    </w:p>
    <w:p w:rsidR="001C705E" w:rsidRDefault="001C705E" w:rsidP="001C705E">
      <w:pPr>
        <w:pStyle w:val="TextoNormal"/>
      </w:pPr>
      <w:r>
        <w:t>e) En el art. 13.1 se crea en el Ministerio de la Presidencia, el Consejo Nacional de Objetores de Conciencia; el art. 14.1 determina que es competente tal Consejo para conocer de las solicitudes de declaración de objeción de conciencia y para resolver sobre las mismas; la disposición transitoria primera manda constituir dentro de los tres meses siguientes de la entrada en vigor de la Ley, al Consejo Nacional; y la disposición transitoria segunda ordena que el Consejo dentro de los tres meses siguientes al de su constitución legalice la situación mediante instancia ... b) de los mozos ...  que en cualquier situación militar alegaron objeción de conciencia, y que en la actualidad se encuentre en incorporación aplazada o licencia temporal en espera de legalizar su situación. En cuya última disposición debe incluirse, obviamente, a las personas a quienes este Tribunal haya reconocido o reconozca el derecho a formular su pretensión de ser considerados objetores de conciencia y concediéndoles el aplazamiento de incorporación indicado.</w:t>
      </w:r>
    </w:p>
    <w:p w:rsidR="001C705E" w:rsidRDefault="001C705E" w:rsidP="001C705E">
      <w:pPr>
        <w:pStyle w:val="TextoNormal"/>
      </w:pPr>
    </w:p>
    <w:p w:rsidR="001C705E" w:rsidRDefault="001C705E" w:rsidP="001C705E">
      <w:pPr>
        <w:pStyle w:val="TextoNormal"/>
      </w:pPr>
      <w:r w:rsidRPr="001C705E">
        <w:rPr>
          <w:rStyle w:val="NumeroAFNegritaCaracter"/>
        </w:rPr>
        <w:t>4</w:t>
      </w:r>
      <w:r>
        <w:t>. Del contenido de las normas sustantivas y de procedimiento acabadas de precisar resulta, que el reconocimiento a la declaración de aplazamiento en la realización de las revistas anuales, que antes se dijo, sólo se podía otorgar al actor hasta dictarse la nueva Ley; debe ampliarse en lo que resulta preciso, en tanto se resuelva sobre su derecho, por lo que aquel reconocimiento ha de extenderse al derecho que posee, por haber solicitado ser declarado objetor de conciencia en fase de reserva, a que reitere su petición ante el Consejo Nacional indicado, una vez constituido, dentro de los tres meses siguientes, para que éste la resuelva, teniendo en cuenta la regulación realizada por la Ley 48/1984, en las normas antes indicadas, sobre la procedencia de la extensión material de la fase de reserva por la edad del recurrente y demás disposiciones de aplicación, y contra cuyas decisiones tendrá abierta la vía de recursos establecida en el art. 1 de la Ley Orgánica 8/1984, de 26 de diciembre, de condición ordinaria y, en su caso, el constitucional de amparo de condición subsidiaria a aquéllos.</w:t>
      </w:r>
    </w:p>
    <w:p w:rsidR="001C705E" w:rsidRDefault="001C705E" w:rsidP="001C705E">
      <w:pPr>
        <w:pStyle w:val="TextoNormal"/>
      </w:pPr>
    </w:p>
    <w:p w:rsidR="001C705E" w:rsidRDefault="001C705E" w:rsidP="001C705E">
      <w:pPr>
        <w:pStyle w:val="TextoNormalCentrado"/>
        <w:keepNext/>
      </w:pPr>
      <w:r>
        <w:lastRenderedPageBreak/>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en parte el amparo solicitado por don Angel Sabroso Orejón, y en su virtud:</w:t>
      </w:r>
    </w:p>
    <w:p w:rsidR="001C705E" w:rsidRDefault="001C705E" w:rsidP="001C705E">
      <w:pPr>
        <w:pStyle w:val="TextoNormal"/>
      </w:pPr>
      <w:r>
        <w:t>a) Conceder al recurrente el derecho a aplazar la realización de las revistas anuales del servicio militar, hasta que se resuelva por la Comisión Nacional de Objeción de Conciencia, creada por la Ley 46/1984, de 26 de diciembre, regulando tal derecho y la prestación social sustitutoria, su petición de ser considerado objetor de conciencia en fase de reserva del servicio militar.</w:t>
      </w:r>
    </w:p>
    <w:p w:rsidR="001C705E" w:rsidRDefault="001C705E" w:rsidP="001C705E">
      <w:pPr>
        <w:pStyle w:val="TextoNormal"/>
      </w:pPr>
      <w:r>
        <w:t>b) Otorgar al recurrente el derecho a reiterar la indicada petición ante el citado Consejo Nacional de Objeción de Conciencia que ya formuló ante el Ministro de Defensa, para que tal órgano decida lo que estime procedente en derecho.</w:t>
      </w:r>
    </w:p>
    <w:p w:rsidR="001C705E" w:rsidRDefault="001C705E" w:rsidP="001C705E">
      <w:pPr>
        <w:pStyle w:val="TextoNormal"/>
      </w:pPr>
      <w:r>
        <w:t>Y se desestima el recurso de amparo en cuanto a las demás peticiones no acogidas expresamente.</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siete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39" w:name="SENTENCIA_1985_36"/>
      <w:r>
        <w:lastRenderedPageBreak/>
        <w:t>SENTENCIA 36/1985, de 8 de marzo de 1985</w:t>
      </w:r>
    </w:p>
    <w:bookmarkEnd w:id="39"/>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ECLI:ES:TC:1985:36</w:t>
      </w:r>
    </w:p>
    <w:p w:rsidR="001C705E" w:rsidRDefault="001C705E" w:rsidP="001C705E">
      <w:pPr>
        <w:pStyle w:val="SntesisDescriptiva"/>
      </w:pPr>
    </w:p>
    <w:p w:rsidR="001C705E" w:rsidRDefault="001C705E" w:rsidP="001C705E">
      <w:pPr>
        <w:pStyle w:val="SntesisDescriptiva"/>
      </w:pPr>
      <w:r>
        <w:t>Recurso de amparo 473/1983. Contra Sentencia desestimatoria de recurso de casación por infracción de ley por supuesta violación del derecho a la presunción de inocencia</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extensión de la presunción de inocencia fuera de la jurisdicción penal ha sido ya reconocida por este Tribunal, por ejemplo, en la STC 13/1982, de 1 de abril, según la cual 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o limitativo de sus derechos. </w:t>
      </w:r>
    </w:p>
    <w:p w:rsidR="001C705E" w:rsidRDefault="001C705E" w:rsidP="001C705E">
      <w:pPr>
        <w:pStyle w:val="Extracto"/>
      </w:pPr>
    </w:p>
    <w:p w:rsidR="001C705E" w:rsidRDefault="001C705E" w:rsidP="001C705E">
      <w:pPr>
        <w:pStyle w:val="Extracto"/>
      </w:pPr>
      <w:r>
        <w:t>2.</w:t>
      </w:r>
      <w:r>
        <w:tab/>
        <w:t xml:space="preserve">La jurisprudencia de este Tribunal Constitucional ha señalado ya (SSTC 24/1984, de 23 de febrero, y 62/1984, de 21 de mayo) que la jurisdicción penal y laboral persiguen fines diversos, operan sobre culpas distintas, no manejan de idéntica forma el material probatorio para enjuiciar en ocasiones una misma conducta. No puede, pues, alegarse que el sobreseimiento de unas diligencias penales porque el Juez no considere probada la autoría del acusado supone necesariamente que deba también presumirse a éste inocente en el ámbito laboral, pues, como dice la última de las Sentencias citadas, la presunción de inocencia pudo quebrar ante la jurisdicción laboral respecto a tipos y consecuencias jurídicas diversas de la penal, así como en base a diferente material probatorio, cuyo contenido este Tribunal Constitucional no puede valorar, sino únicamente su carácter mínimo y suficiente en orden a fundamentar la resolución judicial que fundamentó el despido. </w:t>
      </w:r>
    </w:p>
    <w:p w:rsidR="001C705E" w:rsidRDefault="001C705E" w:rsidP="001C705E">
      <w:pPr>
        <w:pStyle w:val="Extracto"/>
      </w:pPr>
    </w:p>
    <w:p w:rsidR="001C705E" w:rsidRDefault="001C705E" w:rsidP="001C705E">
      <w:pPr>
        <w:pStyle w:val="Extracto"/>
      </w:pPr>
      <w:r>
        <w:t>3.</w:t>
      </w:r>
      <w:r>
        <w:tab/>
        <w:t xml:space="preserve">El principio de igualdad con referencia a resoluciones judiciales emanadas de órganos distintos ha de conciliarse con el de independencia en la actuación jurisdiccional de dichos órganos, de forma que no puede establecerse como término de comparación para una Sentencia la de un Tribunal diferente, según ha afirmado reiteradamente este Tribunal a partir de su STC 49/1982, de 14 de julio.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lastRenderedPageBreak/>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473/1983, promovido por el procurador de los Tribunales don Eduardo Muñoz-Cuéllar Pernia, en nombre y representación de don Enrique Sánchez de Ocaña y Erice, bajo la dirección del Letrado don Jaime Miralles Alvarez, contra la Sentencia de la Sala Sexta del Tribunal Supremo, de 26 de mayo de 1983, desestimatoria del recurso núm. 67.678, de casación por infracción de Ley, interpuesto contra la Sentencia de la Magistratura de Trabajo número 18 de Madrid, autos número 3.767/1980. </w:t>
      </w:r>
    </w:p>
    <w:p w:rsidR="001C705E" w:rsidRDefault="001C705E" w:rsidP="001C705E">
      <w:pPr>
        <w:pStyle w:val="TextoNormal"/>
      </w:pPr>
      <w:r>
        <w:t>Han comparecido el Ministerio Fiscal y el Procurador de los Tribunales don Juan Corujo López-Villamil, en nombre y representación del Banco de España, bajo la dirección de los Letrados don Adolfo Rivas y Jiménez Laiglesia y don Enrique Villanueva García. Ha sido Ponente el Magistrado don Angel Latorre Segura,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7 de julio de 1983 el Procurador de los Tribunales don Eduardo Muñoz-Cuéllar Pernia, en nombre y representación de don Enrique Sánchez de Ocaña y Erice, presentó en este Tribunal Constitucional escrito interponiendo recurso de amparo contra la Sentencia de la Sala Sexta del Tribunal Supremo, de 26 de mayo de 1983, desestimatoria del recurso de casación por infracción de la Ley interpuesto por el recurrente contra Sentencia de la Magistratura de Trabajo núm. 18 de Madrid, de 30 de marzo de 1981. De la demanda y documentos que la acompañan resulta, en síntesis, lo siguiente: </w:t>
      </w:r>
    </w:p>
    <w:p w:rsidR="001C705E" w:rsidRDefault="001C705E" w:rsidP="001C705E">
      <w:pPr>
        <w:pStyle w:val="TextoNormal"/>
      </w:pPr>
      <w:r>
        <w:t xml:space="preserve">A) El recurrente, empleado del Banco de España, fue sancionado con despido por carta del 14 de octubre de 1980. Tres días antes fue detenido por funcionarios policiales adscritos al citado Banco, prestando declaración sin asistencia letrada. De los hechos que motivaron el despido fue acusado también otro empleado del Banco de España. El recurrente pasó posteriormente a disposición del Juzgado de Instrucción número 22 de Madrid, que abrió diligencias previas núm. 3.830/80. Ante ese Juzgado prestó declaración asistido de Letrado. Su causa fue sobreseída provisionalmente, y contra el Auto correspondiente, basado en no haber autor conocido del hecho denunciado policialmente como tentativa de estafa, interpuso el Banco de España recurso de reforma y, desestimado éste, de apelación, no resuelto en el momento de formularse la demanda de amparo. </w:t>
      </w:r>
    </w:p>
    <w:p w:rsidR="001C705E" w:rsidRDefault="001C705E" w:rsidP="001C705E">
      <w:pPr>
        <w:pStyle w:val="TextoNormal"/>
      </w:pPr>
      <w:r>
        <w:t xml:space="preserve">B) Contra el despido, el solicitante del amparo formuló demanda ante la jurisdicción laboral, que fue desestimada por la Magistratura de Trabajo número 18 de Madrid, que declaró su despido improcedente (sic) por Sentencia de 30 de marzo de 1981 y declaró extinguida la relación laboral sin derecho a indemnización ni a salarios de tramitación. Señala el recurrente que el empleado acusado con él de los mismos delitos recurrió asimismo ante la jurisdicción laboral, y que la Magistratura de Trabajo número 11 de Madrid, por Sentencia de 17 de marzo de 1981 (autos núm. 3.617/1980), declaró el despido improcedente con todos los pronunciamientos favorables. </w:t>
      </w:r>
    </w:p>
    <w:p w:rsidR="001C705E" w:rsidRDefault="001C705E" w:rsidP="001C705E">
      <w:pPr>
        <w:pStyle w:val="TextoNormal"/>
      </w:pPr>
      <w:r>
        <w:t xml:space="preserve">C) En el acto de juicio ante la Magistratura de Trabajo del recurso promovido por el recurrente, el Banco de España, entonces demandado, aportó a los Autos un voluminoso </w:t>
      </w:r>
      <w:r>
        <w:lastRenderedPageBreak/>
        <w:t xml:space="preserve">dossier, relativo a un expediente interno del mismo Banco, desconocido para el recurrente hasta ese momento, y una certificación conteniendo actuaciones jurisdiccionales en las diligencias previas, antes mencionadas. El Juez concedió sólo una hora al Letrado del recurrente para el examen de la extensa documentación aportada, transcurrida la cual acordó la práctica de la prueba de confesión, manifestando el Letrado aludido su protesta por el escaso tiempo concedido para el examen de la voluminosa prueba aportada por la parte contraria. Concluido el juicio, el Juez acordó de oficio como diligencias para mejor proveer, sin notificación ni posible intervención del recurrente en amparo, testimonio de diversas actuaciones de las diligencias previas citadas. Señala también el recurrente en amparo que se rechazó la prueba documental por él solicitada, obrando en autos solamente, además de los documentos antes indicados, su confesión judicial en que contestó negativamente a todas las preguntas formuladas por el Banco de España. </w:t>
      </w:r>
    </w:p>
    <w:p w:rsidR="001C705E" w:rsidRDefault="001C705E" w:rsidP="001C705E">
      <w:pPr>
        <w:pStyle w:val="TextoNormal"/>
      </w:pPr>
      <w:r>
        <w:t xml:space="preserve">D) Contra la Sentencia de la Magistratura de Trabajo, el demandante en amparo presentó recurso de casación por quebrantamiento de forma, desestimado por Sentencia de la Sala Sexta del Tribunal Supremo, de 13 de noviembre de 1982, tras haber inadmitido un incidente de previo y especial pronunciamiento de nulidad de actuaciones. El demandante de amparo interpuso seguidamente un recurso de casación por infracción de Ley, desestimado en Sentencia de 26 de mayo de 1983. El quinto de los motivos del recurso consistía en la violación del art. 24.2 de la Constitución, que garantiza el derecho a la presunción de inocencia, y fue examinado en el sexto considerando de la citada Sentencia del Tribunal Supremo. En ese considerando se rechaza la alegación de la presunción de inocencia por haber existido una actividad probatoria con las suficientes garantías procesales de acuerdo con lo legalmente establecido en el orden jurisdiccional de trabajo, entre ello, la confesión extrajudicial. </w:t>
      </w:r>
    </w:p>
    <w:p w:rsidR="001C705E" w:rsidRDefault="001C705E" w:rsidP="001C705E">
      <w:pPr>
        <w:pStyle w:val="TextoNormal"/>
      </w:pPr>
      <w:r>
        <w:t xml:space="preserve">E) Entiende el solicitante del amparo que se ha vulnerado su derecho a la presunción de inocencia tanto por la Sentencia de la Magistratura de Trabajo como por la del Tribunal Supremo, porque: </w:t>
      </w:r>
    </w:p>
    <w:p w:rsidR="001C705E" w:rsidRDefault="001C705E" w:rsidP="001C705E">
      <w:pPr>
        <w:pStyle w:val="TextoNormal"/>
      </w:pPr>
      <w:r>
        <w:t xml:space="preserve">a) Los documentos aportados por el Banco de España son unilaterales, expedidos, tramitados y formalizados por él mismo o su Procurador, que incluso certifica actuaciones de la jurisdicción penal. </w:t>
      </w:r>
    </w:p>
    <w:p w:rsidR="001C705E" w:rsidRDefault="001C705E" w:rsidP="001C705E">
      <w:pPr>
        <w:pStyle w:val="TextoNormal"/>
      </w:pPr>
      <w:r>
        <w:t xml:space="preserve">b) La documentación aportada a Autos en diligencias para mejor proveer -que ni se notificaron al hoy recurrente en amparo, ni de ellos se le dio conocimiento haciendo posible su actuación o intervención-, se integran en unas diligencias de actuaciones policiales y judiciales, que fueron sobreseídas provisionalmente. </w:t>
      </w:r>
    </w:p>
    <w:p w:rsidR="001C705E" w:rsidRDefault="001C705E" w:rsidP="001C705E">
      <w:pPr>
        <w:pStyle w:val="TextoNormal"/>
      </w:pPr>
      <w:r>
        <w:t xml:space="preserve">c) La confesión extrajudicial a que se refieren las sentencias impugnadas fue la declaración prestada ante la Policía, sin presencia de Abogado, y ratificada ante el Juez, esta vez con asistencia de Letrado, «cuyo contenido es sustancialmente de trámite, formulario, sin ampliación a lo declarado ante funcionarios policiales». </w:t>
      </w:r>
    </w:p>
    <w:p w:rsidR="001C705E" w:rsidRDefault="001C705E" w:rsidP="001C705E">
      <w:pPr>
        <w:pStyle w:val="TextoNormal"/>
      </w:pPr>
      <w:r>
        <w:t xml:space="preserve">d) En la confesión en juicio negó los hechos imputados. Continúa afirmando el recurrente que de la autonomía e independencia jurisdiccionales entre lo «penal» y lo «laboral» se infiere que lo que en la propia jurisdicción laboral se negó en confesión en juicio prevalece sobre lo que declaró en situación de detenido ante funcionarios policiales adscritos al Banco de España. Así lo impone, no ya el principio constitucional del derecho a la presunción de inocencia, sino el derecho legal-ordinario sobre la carga de la prueba (art. 1.214 del Código Civil). </w:t>
      </w:r>
    </w:p>
    <w:p w:rsidR="001C705E" w:rsidRDefault="001C705E" w:rsidP="001C705E">
      <w:pPr>
        <w:pStyle w:val="TextoNormal"/>
      </w:pPr>
      <w:r>
        <w:t>F) El recurrente invoca la Sentencia de 17 de marzo de 1981 de la Magistratura de Trabajo número 11 de Madrid, que estimó la demanda presentada por el otro empleado del Banco de España, despedido en las mismas circunstancias, señalando que en dicha Sen</w:t>
      </w:r>
      <w:r>
        <w:lastRenderedPageBreak/>
        <w:t xml:space="preserve">tencia se decía que, apreciadas en su conjunto las pruebas aportadas, el Tribunal no tenía elementos de juicio necesarios en conciencia para estimar probados los hechos. Dado que, según el recurrente, su caso es idéndico al de este empleado, invoca formalmente el principio de igualdad ante la Ley (art. 14 de la Constitución) vulnerado, a su entender, por esta desigualdad de trato. </w:t>
      </w:r>
    </w:p>
    <w:p w:rsidR="001C705E" w:rsidRDefault="001C705E" w:rsidP="001C705E">
      <w:pPr>
        <w:pStyle w:val="TextoNormal"/>
      </w:pPr>
      <w:r>
        <w:t>G) Considera el recurrente que la Sentencia del Tribunal Supremo y, en consecuencia, la de la Magistratura de Trabajo, vulneran el derecho a la presunción de inocencia consagrado en el art. 24.2 de la Constitución y el derecho a la igualdad reconocido en su art. 14. Solicita la nulidad de la Sentencia de la Sala Sexta del Tribunal Supremo de 26 de mayo de 1983 y, como consecuencia, la de la Magistratura de Trabajo número 18 de Madrid, de 30 de marzo de 1981; pide que se declare que los hechos alegados por el Banco de España para su despido no constan probados en autos, por lo que dicho despido deviene improcedente, con todos los pronunciamientos favorables. Por otrosí solicita el recibimiento a prueba y celebración de vista.</w:t>
      </w:r>
    </w:p>
    <w:p w:rsidR="001C705E" w:rsidRDefault="001C705E" w:rsidP="001C705E">
      <w:pPr>
        <w:pStyle w:val="TextoNormal"/>
      </w:pPr>
    </w:p>
    <w:p w:rsidR="001C705E" w:rsidRDefault="001C705E" w:rsidP="001C705E">
      <w:pPr>
        <w:pStyle w:val="TextoNormal"/>
      </w:pPr>
      <w:r w:rsidRPr="001C705E">
        <w:rPr>
          <w:rStyle w:val="NumeroAFNegritaCaracter"/>
        </w:rPr>
        <w:t>2</w:t>
      </w:r>
      <w:r>
        <w:t>. Por providencia de la Sección Primera de este Tribunal Constitucional, de 13 de octubre de 1983, se acordó, entre otros extremos, requerir el envío de las actuaciones correspondientes o testimonio de las mismas, interesando el emplazamiento de los que fueron parte en el procedimiento para que pudieran comparecer ante el Tribunal Constitucional. Respecto a la petición de prueba y vista oral la mencionada providencia resolvió que se acordaría lo procedente en el momento procesal oportuno. Se recibieron las actuaciones solicitadas, y por escrito presentado ante este Tribunal el 11 de noviembre de 1983, se personó en el recurso el Procurador don Juan Corujo López-Villamil, en nombre y representación del Banco de España. Por providencia de la Sección Primera del Tribunal Constitucional, de 23 de noviembre de 1983, se acordó, entre otros extremos, conceder un plazo de veinte días a los comparecidos en el proceso para formular las alegaciones convenientes a su derecho.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En sus alegaciones el Ministerio Fiscal alegó, en síntesis, lo siguiente: El despido del recurrente se fundamentó en tres motivos de los cuales la Sentencia de la Magistratura de Trabajo sólo consideró relevante y probado el tercero, consistente en que el despedido facilitó a otro empleado (el que fue también despedido con él) el saldo de la cuenta del Banco de Santander en el Banco de España y accedió a comprobar si una determinada firma que venía estampada en un trozo de papel se correspondía con una de las autorizadas del Banco de Santander. Con posterioridad a este hecho y a sabiendas de que el otro empleado actuaba como intermediario de un tercero le facilitó otras informaciones sobre diversas cuentas. El tercero en cuestión planeaba crear una Sociedad mercantil con documentación falsa, a nombre de la cual pensaba abrir cuentas para trasvasar a éstas con documentos falsos fondos de las cuentas del Banco de España de las que había tenido conocimiento por el recurrente. Sobre estas bases el Magistrado de Trabajo entendió que, aun marginando la intención defraudatoria por parte del hoy recurrente en amparo, que por ser de carácter penal hay que valorar con la máxima cautela, y teniendo en cuenta que no ha sido procesado, existe fundamento suficiente para considerarlo autor de una grave falta laboral que justifica el despido. Analiza a continuación el Fiscal las dos supuestas vulneraciones de derechos fundamentales alegadas por el recurrente. Respecto a la posible violación del derecho a la presunción de inocencia (art. 24.2 de la Constitución), señala que la Sentencia de Primera Instancia en su primer considerando expone los criterios utilizados en la formación de la convicción del juzgador, y tras eliminar expresamente otros, cita </w:t>
      </w:r>
      <w:r>
        <w:lastRenderedPageBreak/>
        <w:t>como fundamentos la declaración ante la Policía en cuanto que ratificada ante el Juzgado, por tratarse de un medio de prueba admitido por los arts. 1.231 en relación con el 1.239 del Código Civil. Dice también el Ministerio Fiscal que el hecho de que en las diligencias previas abiertas se acordase el sobreseimiento provisional no condiciona la decisión de la jurisdicción laboral, pues ésta y la penal no recaen sobre hechos igualmente coincidentes ni buscan iguales valoraciones jurídicas. En la jurisdicción penal se trata de averiguar si los hechos imputados son constitutivos de delito; en la laboral, en este caso, si los hechos justifican la procedencia de un despido por implicar abuso de confianza en el desempeño del trabajo. En cuanto a la supuesta vulneración del principio de igualdad consagrado en el art. 14 de la Constitución, por haberse estimado la demanda de quien se encontraba en idénticas circunstancias, el Fiscal dice que se trata de dos Magistraturas distintas, la 11 y la 18 de Madrid, correspondiendo en todo caso la unificación de los criterios al Tribunal Superior y no al Constitucional. Además, la Sentencia relativa al demandante de amparo fue recurrida en casación mientras no consta si lo fue la otra. A lo que hay que añadir que las conductas de los dos empleados no fueron idénticas como pretende el recurrente, pues según se deriva de los documentos aportados el otro empleado cuya demanda se estimó no ratificó en el Juzgado las declaraciones prestadas ante la Policía. Concluye el Fiscal solicitando la denegación de amparo.</w:t>
      </w:r>
    </w:p>
    <w:p w:rsidR="001C705E" w:rsidRDefault="001C705E" w:rsidP="001C705E">
      <w:pPr>
        <w:pStyle w:val="TextoNormal"/>
      </w:pPr>
    </w:p>
    <w:p w:rsidR="001C705E" w:rsidRDefault="001C705E" w:rsidP="001C705E">
      <w:pPr>
        <w:pStyle w:val="TextoNormal"/>
      </w:pPr>
      <w:r w:rsidRPr="001C705E">
        <w:rPr>
          <w:rStyle w:val="NumeroAFNegritaCaracter"/>
        </w:rPr>
        <w:t>4</w:t>
      </w:r>
      <w:r>
        <w:t>. También en el plazo concedido la representación del recurrente formuló alegaciones. Insiste en primer término en su petición de prueba. Afirma que los hechos declarados probados en la Sentencia a quo se basan en la documentación aportada por el Banco de España, documentación que no fue conocida por el recurrente hasta la conclusión de la tramitación de la causa. En la Magistratura no se desarrolló la mínima actividad judicial probatoria para aplicar conforme a derecho el principio de la libre apreciación de los elementos probatorios obrantes en autos. Y más aún, elevó a rango de hechos probados lo que era simple alegación de parte. La Magistratura a quo vulneró el art. 1.214 del Código Civil, relativo a la carga de la prueba, ya que el Banco de España se limitó a alegar, sin llegar en ningún caso a la aportación de elementos o indicios probatorios. Por ello, tanto la Sentencia de la Magistratura como la del Tribunal Supremo vulneran el derecho a la presunción de inocencia consagrado en el art. 24.2 de la Constitución y en los pactos internacionales. Vulneran también el art. 14 por cuanto el despido se comunicó al recurrente y a otro empleado por haber protagonizado ambos los hechos que lo fundamentaron. Sin embargo, la jurisdicción laboral estimó la demanda del otro empleado y no la suya, a pesar de que los supuestos relativos a ambos trabajadores despedidos son análogos y coincidentes en sus presupuestos fácticos. La diferencia de resoluciones viola, por tanto, el citado principio de igualdad. Completa las manifestaciones anteriores diciendo que los hechos declarados probados por la Sentencia de la Magistratura se basan en determinadas actuaciones testimoniadas a su instancia por el Juzgado de Instrucción en la causa criminal abierta contra el recurrente y que fue sobreseída provisionalmente. Para que tuvieran eficacia esas actuaciones en la jurisdicción laboral era necesaria una mínima actividad probatoria de esta jurisdicción. El recurrente insiste en que en su confesión judicial negó todos los hechos que se le imputaban, sin que pueda prevalecer sobre esa confesión la prestada ante la Policía, aunque más tarde fuese ratificada ante el Juez, dado el carácter formulario y de trámite de esta ratificación. Concluye reiterando lo solicitado en la demanda y la petición del recibimiento a prueba.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5</w:t>
      </w:r>
      <w:r>
        <w:t xml:space="preserve">. También en el plazo otorgado la representación del Banco de España alegó, en sustancia, lo que sigue. Comienza con una relación de hechos en que se imputan al recurrente en amparo actuaciones como presiones sobre terceras personas atribuyéndose la condición, que no tenía, de Inspector de dicho Banco. El recurrente proporcionó también informaciones reservadas a una persona ajena al Banco, a sabiendas de que era un delincuente habitual, preparando una gigantesca operación de fraude. Asimismo el recurrente facilitó a colaboradores de una determinada revista datos contables e información reservada con finalidad de desprestigiar al mismo Banco y otros Organismos oficiales. Por estos hechos fue despedido el recurrente. Esos hechos constan como probados en la Sentencia de instancia, en la ingente prueba documental practicada a instancia del Banco, y se desprende de la propia confesión del actor ante la Policía, ratificada posteriormente ante el Juzgado de Instrucción número 22 de Madrid. Destaca a continuación la representación del Banco de España la actitud procesal del recurrente en amparo durante el procedimiento laboral, que provocó una desusada complejidad de este procedimiento, con no menos de seis recursos de reposición interpuestos y una vista oral que duró desde las diez de la mañana hasta las cuatro de la tarde. Dice que la Sentencia de la Magistratura es extraordinariamente meticulosa y completa. Después de esta Sentencia el demandante de amparo continuó complicando el procedimiento mediante un insólito recurso de nulidad de actuaciones declarado inadmisible por Sentencia del Tribunal Supremo de 23 de enero de 1982, contra la cual interpuso un recurso de súplica, desestimando mediante otra Sentencia de 1 de marzo de 1982, o sea, un total de dos vistas orales y el pronunciamiento de cinco Sentencias: Una de Magistratura y cuatro de la Sala Sexta del Tribunal Supremo. Recuerda la representación del Banco de España que también éste tiene sus derechos, y entre ellos, el de recibir la tutela judicial efectiva a que se refiere el art. 24.2 de la Constitución, tutela que intenta hacer imposible el recurrente con su tortuosa conducta procesal, causa de constantes e indebidas delaciones. Afirma que el demandante intenta utilizar el recurso de amparo como una tercera instancia. Entrando a considerar después la invocación por el recurrente del derecho a la presunción de inocencia advierte que se trata de una presunción iuris tantum, desvirtuada por prueba en contrario. En este caso la presunción ha quedado desvirtuada por una ingente prueba documental. Obra en autos un expediente de 177 folios conteniendo pruebas documentales de todas clases. Esta prueba fue completada por la Magistratura de instancia mediante diligencias para mejor proveer, con las cuales se incorporaron a los autos las declaraciones del recurrente, ratificadas ante el Juzgado. De esta forma el Juez tuvo a su disposición la confesión extrajudicial del despedido, medio de prueba reconocido por los arts. 1.231 y 1.239 del Código Civil. Cita también la representación del Banco de España el art. 1.234 del mismo Cuerpo Legal. Señala que la confesión extrajudicial fue ratificada y reiterada ante el Juzgado, en declaración prestada ante el titular del mismo y en presencia de Letrado, es decir, con todas las garantías exigidas por el art. 17.3 de la Constitución. Dice que el art. 89 de la Ley de Procedimiento Laboral reserva al Magistrado de Trabajo la facultad de apreciar y valorar libremente la prueba. Añade que el procedimiento laboral es un procedimiento civil y no un proceso penal, por lo que las causas que justifican el despido, según se concreta en el art. 54 del Estatuto de los Trabajadores no son las «faltas»», ni los «delitos»», sino los «incumplimientos contractuales». Se pregunta la representación del Banco de España si en un procedimiento civil y situados ante un contrato y un incumplimiento contractual cabe hablar de presunción de inocencia. Examina a continuación la presunta vulneración del principio de igualdad (art. 14 de la Constitución) alegada por el recurrente. Dice que tal vulneración no se invocó ante la Magistratura ni ante el Tribunal Supremo y que se suscita ahora por vez primera. Entiende </w:t>
      </w:r>
      <w:r>
        <w:lastRenderedPageBreak/>
        <w:t>que en este punto existe el obstáculo procesal recogido en el art. 44.1 de la Ley Orgánica del Tribunal Constitucional (LOTC). Pero a mayor abundamiento debe hacerse notar que la igualdad ante la Ley no debe interferirse con la libertas in iudicando que tiene todo Juez. Además, entre el caso del recurrente y el que se aduce como igual hay una diferencia de objetiva trascendencia: El demandante en amparo ratificó su declaración ante el Juez y el despedido no lo hizo. Concluye la representación del Banco de España pidiendo que se desestime el recurso de amparo, condenando expresamente en costas al recurrente.</w:t>
      </w:r>
    </w:p>
    <w:p w:rsidR="001C705E" w:rsidRDefault="001C705E" w:rsidP="001C705E">
      <w:pPr>
        <w:pStyle w:val="TextoNormal"/>
      </w:pPr>
    </w:p>
    <w:p w:rsidR="001C705E" w:rsidRDefault="001C705E" w:rsidP="001C705E">
      <w:pPr>
        <w:pStyle w:val="TextoNormal"/>
      </w:pPr>
      <w:r w:rsidRPr="001C705E">
        <w:rPr>
          <w:rStyle w:val="NumeroAFNegritaCaracter"/>
        </w:rPr>
        <w:t>6</w:t>
      </w:r>
      <w:r>
        <w:t>. Por escrito presentado en este Tribunal el 9 de marzo de 1984, la representación del recurrente pidió que se incorporase a las actuaciones del recurso de amparo un Auto de la Sección Segunda de la Audiencia Provincial de Madrid, de 28 de febrero del mismo año, dictado en la apelación 53/1983, derivada de las diligencias previas número 3.830/1980, tramitadas por el Juzgado número 22 de Madrid. En dicho Auto se desestima la apelación presentada por el Banco de España contra el Auto del mismo Juzgado de 10 de julio de 1981 por el que se acordaba el sobreseimiento provisional. Por otrosí solicita que al haber presentado una simple fotocopia se acuerde por este Tribunal que se interese de la citada Sección de la Audiencia Provincial de Madrid testimonio o certificación del referido Auto, así como del Juzgado de Instrucción número 22 de Madrid testimonio o certificación del mismo Auto, con expresión, en su caso, de su firmeza. Por providencia de 21 de marzo de 1984, acordó la Sección Primera del Tribunal Constitucional tener por recibido dicho escrito y dar traslado del mismo al Ministerio Fiscal, al Abogado del Estado y al Procurador señor Corujo López Villamil, para que aleguen lo que estimen pertinente en el plazo de diez días. En el plazo señalado, el Ministerio Fiscal dijo que se daba por instruido del escrito y que no se oponía a su incorporación. El Abogado del Estado no presentó escrito alguno, y el Procurador señor Corujo López-Villamil, en representación del Banco de España, se opuso a la incorporación del escrito por motivos procesales y por considerarlo inoperante, dada la independencia existente entre la jurisdicción laboral y la penal. Por Auto de 16 de mayo de 1984, la Sección Primera de este Tribunal acordó la incorporación a las actuaciones del documento presentado y que se libraran las comunicaciones solicitadas. La decisión se basa en la desestimación de las objeciones procesales opuestas por la representación del Banco de España, dejando al margen la alegada inoperancia del documento por ser ésta cuestión que afecta al fondo del asunto. Se recibió en su momento certificación del Auto y de que éste había tomado el carácter de firme. Por providencia de 13 de junio de 1984, se acordó dar traslado del testimonio recibido al Ministerio Fiscal y representaciones del recurrente y del Banco de España otorgándoles un plazo común de diez días para que alegasen lo que estimasen conveniente. En el plazo señalado el Ministerio Fiscal formuló las suyas, manteniendo los razonamientos de sus alegaciones anteriores basadas en la independencia entre la jurisdicción laboral y la penal. La representación del recurrente dijo en las suyas que la resolución del Juzgado afectaba de modo directo al objeto y fondo del recurso de amparo, señaló los hechos de la demanda a que afectaba e insistió especialmente en que el hecho de no haber llevado a cabo la Magistratura de Trabajo la necesaria actividad probatoria específica de su propia jurisdicción laboral incorporando simplemente en su Sentencia como hechos probados actuaciones del orden jurisdiccional penal, vulnera su derecho a la presunción de inocencia, vulneración que caso de haberse realizado aquella actividad probatoria, sólo hipotéticamente se hubiera producido. Reitera su petición de que se estime el recurso de amparo, solicita que se le den copias de las alegaciones del Ministerio Fiscal y de la representación del Banco de España formuladas con ocasión de su escrito en que se solicitaba la incorporación del Auto de la Audiencia Pro</w:t>
      </w:r>
      <w:r>
        <w:lastRenderedPageBreak/>
        <w:t>vincial a las actuaciones y la solicitud del recibimiento a prueba. La representación del Banco de España dijo en sus alegaciones que se ratificaba en lo manifestado en su escrito de alegaciones sobre el fondo del asunto, limitándose a completarlo con la doctrina sentada en la Sentencia de este Tribunal Constitucional de 21 de mayo de 1984 (R.A. 362/1983), cuyos fundamentos jurídicos transcribe. Solicita de nuevo la desestimación del recurso.</w:t>
      </w:r>
    </w:p>
    <w:p w:rsidR="001C705E" w:rsidRDefault="001C705E" w:rsidP="001C705E">
      <w:pPr>
        <w:pStyle w:val="TextoNormal"/>
      </w:pPr>
    </w:p>
    <w:p w:rsidR="001C705E" w:rsidRDefault="001C705E" w:rsidP="001C705E">
      <w:pPr>
        <w:pStyle w:val="TextoNormal"/>
      </w:pPr>
      <w:r w:rsidRPr="001C705E">
        <w:rPr>
          <w:rStyle w:val="NumeroAFNegritaCaracter"/>
        </w:rPr>
        <w:t>7</w:t>
      </w:r>
      <w:r>
        <w:t>. Por providencia del 13 de febrero de 1985, la Sección Primera de la Sala Primera de este Tribunal, acordó no haber lugar al recibimiento a prueba propuesto por la representación del recurrente debido a que este Tribunal disponía de elementos suficientes de juicio para decidir sobre el fondo del asunto.</w:t>
      </w:r>
    </w:p>
    <w:p w:rsidR="001C705E" w:rsidRDefault="001C705E" w:rsidP="001C705E">
      <w:pPr>
        <w:pStyle w:val="TextoNormal"/>
      </w:pPr>
    </w:p>
    <w:p w:rsidR="001C705E" w:rsidRDefault="001C705E" w:rsidP="001C705E">
      <w:pPr>
        <w:pStyle w:val="TextoNormal"/>
      </w:pPr>
      <w:r w:rsidRPr="001C705E">
        <w:rPr>
          <w:rStyle w:val="NumeroAFNegritaCaracter"/>
        </w:rPr>
        <w:t>8</w:t>
      </w:r>
      <w:r>
        <w:t>. Por providencia del día 27 de febrero de 1985, se señaló el día 6 de marzo del mismo año, para deliberación y fallo.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cuestión planteada en el presente recurso consiste en determinar si la Sentencia de la Sala Sexta del Tribunal Supremo de 26 de mayo de 1983 que desestimó el recurso de casación por infracción de Ley interpuesto contra la Sentencia de la Magistratura de Trabajo número 18 de Madrid, de 30 de marzo de 1981 por la que se declaraba procedente (por error mecanográfico el texto de la Sentencia dice improcedente) el despido del solicitante del amparo y extinguido el contrato de trabajo sin derecho a indemnización ni salarios de tramitación, vulnera el derecho a la presunción de inocencia y el derecho a la igualdad consagrados en los arts. 24.2 y 14 de la Constitución.</w:t>
      </w:r>
    </w:p>
    <w:p w:rsidR="001C705E" w:rsidRDefault="001C705E" w:rsidP="001C705E">
      <w:pPr>
        <w:pStyle w:val="TextoNormal"/>
      </w:pPr>
      <w:r>
        <w:t>La cuestión se suscita porque el recurrente fue despedido del Banco de España por diversas faltas graves que constituían abuso de confianza y transgresión de la buena fe contractual. El Banco de España inició también la vía penal, pero las diligencias previas abiertas por el Juzgado de Instrucción número 22 de Madrid fueron sobreseídas provisionalmente. En la vía laboral el recurrente en amparo demandó al Banco de España por despido nulo o subsidiariamente improcedente. Tras diversas incidencias procesales, tanto la Magistratura de Trabajo como el Tribunal Supremo desestimaron la demanda.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El solicitante pretende que las Sentencias citadas vulneran el derecho a la presunción de inocencia, en cuanto ésta es aplicable no sólo en el ámbito penal sino, en general, respecto a las decisiones sancionatorias o limitativas de derecho, y en cuanto al Juez a quo consideró probados los hechos que motivaron el despido sin practicar prueba alguna, basándose en los informes del Banco de España y en una confesión ante la Policía carente de valor probatorio. Respecto al primer punto, tiene razón el recurrente, y la extensión de la presunción de inocencia fuera de la jurisdicción penal ha sido ya reconocida por este Tribunal, por ejemplo, en la Sentencia 13/1982, de 1 de abril, según la cual el derecho a la presunción de inocencia no puede entenderse reducido al restricto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o limitativo de sus derechos (FJ 3).  Procede, pues, analizar, la segunda </w:t>
      </w:r>
      <w:r>
        <w:lastRenderedPageBreak/>
        <w:t>y decisiva cuestión que determina si en este caso concreto el Juez laboral dio por ciertos los hechos justificativos del despido sin que existiera la mínima actividad probatoria que pueda estimarse de cargo y que se haya obtenido con las garantías legales, mínima actividad que viene exigiendo este Tribunal en reiteradísimas resoluciones a partir de su Sentencia núm. 31/1981, de 28 de julio, para desvirtuar la presunción de inocencia.</w:t>
      </w:r>
    </w:p>
    <w:p w:rsidR="001C705E" w:rsidRDefault="001C705E" w:rsidP="001C705E">
      <w:pPr>
        <w:pStyle w:val="TextoNormal"/>
      </w:pPr>
    </w:p>
    <w:p w:rsidR="001C705E" w:rsidRDefault="001C705E" w:rsidP="001C705E">
      <w:pPr>
        <w:pStyle w:val="TextoNormal"/>
      </w:pPr>
      <w:r w:rsidRPr="001C705E">
        <w:rPr>
          <w:rStyle w:val="NumeroAFNegritaCaracter"/>
        </w:rPr>
        <w:t>3</w:t>
      </w:r>
      <w:r>
        <w:t>. La lectura de la Sentencia de la Magistratura completada con la de las actuaciones que obran en autos, muestra que existió esa actividad probatoria.  En efecto, en su cuidada Sentencia el Magistrado de Trabajo comienza por establecer en el primer considerando los criterios utilizados en la formación de la convicción del Juzgador, es decir, los medios de prueba que le han llevado a declarar probados los hechos relatados en los resultandos. Advierte que el expediente incoado por el Banco de España no puede suplir la prueba practicada ante la Magistratura, porque todas las declaraciones e informes contenidos en dicho expediente no tienen más valor que el de declaraciones testificales prestadas extrajudicialmente sin las garantías legalmente establecidas para la prueba de testigos. Tampoco le resulta suficiente las declaraciones ante la Policía, pues el atestado policial tiene simple valor de denuncia (art. 297 L.E.Cr.). Pero adquiere valor probatorio cuando el declarante se ratifica en presencia judicial, ya que entonces tal declaración constituye una confesión extrajudicial, medio de prueba admitido en el art.  1.231 en relación con el 1.239 del Código Civil.</w:t>
      </w:r>
    </w:p>
    <w:p w:rsidR="001C705E" w:rsidRDefault="001C705E" w:rsidP="001C705E">
      <w:pPr>
        <w:pStyle w:val="TextoNormal"/>
      </w:pPr>
      <w:r>
        <w:t>En el caso presente y en virtud de diligencias para mejor proveer, se aportaron a los Autos declaraciones ante la Policía y la ratificación ante el Juez que instruía las diligencias previas en el procedimiento penal iniciado por el recurrente. En certificación extendida por la Secretaría del Juzgado de Instrucción número 22 de Madrid consta en efecto esa ratificación efectuada ante el Juez, en presencia de la Secretaría y asistido de su Abogado. El recurrente reconoce este hecho, pero intenta desvirtuarlo con dos argumentos: Uno es que la ratificación es un acto de trámite, formulario, sin ampliación a lo declarado ante funcionarios; otro es que la Magistratura de Trabajo no llevó a cabo la necesaria actividad probatoria específica de su propia jurisdicción laboral, sino que incorporó simplemente en su sentencia como hechos probados actuaciones del orden jurisdiccional penal. Ambos argumentos no resisten el más somero análisis. No se ve por qué en una declaración ante el Juez y asistido de Letrado el recurrente no pudo rectificar o modificar su declaración ante la Policía, como no es infrecuente. En cuanto al segundo argumento tampoco se acierta a comprender su alcance, pues como dice la misma Sentencia de la Magistratura, en su citado primer considerando, las declaraciones prestadas ante la Policía y el Juzgado han sido incorporadas a los Autos del procedimiento laboral por medio de un documento público (la certificación de la Secretaría) y a consecuencia de un exhorto judicial. El hecho de que esas declaraciones procedan de otra jurisdicción no supone que no puedan ser valoradas por la jurisdicción laboral en lo que a ésta interese.  Por todo ello hay que descartar la supuesta vulneración a la presunción de inocencia consagrada en el art. 24.2 de la Constitución.</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Para disipar toda duda y aunque el recurrente no lo plantea con total claridad conviene aludir a la insinuada incidencia del procedimiento penal sobre el laboral. Como se ha dicho en los antecedentes, el Banco de España inició un procedimiento penal contra el recurrente y otro. El Juzgado de Instrucción núm. 22 de Madrid sobreseyó las diligencias previas, resolución que fue confirmada definitivamente en apelación por Auto de 28 de febrero de 1984, aportando a petición del recurrente a las actuaciones del presente recurso </w:t>
      </w:r>
      <w:r>
        <w:lastRenderedPageBreak/>
        <w:t>de amparo. Ahora bien, la jurisprudencia de este Tribunal Constitucional ha señalado ya (Sentencias 24/1984, de 23 de febrero, y 62/1984, de 21 de mayo) que la Jurisdicción Penal y la Laboral persiguen fines diversos, operan sobre culpas distintas y no manejan de idéntica forma el material probatorio para enjuiciar en ocasiones una misma conducta. No puede, pues, alegarse que el sobreseimiento de unas diligencias penales porque el Juez no considere probada la autoría del acusado supone necesariamente que deba también presumirse a éste inocente en el ámbito laboral, pues, como dice la última de las Sentencias citadas, la presunción de inocencia pudo quebrar ante la jurisdicción laboral respecto a tipos y consecuencias jurídicas diversas de la penal, así como en base a diferente material probatorio, cuyo contenido este Tribunal Constitucional no puede valorar, sino únicamente su carácter mínimo y suficiente en orden a fundamentar la resolución judicial que fundamentó el despido.  Es de señalar, además, que esta mínima prevención se encuentra de manera explícita tanto en la Sentencia laboral como en el auto de Juzgados de Instrucción. En la primera se dice, en su penúltimo considerando, que aun marginando la intención defraudatoria del actor (extremo en que por su trascendencia penal debe procederse con la máxima cautela y exigencia en el rigor de la prueba exigible) y valorando desde esa perspectiva el dato de que el actor no haya sido procesado, hay base más que suficiente para considerarle autor del incumplimiento grave y culpable que motivó el despido. Y en el citado Auto del Juzgado de Instrucción número 22 se advierte que, aunque aparece en Autos que puede haber actos que fueron objeto de expediente disciplinario, lo que puede suponer una actuación profesional irregular, no aparece, por ahora, que las personas acusadas hayan realizado actos que acarreen responsabilidad penal.</w:t>
      </w:r>
    </w:p>
    <w:p w:rsidR="001C705E" w:rsidRDefault="001C705E" w:rsidP="001C705E">
      <w:pPr>
        <w:pStyle w:val="TextoNormal"/>
      </w:pPr>
    </w:p>
    <w:p w:rsidR="001C705E" w:rsidRDefault="001C705E" w:rsidP="001C705E">
      <w:pPr>
        <w:pStyle w:val="TextoNormal"/>
      </w:pPr>
      <w:r w:rsidRPr="001C705E">
        <w:rPr>
          <w:rStyle w:val="NumeroAFNegritaCaracter"/>
        </w:rPr>
        <w:t>5</w:t>
      </w:r>
      <w:r>
        <w:t>. El recurrente alega también la presunta vulneración del art. 14 de la Constitución, ya que el otro empleado del Banco de España que fue despedido con él interpuso demanda contra el despido y la Magistratura de Trabajo número 11 de Madrid estimó el recurso declarando el despido improcedente, con todos los pronunciamientos favorables, no obstante darse, según el recurrente, identidad y coincidencia en el protagonismo de los hechos. Se habrían tratado así en forma desigualdad conductas sustancialmente iguales, lo que supondría una infracción al principio de igualdad consagrado en el citado art. 14. Pero esta pretensión no es admisible. El principio de igualdad con referencia a resoluciones judiciales emanadas de órganos distintos ha de conciliarse con el de independencia en la actuación jurisdiccional de dichos órganos, de forma que no puede establecerse como término de comparación para una Sentencia la de un Tribunal diferente, según ha afirmado reiteradamente este Tribunal a partir de su Sentencia número 49/1982, de 4 de julio.</w:t>
      </w:r>
    </w:p>
    <w:p w:rsidR="001C705E" w:rsidRDefault="001C705E" w:rsidP="001C705E">
      <w:pPr>
        <w:pStyle w:val="TextoNormal"/>
      </w:pPr>
    </w:p>
    <w:p w:rsidR="001C705E" w:rsidRDefault="001C705E" w:rsidP="001C705E">
      <w:pPr>
        <w:pStyle w:val="TextoNormal"/>
      </w:pPr>
      <w:r w:rsidRPr="001C705E">
        <w:rPr>
          <w:rStyle w:val="NumeroAFNegritaCaracter"/>
        </w:rPr>
        <w:t>6</w:t>
      </w:r>
      <w:r>
        <w:t>. No apreciando temeridad o mala fe en las posiciones mantenidas, no procede que se le impongan las costas del proceso como solicita la representación del Banco de España, por no darse el supuesto previsto en el art. 95.2 de la LOTC.</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lastRenderedPageBreak/>
        <w:t>Ha decidido</w:t>
      </w:r>
    </w:p>
    <w:p w:rsidR="001C705E" w:rsidRDefault="001C705E" w:rsidP="001C705E">
      <w:pPr>
        <w:pStyle w:val="TextoNormalCentrado"/>
        <w:keepNext/>
      </w:pPr>
    </w:p>
    <w:p w:rsidR="001C705E" w:rsidRDefault="001C705E" w:rsidP="001C705E">
      <w:pPr>
        <w:pStyle w:val="TextoNormal"/>
      </w:pPr>
      <w:r>
        <w:t>Desestimar el recurso de amparo.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ocho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0" w:name="SENTENCIA_1985_37"/>
      <w:r>
        <w:lastRenderedPageBreak/>
        <w:t>SENTENCIA 37/1985, de 8 de marzo de 1985</w:t>
      </w:r>
    </w:p>
    <w:bookmarkEnd w:id="40"/>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ECLI:ES:TC:1985:37</w:t>
      </w:r>
    </w:p>
    <w:p w:rsidR="001C705E" w:rsidRDefault="001C705E" w:rsidP="001C705E">
      <w:pPr>
        <w:pStyle w:val="SntesisDescriptiva"/>
      </w:pPr>
    </w:p>
    <w:p w:rsidR="001C705E" w:rsidRDefault="001C705E" w:rsidP="001C705E">
      <w:pPr>
        <w:pStyle w:val="SntesisDescriptiva"/>
      </w:pPr>
      <w:r>
        <w:t>Recurso de amparo 174/1984. Contra resoluciones judiciales que declararon la procedencia del despido de la actora por violación de la presunción de inocencia al no haberse practicado prueba alguna sobre la causa del despido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aplicación del derecho a la presunción de inocencia en un proceso laboral de despido se justifica atendiendo las circunstancias del caso y al hecho de que los Tribunales laborales lo vienen tomando en consideración en tales procesos. Ello no implica, sin embargo, que la plasmación de aquel derecho en el art. 24 C.E. suponga una constitucionalización de las reglas sobre el reparto de la carga de la prueba que contienen los textos positivos. </w:t>
      </w:r>
    </w:p>
    <w:p w:rsidR="001C705E" w:rsidRDefault="001C705E" w:rsidP="001C705E">
      <w:pPr>
        <w:pStyle w:val="Extracto"/>
      </w:pPr>
    </w:p>
    <w:p w:rsidR="001C705E" w:rsidRDefault="001C705E" w:rsidP="001C705E">
      <w:pPr>
        <w:pStyle w:val="Extracto"/>
      </w:pPr>
      <w:r>
        <w:t>2.</w:t>
      </w:r>
      <w:r>
        <w:tab/>
        <w:t xml:space="preserve">Resulta vulnerado el derecho a la presunción de inocencia cuando se obtiene un pronunciamiento que no se fundamenta en una mínima actividad probatoria que pueda estimarse de cargo, y no porque los hechos declarados probados sean o no ciertos y se ajusten más o menos a la prueba practicada, pues su determinación, realizada en conciencia y mediante una valoración global, corresponde exclusivamente al Juzgado y no puede ser corregida por el Tribunal Constitucional aunque hipotéticamente se estimara errónea, sino porque ni siquiera se ha practicado prueba de ningún tipo, habiendo sido negados los hechos y no existiendo una presunción que opere en favor de su admisibilidad.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 xml:space="preserve">En el recurso de amparo núm. 174/1984, promovido por doña Juana Sanjulián Miró, representada por la Procuradora doña María José Millán Valero y bajo la dirección de la Letrada doña Elvira Posada, contra la Sentencia del Tribunal Central de Trabajo de 20 de diciembre de 1983 confirmatoria de la dictada por la Magistratura de Trabajo núm. 1 de </w:t>
      </w:r>
      <w:r>
        <w:lastRenderedPageBreak/>
        <w:t>Barcelona el 17 de abril de 1982. Ha comparecido en el presente recurso el Ministerio Fiscal, y ha sido Ponente el Magistrado don Manuel Díez de Velasco Vallejo,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día 16 de marzo de 1984 tuvo entrada en el Tribunal Constitucional (TC) escrito presentado por la Procuradora doña María José Millán Valero por el que, en nombre y representación de doña Juana Sanjulián Miró, formulaba demanda de amparo contra la Sentencia del Tribunal Central de Trabajo de 20 de diciembre de 1983, confirmatoria de la dictada por la Magistratura de Trabajo núm. 1 de Barcelona el 17 de abril de 1982 que había declarado la procedencia del despido de la demandante, por entender que ambas resoluciones vulneraban derechos reconocidos en el art. 24 de la Constitución Española (C.E.) y, más en concreto, el derecho a la presunción de inocencia sancionado en el párrafo segundo del mencionado artículo. </w:t>
      </w:r>
    </w:p>
    <w:p w:rsidR="001C705E" w:rsidRDefault="001C705E" w:rsidP="001C705E">
      <w:pPr>
        <w:pStyle w:val="TextoNormal"/>
      </w:pPr>
      <w:r>
        <w:t xml:space="preserve">La demanda expone que la recurrente fue despedida de la Empresa en que trabajaba desde el año 1972 imputándole haberse apropiado de una pieza de carne del supermercado donde prestaba sus servicios. Considerando infundada la decisión de la Empresa, la actora formuló demanda que correspondió a la Magistratura de Trabajo núm. 1 de Barcelona, siendo señalada la vista oral para el día 13 de abril de 1982. </w:t>
      </w:r>
    </w:p>
    <w:p w:rsidR="001C705E" w:rsidRDefault="001C705E" w:rsidP="001C705E">
      <w:pPr>
        <w:pStyle w:val="TextoNormal"/>
      </w:pPr>
      <w:r>
        <w:t xml:space="preserve">La demandante relata que desde fechas anteriores a dicho día, se venían suspendiendo de forma habitual los actos de juicio oral en la Magistratura de Trabajo núm. 1 de Barcelona por causa de enfermedad de su titular y ante la imposibilidad de sustitución por otros Magistrados. Ante lo prolongado de dicha situación, se hizo práctica usual -conocida, consentida y aprobada por los Letrados de las partes- la celebración de actos de conciliación sin la presencia del Magistrado, e, incluso, la celebración de la vista oral sin su presencia, tanto en los casos de incomparecencia o allanamiento de la Empresa, como en aquellos en que se producía exclusivamente una oposición formal a la demanda, sin la práctica de pruebas distintas a la documental que hiciera imprescindible la presencia inmediata del juzgador. </w:t>
      </w:r>
    </w:p>
    <w:p w:rsidR="001C705E" w:rsidRDefault="001C705E" w:rsidP="001C705E">
      <w:pPr>
        <w:pStyle w:val="TextoNormal"/>
      </w:pPr>
      <w:r>
        <w:t xml:space="preserve">En estas circunstancias, las partes redactaron y suscribieron en la Secretaría de la Magistratura núm. 1 el acta de la vista oral. En dicho acto, la demandada ratificó el contenido de la carta de despido, oponiéndose formalmente a la demanda, pero sin proponer prueba alguna conducente a evidenciar los hechos imputados a la actora, pues, en efecto, la prueba documental -única propuesta y aportada- consistió en la carta de despido, las hojas de salario, los boletines de cotización a la Seguridad Social y el acta de conciliación ante el IMAC. </w:t>
      </w:r>
    </w:p>
    <w:p w:rsidR="001C705E" w:rsidRDefault="001C705E" w:rsidP="001C705E">
      <w:pPr>
        <w:pStyle w:val="TextoNormal"/>
      </w:pPr>
      <w:r>
        <w:t>Después de producida el acta en los términos expresados, se dictó sentencia por la Magistratura de Trabajo en la que se tuvo como probado que «efectivamente la demandante se adueñó de una pieza de carne, el día indicado en la carta de despido, 22 de enero», y se declaró, en consecuencia, no haber lugar a la demanda por despido. La actora anunció y formalizó recurso de suplicación por error de hecho en la apreciación de la prueba e infracción de los arts. 1.214 del Código Civil, 55 del Estatuto de los Trabajadores y 24 de la C.E., que fue desestimado por Sentencia del Tribunal Central de Trabajo de 20 de diciembre de 1983. Este Tribunal estimó que había existido actividad probatoria que, valorada por el Juez, condujo a estimar como hecho probado una conducta cuya realidad, no desvirtuada en el recurso, destruyó la presunción de inocencia invocada.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En los fundamentos de derecho de la demanda de amparo, la recurrente argumenta que el proceso por despido es un procedimiento penal-laboral, en el que el Magistrado debe valorar la existencia o no de una conducta culpable -según dice el artículo 34.1 del Estatuto de los Trabajadores- del trabajador, que justifique la extinción del contrato como expresión de la máxima sanción disciplinaria que puede imponer el empresario. Ello es más claro en el caso de autos en que se imputa a la trabajadora un hecho que es asimismo constitutivo de un ilícito penal. </w:t>
      </w:r>
    </w:p>
    <w:p w:rsidR="001C705E" w:rsidRDefault="001C705E" w:rsidP="001C705E">
      <w:pPr>
        <w:pStyle w:val="TextoNormal"/>
      </w:pPr>
      <w:r>
        <w:t xml:space="preserve">El principio de presunción de inocencia se ha convertido en un derecho fundamental de aplicación inmediata, que vincula a todos los Tribunales, y no sólo a los de ámbito penal, pues, de acuerdo con reiteradísima doctrina del Tribunal Supremo y del TC, el respeto a dicho principio debe presidir la adopción de cualquier resolución administrativa o jurisdiccional, de cuya apreciación se derive un resultado sancionatorio o limitativo de derechos. </w:t>
      </w:r>
    </w:p>
    <w:p w:rsidR="001C705E" w:rsidRDefault="001C705E" w:rsidP="001C705E">
      <w:pPr>
        <w:pStyle w:val="TextoNormal"/>
      </w:pPr>
      <w:r>
        <w:t xml:space="preserve">Tal principio establece una presunción iuris tantum, que como tal debe ser destruido por prueba en contrario, cuya apreciación corresponde a la autoridad judicial, quien debe valorar libremente los distintos elementos de prueba. Ahora bien, para desvirtuar la presunción, es preciso al menos una mínima actividad probatoria de la que se pueda deducir la culpabilidad del inculpado, correspondiendo al TC estimar o no la existencia de dicho presupuesto como garantía del derecho. </w:t>
      </w:r>
    </w:p>
    <w:p w:rsidR="001C705E" w:rsidRDefault="001C705E" w:rsidP="001C705E">
      <w:pPr>
        <w:pStyle w:val="TextoNormal"/>
      </w:pPr>
      <w:r>
        <w:t>En el presente caso, única y exclusivamente se practicó la prueba documental, consistente en la aportación de documentos relativos sólo a la afiliación a la Seguridad Social y los salarios percibidos por la actora, sin que se llegara, en efecto, a ningún tipo de actividad probatoria conducente a intentar evidenciar por algún medio la realidad de los hechos imputados a la recurrente. La consecuente vulneración del derecho a la presunción de inocencia debe conducir, por ello, al otorgamiento del amparo en Sentencia que deberá contener pronunciamiento sobre la nulidad de las sentencias recurridas.</w:t>
      </w:r>
    </w:p>
    <w:p w:rsidR="001C705E" w:rsidRDefault="001C705E" w:rsidP="001C705E">
      <w:pPr>
        <w:pStyle w:val="TextoNormal"/>
      </w:pPr>
    </w:p>
    <w:p w:rsidR="001C705E" w:rsidRDefault="001C705E" w:rsidP="001C705E">
      <w:pPr>
        <w:pStyle w:val="TextoNormal"/>
      </w:pPr>
      <w:r w:rsidRPr="001C705E">
        <w:rPr>
          <w:rStyle w:val="NumeroAFNegritaCaracter"/>
        </w:rPr>
        <w:t>3</w:t>
      </w:r>
      <w:r>
        <w:t>. Habiendo acordado la Sección Segunda de este TC admitir a trámite el recurso se dictó providencia el 11 de abril de 1984 requiriendo de la Magistratura de Trabajo y del Tribunal Central la remisión de las actuaciones y el emplazamiento de las partes, siendo este último reiterado por providencia de 23 de mayo de 1984 al no constar en los autos recibidos que se hubiera practicado. Cumplimentado el emplazamiento sin que se hubiera producido personación alguna, el día 30 de mayo de 1984 la Sección abrió el trámite de alegaciones previsto en el art. 52 de la Ley Orgánica del Tribunal Constitucional (LOTC), concediendo un plazo común de veinte días a la demandante y al Ministerio Fiscal para formular sus alegaciones.</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En tanto la demandante remitía escrito ratificando las alegaciones contenidas en su escrito de demanda y comunicando no tener ninguna nueva que aportar, el Ministerio Fiscal hizo notar que en el acta del juicio incluida en las actuaciones se hacía constar que tanto por la parte actora como por la demandada se propuso prueba documental que fue admitida y unida a los autos, y sin embargo entre las certificaciones remitidas por la Magistratura de Trabajo no se contenían las relativas a dicha prueba. Teniendo en cuenta su evidente influencia en el caso, el Ministerio Fiscal solicitaba se requiriese urgentemente a la Magistratura para que remitiese testimonio de las actuaciones relativas a la prueba documental practicada, suspendiendo el plazo para presentar alegaciones. </w:t>
      </w:r>
    </w:p>
    <w:p w:rsidR="001C705E" w:rsidRDefault="001C705E" w:rsidP="001C705E">
      <w:pPr>
        <w:pStyle w:val="TextoNormal"/>
      </w:pPr>
      <w:r>
        <w:lastRenderedPageBreak/>
        <w:t>Mediante providencia de 27 de junio de 1984 la Sección Segunda de este TC ordenó dicho requerimiento, y recibidas las actuaciones solicitadas se dictó providencia de 18 de julio de 1984 concediendo un nuevo plazo de veinte días a la demandante y al Ministerio Fiscal para que formulasen las alegaciones procedentes a la vista de aquéllas.</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En el plazo concedido, sólo presentó su escrito el Ministerio Fiscal, quien, después de exponer los hechos relevantes para el conocimiento del caso, comienza examinando si el derecho a la presunción de inocencia reconocido en el art. 24.2 de la C. E. resulta aplicable a un procedimiento de las características del de autos. En principio hay que reconocer que la presunción de inocencia es de primera y capital aplicación al proceso penal. Pero como afirmó la Sentencia del TC de 1 de abril de 1982, dictada en recurso de amparo interpuesto contra Sentencia de la jurisdicción civil, «el derecho a la presunción de inocencia no puede entenderse reducido al estrecho campo del enjuiciamiento de conductas presuntamente delictivas, sino que debe entenderse también que preside la adopción de cualquier resolución, tanto administrativa como jurisprudencial, que se base en la condición o conducta de las personas y de cuya apreciación se derive un resultado sancionatorio para las mismas o limitativo de sus derechos». </w:t>
      </w:r>
    </w:p>
    <w:p w:rsidR="001C705E" w:rsidRDefault="001C705E" w:rsidP="001C705E">
      <w:pPr>
        <w:pStyle w:val="TextoNormal"/>
      </w:pPr>
      <w:r>
        <w:t xml:space="preserve">El despido es la resolución del contrato de trabajo por la voluntad unilateral del empresario, que exige la concurrencia de una causa legalmente prevista que, en el llamado despido disciplinario, consiste en un incumplimiento previo del contrato por parte del trabajador. Las causas de despido disciplinario no son de aplicación automática, sino que, del incumplimiento de los deberes de una de las partes en una obligación recíproca, surge la facultad de la otra parte de resolver el contrato, conforme al art. 1.214 del Código Civil. En atención a ello, el despido resulta procedente, según el art. 55.3 del Estatuto de los Trabajadores, «cuando quede acreditado el incumplimiento alegado por el empresario en un escrito de comunicación». </w:t>
      </w:r>
    </w:p>
    <w:p w:rsidR="001C705E" w:rsidRDefault="001C705E" w:rsidP="001C705E">
      <w:pPr>
        <w:pStyle w:val="TextoNormal"/>
      </w:pPr>
      <w:r>
        <w:t xml:space="preserve">En el caso de autos, si bien el despido queda encuadrado en el art. 54 d) del Estatuto de los Trabajadores, «transgresión de la buena fe contractual y abuso de confianza en el desempeño del trabajo», su motivación es mucho más concreta y se reduce a determinar si la trabajadora se apropió o no de la pieza de carne a que se refiere la causa de despido. Es indudable que ello requiere una declaración judicial en la que se analiza la conducta de una persona y en la que se impone un resultado sancionador para ella de tanta importancia como es la extinción del contrato de trabajo sin contraprestación. Por ello se puede afirmar que, de acuerdo con la doctrina expuesta, el derecho a la presunción de inocencia tiene plena aplicación al procedimiento en reclamación por despido origen de las Sentencias impugnadas. </w:t>
      </w:r>
    </w:p>
    <w:p w:rsidR="001C705E" w:rsidRDefault="001C705E" w:rsidP="001C705E">
      <w:pPr>
        <w:pStyle w:val="TextoNormal"/>
      </w:pPr>
      <w:r>
        <w:t xml:space="preserve">Partiendo de ello, el Ministerio Fiscal procede a señalar que la presunción de inocencia implica que las consecuencias de la incertidumbre sobre la existencia de un hecho y su atribución culpable a una persona beneficia a ésta, correspondiendo a quien lo alega la prueba del mismo. Ahora bien, se trata de una presunción iuris tantum que puede ser desvirtuada por la prueba en contrario, y podrá recaer Sentencia condenatoria cuando se haya desarrollado alguna actividad probatoria, producida con las adecuadas garantías procesales, y que de alguna forma pueda entenderse de cargo contra el imputado. Desde otro punto de vista, y estudiando ya el procedimiento de despido, debe destacarse que es doctrina constante de la jurisdicción laboral que, de acuerdo con el art. 1.214 del Código Civil, corresponde al trabajador acreditar la relación laboral y el hecho mismo del despido, y a la Empresa probar las causas que figuren como justificativas del mismo en la carta a tal efecto dirigida al trabajador. </w:t>
      </w:r>
    </w:p>
    <w:p w:rsidR="001C705E" w:rsidRDefault="001C705E" w:rsidP="001C705E">
      <w:pPr>
        <w:pStyle w:val="TextoNormal"/>
      </w:pPr>
      <w:r>
        <w:lastRenderedPageBreak/>
        <w:t xml:space="preserve">En el procedimiento laboral que ahora se estudia hubo ciertamente alguna actividad probatoria. La actora aportó prueba documental consistente en la carta de despido, y la Empresa también prueba documental referente a las hojas de salario de la demandante, los boletines de cotización a la Seguridad Social y el acta de conciliación. Con ello queda acreditada la relación existente entre Empresa y trabajadora y el despido de ésta; pero de tal prueba nada resulta sobre la existencia, circunstancia y motivación del hecho alegado para justificar el despido. </w:t>
      </w:r>
    </w:p>
    <w:p w:rsidR="001C705E" w:rsidRDefault="001C705E" w:rsidP="001C705E">
      <w:pPr>
        <w:pStyle w:val="TextoNormal"/>
      </w:pPr>
      <w:r>
        <w:t xml:space="preserve">Como ya se dijo, la destrucción de la presunción de inocencia exige una actividad probatoria mínima, cuya valoración corresponde en exclusividad a la jurisdicción ordinaria, pero tales medios de prueba deben representar de alguna forma un cargo contra el acusado. Y es indudable que, prescindiendo de la carta de despido en la que se recoge el hecho que se debe probar, en la restante prueba no se hace la menor alusión a la realidad del hecho justificativo del despido. Por ello, si bien es cierto, como se afirma en la Sentencia del Tribunal Central, que en el procedimiento laboral se realizó una actividad probatoria cuya valoración corresponde al Magistrado, tal prueba ninguna relación guarda con el hecho de que la trabajadora se apropiara o no de una pieza de carne del supermercado, por lo que, al no presentar cargo alguno contra la acusada, no es susceptible de destruir la presunción de inocencia recogida en el art. 24.2 de la C.E. </w:t>
      </w:r>
    </w:p>
    <w:p w:rsidR="001C705E" w:rsidRDefault="001C705E" w:rsidP="001C705E">
      <w:pPr>
        <w:pStyle w:val="TextoNormal"/>
      </w:pPr>
      <w:r>
        <w:t>En atención a lo expuesto, el Ministerio Fiscal solicita se dicte Sentencia otorgando el amparo y declarando la nulidad de las Sentencias de la Magistratura de Trabajo núm. 1 de Barcelona de 17 de abril de 1982 y del Tribunal Central de Trabajo de 20 de diciembre de 1982, por resultar acreditada la vulneración del derecho fundamental a la presunción de inocencia.</w:t>
      </w:r>
    </w:p>
    <w:p w:rsidR="001C705E" w:rsidRDefault="001C705E" w:rsidP="001C705E">
      <w:pPr>
        <w:pStyle w:val="TextoNormal"/>
      </w:pPr>
    </w:p>
    <w:p w:rsidR="001C705E" w:rsidRDefault="001C705E" w:rsidP="001C705E">
      <w:pPr>
        <w:pStyle w:val="TextoNormal"/>
      </w:pPr>
      <w:r w:rsidRPr="001C705E">
        <w:rPr>
          <w:rStyle w:val="NumeroAFNegritaCaracter"/>
        </w:rPr>
        <w:t>6</w:t>
      </w:r>
      <w:r>
        <w:t>. De la lectura de las actuaciones se obtiene que la prueba practicada en el proceso consistió exclusivamente en la documental siguiente: a) Por parte de la trabajadora demandante, la carta de despido cuyo tenor literal es el siguiente: «25 de enero de 1982. Muy Sra. nuestra: El pasado día 22 de los corrientes, se le sorprendió llevándose una pieza de carne del supermercado de la que se había apropiado. Por tal hecho nos vemos obligados a despedirla con efectos desde hoy. Atentamente». b) Por parte de la Empresa demandada, también la carta de despido, 13 recibos de salarios de la trabajadora que abarcan desde el 1 de enero de 1981 al 25 de enero de 1982, 38 hojas correspondientes a los boletines de cotización (tc 1 y tc 2) a la Seguridad Social que abarcan desde enero a diciembre de 1981, y el acta de conciliación celebrada ante el Instituto de Mediación, Arbitraje y Conciliación en el que se hace constar que la solicitante se ratifica en su demanda, el interesado no solicitante se opone a la misma, y se llega a la conclusión sin avenencia.</w:t>
      </w:r>
    </w:p>
    <w:p w:rsidR="001C705E" w:rsidRDefault="001C705E" w:rsidP="001C705E">
      <w:pPr>
        <w:pStyle w:val="TextoNormal"/>
      </w:pPr>
    </w:p>
    <w:p w:rsidR="001C705E" w:rsidRDefault="001C705E" w:rsidP="001C705E">
      <w:pPr>
        <w:pStyle w:val="TextoNormal"/>
      </w:pPr>
      <w:r w:rsidRPr="001C705E">
        <w:rPr>
          <w:rStyle w:val="NumeroAFNegritaCaracter"/>
        </w:rPr>
        <w:t>7</w:t>
      </w:r>
      <w:r>
        <w:t>. La Sala por providencia de deliberación y votación sañaló el día 6 del presente mes y año.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demanda de amparo formulada por doña Juana Sanjulián Miró recae sobre unas resoluciones judiciales que declararon la procedencia del despido de la actora, y se fundamenta en la presunta vulneración de dichas resoluciones del derecho constitucional de presunción de inocencia por falta de prueba de la causa de despido, defecto que fue alegado en el recurso de suplicación interpuesto contra la sentencia de Magistratura y no acogi</w:t>
      </w:r>
      <w:r>
        <w:lastRenderedPageBreak/>
        <w:t>do por el Tribunal Central de Trabajo que estimó había existido actividad probatoria cuyo resultado desvirtuó la presunción constitucional. Previamente al análisis constitucional del supuesto planteado conviene precisar adecuadamente los hechos que deben ser contemplados.</w:t>
      </w:r>
    </w:p>
    <w:p w:rsidR="001C705E" w:rsidRDefault="001C705E" w:rsidP="001C705E">
      <w:pPr>
        <w:pStyle w:val="TextoNormal"/>
      </w:pPr>
      <w:r>
        <w:t>La actora había sido despedida imputándole haberse apropiado de una pieza de carne del supermercado donde prestaba sus servicios. Planteada la pertinente demanda judicial, el proceso se caracteriza, según aduce, por unas graves irregularidades que no pueden ser tomadas en consideración por este TC no sólo porque carecen del oportuno contraste y prueba sino porque, de haber existido, habrían sido consentidas por la parte. En todo caso, en dicho proceso se practica prueba documental consistente en la carta de despido, el acta del intento de conciliación celebrado en el IMAC, recibos de salarios y boletines de cotización a la Seguridad Social, dictándose posteriormente Sentencia en la que el Magistrado, declarando probado el hecho imputado a la trabajadora, extrajo la consecuencia obligada de tal declaración.</w:t>
      </w:r>
    </w:p>
    <w:p w:rsidR="001C705E" w:rsidRDefault="001C705E" w:rsidP="001C705E">
      <w:pPr>
        <w:pStyle w:val="TextoNormal"/>
      </w:pPr>
      <w:r>
        <w:t>Como hace constar el Ministerio Fiscal, en el proceso judicial de despido ha existido ciertamente actividad probatoria, pero ésta ninguna relación guarda con el hecho que fundamenta el pronunciamiento judicial, es decir, según se expresan los arts. 55 del Estatuto de los Trabajadores y 102 de la Ley de Procedimiento Laboral, con la acreditación del incumplimiento alegado por el empresario en su escrito de comunicación, pues la prueba practicada se reduce a acreditar la existencia de la relación laboral y del despido, así como del cumplimiento de los requisitos formales necesarios para la validez del acto de despido, y del intento de conciliación exigido por el art. 50 de la Ley de Procedimiento Laboral como previo al ejercicio de la acción. No se trata de que el resultado de la prueba pueda considerarse insuficiente pues ello remite a un problema de valoración que corresponde realizar al Juez, sino de que ni siquiera se ha intentado la práctica de la prueba sobre el incumplimiento debatido, siendo no obstante dicho incumplimiento el que se declara probado por el Magistrado de Trabajo.</w:t>
      </w:r>
    </w:p>
    <w:p w:rsidR="001C705E" w:rsidRDefault="001C705E" w:rsidP="001C705E">
      <w:pPr>
        <w:pStyle w:val="TextoNormal"/>
      </w:pPr>
    </w:p>
    <w:p w:rsidR="001C705E" w:rsidRDefault="001C705E" w:rsidP="001C705E">
      <w:pPr>
        <w:pStyle w:val="TextoNormal"/>
      </w:pPr>
      <w:r w:rsidRPr="001C705E">
        <w:rPr>
          <w:rStyle w:val="NumeroAFNegritaCaracter"/>
        </w:rPr>
        <w:t>2</w:t>
      </w:r>
      <w:r>
        <w:t>. La situación generada por los hechos expuestos es calificada por la demandante como vulneradora del derecho a la presunción de inocencia, y con dicho criterio concuerda el Ministerio Fiscal después de analizar la posibilidad de que tal derecho resulte aplicable a un supuesto como el de examen y concluir, con apoyo en la propia jurisprudencia del TC, con la tesis afirmativa. Al no haberse personado en el proceso la parte demandada se carece de un eventual contraste, pero quizá no sea impertinente señalar que dicha parte en el escrito de contestación al recurso de suplicación formulado por la actora, negó la aplicabilidad laboral del derecho a la presunción de inocencia resaltando cómo en el ámbito del trabajo no existen trabajadores inocentes o culpables sino despidos procedentes o improcedentes.</w:t>
      </w:r>
    </w:p>
    <w:p w:rsidR="001C705E" w:rsidRDefault="001C705E" w:rsidP="001C705E">
      <w:pPr>
        <w:pStyle w:val="TextoNormal"/>
      </w:pPr>
      <w:r>
        <w:t xml:space="preserve">No parece necesario realizar un estudio global sobre la presunción de inocencia y su eventual aplicabilidad fuera del proceso penal y administrativo sancionador que constituye sus ámbitos naturales de actuación. En el presente caso, el supuesto en que se plantea el problema es uno específico en que se imputa a la demandante la realización de una conducta que podría ser incluso objeto de persecución penal y en el que la actividad judicial va dirigida a comprobar la existencia del incumplimiento grave y culpable alegado por el empresario en su carta de despido. Y cualquiera que sea la opinión que se mantenga sobre la extensión del concepto de presunción de inocencia es el hecho que los Tribunales laborales lo vienen tomando en consideración en procesos de despido y que en la Sentencia impugnada el Tribunal Central de Trabajo acepta el motivo de recurso formulado por la </w:t>
      </w:r>
      <w:r>
        <w:lastRenderedPageBreak/>
        <w:t>demandante fundado en el correspondiente derecho fundamental y enjuicia el supuesto desde su perspectiva si bien para llegar a la conclusión de que no ha existido vulneración del mismo por haber quedado destruida la presunción por la prueba practicada. Razones que justifican la aplicación del derecho a la presunción de inocencia en este proceso de amparo sin que ello implique realizar una extensión injustificada del mismo que alcance, ni remotamente, a la argumentación de la recurrente que parece entender que su plasmación en el artículo 24 de la C.E. suponen la constitucionalización de las reglas sobre el reparto de la carga de la prueba que contienen los textos positivos.</w:t>
      </w:r>
    </w:p>
    <w:p w:rsidR="001C705E" w:rsidRDefault="001C705E" w:rsidP="001C705E">
      <w:pPr>
        <w:pStyle w:val="TextoNormal"/>
      </w:pPr>
      <w:r>
        <w:t>Pues bien, en el presente caso resulta patente que existe la vulneración de los derechos fundamentales de la actora que ha obtenido un pronunciamiento que no se fundamenta en una mínima actividad probatoria que pueda estimarse de cargo y, conviene insistir, no porque los hechos declarados probados sean o no ciertos y se ajusten más o menos a la prueba practicada pues su determinación, realizada en conciencia y mediante una valoración global, corresponde exclusivamente al juzgador y no puede ser corregida por este TC aunque hipotéticamente se estimara errónea, sino porque ni siquiera se ha practicado prueba de ningún tipo, habiendo sido negados los hechos y no existiendo una presunción que opere en favor de su admisibilidad.</w:t>
      </w:r>
    </w:p>
    <w:p w:rsidR="001C705E" w:rsidRDefault="001C705E" w:rsidP="001C705E">
      <w:pPr>
        <w:pStyle w:val="TextoNormal"/>
      </w:pPr>
    </w:p>
    <w:p w:rsidR="001C705E" w:rsidRDefault="001C705E" w:rsidP="001C705E">
      <w:pPr>
        <w:pStyle w:val="TextoNormal"/>
      </w:pPr>
      <w:r w:rsidRPr="001C705E">
        <w:rPr>
          <w:rStyle w:val="NumeroAFNegritaCaracter"/>
        </w:rPr>
        <w:t>3</w:t>
      </w:r>
      <w:r>
        <w:t>. En su demanda, la actora solicita que la Sentencia que se dicte acogiendo el recurso contenga pronunciamiento sobre la nulidad de las resoluciones impugnadas. Y, ciertamente, a ello debe limitarse el otorgamiento del amparo pues ni compete al TC declarar la procedencia o improcedencia del despido de la demandante ni la Ley le faculta para sustituir la actividad judicial.  Radicando la infracción constitucional en la Sentencia de Magistratura, corresponde devolver las actuaciones al momento inmediatamente anterior para que el Magistrado proceda a dictar una nueva a la vista de lo practicado en el proceso.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solicitado por doña Juana Sanjulián Miró y, en consecuencia:</w:t>
      </w:r>
    </w:p>
    <w:p w:rsidR="001C705E" w:rsidRDefault="001C705E" w:rsidP="001C705E">
      <w:pPr>
        <w:pStyle w:val="TextoNormal"/>
      </w:pPr>
      <w:r>
        <w:t>1. Declarar la nulidad de las Sentencias de la Magistratura de Trabajo núm.  1 de Barcelona de 17 de abril de 1982 y del Tribunal Central de Trabajo de 20 de diciembre de 1983 a que se contrae el presente recurso, y, reponer las actuaciones al momento inmediatamente anterior a dictarse la Sentencia por la Magistratura de instancia para que ésta, a la vista de lo practicado en el proceso, proceda a dictar una nueva en resolución de la demanda de despido.</w:t>
      </w:r>
    </w:p>
    <w:p w:rsidR="001C705E" w:rsidRDefault="001C705E" w:rsidP="001C705E">
      <w:pPr>
        <w:pStyle w:val="TextoNormal"/>
      </w:pPr>
      <w:r>
        <w:t>2. Reconocer el derecho de la autora a la presunción de inocencia, quedando restablecida en este derecho mediante la nueva Sentencia que habrá de dictarse.</w:t>
      </w:r>
    </w:p>
    <w:p w:rsidR="001C705E" w:rsidRDefault="001C705E" w:rsidP="001C705E">
      <w:pPr>
        <w:pStyle w:val="TextoNormal"/>
      </w:pPr>
    </w:p>
    <w:p w:rsidR="001C705E" w:rsidRDefault="001C705E" w:rsidP="001C705E">
      <w:pPr>
        <w:pStyle w:val="TextoNormal"/>
      </w:pPr>
      <w:r>
        <w:t>Publíquese en el «Boletín Oficial del Estado».</w:t>
      </w:r>
    </w:p>
    <w:p w:rsidR="001C705E" w:rsidRDefault="001C705E" w:rsidP="001C705E">
      <w:pPr>
        <w:pStyle w:val="TextoNormal"/>
      </w:pPr>
      <w:r>
        <w:t>Dada en Madrid, a ocho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1" w:name="SENTENCIA_1985_38"/>
      <w:r>
        <w:lastRenderedPageBreak/>
        <w:t>SENTENCIA 38/1985, de 8 de marzo de 1985</w:t>
      </w:r>
    </w:p>
    <w:bookmarkEnd w:id="41"/>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ECLI:ES:TC:1985:38</w:t>
      </w:r>
    </w:p>
    <w:p w:rsidR="001C705E" w:rsidRDefault="001C705E" w:rsidP="001C705E">
      <w:pPr>
        <w:pStyle w:val="SntesisDescriptiva"/>
      </w:pPr>
    </w:p>
    <w:p w:rsidR="001C705E" w:rsidRDefault="001C705E" w:rsidP="001C705E">
      <w:pPr>
        <w:pStyle w:val="SntesisDescriptiva"/>
      </w:pPr>
      <w:r>
        <w:t>Recurso de amparo 343/1984. La condena penal por delito de injurias no infringe la libertad de expresión</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demanda se sitúa más allá de los límites a los que, según el art. 44.1 b) de la LOTC llega la competencia del Tribunal Constitucional, puesto que opone a los hechos que han servido de base a la decisión judicial impugnada los que, según el recurrente, efectivamente acaecieron, y en esa oposición encuentra su único fundamento.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343/1984, promovido por la Procuradora doña Esther Rodríguez Pérez, en nombre y representación de don Máximo de Santos Tirado, bajo la dirección del Letrado don Fernando Salas Vázquez, contra Sentencias del Juzgado de Instrucción de Antequera de 9 de junio de 1983 y de la Audiencia Provincial de Málaga de 11 de abril d 1984, habiendo intervenido el Ministerio Fiscal, siendo Ponente el Magistrado don Francisco Rubio Llorente,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Juzgado de Instrucción de Antequera inició Diligencias de la Ley Orgánica 10/1980, bajo el número 87/1982, dictando Sentencia el 9 de junio de 1983, por la que condenó a don Máximo de Santos Tirado como autor de un delito de injurias graves contra clases del Estado, a la pena de 20.000 pesetas de multa, dos años de destierro de la localidad de Alameda, lugar de su residencia, y en un radio de 100 kilómetros de la misma. </w:t>
      </w:r>
    </w:p>
    <w:p w:rsidR="001C705E" w:rsidRDefault="001C705E" w:rsidP="001C705E">
      <w:pPr>
        <w:pStyle w:val="TextoNormal"/>
      </w:pPr>
      <w:r>
        <w:lastRenderedPageBreak/>
        <w:t>En la Sentencia se declaró probado que el recurrente, con motivo de un mitin público celebrado en la plaza de San Lorenzo del Valle de Abdalajis, afirmó que la «Guardia Civil eran unos terroristas, como lo demostraban los casos de Almería y Trebujena»», frase oída por tres testigos que no conocían al acusado, y que se ratificaron en su declaración en el acto del juicio oral, no oyéndolo otros dos testigos, ambos amigos del recurrente, y uno de ellos miembro de su mismo partido político.</w:t>
      </w:r>
    </w:p>
    <w:p w:rsidR="001C705E" w:rsidRDefault="001C705E" w:rsidP="001C705E">
      <w:pPr>
        <w:pStyle w:val="TextoNormal"/>
      </w:pPr>
    </w:p>
    <w:p w:rsidR="001C705E" w:rsidRDefault="001C705E" w:rsidP="001C705E">
      <w:pPr>
        <w:pStyle w:val="TextoNormal"/>
      </w:pPr>
      <w:r w:rsidRPr="001C705E">
        <w:rPr>
          <w:rStyle w:val="NumeroAFNegritaCaracter"/>
        </w:rPr>
        <w:t>2</w:t>
      </w:r>
      <w:r>
        <w:t>. El 11 de abril de 1984, la Audiencia Provincial de Málaga dictó Sentencia desestimatoria del recurso de apelación interpuesto por la representación del señor Santos Tirado, en la que se confirmaba la del Juzgado de Instrucción, con la salvedad de calificar las injurias producidas como ínsitas en el art. 458.4 del Código Penal y suavizando la pena de destierro, que quedó limitada a la localidad en que tuvieron lugar los hechos, por tiempo de un año y medio y en un radio de 40 kilómetros de la misma.</w:t>
      </w:r>
    </w:p>
    <w:p w:rsidR="001C705E" w:rsidRDefault="001C705E" w:rsidP="001C705E">
      <w:pPr>
        <w:pStyle w:val="TextoNormal"/>
      </w:pPr>
    </w:p>
    <w:p w:rsidR="001C705E" w:rsidRDefault="001C705E" w:rsidP="001C705E">
      <w:pPr>
        <w:pStyle w:val="TextoNormal"/>
      </w:pPr>
      <w:r w:rsidRPr="001C705E">
        <w:rPr>
          <w:rStyle w:val="NumeroAFNegritaCaracter"/>
        </w:rPr>
        <w:t>3</w:t>
      </w:r>
      <w:r>
        <w:t>. Por la Procuradora doña Esther Rodríguez Pérez, en nombre y representación de don Máximo de Santos Tirado, se presentó demanda de amparo, registrada el 10 de mayo de 1984, fundada en la vulneración del art. 20.1 a) de la Constitución. El demandante estima que su conducta no resultó lesiva para los derechos fundamentales reconocidos en el art. 18 y en el 20.4 de la C.E., ya que opinar sobre el comportamiento de unos guardias civiles en los lamentables sucesos de Almería y Trebujena y tildarles de terroristas, no puede ser interpretado como un atentado a la Guardia Civil, ni, en consecuencia, calificado como delito de injurias graves del artículo 458.4 del Código Penal, contra clases del Estado, pues, de ser así, se estaría recortando la libertad de expresión y nunca se podrían emitir juicios u opiniones sobre determinadas instituciones del Estado. Por todo lo cual, el recurrente solicitó del Tribunal Constitucional que se amparara su derecho a la libertad de expresión y se dejara en suspenso la ejecución de la Sentencia dictada por la Audiencia Provincial.</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Admitida a trámite la demanda, se recabaron las actuaciones que, una vez recibidas, fueron puestas de manifiesto al Ministerio Fiscal y a la representación del demandante, a quienes se concedió un plazo común de veinte días para que se pudiesen hacer las alegaciones que estimasen oportunas; y, por Auto de 9 de julio de 1984, se acordó suspender la ejecución de la Sentencia, con informe favorable del Fiscal. </w:t>
      </w:r>
    </w:p>
    <w:p w:rsidR="001C705E" w:rsidRDefault="001C705E" w:rsidP="001C705E">
      <w:pPr>
        <w:pStyle w:val="TextoNormal"/>
      </w:pPr>
      <w:r>
        <w:t xml:space="preserve">El Ministerio Fiscal, en escrito de 15 de octubre de 1984, interesa de este Tribunal Sentencia en la que se desestime la demanda de amparo, considerando que no se ha producido la violación del art. 20.1 a) de la C.E., que denuncia el recurrente. </w:t>
      </w:r>
    </w:p>
    <w:p w:rsidR="001C705E" w:rsidRDefault="001C705E" w:rsidP="001C705E">
      <w:pPr>
        <w:pStyle w:val="TextoNormal"/>
      </w:pPr>
      <w:r>
        <w:t>La representación actora, por su parte, formuló sus alegaciones reiterando en su integridad las efectuadas para fundamentar la demanda de amparo.</w:t>
      </w:r>
    </w:p>
    <w:p w:rsidR="001C705E" w:rsidRDefault="001C705E" w:rsidP="001C705E">
      <w:pPr>
        <w:pStyle w:val="TextoNormal"/>
      </w:pPr>
    </w:p>
    <w:p w:rsidR="001C705E" w:rsidRDefault="001C705E" w:rsidP="001C705E">
      <w:pPr>
        <w:pStyle w:val="TextoNormal"/>
      </w:pPr>
      <w:r w:rsidRPr="001C705E">
        <w:rPr>
          <w:rStyle w:val="NumeroAFNegritaCaracter"/>
        </w:rPr>
        <w:t>5</w:t>
      </w:r>
      <w:r>
        <w:t>. La Sala, por providencia de 28 de noviembre de 1984, señaló para deliberación y fallo el día 13 de febrero de 1985, quedando concluida el 6 de marzo.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demandante estima, como ha quedado reflejado en los antecedentes de esta Sentencia, que la violación del art. 20.1 a) de la C.E., se ha producido al ser condenado por </w:t>
      </w:r>
      <w:r>
        <w:lastRenderedPageBreak/>
        <w:t>proferir en un mitin político unas expresiones de censura dirigidas contra unos Guardias civiles concretos, que habían intervenido en unos acontecimientos específicos. De esta manera, vincula la infracción constitucional que denuncia a una inteligencia de los hechos que no concuerda con la mantenida por el Juzgado de Instrucción y la Audiencia Provincial, quienes declararon probado que el recurrente había afirmado que «la Guardia Civil eran unos terroristas, como lo demostraban los casos de Almería y Trebujena». Por lo tanto, en la demanda no se sostiene que se haya vulnerado el derecho a la libertad de expresión al recaer una condena por las frases que, según rezan las resoluciones impugnadas, fueron pronunciadas, sino por las que el demandante asegura haber dicho. Lo que equivale a plantear indirectamente ante este Tribunal la pretensión de que se acoja una versión de los hechos distinta de la establecida por los órganos sentenciadores.</w:t>
      </w:r>
    </w:p>
    <w:p w:rsidR="001C705E" w:rsidRDefault="001C705E" w:rsidP="001C705E">
      <w:pPr>
        <w:pStyle w:val="TextoNormal"/>
      </w:pPr>
    </w:p>
    <w:p w:rsidR="001C705E" w:rsidRDefault="001C705E" w:rsidP="001C705E">
      <w:pPr>
        <w:pStyle w:val="TextoNormal"/>
      </w:pPr>
      <w:r w:rsidRPr="001C705E">
        <w:rPr>
          <w:rStyle w:val="NumeroAFNegritaCaracter"/>
        </w:rPr>
        <w:t>2</w:t>
      </w:r>
      <w:r>
        <w:t>. Ciertamente, si el demandante hubiese sido condenado por las críticas que él insiste haber efectuado, su alegato suscitaría una cuestión en la que este Tribunal debería entrar, pero no siendo así, es claro que dicho alegato, que conduce a una reinterpretación de los hechos por parte de este Tribunal, nos propone una cuestión en la que no podemos ni debemos entrar.</w:t>
      </w:r>
    </w:p>
    <w:p w:rsidR="001C705E" w:rsidRDefault="001C705E" w:rsidP="001C705E">
      <w:pPr>
        <w:pStyle w:val="TextoNormal"/>
      </w:pPr>
      <w:r>
        <w:t>Su tesis se argumenta sólo mediante el procedimiento de oponer a los hechos que han servido de base para la decisión judicial, los que, según el recurrente efectivamente acaecieron, pero con ello sitúa su demanda más allá de los límites a los que, según la LOTC (art. 44.1 b) llega la competencia de este Tribunal.</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recurso de amparo interpuesto por don Máximo de Santos Tirado y, en consecuencia, levantar la suspensión de la ejecución de las Sentencias recurridas, acordado en el Auto de 9 de julio de 1984.</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ocho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2" w:name="SENTENCIA_1985_39"/>
      <w:r>
        <w:lastRenderedPageBreak/>
        <w:t>SENTENCIA 39/1985, de 11 de marzo de 1985</w:t>
      </w:r>
    </w:p>
    <w:bookmarkEnd w:id="42"/>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74, de 27 de marzo de 1985)</w:t>
      </w:r>
    </w:p>
    <w:p w:rsidR="001C705E" w:rsidRDefault="001C705E" w:rsidP="001C705E">
      <w:pPr>
        <w:pStyle w:val="TtuloBOE"/>
      </w:pPr>
    </w:p>
    <w:p w:rsidR="001C705E" w:rsidRDefault="001C705E" w:rsidP="001C705E">
      <w:pPr>
        <w:pStyle w:val="SntesisDescriptiva"/>
      </w:pPr>
      <w:r>
        <w:t>ECLI:ES:TC:1985:39</w:t>
      </w:r>
    </w:p>
    <w:p w:rsidR="001C705E" w:rsidRDefault="001C705E" w:rsidP="001C705E">
      <w:pPr>
        <w:pStyle w:val="SntesisDescriptiva"/>
      </w:pPr>
    </w:p>
    <w:p w:rsidR="001C705E" w:rsidRDefault="001C705E" w:rsidP="001C705E">
      <w:pPr>
        <w:pStyle w:val="SntesisDescriptiva"/>
      </w:pPr>
      <w:r>
        <w:t>Recurso de amparo 589/1983. Contra Sentencia de la Sala de lo Contencioso-Administrativo de Granada que declaró la inadmisibilidad de recurso contencioso-administrativo por falta de competencia.</w:t>
      </w:r>
    </w:p>
    <w:p w:rsidR="001C705E" w:rsidRDefault="001C705E" w:rsidP="001C705E">
      <w:pPr>
        <w:pStyle w:val="SntesisDescriptiva"/>
      </w:pPr>
    </w:p>
    <w:p w:rsidR="001C705E" w:rsidRDefault="001C705E" w:rsidP="001C705E">
      <w:pPr>
        <w:pStyle w:val="SntesisAnaltica"/>
      </w:pPr>
      <w:r>
        <w:t>Sentencia incongruente con la pretensión deducida. Voto particular</w:t>
      </w:r>
    </w:p>
    <w:p w:rsidR="001C705E" w:rsidRDefault="001C705E" w:rsidP="001C705E">
      <w:pPr>
        <w:pStyle w:val="SntesisAnaltica"/>
      </w:pPr>
    </w:p>
    <w:p w:rsidR="001C705E" w:rsidRDefault="001C705E" w:rsidP="001C705E">
      <w:pPr>
        <w:pStyle w:val="Extracto"/>
      </w:pPr>
      <w:r>
        <w:t>1.</w:t>
      </w:r>
      <w:r>
        <w:tab/>
        <w:t xml:space="preserve">Se reitera la doctrina de la STC 22/1985, de 15 de febrero, de que, en el proceso contencioso-administrativo, la técnica de la declaración en Sentencia de la falta de competencia, arbitrándose como se arbitran otros mecanismos en la Ley para depurar el tema competencial, no es compatible con el derecho a la tutela judicial efectiva. </w:t>
      </w:r>
    </w:p>
    <w:p w:rsidR="001C705E" w:rsidRDefault="001C705E" w:rsidP="001C705E">
      <w:pPr>
        <w:pStyle w:val="Extracto"/>
      </w:pPr>
    </w:p>
    <w:p w:rsidR="001C705E" w:rsidRDefault="001C705E" w:rsidP="001C705E">
      <w:pPr>
        <w:pStyle w:val="Extracto"/>
      </w:pPr>
      <w:r>
        <w:t>2.</w:t>
      </w:r>
      <w:r>
        <w:tab/>
        <w:t xml:space="preserve">La parte tiene derecho a la Sentencia y, correlativamente, hay un deber de fallar, que, como correlativo al derecho a la Sentencia, se integra en el marco del derecho a la tutela judicial efectiva que reclama el art. 24.1 de la C.E. Se trata del deber positivo del Juez de resolver las pretensiones ante él deducidas. </w:t>
      </w:r>
    </w:p>
    <w:p w:rsidR="001C705E" w:rsidRDefault="001C705E" w:rsidP="001C705E">
      <w:pPr>
        <w:pStyle w:val="Extracto"/>
      </w:pPr>
    </w:p>
    <w:p w:rsidR="001C705E" w:rsidRDefault="001C705E" w:rsidP="001C705E">
      <w:pPr>
        <w:pStyle w:val="Extracto"/>
      </w:pPr>
      <w:r>
        <w:t>3.</w:t>
      </w:r>
      <w:r>
        <w:tab/>
        <w:t xml:space="preserve">El derecho del art. 24.1 se satisface cuando, desarrollado el procedimiento y llegado el momento, se obtiene una Sentencia favorable o adversa a la posición que el demandante sostiene, y a ella se ha llegado sin que padezca la defensión; por ello, el control de los presupuestos procesales pertenece, en principio, a la competencia del Tribunal que conoce del proceso y de ellos no debe ocuparse el Tribunal Constitucional, salvo que se incida en las garantías constitucionales reconocidas en el art. 24 de la C.E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589/1983, promovido por don José Santos Urquiza Hernández, don José Sánchez Andújar, don José García Góngora, don Francisco Fenoy Gal</w:t>
      </w:r>
      <w:r>
        <w:lastRenderedPageBreak/>
        <w:t>deano, don Manuel Román González, don Juan García Gilabert y don Antonio Tejada Gámez, representados por el Procurador don José Granados Weil, y bajo la dirección del Abogado don Antonio Tastet Díaz, respecto de la Sentencia de la Sala de lo Contencioso-Administrativo de Granada de 21 de octubre de 1981, recaída en el recurso contencioso-administrativo núm. 83/1980; habiendo sido parte la Administración Pública, representada por el Abogado del Estado, y el Ministerio Fiscal, y siendo Ponente el Presidente de la Sala don Jerónimo Arozamena Sierra, quien expresa el parecer de la misma.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recurso de amparo interpuesto por el Procurador, en representación de las personas que se indican en el encabezamiento de esta Sentencia el 8 de agosto de 1983, y dirigido contra la Sentencia de la Audiencia Territorial de Granada, Sala de lo Contencioso-Administrativo, de fecha 21 de octubre de 1981, y la del Tribunal Supremo, Sala Quinta, de 8 de junio de 1983, se funda en los siguientes hechos: </w:t>
      </w:r>
    </w:p>
    <w:p w:rsidR="001C705E" w:rsidRDefault="001C705E" w:rsidP="001C705E">
      <w:pPr>
        <w:pStyle w:val="TextoNormal"/>
      </w:pPr>
      <w:r>
        <w:t xml:space="preserve">A) Los demandantes, a primeros del año 1978, instaron de la Administración del Estado, Secretaría de Estado para la Administración Pública, que se les reconociera que eran funcionarios en propiedad, en cuanto procedían de las Juntas, Centros docentes e Instituciones de Formación Profesional e Industrial. No habiendo recibido respuesta, denunciaron la mora, el 29 de enero de 1979, y habiendo hecho igual petición y denuncia de mora, otras personas en identidad de supuestos, interpusieron recurso contencioso-administrativo ante la Audiencia de Granada y las personas distintas de los recurrentes de amparo, ante la Audiencia de Las Palmas de Gran Canaria y la Audiencia de Valencia. </w:t>
      </w:r>
    </w:p>
    <w:p w:rsidR="001C705E" w:rsidRDefault="001C705E" w:rsidP="001C705E">
      <w:pPr>
        <w:pStyle w:val="TextoNormal"/>
      </w:pPr>
      <w:r>
        <w:t xml:space="preserve">B) Las soluciones dadas por estas Audiencias no son coincidentes, pues: </w:t>
      </w:r>
    </w:p>
    <w:p w:rsidR="001C705E" w:rsidRDefault="001C705E" w:rsidP="001C705E">
      <w:pPr>
        <w:pStyle w:val="TextoNormal"/>
      </w:pPr>
      <w:r>
        <w:t xml:space="preserve">a) La Audiencia de Granada resolvió que el recurso era inadmisible por venir atribuida la competencia a la Audiencia Nacional. En este recurso, además, de la impugnación a la denegación presunta, acumularon la pretensión de nulidad de la Orden ministerial de 14 de julio de 1979. </w:t>
      </w:r>
    </w:p>
    <w:p w:rsidR="001C705E" w:rsidRDefault="001C705E" w:rsidP="001C705E">
      <w:pPr>
        <w:pStyle w:val="TextoNormal"/>
      </w:pPr>
      <w:r>
        <w:t xml:space="preserve">b) La Audiencia Territorial de Las Palmas de Gran Canaria resolvió por Sentencia de 21 de febrero de 1980, entrando en el fondo y reconociendo el derecho pretendido por los recurrentes. </w:t>
      </w:r>
    </w:p>
    <w:p w:rsidR="001C705E" w:rsidRDefault="001C705E" w:rsidP="001C705E">
      <w:pPr>
        <w:pStyle w:val="TextoNormal"/>
      </w:pPr>
      <w:r>
        <w:t xml:space="preserve">c) La Audiencia de Valencia resolvió por Sentencia de 5 de marzo de 1980, entrando en el fondo y reconociendo el derecho de los recurrentes. </w:t>
      </w:r>
    </w:p>
    <w:p w:rsidR="001C705E" w:rsidRDefault="001C705E" w:rsidP="001C705E">
      <w:pPr>
        <w:pStyle w:val="TextoNormal"/>
      </w:pPr>
      <w:r>
        <w:t xml:space="preserve">C) Contra la Sentencia de Granada, los demandantes intentaron recurso de apelación, y no habiendo sido admitido por no ser recurrible en apelación la Sentencia, interpusieron recurso de revisión, invocando la causa del art. 102.1 b) de la Ley de la Jurisdicción Contencioso-Administrativa (LJCA) (Sentencias contradictorias). La revisión fue denegada por Sentencia de 8 de junio de 1983, porque no se daba la identidad en cuanto la de Granada declaró la inadmisibilidad por incompetencia, y las de Las Palmas y Valencia resolvían el tema de fondo. </w:t>
      </w:r>
    </w:p>
    <w:p w:rsidR="001C705E" w:rsidRDefault="001C705E" w:rsidP="001C705E">
      <w:pPr>
        <w:pStyle w:val="TextoNormal"/>
      </w:pPr>
      <w:r>
        <w:t>Contra la Sentencia de Granada y la de revisión del Tribunal Supremo han deducido el presente recurso de amparo, fundado en la violación de los arts. 24.1 y 14 de la Constitución, pues no han conseguido la tutela efectiva por no haber entrado en el fondo la de Granada, y haber denegado la revisión la del Tribunal Supremo, y se ha dado soluciones contrarias en supuestos iguales.</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2</w:t>
      </w:r>
      <w:r>
        <w:t xml:space="preserve">. Después de depurado en el trámite de admisión la admisibilidad del recurso, se decidió por el Tribunal Constitucional (Sección Tercera) la admisión del recurso, y recibidas actuaciones, se dispuso el trámite de alegaciones escritas. </w:t>
      </w:r>
    </w:p>
    <w:p w:rsidR="001C705E" w:rsidRDefault="001C705E" w:rsidP="001C705E">
      <w:pPr>
        <w:pStyle w:val="TextoNormal"/>
      </w:pPr>
      <w:r>
        <w:t xml:space="preserve">A) Los demandantes sostuvieron los motivos aducidos en la demanda, diciendo: </w:t>
      </w:r>
    </w:p>
    <w:p w:rsidR="001C705E" w:rsidRDefault="001C705E" w:rsidP="001C705E">
      <w:pPr>
        <w:pStyle w:val="TextoNormal"/>
      </w:pPr>
      <w:r>
        <w:t xml:space="preserve">a) Se ha infringido el derecho a obtener la tutela efectiva por no haber obtenido una Sentencia de fondo y no estar debidamente fundada la estimación de la excepción de incompetencia por la Sala de Granada. El recurso era admisible y la competencia venía atribuida a la Sala de Granada. </w:t>
      </w:r>
    </w:p>
    <w:p w:rsidR="001C705E" w:rsidRDefault="001C705E" w:rsidP="001C705E">
      <w:pPr>
        <w:pStyle w:val="TextoNormal"/>
      </w:pPr>
      <w:r>
        <w:t xml:space="preserve">b) En ningún caso, debió darse la solución de inadmisibilidad del art. 82 a) de la LJCA, pues, en tal hipótesis debía aplicarse lo que dispone el art. 8 de la citada Ley. </w:t>
      </w:r>
    </w:p>
    <w:p w:rsidR="001C705E" w:rsidRDefault="001C705E" w:rsidP="001C705E">
      <w:pPr>
        <w:pStyle w:val="TextoNormal"/>
      </w:pPr>
      <w:r>
        <w:t xml:space="preserve">c) La Sala del Tribunal Supremo, que conoció del recurso de revisión, ha ratificado la violación, pues la revisión era procedente. </w:t>
      </w:r>
    </w:p>
    <w:p w:rsidR="001C705E" w:rsidRDefault="001C705E" w:rsidP="001C705E">
      <w:pPr>
        <w:pStyle w:val="TextoNormal"/>
      </w:pPr>
      <w:r>
        <w:t xml:space="preserve">d) La propia Sala del Tribunal Supremo, también en revisión, ha pronunciado Sentencia en otro caso igual, procedente también de la Sala de Granada, dando una solución diametralmente opuesta, todo ello por Sentencia de 4 de diciembre de 1983. </w:t>
      </w:r>
    </w:p>
    <w:p w:rsidR="001C705E" w:rsidRDefault="001C705E" w:rsidP="001C705E">
      <w:pPr>
        <w:pStyle w:val="TextoNormal"/>
      </w:pPr>
      <w:r>
        <w:t xml:space="preserve">e) Se ha violado también el art. 14 de la C. E. pues se ha dado, ante supuestos iguales, soluciones discrepantes. </w:t>
      </w:r>
    </w:p>
    <w:p w:rsidR="001C705E" w:rsidRDefault="001C705E" w:rsidP="001C705E">
      <w:pPr>
        <w:pStyle w:val="TextoNormal"/>
      </w:pPr>
      <w:r>
        <w:t xml:space="preserve">Con base en los indicados hechos y fundamentos, interesaron la nulidad de la Sentencia de Granada y la que rechazó la revisión contra ella, y que se repusiera el proceso a la situación inmediata anterior a la Sentencia impugnada, para que la Sala de Granada entre en el fondo. </w:t>
      </w:r>
    </w:p>
    <w:p w:rsidR="001C705E" w:rsidRDefault="001C705E" w:rsidP="001C705E">
      <w:pPr>
        <w:pStyle w:val="TextoNormal"/>
      </w:pPr>
      <w:r>
        <w:t xml:space="preserve">B) El Ministerio Fiscal interesó que se denegara el amparo, porque: </w:t>
      </w:r>
    </w:p>
    <w:p w:rsidR="001C705E" w:rsidRDefault="001C705E" w:rsidP="001C705E">
      <w:pPr>
        <w:pStyle w:val="TextoNormal"/>
      </w:pPr>
      <w:r>
        <w:t xml:space="preserve">a) A su juicio no hay vulneración del derecho a la igualdad en la aplicación de la Ley, ya que no se da igualdad entre el caso decidido por Granada y el que decidieron las Audiencias de Las Palmas y de Valencia, por lo mismo que se argumenta en la Sentencia que no dio lugar a la revisión. </w:t>
      </w:r>
    </w:p>
    <w:p w:rsidR="001C705E" w:rsidRDefault="001C705E" w:rsidP="001C705E">
      <w:pPr>
        <w:pStyle w:val="TextoNormal"/>
      </w:pPr>
      <w:r>
        <w:t xml:space="preserve">b) Igualmente entiende que no hay vulneración del derecho a la tutela judicial efectiva, pues se impugnaron dos resoluciones, de la que una procedía del Ministro, sólo recurrible ante la Audiencia Nacional. Pudo recurrir ante la Audiencia Nacional y sólo negando ésta la competencia, podría impetrarse ante la jurisdicción constitucional la indefensión. </w:t>
      </w:r>
    </w:p>
    <w:p w:rsidR="001C705E" w:rsidRDefault="001C705E" w:rsidP="001C705E">
      <w:pPr>
        <w:pStyle w:val="TextoNormal"/>
      </w:pPr>
      <w:r>
        <w:t xml:space="preserve">C) El Abogado del Estado se opuso al amparo, interesando se denegara, y haciendo las siguientes alegaciones: </w:t>
      </w:r>
    </w:p>
    <w:p w:rsidR="001C705E" w:rsidRDefault="001C705E" w:rsidP="001C705E">
      <w:pPr>
        <w:pStyle w:val="TextoNormal"/>
      </w:pPr>
      <w:r>
        <w:t xml:space="preserve">a) Según los recurrentes, como consecuencia de la supuesta violación del derecho a la tutela judicial efectiva, se genera la también alegada violación del derecho a la igualdad, y ello porque toda la argumentación de este amparo -y también del previo recurso de revisión- se fuerza en demostrar que la Sentencia de Granada, al inadmitir el recurso, se separó del generalizado criterio de otras Salas. </w:t>
      </w:r>
    </w:p>
    <w:p w:rsidR="001C705E" w:rsidRDefault="001C705E" w:rsidP="001C705E">
      <w:pPr>
        <w:pStyle w:val="TextoNormal"/>
      </w:pPr>
      <w:r>
        <w:t xml:space="preserve">b) No hay violación del art. 24.1, pues según doctrina del TC, el derecho a la tutela judicial efectiva se satisface siempre que se obtenga una decisión fundada en derecho, ya sea favorable o adversa. </w:t>
      </w:r>
    </w:p>
    <w:p w:rsidR="001C705E" w:rsidRDefault="001C705E" w:rsidP="001C705E">
      <w:pPr>
        <w:pStyle w:val="TextoNormal"/>
      </w:pPr>
      <w:r>
        <w:t xml:space="preserve">c) Fue el defectuoso planteamiento del recurso contencioso-administrativo ante la Audiencia de Granada, el que ha dado lugar a la solución de que ahora se quejan los demandantes, al acumular dos pretensiones incompatibles por razón del órgano judicial competente para resolver. </w:t>
      </w:r>
    </w:p>
    <w:p w:rsidR="001C705E" w:rsidRDefault="001C705E" w:rsidP="001C705E">
      <w:pPr>
        <w:pStyle w:val="TextoNormal"/>
      </w:pPr>
      <w:r>
        <w:t xml:space="preserve">d) No hay tampoco violación del art. 14 de la C.E., pues demostrado que no hay lesión del art. 24.1, la infracción del principio de igualdad carece de fundamento. </w:t>
      </w:r>
    </w:p>
    <w:p w:rsidR="001C705E" w:rsidRDefault="001C705E" w:rsidP="001C705E">
      <w:pPr>
        <w:pStyle w:val="TextoNormal"/>
      </w:pPr>
      <w:r>
        <w:t>e) La Sentencia de revisión en la medida que se limitó a no apreciar la procedencia del recurso, por no concurrir el supuesto del art. 102 b) de la LJCA, no implica violación al</w:t>
      </w:r>
      <w:r>
        <w:lastRenderedPageBreak/>
        <w:t>guna de los derechos constitucionales invocados; y es que corresponde al Tribunal que conoció de la revisión apreciar si se daban las causas para ello, y no al TC, por tratarse de cuestión de mera legalidad.</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Respecto de la Sentencia del Tribunal Supremo de 4 de diciembre de 1983, traída mediante testimonio en el trámite de alegaciones, invocándose por los recurrentes que resuelve un caso idéntico al que ha dado origen a este proceso, se hicieron las siguientes alegaciones: </w:t>
      </w:r>
    </w:p>
    <w:p w:rsidR="001C705E" w:rsidRDefault="001C705E" w:rsidP="001C705E">
      <w:pPr>
        <w:pStyle w:val="TextoNormal"/>
      </w:pPr>
      <w:r>
        <w:t xml:space="preserve">A) El Ministerio Fiscal dijo que se refiere a recurso frente a acto de la Secretaría de Estado para la Administración Pública, que es diferente al caso, dice, del actual recurso. </w:t>
      </w:r>
    </w:p>
    <w:p w:rsidR="001C705E" w:rsidRDefault="001C705E" w:rsidP="001C705E">
      <w:pPr>
        <w:pStyle w:val="TextoNormal"/>
      </w:pPr>
      <w:r>
        <w:t xml:space="preserve">B) El Abogado del Estado sostuvo que la indicada Sentencia resolvió en caso de concurrencia entre la sometida a revisión y la contradictoria, que es caso distinto de lo considerado en la Sentencia impugnada en el presente recurso de amparo. </w:t>
      </w:r>
    </w:p>
    <w:p w:rsidR="001C705E" w:rsidRDefault="001C705E" w:rsidP="001C705E">
      <w:pPr>
        <w:pStyle w:val="TextoNormal"/>
      </w:pPr>
      <w:r>
        <w:t xml:space="preserve">Posteriormente el recurrente aportó con escrito del 13 de junio último testimonio de la Sentencia de la Audiencia de Granada de 21 de mayo anterior, que es la pronunciada como consecuencia del recurso de revisión anteriormente aludido; Sentencia, la de Granada, que resolvió caso similar al de este recurso, según afirma el recurrente, entrando en el fondo del asunto y estimando la demanda. </w:t>
      </w:r>
    </w:p>
    <w:p w:rsidR="001C705E" w:rsidRDefault="001C705E" w:rsidP="001C705E">
      <w:pPr>
        <w:pStyle w:val="TextoNormal"/>
      </w:pPr>
      <w:r>
        <w:t xml:space="preserve">Como este testimonio fue presentado después del señalamiento para deliberación y votación -prevista para el 27 de junio-, en esta misma fecha se acordó para mejor proveer incorporar a las actuaciones escrito del Procurador de los recurrentes y certificación que adjuntaba de la Sentencia dictada por la Sala de lo Contencioso-Administrativo de la Audiencia Territorial de Granada, y como prueba dirigir atenta comunicación al Presidente de la Sala Quinta del Tribunal Supremo interesando la remisión de testimonio de la Sentencia recaída en el recurso extraordinario de revisión deducido por don Eduardo Jáuregui Boado y doña María de los Desamparados Serra Colmer, contra la Sentencia de la Sala de lo Contencioso-Administrativo de la Audiencia Territorial de Granada de 22 de octubre de 1981, en el recurso 292/1979 de aquella Audiencia. </w:t>
      </w:r>
    </w:p>
    <w:p w:rsidR="001C705E" w:rsidRDefault="001C705E" w:rsidP="001C705E">
      <w:pPr>
        <w:pStyle w:val="TextoNormal"/>
      </w:pPr>
      <w:r>
        <w:t xml:space="preserve">Cumplido lo dispuesto en esta providencia, se acordó oír a las partes sobre la documentación recibida, y en plazo han presentado alegaciones: </w:t>
      </w:r>
    </w:p>
    <w:p w:rsidR="001C705E" w:rsidRDefault="001C705E" w:rsidP="001C705E">
      <w:pPr>
        <w:pStyle w:val="TextoNormal"/>
      </w:pPr>
      <w:r>
        <w:t xml:space="preserve">A) Los recurrentes han sostenido que la Sentencia de revisión del Tribunal Supremo (Sala Quinta) de 4 de diciembre, confirma, en el caso actual, que se ha producido una falta de tutela efectiva y una violación del derecho a la igualdad. </w:t>
      </w:r>
    </w:p>
    <w:p w:rsidR="001C705E" w:rsidRDefault="001C705E" w:rsidP="001C705E">
      <w:pPr>
        <w:pStyle w:val="TextoNormal"/>
      </w:pPr>
      <w:r>
        <w:t xml:space="preserve">B) El Ministerio Fiscal sostuvo que la Sentencia de la Sala Quinta del Tribunal Supremo de 4 de diciembre de 1983, de la Audiencia de Granada, se refería a acto de la Secretaría de Estado y no a acto de la Presidencia del Gobierno, que fue lo determinante en la Sentencia que es impugnada en amparo. A esto ha de añadirse que la Sala de Granada se declaró incompetente en base al art. 82 c) de la LJCA, en relación con el art. 40 a), en tanto que en el asunto objeto de amparo la incompetencia fue determinada por el artículo 82 a), en relación a esta oportunidad con el 10.1 d) por lo que cabe concluir la improcedencia de la invocación de esta Sentencia para alegar la lesión del principio de igualdad del art. 14 de la C.E. Insiste el Ministerio Fiscal en lo manifestado en el apartado cuatro de su anterior informe sobre las pocas dudas que pueden caber de que a los demandantes les asiste el derecho que reclamaban en el recurso contencioso-administrativo, si bien su formulación equivocada llevó a la inadmisión decretada por la Sentencia de la Audiencia de Granada que no podía resolver de otra forma que con la aplicación del art. 10.1 b) de la LJCA. No resultan, pues, vulnerados los derechos fundamentales que se invocan ni ningunos otros de la misma naturaleza. Como ha puntualizado este Tribunal el art. 24.1 de la </w:t>
      </w:r>
      <w:r>
        <w:lastRenderedPageBreak/>
        <w:t xml:space="preserve">C.E. no puede interpretarse como un derecho incondicional a la prestación jurisdiccional, sino como un derecho a obtenerla siempre que se ejerza por las vías procesales legalmente establecidas. </w:t>
      </w:r>
    </w:p>
    <w:p w:rsidR="001C705E" w:rsidRDefault="001C705E" w:rsidP="001C705E">
      <w:pPr>
        <w:pStyle w:val="TextoNormal"/>
      </w:pPr>
      <w:r>
        <w:t>C) El Abogado del Estado sostuvo en cuanto a la Sentencia de la Sala Quinta del Tribunal Supremo de 4 de diciembre de 1983 que daba por reproducidas las consideraciones que efectuó en su escrito de 30 de abril. En relación con las Sentencias de 4 de diciembre de 1983 dictada por la Sala Quinta del Tribunal Supremo y la de 21 de mayo de 1984 de la Audiencia Territorial de Granada, hace constar que los supuestos planteados y resueltos son distintos a los del presente caso ya que aquéllas no trataron sobre la inadmisibilidad por incompetencia de los recursos que estimaron respecto al fondo, que no fue alegada. Por otro lado no es preciso que prospere el presente recurso de amparo para que los recurrentes puedan obtener en la vía jurisdiccional contencioso-administrativa satisfacción a sus pretensiones de fondo, reproduciendo el recurso y subsanando el error de origen en que incurrieron ante el órgano judicial competente.</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De las actuaciones remitidas por la Audiencia Territorial de Granada y por el Tribunal Supremo y de los documentos aportados al presente proceso de amparo resultan los siguientes datos de interés para resolver el recurso: </w:t>
      </w:r>
    </w:p>
    <w:p w:rsidR="001C705E" w:rsidRDefault="001C705E" w:rsidP="001C705E">
      <w:pPr>
        <w:pStyle w:val="TextoNormal"/>
      </w:pPr>
      <w:r>
        <w:t xml:space="preserve">A) Con la finalidad de que se declarara o reconociera a los recurrentes el carácter de funcionarios «en propiedad», se siguieron en vía administrativa dos caminos: Uno de ellos, el de dirigir petición a la Administración Pública (a nivel de Secretario de Estado); el otro, el de interponer recurso de reposición contra una Orden ministerial (14 de julio de 1979) en cuanto no se incluye a los recurrentes en indicada Orden ministerial. Ninguna de estas dos vías -con un mismo designio- fue atendida por la Administración; no se dictó resolución expresa. </w:t>
      </w:r>
    </w:p>
    <w:p w:rsidR="001C705E" w:rsidRDefault="001C705E" w:rsidP="001C705E">
      <w:pPr>
        <w:pStyle w:val="TextoNormal"/>
      </w:pPr>
      <w:r>
        <w:t xml:space="preserve">B) Contra la denegación presunta a la petición -una vez denunciada la mora- y contra la Orden ministerial y la denegación presunta del recurso de reposición, interpusieron recurso contencioso-administrativo, formalizándose la demanda, por la que se pide se reconozca a los recurrentes como funcionarios en propiedad, poniendo fin a la situación de «interinidad». El Abogado del Estado se opuso, alegando, dos excepciones o inadmisibilidades: Una, que tratándose de un acto ministerial (la Orden ministerial de 14 de julio de 1979), no era competente la Audiencia Territorial; otra, que no hay razón alguna para impugnar una Orden ministerial, que dispuso la integración de unos funcionarios, pues si lo que pretenden es el reconocimiento a integrarse en el Cuerpo como funcionarios en propiedad, debieron pedirlo en su tiempo siendo extemporáneo hacerlo ahora. La Sala de Granada declaró inadmisible el recurso por incompetencia, pues el recurso, entendió la Sala, se dirigía contra la Orden ministerial, y, por tanto, era competente la Audiencia Nacional. </w:t>
      </w:r>
    </w:p>
    <w:p w:rsidR="001C705E" w:rsidRDefault="001C705E" w:rsidP="001C705E">
      <w:pPr>
        <w:pStyle w:val="TextoNormal"/>
      </w:pPr>
      <w:r>
        <w:t xml:space="preserve">C) La Orden ministerial que decimos se dictó en cumplimiento de Sentencias pronunciadas por la Audiencia Territorial de Madrid, que dispuso la clasificación como titulares de las extinguidas Juntas Provinciales y locales de Formación Profesional e Industrial al personal comprendido en las mismas. Los recurrentes de amparo no están comprendidos en aquellas Sentencias ni en la citada Orden ministerial que se dictó en ejecución de las Sentencias. </w:t>
      </w:r>
    </w:p>
    <w:p w:rsidR="001C705E" w:rsidRDefault="001C705E" w:rsidP="001C705E">
      <w:pPr>
        <w:pStyle w:val="TextoNormal"/>
      </w:pPr>
      <w:r>
        <w:t xml:space="preserve">D) Contra la Sentencia de la Audiencia Territorial de Granada interpusieron los demandantes de amparo recurso de revisión, interesando: a) la rescisión de la Sentencia de Granada y b) se entre en el fondo de lo cuestionado en el previo proceso contencioso-administrativo y se reconozca a los impugnantes la cualidad de funcionarios en propiedad. El Tribunal Supremo entendió que entre la Sentencia objeto de la revisión y las aducidas </w:t>
      </w:r>
      <w:r>
        <w:lastRenderedPageBreak/>
        <w:t xml:space="preserve">de Cáceres, Madrid, Las Palmas y Valencia que los recurrentes están en la misma situación que los que lo fueron en los procesos que terminaron por estas Sentencias, puesto que todos ellos fueron declarados interinos, siendo, en los procesos, iguales las pretensiones (reconocimiento de funcionarios en propiedad) e iguales los fundamentos (que no pudo un acto declararlos como interinos, cuando se les había reconocido que eran funcionarios en propiedad), pero la identidad termina aquí, pues mientras la Sala de Granada se declaró incompetente, las otras resolvieron en el sentido de entrar en el fondo directamente sin cuestionarse la inadmisibilidad, o se entró en el fondo después de rechazar excepciones basada en que el acto recurrido era consentido. No se dio lugar a la revisión. </w:t>
      </w:r>
    </w:p>
    <w:p w:rsidR="001C705E" w:rsidRDefault="001C705E" w:rsidP="001C705E">
      <w:pPr>
        <w:pStyle w:val="TextoNormal"/>
      </w:pPr>
      <w:r>
        <w:t xml:space="preserve">E) En otro asunto, procedente también de Granada, en que la Audiencia Territorial de Granada había acogido la causa de inadmisibilidad del art. 82 c) de la LJCA (Sentencia de 22 de octubre de 1981 ), el Tribunal Supremo acogió un recurso de revisión, rescindiendo la Sentencia de Granada por concurrir la causa del artículo 102.1 b) de la LJCA. El Tribunal Supremo llegó a la conclusión que la homogeneidad o igualdad sustancial de situaciones subjetivas se produce plenamente entre la Sentencia impugnada y las «antecedentes»; que la contradicción si se produce de modo pleno y evidente entre la Sentencia combatida y la dictada por la Sala de Las Palmas (21 de febrero de 1980), pues en el caso conocido en esta Sentencia se dejó firme en vía administrativa un acto que clasificó a los funcionarios como interinos y se rechazó, sin embargo, la inadmisibilidad de acto consentido, y es esta Sentencia la que establece la doctrina correcta, pues cuando se trata de acto nulo de pleno derecho, no opera la excepción de acto consentido. </w:t>
      </w:r>
    </w:p>
    <w:p w:rsidR="001C705E" w:rsidRDefault="001C705E" w:rsidP="001C705E">
      <w:pPr>
        <w:pStyle w:val="TextoNormal"/>
      </w:pPr>
      <w:r>
        <w:t>F) La Sala de Granada, una vez rescindida la Sentencia anterior por virtud del recurso de revisión que acabamos de decir, pronunció Sentencia el 21 de mayo de 1984, por la que se reconoció que los recurrentes en aquel proceso tenían el carácter de funcionarios en propiedad.</w:t>
      </w:r>
    </w:p>
    <w:p w:rsidR="001C705E" w:rsidRDefault="001C705E" w:rsidP="001C705E">
      <w:pPr>
        <w:pStyle w:val="TextoNormal"/>
      </w:pPr>
    </w:p>
    <w:p w:rsidR="001C705E" w:rsidRDefault="001C705E" w:rsidP="001C705E">
      <w:pPr>
        <w:pStyle w:val="TextoNormal"/>
      </w:pPr>
      <w:r w:rsidRPr="001C705E">
        <w:rPr>
          <w:rStyle w:val="NumeroAFNegritaCaracter"/>
        </w:rPr>
        <w:t>5</w:t>
      </w:r>
      <w:r>
        <w:t>. Se señaló para la deliberación y votación de este recurso el día 9 de enero de 1985, quedando efectivamente deliberado el día 6 de marzo.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Los demandantes han dirigido este recurso contra la Sentencia de la Audiencia de Granada que, respecto del contencioso-administrativo interpuesto por aquéllos, aplicó la causa de inadmisibilidad del artículo 82 a) de la Ley de la Jurisdicción Contencioso-Administrativa (en lo sucesivo, LJCA), por falta de competencia, al entender que el conocimiento del asunto atribuido a la Audiencia Nacional, y no a la Audiencia Territorial; y lo han hecho por una razón única, aunque fundamentada en la invocación de dos derechos constitucionales distintos, que son el derecho a la igualdad en la aplicación de la Ley (art. 14) y el derecho a la tutela judicial efectiva (art. 24.1 ).  La razón única invocada al respecto es que, contra lo decidido, sí es competente el Tribunal de Granada, y que al no entenderse así, frente a lo uniformemente decidido por otros Tribunales en casos que guardan identidad sustancial con el que ha dado lugar a este recurso, se ha aplicado de modo desigual la misma regla jurídica, que es, la definidora de las competencias legales en materia de personal, dentro del ámbito contencioso-administrativo, lo que para los demandantes entraña una violación del derecho reconocido en el art. 14. La misma razón, esto es, la de que es competente la Audiencia de Granada, según la tesis de los demandantes, les lleva a sostener que al declararse incompetente no se les ha dispensado la tutela que procla</w:t>
      </w:r>
      <w:r>
        <w:lastRenderedPageBreak/>
        <w:t>ma como derecho fundamental el art. 24.1, pues la satisfacción de este derecho, o en otros términos la efectividad de la tutela judicial, requiere una Sentencia de fondo. Es la primera de las argumentaciones (la basada en el art. 14) la que lleva a los demandantes a comprender en el recurso de amparo, articulando, al respecto, una pretensión que comporta la nulidad, la Sentencia del Tribunal Supremo (Sala Quinta), que desestimó la revisión planteada contra aquella Sentencia invocando el motivo del art. 102.1 b) del la LJCA (Sentencia contradictoria con otras anteriores), pues vienen a sostener que al no remediar la violación del derecho a la igualdad en la aplicación de la Ley cometida por la Sentencia de Granada, se hizo partícipe de la vulneración del derecho fundamental. La violación -con imputación inmediata y directa, tal como exige el art. 44.1 de la LOTC- no está, en la hipótesis de los demandantes, en la Sentencia del Tribunal Supremo, sino en la de la Audiencia de Granada, pues aquélla no hizo más que poner fin a un proceso de corte casacional, de cognición definida por el motivo invocado [el del art. 102.1 b) de la LJCA], y que, a su juicio, fue utilizado por los demandantes como vía procedente -a su entender- para remediar la violación del derecho a la igualdad, de modo que, lo que se reprocha a la Sentencia del Tribunal Supremo es que no remedió la vulneración del derecho a la igualdad. Estas ideas, que no necesitan de mayores exposiciones, nos tienen que llevar a la inteligencia de que la revisión, en la estrategia procesal de los demandantes, cumplió la finalidad que a tenor de lo establecido en el art. 44.1 a) de la LOTC, se atribuye al agotamiento de los recursos utilizables dentro de la vía judicial.  Como a este modo de articular el recurso nada han opuesto el Ministerio Fiscal y el Abogado del Estado, respecto a la conexión entre la instancia y la revisión -a los fines procesales del amparo- nada se detectó en el momento procesal del art. 50 de la LOTC, nada tenemos que decir ahora, salvo que la violación que se acusa se imputa a la Sentencia de la Sala de Granada y no a la Sentencia del Tribunal Supremo.</w:t>
      </w:r>
    </w:p>
    <w:p w:rsidR="001C705E" w:rsidRDefault="001C705E" w:rsidP="001C705E">
      <w:pPr>
        <w:pStyle w:val="TextoNormal"/>
      </w:pPr>
    </w:p>
    <w:p w:rsidR="001C705E" w:rsidRDefault="001C705E" w:rsidP="001C705E">
      <w:pPr>
        <w:pStyle w:val="TextoNormal"/>
      </w:pPr>
      <w:r w:rsidRPr="001C705E">
        <w:rPr>
          <w:rStyle w:val="NumeroAFNegritaCaracter"/>
        </w:rPr>
        <w:t>2</w:t>
      </w:r>
      <w:r>
        <w:t>. Los recurrentes imputan a la Sentencia de la Sala de Granada la vulneración de su derecho a la igualdad (art. 14) y también la vulneración del derecho a la tutela judicial efectiva (art. 24.1 ). La violación se habría producido por haberse declarado incompetente para el conocimiento de la cuestión planteada ante ella, contrariando lo dispuesto en el art. 10.1 b) de la LJCA y, además, haciéndolo en contradicción con la general aplicación que de esta regla procesal habían hecho otras Audiencias en casos de identidad sustancial al suscitado ante la Sala de Granada. Como es la Ley la que organiza la distribución competencial, y estas reglas no confieren margen alguno de discrecionalidad judicial, la denunciada disparidad de tratamiento por obra de un acto jurisdiccional sería sólo relevante en cuanto violación de la Ley [en el caso, la regla del art. 10.1 b) de la LJCA] y no como violación del principio de igualdad. Se estaría acusando que la Audiencia de Granada quebrantó la regla organizadora de la competencia [la del artículo 10.1 b)].  Otra cuestión es si debiendo conocer la Audiencia de Granada de la pretensión suscitada ante ella, y no haciéndolo, declarándose incompetente, la infracción de la mencionada regla competencial es relevante desde el punto de vista del art. 24.1, esto es, del derecho a obtener la tutela judicial efectiva, con lo que se está sometiendo a debate el contenido de ese derecho. Junto a este enfoque del amparo aluden los demandantes a otros aspectos cuales son, de un lado, que la incompetencia se declaró en Sentencia sin hacer prevalecer las técnicas que arbitran los art. 8.3 y 62.1 a) de la LJCA, respecto a la declaración de incompetencia con anterioridad a la Sentencia, con el efecto conservativo que supone la remisión de las actuaciones al Tribunal que se considere competente para que se siga ante él el curso de los Autos; y, de otro lado, que articulándose en el precedente proceso contencioso-administrativo dos pre</w:t>
      </w:r>
      <w:r>
        <w:lastRenderedPageBreak/>
        <w:t>tensiones, de las que una (la dirigida contra un acto ministerial) no tiene inconveniente en reconocer que era de la competencia de la Audiencia Nacional, la Sala de Granada dejó de pronunciarse respecto de la otra, que sí era de su competencia (la dirigida contra acto procedente de órgano con rango inferior a Ministro). Llegado a este punto, las cuestiones a resolver para llegar a una decisión sobre el otorgamiento del amparo son si al declarar en la Sentencia su falta de competencia para conocer del recurso contencioso-administrativo, la Sala de Granada ha infringido o no el derecho de los recurrentes a una tutela judicial efectiva y esto -y por este orden- los tres puntos siguientes: a) si la decisión en Sentencia y no mediante una decisión que permita lo que dispone el art. 8.3 de la LJCA constituye violación del derecho a obtener la tutela judicial efectiva; b) si la tesis de que la Sala de Granada se abstuvo de fallar respecto a la pretensión referente al acto presunto imputado al Secretario de Estado, es correcta, y, en este caso, si esta omisión constituye violación del derecho a la tutela judicial efectiva, y c) si en la hipótesis de que la incompetencia abarcara las dos pretensiones hechas valer, la indebida declaración de incompetencia constituye o no una vulneración del derecho del art.  24.1.</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A la primera de las cuestiones enunciadas [la de la legitimidad constitucional del art. 82 a) de la LJCA] se refiere nuestra Sentencia del 15 de febrero actual en la que hemos resuelto que la técnica de la declaración en Sentencia de la falta de competencia, arbitrándose como se arbitran, otros mecanismos en aquella Ley para depurar el tema competencial, no es compatible con el derecho a la tutela judicial efectiva. Con todo, no se resuelve con este análisis el problema suscitado en el presente amparo, pues si bien es cierto que la Sala de Granada se ha declarado incompetente, lo ha sido respecto de una pretensión que engloba un acto ministerial y que, por el nivel orgánico del órgano del que emana ese acto, es de la competencia de la Audiencia Nacional, pero no ha tomado en consideración -como es de ver en la Sentencia- que el recurso comprendía otra pretensión, para la que sí es competente la Sala de Granada. Por esto, los demandantes no infieren del hecho de haberse declarado la incompetencia en la Sentencia ninguna consecuencia útil de no haberse hecho jugar el mecanismo del artículo 8.3 de la LJCA. Con esto entramos en el segundo de los puntos enunciados al final del fundamento anterior, y para su adecuado planteamiento, tenemos que recordar aquí que los demandantes en el escrito de interposición del recurso contencioso-administrativo, y en la demanda formalizada en su momento, acumularon dos pretensiones, pues junto a lo que constituyó lo realmente importante y que es la pretensión dirigida contra la presunción de acto imputado al Secretario de Estado, para que se reconociera su situación funcionarial, agregaron otra pretensión dirigida contra un acto ministerial.  No vamos a detenernos en el problema de si en esta estrategia de la parte actora, dirigida, de un lado, a que se reconociera que eran funcionarios en propiedad, y de otro lado, a que se extendiera a ella una resolución recaída en ejecución de una Sentencia pronunciada en un proceso en que no eran partes, se hizo en cuanto a este segundo acto, un planteamiento artificial, pues no es relevante desde el punto de vista del amparo, y por otro lado, no nos incumbe.  Nos basta con tener presente que se construyó una acumulación procesal, respecto de actos imputados a órganos ministeriales de distinto nivel, y que excepcionada por el Abogado del Estado la incompetencia respecto del acto atribuido al Ministro, la Sala de Granada la acogió sin consideración alguna al hecho de que se había ejercido también (con carácter nuclear, hasta el punto de que respecto a la otra pretensión, además de no ser objeto de precisa fundamentación en la demanda del contencioso-administrativo, se ha manifestado por la parte actora, su abandono) una pretensión respecto de un acto -una presunción- de acto, propiamente para el que nadie cuestiona que no </w:t>
      </w:r>
      <w:r>
        <w:lastRenderedPageBreak/>
        <w:t>fuera competente la Sala de Granada. Desde este punto de vista, es de notar que respecto de esta pretensión no hay en la Sentencia de Granada un pronunciamiento de incompetencia. Se trata, por tanto, de una decisión incongruente, que no valoramos aquí desde la idea de la contradicción, pues ésta es válida para proscribir algunos fenómenos de incongruencia (como son los de la incongruencia por exceso), pero no es adecuada a otros supuestos de incongruencia. Se trata de que la parte tiene derecho a la Sentencia, y correlativamente hay un deber de fallar, que como correlativo al derecho a la Sentencia se integra en el marco del derecho a la tutela judicial efectiva que proclama el art. 24.1.  Se trata del deber positivo del Juez de resolver las pretensiones ante él deducidas, que en el caso que analizamos no ha obtenido satisfacción. El origen se encuentra en el equívoco de fijarse sólo en uno de los actos objeto de la impugnación, y respecto de aquel acto, pronunciar la declaración de incompetencia, dejando imprejuzgada la otra pretensión.</w:t>
      </w:r>
    </w:p>
    <w:p w:rsidR="001C705E" w:rsidRDefault="001C705E" w:rsidP="001C705E">
      <w:pPr>
        <w:pStyle w:val="TextoNormal"/>
      </w:pPr>
    </w:p>
    <w:p w:rsidR="001C705E" w:rsidRDefault="001C705E" w:rsidP="001C705E">
      <w:pPr>
        <w:pStyle w:val="TextoNormal"/>
      </w:pPr>
      <w:r w:rsidRPr="001C705E">
        <w:rPr>
          <w:rStyle w:val="NumeroAFNegritaCaracter"/>
        </w:rPr>
        <w:t>4</w:t>
      </w:r>
      <w:r>
        <w:t>. Ya hemos visto que la declaración de incompetencia se contrae -si hemos de atender a la fundamentación del fallo a la contemplación del proceso desde la perspectiva, tan sólo, del acto ministerial excluido de la competencia de la Audiencia Territorial y sometido, según la regla del art. 14.1 b) de la LJCA, y las otras definidoras de la competencia de la Audiencia Nacional, a la Sala de este órgano de ámbito nacional. Si se dijera que en la declaración de incompetencia está implícita que se extiende a todo el contenido del recurso, tendría que objetarse que, por un lado, falta una motivación al respecto y, por otro lado, excluida la legitimidad constitucional del art. 82 a) de la LJCA, en lo que se refiere a la competencia, que sí se entendía contra lo que dispone aquel artículo 14.1 b), que la competencia no era de la Audiencia de Granada, tuvo que resolverse la cuestión mediante Auto, conservando las actuaciones practicadas y disponiendo su remisión al órgano competente para que siguieran ante él el curso de los Autos. Todo esto haría innecesario el abordar si el derecho a la tutela judicial efectiva comprende también al control de los presupuestos procesales cuya falta determina la inadmisibilidad.  Puede decirse, en términos generales, que el derecho del art. 24.1 se satisface cuando desarrollado el procedimiento y llegado el momento, se obtiene una Sentencia, favorable o adversa a la posición que el demandante sostiene, y a ella se ha llegado sin que padezca la defensión; por ello el control de los presupuestos procesales pertenece, en principio, a la competencia del Tribunal que conoce del proceso y de ellos no debemos ocuparnos en sede constitucional salvo que se incida en las garantías constitucionales reconocidas en este caso en el art.  24 de la Constitución.  Esto es lo que dijimos en nuestra Sentencia del 11 de octubre de 1982, cuando partiendo del mencionado art. 24.1 recordábamos «que ello no significa, sin embargo, que el derecho a la tutela de los Jueces y Tribunales pueda cuestionarse ante este Tribunal cada vez que uno de aquéllos resuelva la inadmisión por apreciar una determinada causa de inadmisibilidad». La reciente Sentencia de esta Sala de fecha 15 de febrero actual dice también que «reiteradamente ha afirmado este Tribunal que el derecho a la tutela judicial efectiva se satisface con una decisión fundada en derecho, que puede ser de inadmisión».</w:t>
      </w:r>
    </w:p>
    <w:p w:rsidR="001C705E" w:rsidRDefault="001C705E" w:rsidP="001C705E">
      <w:pPr>
        <w:pStyle w:val="TextoNormal"/>
      </w:pPr>
      <w:r>
        <w:t>No es en esta línea última donde puede encontrar fundamento el otorgamiento del amparo. El otorgamiento del amparo se funda en que la pretensión actora en el proceso no obtuvo respuesta, favorable o desfavorable, en la Sentencia, y, por otro lado, que en la hipótesis de incompetencia la declaración debe hacerse antes de Sentencia y con los efectos del art. 8.3 de la LJCA.</w:t>
      </w:r>
    </w:p>
    <w:p w:rsidR="001C705E" w:rsidRDefault="001C705E" w:rsidP="001C705E">
      <w:pPr>
        <w:pStyle w:val="TextoNormal"/>
      </w:pPr>
    </w:p>
    <w:p w:rsidR="001C705E" w:rsidRDefault="001C705E" w:rsidP="001C705E">
      <w:pPr>
        <w:pStyle w:val="TextoNormalCentrado"/>
        <w:keepNext/>
      </w:pPr>
      <w:r>
        <w:lastRenderedPageBreak/>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solicitado por los recurrentes, y, en su virtud:</w:t>
      </w:r>
    </w:p>
    <w:p w:rsidR="001C705E" w:rsidRDefault="001C705E" w:rsidP="001C705E">
      <w:pPr>
        <w:pStyle w:val="TextoNormal"/>
      </w:pPr>
      <w:r>
        <w:t>1. Reconocer el derecho de los recurrentes a la tutela judicial efectiva.</w:t>
      </w:r>
    </w:p>
    <w:p w:rsidR="001C705E" w:rsidRDefault="001C705E" w:rsidP="001C705E">
      <w:pPr>
        <w:pStyle w:val="TextoNormal"/>
      </w:pPr>
      <w:r>
        <w:t>2. Anular la Sentencia de la Audiencia Territorial de Granada, Sala de lo Contencioso-Administrativo, de fecha 21 de octubre de 1981 (recurso 83/1980).</w:t>
      </w:r>
    </w:p>
    <w:p w:rsidR="001C705E" w:rsidRDefault="001C705E" w:rsidP="001C705E">
      <w:pPr>
        <w:pStyle w:val="TextoNormal"/>
      </w:pPr>
      <w:r>
        <w:t>3. Restablecer el proceso contencioso-administrativo reseñado (el 83/1980) al momento procesal anterior al del pronunciamiento de la Sentencia.</w:t>
      </w:r>
    </w:p>
    <w:p w:rsidR="001C705E" w:rsidRDefault="001C705E" w:rsidP="001C705E">
      <w:pPr>
        <w:pStyle w:val="TextoNormal"/>
      </w:pPr>
      <w:r>
        <w:t>Se desestiman las peticiones no comprendidas en los anteriores apartados.</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once de marzo de mil novecientos ochenta y cinco.</w:t>
      </w:r>
    </w:p>
    <w:p w:rsidR="001C705E" w:rsidRDefault="001C705E" w:rsidP="001C705E">
      <w:pPr>
        <w:pStyle w:val="ParrafoNormal"/>
      </w:pPr>
    </w:p>
    <w:p w:rsidR="001C705E" w:rsidRDefault="001C705E" w:rsidP="001C705E">
      <w:pPr>
        <w:pStyle w:val="TextoNormalNegritaCentrado"/>
        <w:keepNext/>
      </w:pPr>
      <w:r>
        <w:t>Voto particular que en el recurso de amparo núm. 589/1983 formula el Magistrado don Francisco Pera Verdaguer</w:t>
      </w:r>
    </w:p>
    <w:p w:rsidR="001C705E" w:rsidRDefault="001C705E" w:rsidP="001C705E">
      <w:pPr>
        <w:pStyle w:val="TextoNormalNegritaCentrado"/>
        <w:keepNext/>
      </w:pPr>
    </w:p>
    <w:p w:rsidR="001C705E" w:rsidRDefault="001C705E" w:rsidP="001C705E">
      <w:pPr>
        <w:pStyle w:val="TextoNormal"/>
      </w:pPr>
      <w:r>
        <w:t>El Magistrado que suscribe-, Francisco Pera Verdaguer, que mostró oportunamente su discrepancia respecto de la Sentencia dictada en este recurso constitucional de amparo núm. 589/1983, deducido por don José Santos Urquiza Hernández y otros, la formaliza mediante el siguiente voto particular, comprensivo de los razonamientos que en su sentir deben conducir a la denegación del amparo solicitado.</w:t>
      </w:r>
    </w:p>
    <w:p w:rsidR="001C705E" w:rsidRDefault="001C705E" w:rsidP="001C705E">
      <w:pPr>
        <w:pStyle w:val="TextoNormal"/>
      </w:pPr>
      <w:r>
        <w:t>La Sala de lo Contencioso-Administrativo de la Audiencia Territorial de Granada declaró en su Sentencia la inadmisibilidad del recurso, al amparo de lo dispuesto en el art. 82 a) de la Ley reguladora de tal Jurisdicción, por entender que carecía de competencia, al estar atribuida la misma a la Audiencia Nacional.</w:t>
      </w:r>
    </w:p>
    <w:p w:rsidR="001C705E" w:rsidRDefault="001C705E" w:rsidP="001C705E">
      <w:pPr>
        <w:pStyle w:val="TextoNormal"/>
      </w:pPr>
      <w:r>
        <w:t>En la Sentencia de este Tribunal Constitucional -de la que se disiente- se estima el recurso de amparo, y se deja sin efecto aquel fallo de la jurisdicción ordinaria, en razón a que, ejercitadas en el recurso contencioso-administrativo dos acciones acumuladas, la incompetencia de la Sala Territorial se daba solamente respecto de una -ciertamente atribuida a la Audiencia Nacional- mientras que respecto de la otra acción era competente la Sala de Granada, y, al no haber emitido en la Sentencia pronunciamiento alguno atinente a esta acción, se incidió en incongruencia, de lo que deriva la no prestación de la tutela judicial efectiva establecida en el art. 24 de la Constitución Española. Al propio tiempo, se admite en la Sentencia mayoritaria, de la que disentimos, que está derogada la norma que contiene el apartado a) del citado art. 82 de la Ley de la Jurisdicción y que no es posible, en Sentencia, declarar la inadmisibilidad del recurso contencioso-administrativo en razón de incompetencia.</w:t>
      </w:r>
    </w:p>
    <w:p w:rsidR="001C705E" w:rsidRDefault="001C705E" w:rsidP="001C705E">
      <w:pPr>
        <w:pStyle w:val="TextoNormal"/>
      </w:pPr>
      <w:r>
        <w:t xml:space="preserve">El Magistrado que suscribe entiende que la declaración de incompetencia proferida por la Sala de Granada abarca la totalidad de las acciones o pretensiones ante la misma deducidas, porque: a) No son posibles inadmisibilidades parciales, según pacífica doctrina, de la que son muestra las Sentencias del Tribunal Supremo de 2 de diciembre de 1980, 4 de febrero, 13 y 14 de octubre y 23 de noviembre de 1981 y 18 de junio de 1983, entre otras </w:t>
      </w:r>
      <w:r>
        <w:lastRenderedPageBreak/>
        <w:t>muchas. b) Si se han ejercitado acumuladamente acciones la competencia para conocer de las cuales está legalmente atribuida a órganos de distinto grado jerárquico, la competencia para conocer de la totalidad queda deferida al órgano de grado o jerarquía superior (en este caso la Audiencia Nacional), y así lo tiene declarado el Tribunal Supremo, entre otras, en Sentencias de 20 de mayo y 13 de noviembre de 1957, expresivas de que es norma básica procesal, en los casos de atracción o absorción de facultades para enjuiciar, la recogida en el art. 54 de la Ley de Enjuiciamiento Civil para la llamada prórroga de jurisdicción y por el 155 para la acumulación de acciones, es decir, la de que la absorción se establece en favor del Tribunal superior para conocer conjuntamente de la cuestión a él atribuida y de la que, aislada, correspondería al inferior, no pudiendo, en sentido inverso, atraer éste a su competencia, por la mera simultaneidad o conjunción de planteamiento con las materias a él asignadas las que excedan de su esfera de actuación y correspondan a un Organismo judicial de superior grado jerárquico.</w:t>
      </w:r>
    </w:p>
    <w:p w:rsidR="001C705E" w:rsidRDefault="001C705E" w:rsidP="001C705E">
      <w:pPr>
        <w:pStyle w:val="TextoNormal"/>
      </w:pPr>
      <w:r>
        <w:t>Además, si lo que acepta la Sentencia mayoritaria es que en la Sentencia de la Audiencia de Granada se ha incidido en incongruencia por defecto -al omitir todo pronunciamiento y consideración sobre la acción o pretensión para la que era competente- se trata de un vicio sanable en su caso por la vía del recurso de revisión, en concreto previsto en el apartado g) del núm. 1, del artículo 102 de la Ley de lo Contencioso, seguimiento de tal recurso de revisión exigible como previo para poder acudir al amparo constitucional, de acuerdo con lo dispuesto en el art. 44.1 a) de la Ley Orgánica del Tribunal Constitucional.</w:t>
      </w:r>
    </w:p>
    <w:p w:rsidR="001C705E" w:rsidRDefault="001C705E" w:rsidP="001C705E">
      <w:pPr>
        <w:pStyle w:val="TextoNormal"/>
      </w:pPr>
      <w:r>
        <w:t>Finalmente, por lo que importa a la derogación del art. 82 a) de la Ley Jurisdiccional de lo Contencioso, en lo que afecta a la «competencia», el Magistrado que suscribe la rechaza, y se atiene a lo que recientemente ha expuesto en su voto particular a la Sentencia dictada por esta misma Sala con fecha 15 de febrero último en el recurso de amparo núm. 104/1984, consecuencia de lo cual surge la afirmación de que, tras la Sentencia de la Territorial de Granada, los interesados pudieron acudir ante la Audiencia Nacional, sin pérdida de su derecho y acción, según se viene aceptando.</w:t>
      </w:r>
    </w:p>
    <w:p w:rsidR="001C705E" w:rsidRDefault="001C705E" w:rsidP="001C705E">
      <w:pPr>
        <w:pStyle w:val="TextoNormal"/>
      </w:pPr>
      <w:r>
        <w:t>En conclusión, el recurso de amparo debió denegarse.</w:t>
      </w:r>
    </w:p>
    <w:p w:rsidR="001C705E" w:rsidRDefault="001C705E" w:rsidP="001C705E">
      <w:pPr>
        <w:pStyle w:val="TextoNormal"/>
      </w:pPr>
      <w:r>
        <w:t>Madrid, once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3" w:name="SENTENCIA_1985_40"/>
      <w:r>
        <w:lastRenderedPageBreak/>
        <w:t>SENTENCIA 40/1985, de 13 de marzo de 1985</w:t>
      </w:r>
    </w:p>
    <w:bookmarkEnd w:id="43"/>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ECLI:ES:TC:1985:40</w:t>
      </w:r>
    </w:p>
    <w:p w:rsidR="001C705E" w:rsidRDefault="001C705E" w:rsidP="001C705E">
      <w:pPr>
        <w:pStyle w:val="SntesisDescriptiva"/>
      </w:pPr>
    </w:p>
    <w:p w:rsidR="001C705E" w:rsidRDefault="001C705E" w:rsidP="001C705E">
      <w:pPr>
        <w:pStyle w:val="SntesisDescriptiva"/>
      </w:pPr>
      <w:r>
        <w:t>Recurso de amparo 397/1984. No computación por el Magistrado en el crédito horario del tiempo invertido por el trabajador en actividades sindicales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derecho a la libertad sindical, constitucionalmente consagrado, comprende no sólo el derecho de los trabajadores de organizarse sindicalmente, sino, además, el derecho de los sindicatos de ejercer aquellas actividades que permitan la defensa y protección de los propios trabajadores, de lo que se sigue que para el eficaz ejercicio de sus funciones, los representantes sindicales han de disfrutar de una serie de garantías y facilidades que, de algún modo, se incorporan al contenido esencial del derecho de libertad sindical, siendo una de ellas la prevista en el art. 68 e) del Estatuto de los Trabajadores.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397/1984, promovido por don Francisco García León, don Vicente González del Hoyo, don Antonio Castrejón Carrasco y don Claudio Carrera Saiz, representados por la Procuradora doña Elisa Hurtado Pérez y bajo la dirección del Abogado don Valentín Moreno Cubillo, contra la Sentencia dictada el 2 de mayo de 1984 por la Magistratura de Trabajo núm. 1 de Burgos, en autos 181-184/1984, seguidos por los indicados señores contra la Empresa «Cerámicas Gala, Sociedad Anónima», en reclamación de cantidad: habiendo intervenido el Ministerio Fiscal y siendo Ponente el Magistrado don Francisco Pera Verdaguer, quien expresa el parecer de la Sala.</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Doña Elisa Hurtado Pérez, Procuradora de los Tribunales, presentó en 28 de mayo de 1984 demanda de amparo, en nombre y representación de don Francisco García León, don Vicente González del Hoyo, don Antonio Castrejón y don Claudio Carrera Saiz, exponiendo como hechos que los demandantes, miembros del Comité de Empresa de «Cerámicas Gala, S. A.», asistieron el día 24 de noviembre de 1983 a una reunión formativa convocada por la Central sindical Unión General de Trabajadores (UGT), contando, a tal efecto, con la autorización de la Dirección de la Empresa para interrumpir la prestación de trabajo durante la jornada laboral, advirtiéndoles, no obstante, la Empresa que las horas empleadas en la reunión les serían descontadas de sus haberes mensuales, como así se hizo; pero entendiendo los actores que ese tiempo quedaba comprendido en el crédito horario que el art. 68 c) de la Ley del Estatuto de los Trabajadores (ET), atribuye a los representantes de los trabajadores para el ejercicio de sus funciones de representación, formularon ante la jurisdicción laboral demandas en reclamación de cantidad, siguiéndose los correspondientes procesos que fueron acumulados y a cuyo término recayó Sentencia de la Magistratura de Trabajo núm. 1 de Burgos de fecha 2 de mayo de 1984, desestimatoria de las demandas. La Sentencia se funda sustancialmente en la doctrina del Tribunal Central de Trabajo, de que el artículo 68 c) del ET confiere a los miembros del Comité de Empresa el crédito horario tan solo para realizar actividades de asistencia y representación en asuntos limitados al círculo de intereses de los trabajadores representados, no cubriendo por consiguiente aquellas otras actividades que ejercieran como miembros de un Sindicato. </w:t>
      </w:r>
    </w:p>
    <w:p w:rsidR="001C705E" w:rsidRDefault="001C705E" w:rsidP="001C705E">
      <w:pPr>
        <w:pStyle w:val="TextoNormal"/>
      </w:pPr>
      <w:r>
        <w:t xml:space="preserve">Contra dicha Sentencia formulan su pretensión de amparo que fundan en la violación del art. 28.1 de la Constitución, entendiendo que la decisión del juzgador de no computar en el crédito horario el tiempo invertido por los demandantes de amparo en asistir a una reunión convocada por su Sindicato conculca la libertad sindical, contrariando no sólo la dinámica histórica y la realidad social, sino también el espíritu, finalidad e inclusive la propia literalidad de los textos legislativos. Mencionan los recurrentes, en primer lugar, la doctrina del Tribunal Constitucional en materia de libertad sindical, señaladamente las Sentencias de 29 de noviembre de 1982, en que se declara que «el derecho constitucional de libertad sindical comprende no sólo el derecho de los individuos a fundar sindicatos y a afiliarse a los de su elección, sino asimismo el derecho a que los sindicatos fundados realicen las funciones que de ellos es dable esperar» y de 23 de noviembre de 1981, cuyo fundamento jurídico quinto señala que ««el desarrollo de la actividad inherente a la legítima actuación en el seno de la Empresa, para defender los intereses a cuyo fin se articulan las representaciones obreras, necesita de garantías frente a todo acto de injerencia, impeditivo u obstativo del ejercicio de la libertad sindical». En segundo lugar, se refieren a los antecedentes legislativos del art. 68 c) ET, destacando la orientación jurisprudencial favorable a facilitar la función representativa, así como a considerar el derecho de los representantes sindicales a utilizar el crédito horario en su formación y capacitación por medio de reuniones o cursos convocados por los sindicatos. Finalmente aluden al Convenio núm. 135 de la Organización Internacional del Trabajo, relativo a la protección y facilidades que deben otorgarse a los representantes de los trabajadores en la Empresa, interpretado conforme a la Recomendación núm. 143 de dicha organización. </w:t>
      </w:r>
    </w:p>
    <w:p w:rsidR="001C705E" w:rsidRDefault="001C705E" w:rsidP="001C705E">
      <w:pPr>
        <w:pStyle w:val="TextoNormal"/>
      </w:pPr>
      <w:r>
        <w:t xml:space="preserve">Expone la parte demandante que la resolución judicial impugnada, al excluir del contenido del crédito horario regulado en el art. 68 c) del ET, el tiempo dedicado a la formación </w:t>
      </w:r>
      <w:r>
        <w:lastRenderedPageBreak/>
        <w:t xml:space="preserve">sindical de los representantes obreros, vulnera el derecho a la libertad sindical, entorpeciendo y obstaculizando el ejercicio de las funciones representativas. </w:t>
      </w:r>
    </w:p>
    <w:p w:rsidR="001C705E" w:rsidRDefault="001C705E" w:rsidP="001C705E">
      <w:pPr>
        <w:pStyle w:val="TextoNormal"/>
      </w:pPr>
      <w:r>
        <w:t xml:space="preserve">Los argumentos en que se sustenta la resolución impugnada y que se resuelven, según los demandantes, en una serie de artificiales direnciaciones -funciones representativas desarrolladas «en forma directa e inmediata» en favor de los representados o en «forma mediata», funciones «sindicales» o «propiamente de representación» y, en fin, funciones orientadas a la defensa de «intereses comunes de los trabajadores» representados- debilitan, en lugar de facilitar, el ejercicio de la actividad representativa y, al límite, llevarían al absurdo de entender que la reserva de horas tan sólo podría utilizarse en el supuesto de existir una única Organización Sindical, negadora del pluralismo sindical. La formación e instrucción de los representantes sindicales es una de las funciones básicas del sindicato, un elemento decisivo para su promoción y un factor necesario e imprescindible en el haber de los representantes sindicales para el ejercicio eficaz de su función representativa. En las convocatorias a los representantes sindicales, promovidas por los sindicatos legalmente constituidos, ha de presumirse que, tanto el sindicato convocante como los representantes, están ejerciendo unos derechos y cumpliendo unos deberes para el mejor desempeño de sus funciones respectivas. </w:t>
      </w:r>
    </w:p>
    <w:p w:rsidR="001C705E" w:rsidRDefault="001C705E" w:rsidP="001C705E">
      <w:pPr>
        <w:pStyle w:val="TextoNormal"/>
      </w:pPr>
      <w:r>
        <w:t>En el suplico, el escrito de demanda interesa de este Tribunal la declaración de la nulidad de la Sentencia impugnada por ser contraria al derecho de libertad sindical consagrado en el art. 28.1 de la C.E., el reconocimiento de que las horas empleadas en la reunión sindical convocada por la Unión General de Trabajadores (UGT) el 24 de noviembre de 1983 lo fueron en el ejercicio de las funciones de representación de los recurrentes, pudiendo contabilizar tales horas en el crédito horario retribuido, así como la adopción de las medidas necesarias a fin de restablecer la integridad del derecho de libertad sindical violado.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Admitido a trámite el recurso y recibidas las actuaciones recabadas de la Magistratura, por providencia de 3 de octubre, se acordó poner tales actuaciones de manifiesto a la representación demandante y al Ministerio Fiscal para que formulasen sus alegaciones, lo que efectivamente cumplimentaron. </w:t>
      </w:r>
    </w:p>
    <w:p w:rsidR="001C705E" w:rsidRDefault="001C705E" w:rsidP="001C705E">
      <w:pPr>
        <w:pStyle w:val="TextoNormal"/>
      </w:pPr>
      <w:r>
        <w:t xml:space="preserve">La parte demandante, tras ratificar el contenido de la demanda, insiste muy particularmente en la interpretación que este Tribunal viene señalando reiteradamente sobre el derecho a la libertad sindical, consagrado en el art. 28.1 de la Constitución Española, tanto sobre su contenido como sobre su alcance. Además de las Sentencias que citó en la fundamentación jurídica del recurso, significa que en nuestra Sentencia de 25 de marzo de 1983, núm. 23, se dice que la enumeración de derechos que contiene el art. 28.1 es meramente ejemplificativa, no agota el contenido de la libertad sindical, y no puede interpretarse en el sentido de limitar o desconocer otros derechos concretos que están implícitos en la norma constitucional o hacen el contenido global de esta libertad. Asimismo destaca que en Sentencias de este Tribunal de 23 de noviembre de 1981 y 25 de marzo de 1983, antes citada, entre otras, de acuerdo con el art. 10.2 de la Constitución Española, se señala que las cláusulas relativas a derechos fundamentales y a las libertades han de interpretarse de conformidad con la Declaración Universal de Derechos Humanos y los Tratados y Acuerdos internacionales ratificados por España, y que en el campo laboral se ha de resaltar el valor de los Convenios de la OIT y de otros pactos internacionales, e incluso se han utilizado los criterios de las Recomendaciones de la OIT o de las Resoluciones de su Comité de Libertad Sindical. </w:t>
      </w:r>
    </w:p>
    <w:p w:rsidR="001C705E" w:rsidRDefault="001C705E" w:rsidP="001C705E">
      <w:pPr>
        <w:pStyle w:val="TextoNormal"/>
      </w:pPr>
      <w:r>
        <w:t>Circunscribiendo la cuestión al contenido objetivo del recurso, afirma que en el ámbito del derecho a la libertad sindical se comprende el ejercicio de las funciones de representa</w:t>
      </w:r>
      <w:r>
        <w:lastRenderedPageBreak/>
        <w:t xml:space="preserve">ción de los representantes sindicales cuando asisten a reuniones sindicales (cursos de formación, seminarios, congresos o conferencias sindicales), muy particularmente cuando estas reuniones tienen lugar mediante convocatoria específica de los Sindicatos legalmente constituidos a los representantes sindicales como tales representantes, en el sentido y a tenor de lo establecido en los arts. 68 e) y 37 e) del Estatuto de los Trabajadores. Esto es, que se puede disponer del crédito de horas mensuales retribuidas por los miembros del Comité o delegados de personal para asistir a referidas reuniones sindicales, por considerarse dentro de las funciones de representación. No interpretarlo así entiende la representación demandante que conlleva claramente una conculcación y limitación de este derecho concreto de los representantes sindicales, haciendo ineficaz su función representativa y, en definitiva, supone una evidente violación del derecho constitucional a la libertad sindical. </w:t>
      </w:r>
    </w:p>
    <w:p w:rsidR="001C705E" w:rsidRDefault="001C705E" w:rsidP="001C705E">
      <w:pPr>
        <w:pStyle w:val="TextoNormal"/>
      </w:pPr>
      <w:r>
        <w:t>Concluye reiterando los demás fundamentos y el suplico de la demanda.</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En su escrito de alegaciones, el Ministerio Fiscal localiza el contenido constitucional del debate en la determinación de si en el presente caso la resolución impugnada viola el derecho a la libertad sindical, lo que a su vez viene determinado por la cuestión de si las horas no trabajadas y no remuneradas eran o no dedicadas a la función de representación. </w:t>
      </w:r>
    </w:p>
    <w:p w:rsidR="001C705E" w:rsidRDefault="001C705E" w:rsidP="001C705E">
      <w:pPr>
        <w:pStyle w:val="TextoNormal"/>
      </w:pPr>
      <w:r>
        <w:t xml:space="preserve">La resolución impugnada -expone el Fiscal- establece una interpretación de la diferencia entre la actividad sindical y la actividad representativa, que no supone interpretación restrictiva respecto al contenido de la representación; dicha resolución afirma que el art. 68 e) se aplica solamente a la actividad de la representación dirigida a facilitar el entendimiento entre los empleados y la Empresa, y declara excluidos los actos que sólo afecten al trabajador como miembro de un Sindicato. No niega la Sentencia que la formación del representante no esté protegida por el art. 68 e) del Estatuto de los Trabajadores, lo que dice únicamente es que los demandantes no han acreditado que su falta horaria fuese en representación de los trabajadores, y ello cambia completamente la dirección del problema. De las actuaciones obrantes en el recurso no aparece que las horas discutidas fueran dedicadas a la formación de los representantes -ya que en la demanda se refieren a «Convocatoria recibida de la Unión General de Trabajadores», pero no se acredita para qué-. De otra parte, en la confesión judicial de uno de los recurrentes se afirma que cuando se solicitó el permiso no se dijo a la Empresa para qué era. De todo lo cual deduce el Ministerio Fiscal que no se ha acreditado, habiendo sido fácil hacerlo, que la convocatoria de la UGT fuera realizada con finalidad de perfeccionamiento y formación de los representantes como tales representantes. </w:t>
      </w:r>
    </w:p>
    <w:p w:rsidR="001C705E" w:rsidRDefault="001C705E" w:rsidP="001C705E">
      <w:pPr>
        <w:pStyle w:val="TextoNormal"/>
      </w:pPr>
      <w:r>
        <w:t xml:space="preserve">El Ministerio Fiscal puntualiza que esta inmisión en los hechos, aunque ajena al conocimiento del Tribunal Constitucional, permite llegar a la realidad de saber si esta reunión era de formación, porque ello podría determinar la existencia o no de la violación denunciada, y pone de relieve que el recurrente construye el recurso sobre la existencia de una reunión de formación de los representantes, pero sin acreditarlo, ni siquiera dejarlo en la demanda. La resolución, pues, no viola el derecho a la libertad sindical, sino únicamente establece la interpretación de la norma aplicable al caso concreto, estimando que no es posible la efectividad del art. 68 e), por «no haberse acreditado» la finalidad de la convocatoria. </w:t>
      </w:r>
    </w:p>
    <w:p w:rsidR="001C705E" w:rsidRDefault="001C705E" w:rsidP="001C705E">
      <w:pPr>
        <w:pStyle w:val="TextoNormal"/>
      </w:pPr>
      <w:r>
        <w:t>Concluye el Ministerio Fiscal que estamos ante un claro caso de interpretación de la legalidad ordinaria que corresponde únicamente a la Jurisdicción (art. 117 de la Constitución Española), por lo que interesa que se dicte Sentencia desestimatoria de la demanda.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4</w:t>
      </w:r>
      <w:r>
        <w:t>. Por providencia de 28 de noviembre de 1984 se señaló para deliberación y votación del recurso el día 27 de febrero de 1985, quedando concluida el 13 de marzo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posición de la parte recurrente toma como punto de partida la apreciación de que el derecho a la libertad sindical consagrado en el art.  28.1 de la Constitución comprende, no sólo el de los trabajadores a organizarse sindicalmente, sino además el de los sindicatos de ejercer aquellas actividades que permiten la defensa y protección de los intereses de los propios trabajadores, para argüir seguidamente que para el eficaz ejercicio de sus funciones los representantes sindicales han de disfrutar de una serie de garantías y facilidades, que se incorporan al contenido esencial del derecho de libertad sindical, de todo lo cual se sigue -concluyen- que la Sentencia impugnada, al no computar en el crédito horario el tiempo invertido en la reunión sindical a la que asistieron los recurrentes, que es una de las facilidades de las que han de disponer los representantes sindicales en el desempeño de sus funciones, infringe la libertad sindical.</w:t>
      </w:r>
    </w:p>
    <w:p w:rsidR="001C705E" w:rsidRDefault="001C705E" w:rsidP="001C705E">
      <w:pPr>
        <w:pStyle w:val="TextoNormal"/>
      </w:pPr>
    </w:p>
    <w:p w:rsidR="001C705E" w:rsidRDefault="001C705E" w:rsidP="001C705E">
      <w:pPr>
        <w:pStyle w:val="TextoNormal"/>
      </w:pPr>
      <w:r w:rsidRPr="001C705E">
        <w:rPr>
          <w:rStyle w:val="NumeroAFNegritaCaracter"/>
        </w:rPr>
        <w:t>2</w:t>
      </w:r>
      <w:r>
        <w:t>. El derecho a la libertad sindical constitucionalmente consagrado comprende -en la interpretación del mismo efectuada por este Tribunal- no sólo el derecho de los trabajadores de organizarse sindicalmente, sino además el derecho de los sindicatos de ejercer aquellas actividades que permiten la defensa y protección de los propios trabajadores, de lo que se sigue que para el eficaz ejercicio de sus funciones, los representantes sindicales han de disfrutar de una serie de garantías y facilidades, que de algún modo se incorporan al contenido esencial del derecho de libertad sindical, siendo una de ellas, precisamente la que aquí se cuestiona, la prevista en el art. 68 e) del Estatuto de los Trabajadores, de acuerdo con la cual, los miembros del Comité de Empresa (y los delegados de personal), como representantes legales de los trabajadores, tendrán, a salvo de lo que se disponga en los Convenios Colectivos, la garantía de disponer de un crédito de horas mensuales retribuidas, para el ejercicio de sus funciones de representación, de acuerdo con la escala en tal precepto determinada.</w:t>
      </w:r>
    </w:p>
    <w:p w:rsidR="001C705E" w:rsidRDefault="001C705E" w:rsidP="001C705E">
      <w:pPr>
        <w:pStyle w:val="TextoNormal"/>
      </w:pPr>
      <w:r>
        <w:t>Se trata en suma de una de las garantías integradoras de uno de los núcleos fundamentales de la protección de la acción sindical, residenciada en los representantes sindicales y que tiene la finalidad de otorgarles una protección específica en atención a la compleja posición jurídica que los mismos asumen frente a los empresarios, y de ello será consecuencia que la privación del sistema de protección de que se trata podrá entrañar la violación del derecho de libertad sindical consagrado en el art. 28.1 de la C.E., abriendo la vía del recurso de amparo.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Ciertamente que esta cuestión de la utilización del crédito horario por los representantes de los trabajadores ha seguido una evolución, de algún modo paralela a los cambios operados en la normativa aplicable, sin que sea menester detenerse en el análisis de esa evolución, que por el momento puede decirse que ha plasmado tras la vigencia del Estatuto de los Trabajadores, y en concreto del precepto anteriormente invocado, residenciándose la garantía de que se trata en lo que el texto legal expresa, esto es, en una actividad o actuación de los integrantes de los Comités de Empresa calificable como comprendida en el ejercicio de las funciones de representación, tesis que a su vez podría cobijar alguna </w:t>
      </w:r>
      <w:r>
        <w:lastRenderedPageBreak/>
        <w:t>duda derivada del ámbito o alcance que deba darse a esa expresión legal, en lo que no obstante es impertinente entrar en el caso actual, toda vez que en el mismo se desconoce la finalidad de las reuniones, la asistencia a las cuales, con el consiguiente impago de las remuneraciones por la Empresa, determinaron el proceso ante la Jurisdicción laboral, y tras él la presente demanda de amparo, porque examinado tanto este recurso constitucional como el ordinario que le antecedió, lo único que consta es que mediaron convocatorias recibidas de la Central Sindical, por tener los destinatarios la calidad de miembros del Comité de Empresa, obrando en autos sendas comunicaciones del Comité Provincial del Sindicato al Director de la Empresa, refiriendo que determinado trabajador «ha sido convocado a una reunión» que se celebrará en el lugar, día y hora que se expresa, y también justificación documental de las asistencias producidas a esa reunión, todo sin más especificación permisiva del conocimiento de la naturaleza, carácter y finalidad de aquellos actos, no obstante precisarse en las autorizaciones emitidas por la Empresa, que se concedían para asuntos particulares, con recuperación de las horas correspondientes al permiso.</w:t>
      </w:r>
    </w:p>
    <w:p w:rsidR="001C705E" w:rsidRDefault="001C705E" w:rsidP="001C705E">
      <w:pPr>
        <w:pStyle w:val="TextoNormal"/>
      </w:pPr>
    </w:p>
    <w:p w:rsidR="001C705E" w:rsidRDefault="001C705E" w:rsidP="001C705E">
      <w:pPr>
        <w:pStyle w:val="TextoNormal"/>
      </w:pPr>
      <w:r w:rsidRPr="001C705E">
        <w:rPr>
          <w:rStyle w:val="NumeroAFNegritaCaracter"/>
        </w:rPr>
        <w:t>4</w:t>
      </w:r>
      <w:r>
        <w:t>. Cuanto antecede conduce a una Sentencia denegatoria del solicitado amparo.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presente recurso de amparo.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trece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4" w:name="SENTENCIA_1985_41"/>
      <w:r>
        <w:lastRenderedPageBreak/>
        <w:t>SENTENCIA 41/1985, de 14 de marzo de 1985</w:t>
      </w:r>
    </w:p>
    <w:bookmarkEnd w:id="44"/>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ECLI:ES:TC:1985:41</w:t>
      </w:r>
    </w:p>
    <w:p w:rsidR="001C705E" w:rsidRDefault="001C705E" w:rsidP="001C705E">
      <w:pPr>
        <w:pStyle w:val="SntesisDescriptiva"/>
      </w:pPr>
    </w:p>
    <w:p w:rsidR="001C705E" w:rsidRDefault="001C705E" w:rsidP="001C705E">
      <w:pPr>
        <w:pStyle w:val="SntesisDescriptiva"/>
      </w:pPr>
      <w:r>
        <w:t>Recurso de amparo 291/1984. Inadmisión a trámite de recurso de apelación por interposición extemporánea</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vulneración del derecho a la tutela judicial podrá producirse en determinadas situaciones en las que se venga a privar de un recurso que la normativa procesal aplicable atribuye a quien pretende deducirlo, lo que ha de comportar la posibilidad de evitarse por esta vía de recurso constitucional de amparo, bien que ello no pueda ser equivalente a la institución o reconocimiento de un trámite más, de una instancia terminal adicionada y como a guisa de prolongación de la cadena de posibilidades que los ordenamientos procesales prevén, ante una inicial negativa a la admisión a trámite de un recurso.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291/1984, promovido por la Compañía mercantil «ADA, Ayuda del Automovilista, Sociedad Anónima», representada por la Procuradora doña Elsa María Fuentes García y bajo la dirección del Abogado don Enrique García Torralba, contra la providencia dictada con fecha 4 de agosto de 1983 por el Juzgado de Instrucción núm. 7 de Madrid, en las diligencias previas 1.737/1982-P, acordando no haber lugar a tener por interpuesto recurso de apelación contra Auto de 18 de mayo de 1983, que confirmó otro anterior que disponía el archivo de las actuaciones; impugnándose también los Autos de la Sección Tercera de la Audiencia Provincial de Madrid de 22 de diciembre de 1983 y 6 de marzo de 1984, confirmatorios, en queja y súplica, de las anteriores resoluciones. </w:t>
      </w:r>
    </w:p>
    <w:p w:rsidR="001C705E" w:rsidRDefault="001C705E" w:rsidP="001C705E">
      <w:pPr>
        <w:pStyle w:val="TextoNormalCentrado"/>
        <w:keepNext/>
      </w:pPr>
      <w:r>
        <w:t xml:space="preserve">Ha intervenido el Ministerio Fiscal. </w:t>
      </w:r>
    </w:p>
    <w:p w:rsidR="001C705E" w:rsidRDefault="001C705E" w:rsidP="001C705E">
      <w:pPr>
        <w:pStyle w:val="TextoNormal"/>
      </w:pPr>
      <w:r>
        <w:t>Ha sido Ponente el Magistrado don Francisco Pera Verdaguer,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Por escrito que tuvo entrada en este Tribunal el día 18 de abril de 1984, doña Elsa María Fuentes García, Procuradora de los Tribunales, promovió recurso de amparo constitucional, en nombre y representación de la Compañía mercantil «ADA, Ayuda del Automovilista, Sociedad Anónima», invocaba la violación del art. 24 de la Constitución, que imputa a la providencia de 4 de agosto de 1983, dictada por el Juzgado de Instrucción núm.7 de los de Madrid, en las diligencias previas núm. 1.737/1982-P, así como a los Autos de 22 de diciembre de 1983 y 6 de marzo de 1984, dictados ambos por la Sección Tercera de la Audiencia Provincial de Madrid, en el recurso de queja y súplica interpuesto ante aquélla pidiendo que se declare la nulidad de dichas resoluciones judiciales, en cuanto la primera declara no haber lugar a tener por interpuesto recurso de apelación contra el Auto de archivo de las diligencias previas núm. 1.737/1982-P, y, en cuanto a los segundos, en la medida en que declaran la desestimación de los recursos de queja y súplica dictados en el procedimiento 232/1983. Todo ello con la pretensión de que se declare que el Juez de Instrucción núm. 7 de los de Madrid viene obligado a admitir a trámite el recurso de apelación formulado en su día contra el Auto de 21 de diciembre de 1982, declaratorio del archivo de las diligencias previas 1.737/1982-P, dándole la tramitación que previene la Ley y restableciendo a «ADA, Sociedad Anónima», en el ejercicio de su derecho. </w:t>
      </w:r>
    </w:p>
    <w:p w:rsidR="001C705E" w:rsidRDefault="001C705E" w:rsidP="001C705E">
      <w:pPr>
        <w:pStyle w:val="TextoNormal"/>
      </w:pPr>
      <w:r>
        <w:t xml:space="preserve">Funda la demandante su escrito en los siguientes hechos: </w:t>
      </w:r>
    </w:p>
    <w:p w:rsidR="001C705E" w:rsidRDefault="001C705E" w:rsidP="001C705E">
      <w:pPr>
        <w:pStyle w:val="TextoNormal"/>
      </w:pPr>
      <w:r>
        <w:t xml:space="preserve">A) El 3 de mayo de 1982, «ADA, Sociedad Anónima», interpuso querella por el presunto delito de defraudación de la propiedad industrial y de competencia ilícita contra don Manuel Fernández Rodríguez y los administradores de las Sociedades «Pronto Socorro, Sociedad Anónima», y «Lavamóvil, Sociedad Anónima»; el 21 de diciembre de 1982, el Juzgado instructor de la causa -el núm. 7 de los de Madrid- dictó Auto de archivo de las actuaciones; Auto que fue recurrido en reforma por la querellante el 31 de diciembre de 1982, siendo desestimado el recurso por Auto de 18 de mayo de 1983. </w:t>
      </w:r>
    </w:p>
    <w:p w:rsidR="001C705E" w:rsidRDefault="001C705E" w:rsidP="001C705E">
      <w:pPr>
        <w:pStyle w:val="TextoNormal"/>
      </w:pPr>
      <w:r>
        <w:t xml:space="preserve">B) Alega la recurrente que, dadas las fechas en que se interpuso el recurso de reforma (últimos días del mes de diciembre) y ante la eventualidad de que dicho recurso se resolviese en el plazo perentorio que la Ley señala, el Letrado director de la causa dejó en poder del Procurador de la querellante escrito de interposición de recurso de apelación, para el supuesto de que fuera desestimado el de reforma y dejando en blanco las fechas pertinentes. </w:t>
      </w:r>
    </w:p>
    <w:p w:rsidR="001C705E" w:rsidRDefault="001C705E" w:rsidP="001C705E">
      <w:pPr>
        <w:pStyle w:val="TextoNormal"/>
      </w:pPr>
      <w:r>
        <w:t xml:space="preserve">C) Dictado el Auto desestimatorio del recurso de reforma el 18 de mayo de 1983, el Letrado dio instrucciones al Procurador para que presentara inmediatamente el escrito que había dejado en su poder, previa datación. Dos días después, el Procurador comunicó al Letrado haber presentado en tiempo y forma el escrito de interposición de la apelación, datado en fecha de 23 de mayo. </w:t>
      </w:r>
    </w:p>
    <w:p w:rsidR="001C705E" w:rsidRDefault="001C705E" w:rsidP="001C705E">
      <w:pPr>
        <w:pStyle w:val="TextoNormal"/>
      </w:pPr>
      <w:r>
        <w:t xml:space="preserve">D) El 18 de octubre de 1983 se notifican a la recurrente la diligencia y providencia siguientes, ambas de fecha 4 de agosto anterior: «Diligencia: La extiendo yo, el Secretario, para hacer constar y dar cuenta de que en el día de la fecha se me participa por el funcionario encargado de la tramitación de las presentes diligencias previas que a su regreso de vacaciones, iniciadas el día 1 de julio próximo pasado, ha hallado en el interior de las diligencias el precedente escrito con la fotocopia que lo acompaña, y sin que dicho escrito le haya sido entregado a dicho funcionario con anterioridad al inicio de sus vacaciones. Madrid a 4 de agosto de 1983.» «Providencia: Dada cuenta, el escrito precedente únase a las </w:t>
      </w:r>
      <w:r>
        <w:lastRenderedPageBreak/>
        <w:t xml:space="preserve">diligencias previas de su razón, y no ha lugar a lo en el mismo solicitado, por haberse articulado fuera de plazo, estándose en un todo a lo acordado en el Auto de 18 de mayo de 1983 y no de 21 de mayo, como se indica en el escrito que se une.» </w:t>
      </w:r>
    </w:p>
    <w:p w:rsidR="001C705E" w:rsidRDefault="001C705E" w:rsidP="001C705E">
      <w:pPr>
        <w:pStyle w:val="TextoNormal"/>
      </w:pPr>
      <w:r>
        <w:t xml:space="preserve">E) Tras ratificarse el Procurador de la querellante en que había presentado dentro de plazo el recurso de apelación indicado, el Letrado se entrevistó con el Juez instructor, quien le aseguró que el escrito se había presentado fuera de plazo, de lo que tenía constancia tras haber realizado una rigurosa investigación en su Juzgado. </w:t>
      </w:r>
    </w:p>
    <w:p w:rsidR="001C705E" w:rsidRDefault="001C705E" w:rsidP="001C705E">
      <w:pPr>
        <w:pStyle w:val="TextoNormal"/>
      </w:pPr>
      <w:r>
        <w:t xml:space="preserve">F) No satisfecho con la motivación ofrecida, la querellante interpuso recurso de reforma preparatorio del de queja contra la providencia transcrita e interpuso querella criminal en averiguación de los hechos acaecidos y de las responsabilidades surgidas, ya por el Juzgado ya por parte del propio Procurador, que fue admitida a trámite por el Juzgado de Instrucción núm. 18 (sumario 56/1984). </w:t>
      </w:r>
    </w:p>
    <w:p w:rsidR="001C705E" w:rsidRDefault="001C705E" w:rsidP="001C705E">
      <w:pPr>
        <w:pStyle w:val="TextoNormal"/>
      </w:pPr>
      <w:r>
        <w:t xml:space="preserve">G) El recurso de reforma fue desestimado por Auto de 8 de noviembre de 1983. Entendió el Juez que el de apelación no se había presentado dentro de plazo y que carecía de toda base fáctica afirmar que el escrito se presentó en plazo, toda vez que esta afirmación debía ser acreditada mediante la oportuna diligencia, considerando que no era creíble la afirmación de que el escrito se había presentado en la Secretaría del Juzgado, ni por ésta se había extendido la diligencia correspondiente. </w:t>
      </w:r>
    </w:p>
    <w:p w:rsidR="001C705E" w:rsidRDefault="001C705E" w:rsidP="001C705E">
      <w:pPr>
        <w:pStyle w:val="TextoNormal"/>
      </w:pPr>
      <w:r>
        <w:t xml:space="preserve">H) El 15 de noviembre de 1983 fue interpuesto recurso de queja ante la Sección Tercera de la Audiencia Provincial. El Fiscal informó el 9 de diciembre siguiente en el sentido de que, ante la duda de que el escrito presentado no hubiese sido proveído por el Juzgado oportunamente y para no perjudicar la defensa de la parte, se debía admitir el recurso de queja y, por tanto, acceder a la apelación interpuesta, siempre que la fecha del escrito se encontrase dentro del término hábil de interposición. </w:t>
      </w:r>
    </w:p>
    <w:p w:rsidR="001C705E" w:rsidRDefault="001C705E" w:rsidP="001C705E">
      <w:pPr>
        <w:pStyle w:val="TextoNormal"/>
      </w:pPr>
      <w:r>
        <w:t xml:space="preserve">El 22 de diciembre de 1983, la Audiencia dictó Auto desestimatorio del recurso de queja, por entender que el escrito no fue presentado dentro del plazo legal y que la recurrente podía haber exigido la diligencia del Secretario en la presentación del escrito, para acreditar que la interposición lo había sido en el tiempo adecuado, o utilizar la presentación en el Decanato o en el Juzgado de Guardia. </w:t>
      </w:r>
    </w:p>
    <w:p w:rsidR="001C705E" w:rsidRDefault="001C705E" w:rsidP="001C705E">
      <w:pPr>
        <w:pStyle w:val="TextoNormal"/>
      </w:pPr>
      <w:r>
        <w:t xml:space="preserve">I) El 26 de enero se interpuso recurso de súplica contra la anterior resolución, siendo desestimado por Auto de 6 de marzo siguiente, por entender que no se había podido demostrar la presentación en tiempo del recurso de apelación. </w:t>
      </w:r>
    </w:p>
    <w:p w:rsidR="001C705E" w:rsidRDefault="001C705E" w:rsidP="001C705E">
      <w:pPr>
        <w:pStyle w:val="TextoNormal"/>
      </w:pPr>
      <w:r>
        <w:t>J) Alega la recurrente que de la declaración prestada por el Oficial encargado de la tramitación de estas diligencias ante el Juzgado de Instrucción núm. 18 resulta que efectivamente se produjo la investigación de que se ha hecho mérito en el apartado E) de estos antecedentes, pero que, en el momento en que realizó dicha investigación resulta que de los 10 funcionarios de plantilla de dicho Juzgado, entre Oficiales y Auxiliares, sólo se encontraban presentes (el 4 de agosto de 1983) tres de ellos.</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demandante funda su pretensión de amparo en que carecen de consistencia las argumentaciones ofrecidas en la desestimación de los recursos deducidos: La presentación de la apelación en el Juzgado de Guardia o en el Decanato o, incluso, exigir la diligencia de presentación, constituyen un derecho de la recurrente, pero nunca una obligación; por el contrario, sí era obligación del funcionario judicial extender la diligencia de presentación «en todo caso», como la Ley señala. Por tanto, la falta de acreditación de la fecha de presentación no es imputable a la parte, sino al órgano judicial, por no haber cumplido la obligación que la Ley le impone. La falta de cumplimiento de una obligación por parte de un órgano judicial no puede traducirse en perjuicio de la parte en una materia tan grave </w:t>
      </w:r>
      <w:r>
        <w:lastRenderedPageBreak/>
        <w:t xml:space="preserve">como privarla de su derecho a recurso. La afirmación de que el recurso fue presentado fuera de plazo legal se fundamenta en una investigación realizada en un momento en que se encontraban ausentes del Juzgado el 70 por 100 de los funcionarios que teóricamente podían haber recibido el recurso. Considera el recurrente absolutamente insuficiente la investigación realizada para adoptar una decisión tan grave como la privación del derecho a recurso. </w:t>
      </w:r>
    </w:p>
    <w:p w:rsidR="001C705E" w:rsidRDefault="001C705E" w:rsidP="001C705E">
      <w:pPr>
        <w:pStyle w:val="TextoNormal"/>
      </w:pPr>
      <w:r>
        <w:t>Por todo ello entiende la recurrente que se la ha privado de su derecho a recurrir una decisión judicial imponiéndole las consecuencias dañosas de la falta de cumplimiento de sus obligaciones por parte de un órgano judicial, lo que se traduce en una vulneración del art. 24 de la Constitución al haberse producido indefensión.</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Por providencia de 6 de junio de 1984 se admitió a trámite la demanda de amparo y, recibidas que fueron las actuaciones recabadas al Juzgado de Instrucción, por providencia de 26 de septiembre se acordó dar vista de tales actuaciones a la parte demandante y al Ministerio Fiscal por plazo de veinte días en el que formularon sus alegaciones. </w:t>
      </w:r>
    </w:p>
    <w:p w:rsidR="001C705E" w:rsidRDefault="001C705E" w:rsidP="001C705E">
      <w:pPr>
        <w:pStyle w:val="TextoNormal"/>
      </w:pPr>
      <w:r>
        <w:t xml:space="preserve">La demandante da por reproducidas las de la demanda centrando la cuestión en la negativa del Juzgado a admitir la apelación por una causa cuya existencia última es el incumplimiento por el Juzgado del deber de poner nota de presentación al pie del escrito presentado; ciertamente el presentante tiene derecho a pedir que se le entregue documento acreditativo de la presentación, pero el funcionario judicial tiene la obligación de poner la nota de tal presentación. </w:t>
      </w:r>
    </w:p>
    <w:p w:rsidR="001C705E" w:rsidRDefault="001C705E" w:rsidP="001C705E">
      <w:pPr>
        <w:pStyle w:val="TextoNormal"/>
      </w:pPr>
      <w:r>
        <w:t xml:space="preserve">El Ministerio Fiscal expone en su escrito de alegaciones que la cuestión a dilucidar en esta sede constitucional se reduce a si la decisión del Juzgado de Instrucción, confirmada por la Audiencia, de rechazar el recurso de apelación, lesiona o no el art. 24 de la Constitución, lo que le lleva al análisis de las resoluciones judiciales impugnadas desde una perspectiva constitucional. La providencia judicial de inadmisión del recurso tiene un fundamento escueto, pero claro: Haberse articulado fuera de plazo. Al desestimarse por el Juzgado, por Auto de 8 de noviembre de 1983, el recurso interpuesto contra la providencia, se razona (considerando 2. ) que cuando el recurso de apelación contra los Autos de archivo se interpone separadamente, y no de forma conjunta y con carácter subsidiario del de reforma, ha de hacerse en el plazo improrrogable de cinco días, conforme a los arts. 202 y 212 de la Ley de Enjuiciamiento Criminal, lo que no se cumplió en el presente caso, y la resolución impugnada ganó firmeza. La contraria afirmación del recurrente de que se articuló en plazo carece para el Juzgado de base fáctica alguna, puesto que no se entregó en la Secretaria del Juzgado, como lo demuestra el que no existiera ninguna diligencia al respecto. </w:t>
      </w:r>
    </w:p>
    <w:p w:rsidR="001C705E" w:rsidRDefault="001C705E" w:rsidP="001C705E">
      <w:pPr>
        <w:pStyle w:val="TextoNormal"/>
      </w:pPr>
      <w:r>
        <w:t xml:space="preserve">Desde otro plano, el Juzgado expresa su extrañeza de que la providencia se impugne mediante un recurso de reforma preparatorio del de queja, al amparo del art. 388 de la Ley de Enjuiciamiento Civil, que se refiere a la apelación en doble efecto contra resoluciones dictadas por los Jueces de Primera Instancia, desconociendo el específico régimen jurídico de los medios de impugnación de la Ley de Enjuiciamiento Criminal, que, cuando al de queja se refiere, en los supuestos de utilizarse contra Autos no apelables del Juez o contra resoluciones en que se denegare la admisión de un recurso de apelación habrá de producirse ante el Tribunal superior, de conformidad con los arts. 218 y 219, párrafo 2. , de la Ley de Enjuiciamiento Criminal. </w:t>
      </w:r>
    </w:p>
    <w:p w:rsidR="001C705E" w:rsidRDefault="001C705E" w:rsidP="001C705E">
      <w:pPr>
        <w:pStyle w:val="TextoNormal"/>
      </w:pPr>
      <w:r>
        <w:t xml:space="preserve">Las resoluciones de la Audiencia que se impugnan son también razonadas y fundadas. La primera es el Auto de 22 de diciembre de 1983 que desestima «el recurso de queja interpuesto... contra la providencia de 4 de agosto de 1983». El recurso, formalizado por </w:t>
      </w:r>
      <w:r>
        <w:lastRenderedPageBreak/>
        <w:t xml:space="preserve">escrito de 15 de noviembre de 1983, se dice interpuesto, en el encabezamiento, contra el Auto de 8 de noviembre de 1983 (párrafo III) y se discrepa de su argumentación (párrafo IV), y, sin embargo, del conjunto de su alegato se deduce que la resolución que se impugnaba era la providencia tantas veces citada. Así se dice en el párrafo I de las alegaciones «que la providencia recurrida no es mantenible» y en el suplico se lee que «se sirva tener por interpuesto recurso de queja contra la providencia de fecha 4 de agosto de 1983 dictada por el Juzgado de Instrucción núm. 7». </w:t>
      </w:r>
    </w:p>
    <w:p w:rsidR="001C705E" w:rsidRDefault="001C705E" w:rsidP="001C705E">
      <w:pPr>
        <w:pStyle w:val="TextoNormal"/>
      </w:pPr>
      <w:r>
        <w:t xml:space="preserve">La Audiencia motiva ampliamente la desestimación del recurso de queja en tres considerandos. </w:t>
      </w:r>
    </w:p>
    <w:p w:rsidR="001C705E" w:rsidRDefault="001C705E" w:rsidP="001C705E">
      <w:pPr>
        <w:pStyle w:val="TextoNormal"/>
      </w:pPr>
      <w:r>
        <w:t xml:space="preserve">Subraya en el primero el relato cronológico y detallado de lo acontecido, como premisa de la que hay que partir para ulteriores consideraciones jurídicas, destacando, entre otros datos, que el Auto del Juzgado que desestimó la reforma contra el que acordó el archivo le fue notificado al Procurador de la Entidad recurrente el día 21 de mayo de 1983 y que hasta el día 4 de agosto siguiente no se constata objetiva y documentalmente ninguna actividad procesal de aquélla, no figurando en el escrito que se interponía recurso de apelación ninguna diligencia de presentación, lo que completa la Sala, en el considerando 2. , razonando que hasta el 27 de mayo de 1983, en que concluyó el plazo para interponerse el recurso, ni en todo el mes de junio, aparece presentado ni entregado al Oficial encargado de la tramitación del procedimiento, de lo que deduce, de forma no irrazonable, que el escrito no fue presentado dentro del plazo legal, dada la perentoriedad del mismo. </w:t>
      </w:r>
    </w:p>
    <w:p w:rsidR="001C705E" w:rsidRDefault="001C705E" w:rsidP="001C705E">
      <w:pPr>
        <w:pStyle w:val="TextoNormal"/>
      </w:pPr>
      <w:r>
        <w:t xml:space="preserve">Termina su argumentación la Audiencia en un tercer considerando, para reforzar su convicción de la extemporaneidad del recurso, en que la parte pudo exigir, conforme al art. 206 de la Ley de Enjuiciamiento Criminal, la «diligencia» del Secretario en la presentación del escrito o haberlo presentado en el Decanato o en el Juzgado de Guardia, aparte de su derecho a denunciar cualquier retraso o anomalía en la tramitación, sin olvidar tampoco las garantías constitucionales y legales de los querellados de que se cerrara el proceso cuando legalmente procediera a no verse indefinidamente afectadas por el deseo de la querellante de mantenerlo abierto. </w:t>
      </w:r>
    </w:p>
    <w:p w:rsidR="001C705E" w:rsidRDefault="001C705E" w:rsidP="001C705E">
      <w:pPr>
        <w:pStyle w:val="TextoNormal"/>
      </w:pPr>
      <w:r>
        <w:t xml:space="preserve">En el nuevo Auto que dicta la Audiencia, en el que desestima el recurso de súplica interpuesto contra la anterior, se reiteran básicamente los argumentos ya resumidos, insistiéndose en no haberse acreditado en forma fehaciente la presentación en tiempo y forma del recurso, sin haberse respetado la improrrogabilidad de los plazos con la pretensión de burlar la caducidad y evitar la firmeza del archivo y de hacer prevalecer su opinión y criterio sobre la del Juzgado y la de la Sala. </w:t>
      </w:r>
    </w:p>
    <w:p w:rsidR="001C705E" w:rsidRDefault="001C705E" w:rsidP="001C705E">
      <w:pPr>
        <w:pStyle w:val="TextoNormal"/>
      </w:pPr>
      <w:r>
        <w:t xml:space="preserve">En cuanto a la querella anunciada por la querellante contra los funcionarios judiciales, la Sala entiende que en el correspondiente proceso se depurarán las responsabilidades pertinentes de aquéllos y de los propios querellantes, en su caso, lo que «no afecta ni altera nada los argumentos de esta Sala». </w:t>
      </w:r>
    </w:p>
    <w:p w:rsidR="001C705E" w:rsidRDefault="001C705E" w:rsidP="001C705E">
      <w:pPr>
        <w:pStyle w:val="TextoNormal"/>
      </w:pPr>
      <w:r>
        <w:t xml:space="preserve">Tras el examen de la jurisprudencia constitucional que considera aplicable al caso, entiende el Ministerio Fiscal que la Entidad querellante, hoy recurrente en amparo, tenía derecho en principio a interponer el recurso de apelación contra el Auto que desestimó el de reforma conforme a los arts. 217, inciso último, y 789, párrafo último, inciso primero, ambos de la Ley de Enjuiciamiento Criminal. Pudo interponerlo subsidiariamente con el de reforma, de acuerdo con el art. 222, párrafo primero, de la misma Ley y praxis generalizada en el proceso penal, con lo cual su tramitación, al desestimarse el de reforma, hubiera sido automática, aunque, desde luego, no estaba obligada a hacerlo, eligiendo la vía de formalizar por separado ambos recursos. Pero al hacerlo así tenía que haber estado especialmente atenta a realizarlo dentro del plazo de cinco días exigido por el art. 212, párrafo </w:t>
      </w:r>
      <w:r>
        <w:lastRenderedPageBreak/>
        <w:t xml:space="preserve">primero, de la Ley citada, que comenzaba a computarse, en el caso concreto, a partir del siguiente a la notificación del Auto que denegó la reforma, que fue el día 21 de mayo de 1983, y ni en esos días, ni en todo el mes de junio, aparece ninguna diligencia de su presentación. </w:t>
      </w:r>
    </w:p>
    <w:p w:rsidR="001C705E" w:rsidRDefault="001C705E" w:rsidP="001C705E">
      <w:pPr>
        <w:pStyle w:val="TextoNormal"/>
      </w:pPr>
      <w:r>
        <w:t xml:space="preserve">En plazo de interposición del recurso era improrrogable, conforme al art. 202 de la Ley de Enjuiciamiento Criminal, y sólo podía abrirse de nuevo excepcionalmente por causa justa y probada, reputándose por tal, según el mismo precepto, la imposibilidad de su cumplimiento. </w:t>
      </w:r>
    </w:p>
    <w:p w:rsidR="001C705E" w:rsidRDefault="001C705E" w:rsidP="001C705E">
      <w:pPr>
        <w:pStyle w:val="TextoNormal"/>
      </w:pPr>
      <w:r>
        <w:t xml:space="preserve">La «breve nota» que ha de extender el Secretario, conforme al art. 206 de la Ley procesal penal, ha permanecido inalterable, en su redacción actual, desde la promulgación de la Ley de Enjuiciamiento Criminal el 14 de septiembre de 1882, y concuerda con la de la anterior, con la compilación reformada, con la vieja Ley Orgánica del Poder Judicial y aun con las antiguas Ordenanzas de las Audiencias. </w:t>
      </w:r>
    </w:p>
    <w:p w:rsidR="001C705E" w:rsidRDefault="001C705E" w:rsidP="001C705E">
      <w:pPr>
        <w:pStyle w:val="TextoNormal"/>
      </w:pPr>
      <w:r>
        <w:t xml:space="preserve">Tiene evidente importancia, pues marca el punto de partida del plazo, para evitar toda demora, ofreciendo al que presenta un escrito, para mayor garantía, la posibilidad de que la nota se extienda a su presencia y, si lo solicitare, el derecho a que se le facilite documento suficiente para acreditar la presentación realizada. El Secretario es el único que puede dar fe de los actos de documentación con el valor a todos los efectos de lo que afirma, o no afirma, en su condición de fedatario. La anomalía de aparecer en este caso con bastante posterioridad, el escrito-recurso, determinará en lo disciplinario, y aun en lo penal, las correspondientes investigaciones y responsabilidades, si procedieran; pero, como razona la Audiencia, «no afecta ni altera nada» todos los argumentos en virtud de los cuales el Juzgado primero y la Sala después llegaron a la convicción, no irrazonable, de la extemporaneidad del recurso y, en consecuencia, su fundada y obligada desestimación. </w:t>
      </w:r>
    </w:p>
    <w:p w:rsidR="001C705E" w:rsidRDefault="001C705E" w:rsidP="001C705E">
      <w:pPr>
        <w:pStyle w:val="TextoNormal"/>
      </w:pPr>
      <w:r>
        <w:t xml:space="preserve">Puede concluirse que la supuesta vulneración del derecho fundamental por no admitirse el recurso de apelación, para que prosperara el amparo impetrado, tendría que fundarse en que los órganos del Poder Judicial habían infringido de manera clara la normativa vigente sobre el régimen jurídico de los recursos, lo que evidentemente no fue así, o que habían hecho de la misma una interpretación desfavorecedora del derecho fundamental de manera manifiestamente arbitraria e irrazonable. Muy por el contrario, sus razonamientos son amplios y motivados, justificando sus resoluciones en la inactividad de la parte e inexcusable cumplimiento de los términos judiciales, conforme a las atribuciones y competencias que les confiere el art. 117.3 de la Constitución. </w:t>
      </w:r>
    </w:p>
    <w:p w:rsidR="001C705E" w:rsidRDefault="001C705E" w:rsidP="001C705E">
      <w:pPr>
        <w:pStyle w:val="TextoNormal"/>
      </w:pPr>
      <w:r>
        <w:t xml:space="preserve">Por otra parte, la discrepancia en el punto de partida -de lo que alegó en sede judicial y ahora en esta constitucional- es una cuestión de hecho que el art. 44.1 b) de la LOTC impide analizar en el recurso de amparo. </w:t>
      </w:r>
    </w:p>
    <w:p w:rsidR="001C705E" w:rsidRDefault="001C705E" w:rsidP="001C705E">
      <w:pPr>
        <w:pStyle w:val="TextoNormal"/>
      </w:pPr>
      <w:r>
        <w:t>El Ministerio Fiscal significa, finalmente, que la recurrente en amparo no invocó el derecho fundamental presuntamente vulnerado tan pronto como tuvo oportunidad para ello, que fue, sin duda, al recurrir contra la providencia del Juzgado de 4 de agosto de 1983. Ni en este recurso ni el de queja formalizado ante la Audiencia mencionó ningún precepto constitucional, como exige el art. 44.1 c) de la LOTC, para que los órganos judiciales se hubieran podido pronunciar, y no lo hace hasta el último momento, al interponer el recurso de súplica ante la Audiencia, lo que por sí solo podría haber constituido causa de inadmisión, conforma al art. 50.1 b) de la Ley Orgánica de este Tribunal.</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La parte demandante solicitó que se recabasen del Juzgado de Instrucción núm. 18 de Madrid las actuaciones seguidas para el esclarecimiento de los hechos acaecidos ante el </w:t>
      </w:r>
      <w:r>
        <w:lastRenderedPageBreak/>
        <w:t>Juzgado núm. 7, lo que fue denegado por la providencia de 26 de septiembre, que abrió el trámite de alegaciones a que se refieren los antecedentes que preceden.</w:t>
      </w:r>
    </w:p>
    <w:p w:rsidR="001C705E" w:rsidRDefault="001C705E" w:rsidP="001C705E">
      <w:pPr>
        <w:pStyle w:val="TextoNormal"/>
      </w:pPr>
    </w:p>
    <w:p w:rsidR="001C705E" w:rsidRDefault="001C705E" w:rsidP="001C705E">
      <w:pPr>
        <w:pStyle w:val="TextoNormal"/>
      </w:pPr>
      <w:r w:rsidRPr="001C705E">
        <w:rPr>
          <w:rStyle w:val="NumeroAFNegritaCaracter"/>
        </w:rPr>
        <w:t>5</w:t>
      </w:r>
      <w:r>
        <w:t>. Por providencia de 28 de noviembre de 1984 se señaló para deliberación y votación del presente recurso de amparo el día 20 de febrero de 1985, quedando concluida el día 6 de marzo.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derecho que establece el art. 24.1 de la Constitución a obtener la tutela efectiva de los Jueces y Tribunales en el ejercicio de sus derechos e intereses legítimos, sin que, en ningún caso, pueda producirse indefensión, entiende la parte recurrente en amparo que ha sido vulnerado, especialmente en cuanto afecta al último inciso del precepto -indefensión-, al verse privada de la admisión a trámite y, consiguientemente, a obtener resolución final, de recurso de apelación contra determinado Auto dictado en actuaciones de índole penal, motivada tal inadmisión exclusivamente por entender los órganos jurisdiccionales, en uno y otro grado o instancia, que la interposición del referido recurso de apelación lo había sido extemporáneamente, extremo este último no ajustado a la realidad, en sentir del recurrente.</w:t>
      </w:r>
    </w:p>
    <w:p w:rsidR="001C705E" w:rsidRDefault="001C705E" w:rsidP="001C705E">
      <w:pPr>
        <w:pStyle w:val="TextoNormal"/>
      </w:pPr>
      <w:r>
        <w:t>Como acabamos de reflejar, la recurrente, dentro de las posibilidades que brinda el núm. 1 del art. 24 de la C.E., lleva la infracción que denuncia a su último inciso, esto es, a la proscripción de la indefensión, bien que se refiera también al derecho a obtener la tutela efectiva de los Jueces y Tribunales en el ejercicio de sus derechos e intereses legítimos, pero es el caso que en el actual, circunscrita la cuestión a lo que acabamos de anotar en el párrafo que antecede, conviene dejar constancia de que el derecho a la interposición y trámite hasta su resolución de un recurso previsto en el ordenamiento aplicable, a lo que afecta realmente es, en este ámbito constitucional en el que nos hallamos, al derecho a la obtención de la tutela judicial efectiva y, supuesto tal acotamiento, nada obsta a admitir que la vulneración del derecho de que se trata podrá producirse en determinadas situaciones en las que se venga a privar de un recurso que la normativa procesal aplicable atribuya a quien pretende deducirlo, lo que ha de comportar la posibilidad de evitarlo por esta vía de recurso constitucional de amparo, bien que ello no pueda ser equivalente a la institución o reconocimiento de un trámite más, de una instancia terminal adicionada y como a guisa de prolongación de la cadena de posibilidades que los ordenamientos procesales prevén, ante una inicial negativa a la admisión a trámite de un recurso, por lo que será menester analizar con cuidado el supuesto que las actuaciones ofrezcan en cada caso, circunscribiendo el ámbito de esta clase de impugnaciones en demanda de amparo constitucional a aquellos casos en que -lógica y exigiblemente- las anomalías denunciadas o las discrepancias puestas de relieve posean entidad suficiente para advertir la puesta en riesgo del derecho fundamental a que nos venimos refiriendo.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En el caso presente hay que señalar inicialmente que nos hallamos ante unos acuerdos o resoluciones judiciales, en cuya virtud se inadmite a trámite un recurso de apelación, so pretexto de extemporaneidad, pero no es irrelevante que tanto el Juez de Instrucción como la Audiencia Provincial, esto es, en una doble instancia, emitan hasta tres resoluciones en forma de auto, en las que se incluyen una serie de razonamientos -que la parte afectada podrá no compartir- explicativos y en justificación y apoyo de la determinación que </w:t>
      </w:r>
      <w:r>
        <w:lastRenderedPageBreak/>
        <w:t>adoptan, todo lo cual viene a situar la cuestión que este recurso de amparo ofrece, fuera del plano de valorar un repudio de admisión a trámite de un recurso producido de modo irrazonado, ayuno de toda consideración o fundamento posiblemente denotador de un arbitrario ejercicio de potestades dentro del proceso jurisdiccional, o de la aplicación de normas constitucionalmente ilegítimas o que sean interpretadas en sentido no conforme con la Constitución.</w:t>
      </w:r>
    </w:p>
    <w:p w:rsidR="001C705E" w:rsidRDefault="001C705E" w:rsidP="001C705E">
      <w:pPr>
        <w:pStyle w:val="TextoNormal"/>
      </w:pPr>
    </w:p>
    <w:p w:rsidR="001C705E" w:rsidRDefault="001C705E" w:rsidP="001C705E">
      <w:pPr>
        <w:pStyle w:val="TextoNormal"/>
      </w:pPr>
      <w:r w:rsidRPr="001C705E">
        <w:rPr>
          <w:rStyle w:val="NumeroAFNegritaCaracter"/>
        </w:rPr>
        <w:t>3</w:t>
      </w:r>
      <w:r>
        <w:t>. En el apartado b) del núm. 1 del art. 44 de la LOTC se descarta la posibilidad de que entre a conocer el Tribunal Constitucional -en estos recursos de amparo- en los hechos que dieron lugar al proceso en que las violaciones se produjeron, a pesar de lo cual en el presente todas las alegaciones, del único hecho transcendente del que parten, es del consistente en la determinación del día en que el escrito de interposición del recurso de apelación fue presentado en el Juzgado de Instrucción, hecho acerca del cual los órganos de la jurisdicción ordinaria, tras las investigaciones realizadas, y consecuentemente a cuanto resulta de las actuaciones, llegaron a una conclusión y vinieron a determinar una resultancia fáctica que incluso cabría estimar vedada a la consideración de este Tribunal.</w:t>
      </w:r>
    </w:p>
    <w:p w:rsidR="001C705E" w:rsidRDefault="001C705E" w:rsidP="001C705E">
      <w:pPr>
        <w:pStyle w:val="TextoNormal"/>
      </w:pPr>
      <w:r>
        <w:t>No obstante lo anterior, entrando incluso en el examen de la aplicación que aquellos órganos hicieron de la normativa que invocan en sus resoluciones, y que en definitiva es la misma sobre la que arguye el recurrente en amparo, podemos reducir el planteamiento actual a tratar de precisar si el escrito de interposición del recurso de apelación debe estimarse presentado dentro o fuera del plazo legalmente previsto, de conformidad con aquella normativa, punto en el que el recurrente opina que al no constar de modo auténtico el día de tal presentación, e incumplida por el Secretario del Juzgado la obligación de extender al pie del escrito nota expresiva del día y hora de la entrega del mismo, necesariamente hay que entender que se hizo en tiempo hábil.</w:t>
      </w:r>
    </w:p>
    <w:p w:rsidR="001C705E" w:rsidRDefault="001C705E" w:rsidP="001C705E">
      <w:pPr>
        <w:pStyle w:val="TextoNormal"/>
      </w:pPr>
      <w:r>
        <w:t>La Ley Orgánica del Poder Judicial de 15 de septiembre de 1870 dispone en su art. 481.4 que es obligación de los Secretarios anotar los días en que las partes presenten escritos, en concordancia con lo cual en el art. 206 de la Ley de Enjuiciamiento Criminal (que no viene a diferir del 250 de la Ley de Enjuiciamiento Civil) se establece que «El Secretario... en todo caso pondrá al pie de la pretensión, en el acto de recibirla y a presencia de quien se la entregase, una breve nota consignando el día y hora de la entrega y facilitará al interesado que lo pidiere documento bastante para acreditarlo». A su vez, el art. 80.3 del Reglamento Orgánico del Cuerpo de Secretarios de la Administración de Justicia, aprobado por Decreto de 2 de mayo de 1968, les obliga a anotar en los Autos, cuando los términos sean fatales, el día y la hora en que se les presenten los escritos.</w:t>
      </w:r>
    </w:p>
    <w:p w:rsidR="001C705E" w:rsidRDefault="001C705E" w:rsidP="001C705E">
      <w:pPr>
        <w:pStyle w:val="TextoNormal"/>
      </w:pPr>
      <w:r>
        <w:t>Ahora bien, parece ocioso destacar que tal obligación impuesta a los Secretarios, en el sentido de anotar en los escritos, y, consiguientemente, con reflejo en los Autos, el día y aun la hora de la presentación de aquéllos, requiere como inexcusable exigencia que, en efecto, tal presentación se haya producido, ya que de otro modo surge la imposibilidad más absoluta, no precisamente de orden legal, sino más bien física y material. Lo dicho puede parecer, por su obviedad, hasta superfluo. Pero no lo es, porque, en realidad, tal como está planteada aquí esta cuestión, parece difícil imputar al fedatario el incumplimiento de una obligación (con notables consecuencias de ello), como es la de no haber extendido la «nota» al pie del escrito, cuando lo que afirma y aparece de lo actuado es que el escrito en cuestión no le fue presentado, sino que fue hallado por otro funcionario del Juzgado, dentro del proceso, transcurrido el plazo previsto para la apelación.</w:t>
      </w:r>
    </w:p>
    <w:p w:rsidR="001C705E" w:rsidRDefault="001C705E" w:rsidP="001C705E">
      <w:pPr>
        <w:pStyle w:val="TextoNormal"/>
      </w:pPr>
      <w:r>
        <w:t xml:space="preserve">Claro está que la parte recurrente disiente de la anterior, y viene a afirmar que el escrito se presentó en plazo, y ello nos obliga a no menospreciar, y menos a repudiar tal aserto, </w:t>
      </w:r>
      <w:r>
        <w:lastRenderedPageBreak/>
        <w:t>sino antes al contrario, hemos de someterlo a consideración, con lo que ante esas antiestéticas posturas, y en la necesidad de la aceptación de una de ellas, no parece recusable la seguida por los órganos jurisdiccionales, y ello no porque haya de darse primacía -por razón o motivo alguno- a lo aseverado por las personas que sirven en el órgano jurisdiccional, sino porque éstas, dentro del ámbito de lo que les compete, dejan constancia en los autos del hallazgo del escrito, irregularmente situado, y por supuesto fuera del plazo preclusivo establecido, lo que -por lo dicho- imposibilita el cumplimiento de la legal exigencia de la consignación de la «nota» a pie de escrito, sin que ello equivalga a dejar inermes a las partes procesales en tan importante materia, puesto que el mismo ordenamiento les permite -y frente a ello nada puede oponer funcionario alguno, ni en este caso hay acusación sobre este extremo- exigir del receptor el pertinente recibo, expresivo del día y hora de la presentación del escrito de que se trate, posibilidad no ejercitada por el presentador, acerca de lo cual sé que hay conformidad entre una y otra posición.</w:t>
      </w:r>
    </w:p>
    <w:p w:rsidR="001C705E" w:rsidRDefault="001C705E" w:rsidP="001C705E">
      <w:pPr>
        <w:pStyle w:val="TextoNormal"/>
      </w:pPr>
      <w:r>
        <w:t>La ausencia de este recibo, más las investigaciones realizadas al respecto por el Juez instructor, con resultado negativo en orden a acreditar la presentación del documento dentro de plazo, impiden que la aseveración de los Oficiales y del Secretario judicial puedan ser contrarrestadas con la prueba de hechos contrarios a ellas sin que este Tribunal, por lo ya expuesto, sea competente para llevar a cabo nuevas indagaciones.</w:t>
      </w:r>
    </w:p>
    <w:p w:rsidR="001C705E" w:rsidRDefault="001C705E" w:rsidP="001C705E">
      <w:pPr>
        <w:pStyle w:val="TextoNormal"/>
      </w:pPr>
    </w:p>
    <w:p w:rsidR="001C705E" w:rsidRDefault="001C705E" w:rsidP="001C705E">
      <w:pPr>
        <w:pStyle w:val="TextoNormal"/>
      </w:pPr>
      <w:r w:rsidRPr="001C705E">
        <w:rPr>
          <w:rStyle w:val="NumeroAFNegritaCaracter"/>
        </w:rPr>
        <w:t>4</w:t>
      </w:r>
      <w:r>
        <w:t>. Finalmente conviene también poner de relieve que en el escrito de la misma parte de 15 de noviembre de 1983, ante la Audiencia Provincial, de interposición del recurso de queja, se alude a que en el propio proceso penal había surgido con anterioridad a la cuestión que hoy se dilucida otra incidencia similar -amén de acusarse otras irregularidades- las que «llevaron a la causa un notable grado de tensión, que justificó el que por el Letrado de la querellante se hiciesen continuas advertencias al Procurador acerca de la necesidad de seguir con la máxima atención el desarrollo de la causa», de lo que cabe colegir que la posibilidad legal de proveerse del recibo acreditativo de la presentación del escrito de apelación, práctica habitual y ordinaria, frecuentemente sustituida por el sellado y fechado de una copia del escrito, había adquirido en el caso de autos el carácter de exigencia necesaria para parte de quienes poseían la calidad de profesionales del Derecho, conocedores, por lo tanto, de la norma aplicable, de un modo cierto y real, al margen de lo establecido en el art. 6.1 del Código Civil.</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formalizado a nombre de la Entidad «ADA, Ayuda del Automovilista, Sociedad Anónima».</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catorce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5" w:name="SENTENCIA_1985_42"/>
      <w:r>
        <w:lastRenderedPageBreak/>
        <w:t>SENTENCIA 42/1985, de 15 de marzo de 1985</w:t>
      </w:r>
    </w:p>
    <w:bookmarkEnd w:id="45"/>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ECLI:ES:TC:1985:42</w:t>
      </w:r>
    </w:p>
    <w:p w:rsidR="001C705E" w:rsidRDefault="001C705E" w:rsidP="001C705E">
      <w:pPr>
        <w:pStyle w:val="SntesisDescriptiva"/>
      </w:pPr>
    </w:p>
    <w:p w:rsidR="001C705E" w:rsidRDefault="001C705E" w:rsidP="001C705E">
      <w:pPr>
        <w:pStyle w:val="SntesisDescriptiva"/>
      </w:pPr>
      <w:r>
        <w:t>Recurso de inconstitucionalidad 614/1983. Promovido por 55 Diputados contra la Ley del País Vasco 9/1983, de 19 de mayo, de Ordenación de la Actividad Comercial</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hecho de que la Ley Orgánica de este Tribunal no haya arbitrado un trámite de admisión en el recurso de inconstitucionalidad no autoriza a concluir que se pueda dispensar en este género de contiendas el cumplimiento de los requisitos procesales. </w:t>
      </w:r>
    </w:p>
    <w:p w:rsidR="001C705E" w:rsidRDefault="001C705E" w:rsidP="001C705E">
      <w:pPr>
        <w:pStyle w:val="Extracto"/>
      </w:pPr>
    </w:p>
    <w:p w:rsidR="001C705E" w:rsidRDefault="001C705E" w:rsidP="001C705E">
      <w:pPr>
        <w:pStyle w:val="Extracto"/>
      </w:pPr>
      <w:r>
        <w:t>2.</w:t>
      </w:r>
      <w:r>
        <w:tab/>
        <w:t xml:space="preserve">Mediante el recurso de inconstitucionalidad no se defiende ningún interés o derecho propio, sino el interés general y la supremacía de la Constitución, de manera que el «ius agendi», en que consiste la facultad de promover el recurso, sin conexión alguna con los derechos de que es titular la persona que lo ejerce, forma parte de las competencias que corresponden al órgano que se ocupa, o del haz de facultades propias de la representación política que se ostenta. </w:t>
      </w:r>
    </w:p>
    <w:p w:rsidR="001C705E" w:rsidRDefault="001C705E" w:rsidP="001C705E">
      <w:pPr>
        <w:pStyle w:val="Extracto"/>
      </w:pPr>
    </w:p>
    <w:p w:rsidR="001C705E" w:rsidRDefault="001C705E" w:rsidP="001C705E">
      <w:pPr>
        <w:pStyle w:val="Extracto"/>
      </w:pPr>
      <w:r>
        <w:t>3.</w:t>
      </w:r>
      <w:r>
        <w:tab/>
        <w:t xml:space="preserve">Cuando la acción es ejercida por un órgano colegiado, su ejercicio requiere la previa formación de la voluntad impugnatoria de acuerdo con las reglas de procedimiento interno propias del órgano en cuestión. </w:t>
      </w:r>
    </w:p>
    <w:p w:rsidR="001C705E" w:rsidRDefault="001C705E" w:rsidP="001C705E">
      <w:pPr>
        <w:pStyle w:val="Extracto"/>
      </w:pPr>
    </w:p>
    <w:p w:rsidR="001C705E" w:rsidRDefault="001C705E" w:rsidP="001C705E">
      <w:pPr>
        <w:pStyle w:val="Extracto"/>
      </w:pPr>
      <w:r>
        <w:t>4.</w:t>
      </w:r>
      <w:r>
        <w:tab/>
        <w:t xml:space="preserve">La legitimación para el recurso de inconstitucionalidad atribuida a un grupo de Diputados o Senadores en número no inferior a 50 corresponde a una agrupación que surge sólo de la concurrencia de voluntades en la decisión impugnatoria y sólo tiene existencia jurídica como parte en el proceso que con esa impugnación se inicia en el cual de los Diputados y Senadores no actúan en rigor como «litis consortes», sino como integrantes de una parte única, aunque necesariamente plural. No cabe, por tanto, transferir o delegar la facultad de impugnar, ni en un miembro de la agrupación, ni en el Comisionado, pues la parte a la que uno u otro han de representar sólo existe precisamente como parte en el proceso para el que se les otorgó la representación y surge sólo de la concurrencia de voluntades en una decisión impugnatoria concreta. </w:t>
      </w:r>
    </w:p>
    <w:p w:rsidR="001C705E" w:rsidRDefault="001C705E" w:rsidP="001C705E">
      <w:pPr>
        <w:pStyle w:val="Extracto"/>
      </w:pPr>
    </w:p>
    <w:p w:rsidR="001C705E" w:rsidRDefault="001C705E" w:rsidP="001C705E">
      <w:pPr>
        <w:pStyle w:val="Extracto"/>
      </w:pPr>
      <w:r>
        <w:t>5.</w:t>
      </w:r>
      <w:r>
        <w:tab/>
        <w:t xml:space="preserve">La legitimación para la acción de inconstitucionalidad no puede ser delegada ni transmitido el poder para ejercerla, por lo que la decisión de impugnar no puede ser adoptada en términos genéricos, habilitando a delegados, apoderados o mandatarios para interponer o no la acción de inconstitucionalidad, según su propio criterio, contra las Leyes que en el futuro se vayan promulgando.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lastRenderedPageBreak/>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inconstitucionalidad núm. 614/1983, promovido por 54 Diputados, representados por el Comisionado don José María Ruiz Gallardón, contra la Ley 9/1983, de 19 de mayo, del País Vasco, sobre ordenación de la actividad comercial del País Vasco, en el que han comparecido el Abogado del Estado, en representación del Gobierno de la Nación; don Alberto Figueroa Larandogoitia, en representación del Parlamento Vasco, y don José Fernández-Monge González-Audicana, en representación del Gobierno Vasco, siendo Ponente el Magistrado don Francisco Rubio Llorente,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Por escrito de 29 de agosto de 1983 que tuvo entrada en el Tribunal Constitucional el día 29 de agosto de 1983, don José María Ruiz Gallardón, actuando como Comisionado de 54 Diputados interpone recurso de inconstitucionalidad contra la Ley del País Vasco 8/1983 [sic], de 19 de mayo, de Ordenación de la Actividad Comercial. </w:t>
      </w:r>
    </w:p>
    <w:p w:rsidR="001C705E" w:rsidRDefault="001C705E" w:rsidP="001C705E">
      <w:pPr>
        <w:pStyle w:val="TextoNormal"/>
      </w:pPr>
      <w:r>
        <w:t>En el recurso se pide del Tribunal que, previos los trámites legales oportunos, dicte Sentencia declarando la inconstitucionalidad de la referida Ley por considerar que toda la disposición y especialmente los arts. 2, 3, 5, 6, 7, 8, 9, 10, 11, 12, 13, 14, 15, 19, 21, 25, 26, 27, 28, 29, 30, 31, 32, 33, 34, 35, 36, 37, 38, 41, 42, 45, 47 y 48, la disposición transitoria tercera en sus apartados a) y b), c) y d), y la disposición final segunda, así como los artículos del título V relativos a infracciones y sanciones, en cuanto se relacionan con los anteriores, infringen el art. 149.1.6.ª de la Constitución Española en relación con las competencias exclusivas del Estado sobre la legislación mercantil; el artículo 38 de la Constitución Española en relación con las competencias exclusivas del Estado en la defensa de la competencia y los arts. 1, 14 y 139 en relación con los principios de libertad de empresa y unidad de mercado.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Por providencia de 21 de septiembre de 1983, la Sección Tercera del Pleno de este Tribunal acordó admitir a trámite la demanda interpuesta y dar traslado de la misma al Congreso de los Diputados y al Senado; al Parlamento y Gobierno Vascos y al Gobierno de la Nación para que, en el plazo de quince días, pudieran personarse en autos y formular alegaciones. Se acordó asimismo publicar la incoacción del recurso en el «Boletín Oficial </w:t>
      </w:r>
      <w:r>
        <w:lastRenderedPageBreak/>
        <w:t>del Estado» y en el «Boletín Oficial del País Vasco», para general conocimiento. Comparecieron en el procedimiento el Abogado del Estado, en la representación que ostenta, quien declinó formular alegaciones por escrito de 17 de octubre de 1983, así como don Alberto Figueroa Larandogoitia, en representación del Parlamento Vasco, y don José Fernández-Monge González-Audicana, en representación del Gobierno Vasco, quienes formularon alegaciones por escrito de 20 de octubre de 1983.</w:t>
      </w:r>
    </w:p>
    <w:p w:rsidR="001C705E" w:rsidRDefault="001C705E" w:rsidP="001C705E">
      <w:pPr>
        <w:pStyle w:val="TextoNormal"/>
      </w:pPr>
    </w:p>
    <w:p w:rsidR="001C705E" w:rsidRDefault="001C705E" w:rsidP="001C705E">
      <w:pPr>
        <w:pStyle w:val="TextoNormal"/>
      </w:pPr>
      <w:r w:rsidRPr="001C705E">
        <w:rPr>
          <w:rStyle w:val="NumeroAFNegritaCaracter"/>
        </w:rPr>
        <w:t>3</w:t>
      </w:r>
      <w:r>
        <w:t>. La impugnación formulada por la parte actora en su escrito de recurso se inicia con una serie de consideraciones generales sobre la ley impugnada. Entienden que, como resulta de su articulado y de la propia exposición de motivos, la Ley vasca 9/1983 se ha excedido de las competencias autonómicas en materia de defensa del consumidor y de comercio interior y ha invadido claramente las competencias exclusivas del Estado. En concreto estiman infringidos los arts. 38, 51.3, 139 y 149 (apartados 1.1.ª y 1.6.ª) de la Constitución.</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Abogado del Estado, en la representación que ostenta, se persona en el procedimiento y dice que, dado que la materia objeto de recurso se encuentra ya sometida al Tribunal Constitucional, en los recursos 352/1983 y 367/1983, no considera necesario formular alegaciones respecto de la presente impugnación. </w:t>
      </w:r>
    </w:p>
    <w:p w:rsidR="001C705E" w:rsidRDefault="001C705E" w:rsidP="001C705E">
      <w:pPr>
        <w:pStyle w:val="TextoNormal"/>
      </w:pPr>
      <w:r>
        <w:t>De las materias reguladas en la Ley impugnada destaca como aspecto nuevo, no comprendido en los recursos de que hace mérito, el régimen de apertura o modificación de establecimientos de gran superficie de venta al por menor, que se contiene en el art. 45 de la Ley. Pero, como quiera que la aplicación práctica del precepto queda condicionada a la previa promulgación de un Decreto por parte del Gobierno Vasco, se reserva las acciones pertinentes sobre las dudas que hoy suscita su significado y alcance, por si en el desarrollo reglamentario se incide en infracción del ordenamiento.</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La representación del Parlamento Vasco pone de manifiesto que don José María Ruiz Gallardón, como Comisionado de 54 Diputados, presentó en fechas anteriores recurso de inconstitucionalidad contra la Ley catalana de «regulación administrativa de determinadas estructuras comerciales y ventas especiales» que tiene un paralelismo evidente con la Ley 9/1983 del Parlamento Vasco que ahora se impugna. No obstante existen diferencias indudables entre ambas leyes autonómicas, como lo prueba el hecho de que el Presidente del Gobierno de la Nación se haya abstenido de promover recurso de inconstitucionalidad contra la Ley vasca, cuando sé lo promovió contra la Ley catalana. Esas diferencias han pasado desapercibidas, se alega, a los recurrentes que han presentado un recurso fundamentado en bases similares o idénticas al que promovieron contra la Ley catalana 1/1983, de 18 de febrero. Se estima que los recurrentes no han leído detenidamente la Ley que impugnan; por ello llegan a afirmar que la Ley «crea anómalos derechos de tanteo a favor de otros comerciantes», olvidando que, de existir tal anomalía, ésta se daba en el proyecto de Ley, no en la Ley recurrida. El recurso se ha planteado con indudable ligereza. Se impugna la disposición transitoria tercera (que se refiere a una iniciativa legislativa futura), el Comisionado se llega a atribuir la dirección de una obra que, como es notorio, corresponde a un prestigioso Catedrático de Derecho Administrativo o, en fin, no se justifica el carácter de Comisionado por medio de un poder especial, en lugar del general para pleitos que se acompaña a la demanda. </w:t>
      </w:r>
    </w:p>
    <w:p w:rsidR="001C705E" w:rsidRDefault="001C705E" w:rsidP="001C705E">
      <w:pPr>
        <w:pStyle w:val="TextoNormal"/>
      </w:pPr>
      <w:r>
        <w:lastRenderedPageBreak/>
        <w:t>La representación del Parlamento Vasco sistematiza a continuación las alegaciones de los recurrentes y responde a ellas en detalle.</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La representación del Gobierno Vasco alega: </w:t>
      </w:r>
    </w:p>
    <w:p w:rsidR="001C705E" w:rsidRDefault="001C705E" w:rsidP="001C705E">
      <w:pPr>
        <w:pStyle w:val="TextoNormal"/>
      </w:pPr>
      <w:r>
        <w:t xml:space="preserve">a) Que no consta en el proceso la voluntad de 54 Diputados de interponer el recurso contra la Ley de Ordenación de la Actividad Comercial ni que designen a tal efecto a don José María Ruiz Gallardón como Comisionado. Los actores sólo han aportado un poder general para pleitos otorgado en favor de diversos Procuradores y del Abogado don José María Ruiz Gallardón que, además, contiene un especial apoderamiento a este último para interponer un recurso de inconstitucionalidad contra el Real Decreto-ley 22/1982, de 7 de diciembre, sobre medidas urgentes de reforma administrativa. La legitimación que se concede en nuestro ordenamiento constitucional en favor de órganos constitucionales o de un cierto número de miembros de éstos, como es el caso presente, exige la voluntad de plantear la impugnación concreta de que se trate. Así resulta del art. 82.1 de la LOTC que exige un Comisionado nombrado «al efecto», es decir, para la impugnación concreta de que se trate. El Tribunal Constitucional, en su Sentencia de 2 de febrero de 1981, fundamento segundo, ha establecido que el Comisionado realiza una actividad ad hoc. Finalmente se pone de relieve que así lo ha entendido el propio grupo de Diputados de que se trata cuando, como consta en la escritura de apoderamiento, comisionaron «especialmente» al señor Ruiz Gallardón para el recurso contra el Real Decreto-ley 22/1982. Por todo ello se pide que se decrete la inadmisibilidad del recurso por falta de legitimación activa de los 54 Diputados y del Comisionado que lo presenta. </w:t>
      </w:r>
    </w:p>
    <w:p w:rsidR="001C705E" w:rsidRDefault="001C705E" w:rsidP="001C705E">
      <w:pPr>
        <w:pStyle w:val="TextoNormal"/>
      </w:pPr>
      <w:r>
        <w:t>b) En cuanto al fondo, se señala la dificultad de lectura; falta de orden y generalidad de los argumentos que se ofrecen en el escrito de recurso. Se considera que la demanda falta al deber de colaboración con la Justicia y que, con su indeterminación invierte la carga de la prueba y vulnera la igualdad de las partes en el proceso. Se cita, como ejemplo, la impugnación del art. 19 de la Ley, que no se justifica, lo que obliga a los demandados a demostrar que el precepto es conforme a derecho. Tras ello hace el análisis de las diversas alegaciones contenidas en la demanda.</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Por providencia del día 14 de noviembre de 1984, la Sección Tercera de este Tribunal tuvo por personados y partes en el presente recurso al Abogado del Estado, en representación del Gobierno de la Nación; al Abogado don José Fernández-Monge y González-Audicana, en representación del Gobierno Vasco, y al Abogado don Alberto Figueroa Larandogoitia, en representación del Parlamento Vasco, y por formuladas las alegaciones que se resumen en los puntos 4, 5 y 6 de estos antecedentes. </w:t>
      </w:r>
    </w:p>
    <w:p w:rsidR="001C705E" w:rsidRDefault="001C705E" w:rsidP="001C705E">
      <w:pPr>
        <w:pStyle w:val="TextoNormal"/>
      </w:pPr>
      <w:r>
        <w:t>En la misma providencia, de conformidad con lo dispuesto en el artículo 94 de la LOTC, y habiéndose advertido, a instancia del Gobierno Vasco, que no figuraba en la documentación aportada por los Diputados recurrentes constancia de su voluntad de interponer recurso contra la Ley 9/1983, de 19 de mayo, del Parlamento Vasco, se les concedía un plazo de diez días para la subsanación de dicho defecto, acreditando documentalmente su voluntad de recurrir contra la expresada Ley. Dicho plazo transcurrió sin que, dentro del mismo, se aportase documento o se hiciese alegato alguno.</w:t>
      </w:r>
    </w:p>
    <w:p w:rsidR="001C705E" w:rsidRDefault="001C705E" w:rsidP="001C705E">
      <w:pPr>
        <w:pStyle w:val="TextoNormal"/>
      </w:pPr>
    </w:p>
    <w:p w:rsidR="001C705E" w:rsidRDefault="001C705E" w:rsidP="001C705E">
      <w:pPr>
        <w:pStyle w:val="TextoNormal"/>
      </w:pPr>
      <w:r w:rsidRPr="001C705E">
        <w:rPr>
          <w:rStyle w:val="NumeroAFNegritaCaracter"/>
        </w:rPr>
        <w:t>8</w:t>
      </w:r>
      <w:r>
        <w:t>. Por providencia de 7 de marzo actual el Tribunal señaló para deliberación y fallo el día 14 del mismo mes, fecha en que tuvo lugar.</w:t>
      </w:r>
    </w:p>
    <w:p w:rsidR="001C705E" w:rsidRDefault="001C705E" w:rsidP="001C705E">
      <w:pPr>
        <w:pStyle w:val="TextoNormal"/>
      </w:pPr>
    </w:p>
    <w:p w:rsidR="001C705E" w:rsidRDefault="001C705E" w:rsidP="001C705E">
      <w:pPr>
        <w:pStyle w:val="TextoNormalNegritaCentrado"/>
        <w:keepNext/>
      </w:pPr>
      <w:r>
        <w:lastRenderedPageBreak/>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En el recurso de inconstitucionalidad no ha arbitrado la Ley Orgánica de este Tribunal, a diferencia de lo que dispone respecto de otros procedimientos constitucionales, un trámite de admisión que nos permita resolver, antes de oír las alegaciones sobre el fondo de la cuestión debatida, acerca de la existencia o inexistencia de los indispensables requisitos procesales. Esa peculiaridad de la regulación legal no autoriza a concluir, como es evidente, que se puede dispensar en este género de contiendas el cumplimiento de tales requisitos, cuya ausencia, advertida de oficio o a instancia de parte, determina necesariamente el contenido posible de nuestra Sentencia, siempre que, antes de ésta, no pueda ser subsanado, haciendo uso para ello de las facultades que nos otorga el art. 94 LOTC.</w:t>
      </w:r>
    </w:p>
    <w:p w:rsidR="001C705E" w:rsidRDefault="001C705E" w:rsidP="001C705E">
      <w:pPr>
        <w:pStyle w:val="TextoNormal"/>
      </w:pPr>
      <w:r>
        <w:t>Es obvio, por tanto, que en casos como el presente, en los que los órganos que defienden la constitucionalidad de la norma impugnada alegan la falta de requisitos procesales, es esta alegación la que debe ser considerada en primer lugar, pues de ser atendida, se cierra el paso a todo pronunciamiento sobre el fondo.</w:t>
      </w:r>
    </w:p>
    <w:p w:rsidR="001C705E" w:rsidRDefault="001C705E" w:rsidP="001C705E">
      <w:pPr>
        <w:pStyle w:val="TextoNormal"/>
      </w:pPr>
      <w:r>
        <w:t>Aunque en las alegaciones formuladas en nombre del Parlamento Vasco (núm. 5 de los antecedentes) se alude a la inexistencia de poder especial en favor del Comisionado que representa a los actores, es la representación del Gobierno Vasco la que con mayor extensión se refiere, tanto a tal inexistencia, como a la falta de constancia documental de la voluntad expresa de los 54 Diputados de impugnar la Ley que es objeto de este recurso.</w:t>
      </w:r>
    </w:p>
    <w:p w:rsidR="001C705E" w:rsidRDefault="001C705E" w:rsidP="001C705E">
      <w:pPr>
        <w:pStyle w:val="TextoNormal"/>
      </w:pPr>
      <w:r>
        <w:t>Es al análisis de ese alegato, que resumimos en el punto 6, a) de los antecedentes, al que hemos de reducir nuestras consideraciones. No obstante, antes de entrar en el estudio concreto del caso planteado, debemos estudiar, con carácter más general, cuales son las exigencias de legitimación y postulación en el recurso de inconstitucionalidad.</w:t>
      </w:r>
    </w:p>
    <w:p w:rsidR="001C705E" w:rsidRDefault="001C705E" w:rsidP="001C705E">
      <w:pPr>
        <w:pStyle w:val="TextoNormal"/>
      </w:pPr>
    </w:p>
    <w:p w:rsidR="001C705E" w:rsidRDefault="001C705E" w:rsidP="001C705E">
      <w:pPr>
        <w:pStyle w:val="TextoNormal"/>
      </w:pPr>
      <w:r w:rsidRPr="001C705E">
        <w:rPr>
          <w:rStyle w:val="NumeroAFNegritaCaracter"/>
        </w:rPr>
        <w:t>2</w:t>
      </w:r>
      <w:r>
        <w:t>. Es doctrina pacífica a la que ya hicimos referencia, acogiéndola, en nuestra Sentencia 5/1981 (fundamento 3), la de que la facultad de promover el recurso de inconstitucionalidad no la otorga la Constitución en atención a un interés propio de quienes la reciben, sino en virtud de la alta cualificación política que resulta de su cometido constitucional. No se defiende mediante este recurso ningún interés o derecho propio sino el interés general y la supremacía de la Constitución, de manera que el ius agendi en que tal facultad consiste, sin conexión alguna con los derechos de que es titular la persona que lo ejerce, forma parte de las competencias que corresponden al órgano que se ocupa, o del haz de facultades propias de la representación política que se ostenta. No es la persona física concreta la que, por sí sola o en unión con otras, puede impugnar la constitucionalidad de las leyes, sino el órgano de que la misma es titular o la condición de representante del pueblo de la que está investida.</w:t>
      </w:r>
    </w:p>
    <w:p w:rsidR="001C705E" w:rsidRDefault="001C705E" w:rsidP="001C705E">
      <w:pPr>
        <w:pStyle w:val="TextoNormal"/>
      </w:pPr>
      <w:r>
        <w:t>Esta naturaleza peculiar de la acción de inconstitucionalidad no puede ser olvidada cuando se intenta precisar el sentido y el alcance de la fórmula que utiliza el art. 162.1 de nuestra Constitución. Emplea este el término de legitimación («están legitimados ...») y de lo que antes decimos resulta evidente que esa legitimación no podrá ser negada, ni, en consecuencia, rehusado el pronunciamiento sobre el fondo de la pretensión deducida, por inexistencia de un derecho subjetivo o de un interés propio de quien ejerce la acción, sino sólo por inexistencia de la voluntad que se manifiesta o, tratándose de órganos de las Comunidades Autónomas, por no afectar el precepto objeto de la impugnación a su propio ámbito de autonomía, en razón del acotamiento introducido en este punto por el legislador en el art. 32.2 LOTC.</w:t>
      </w:r>
    </w:p>
    <w:p w:rsidR="001C705E" w:rsidRDefault="001C705E" w:rsidP="001C705E">
      <w:pPr>
        <w:pStyle w:val="TextoNormal"/>
      </w:pPr>
      <w:r>
        <w:lastRenderedPageBreak/>
        <w:t>Cuando los legitimados son órganos monocráticos o unipersonales [el Presidente del Gobierno o el Defensor del Pueblo, art. 32.1 a) y b) LOTC] es evidente que, salvo el improbable supuesto de una acción delictiva encaminada a formar su voluntad o a tergiversarla, la simple manifestación de esa voluntad hecha ante nosotros, directamente o a través de representante, basta para entender que la acción de inconstitucionalidad ejercida no adolece de defecto alguno de legitimación. Otro es, naturalmente, el caso, cuando la acción es ejercida por un órgano colegiado, pues siendo éste, y no su Presidencia o la Magistratura a la que, en cada caso, corresponda su representación, quien tiene la legitimación para ello, el ejercicio de la acción requiere la previa formación de la voluntad impugnatoria de acuerdo con las reglas de procedimiento interno propias del órgano en cuestión, y el recurso no será admisible cuando no se acredite la preexistencia de tal voluntad.</w:t>
      </w:r>
    </w:p>
    <w:p w:rsidR="001C705E" w:rsidRDefault="001C705E" w:rsidP="001C705E">
      <w:pPr>
        <w:pStyle w:val="TextoNormal"/>
      </w:pPr>
      <w:r>
        <w:t>Este es, efectivamente, el requisito que la LOTC (art. 32.2) impone para la interposición del recurso de inconstitucionalidad por parte de los órganos ejecutivos colegiados o las Asambleas Legislativas de las Comunidades Autónomas, únicos órganos colegiados que en el referido precepto se contemplan. No cabe duda de que tales órganos colegiados tienen la capacidad suficiente para ejercer la acción de inconstitucionalidad o, si se quiere, la legitimatio ad processum. A falta de ese acuerdo previo que el mencionado precepto exige, la acción intentada en su nombre, incluso por quien ostente en términos irreprochables su representación procesal, no puede conducir a un pronunciamiento sobre el fondo de la pretensión cuando, de oficio o a instancia de parte, se advierte su defecto. En cuanto que en el tenor literal del artículo tan repetidamente citado se enlaza la existencia del acuerdo previo con la legitimación del órgano, parece razonable pensar que ésta es concebida más como condición de la acción que como mero requisito procesal, mas sea cual fuere la construcción doctrinal que a partir de los textos se haga, queda fuera de toda duda que la acción de inconstitucionalidad intentada por un órgano colegiado requiere la preexistencia de un acuerdo del mismo.</w:t>
      </w:r>
    </w:p>
    <w:p w:rsidR="001C705E" w:rsidRDefault="001C705E" w:rsidP="001C705E">
      <w:pPr>
        <w:pStyle w:val="TextoNormal"/>
      </w:pPr>
      <w:r>
        <w:t>De otra parte,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delegada ni transmitido el poder para ejercerla y que, en consecuencia, la decisión de impugnar no puede ser adoptada en términos genéricos, habilitando a delegados, apoderados o mandatarios para interponer o no la acción de inconstitucionalidad, según su propio criterio, contra las leyes que en el futuro se vayan promulgando. Esta conclusión, a la que igualmente conduce el elemental razonamiento de que no cabe adoptar la decisión de impugnar una ley mientras tal ley no exista, aparece consagrada por el tan citado art. 32.2 LOTC, que no sólo exige «acuerdo previo», sino que también éste haya sido «adoptado al efecto».</w:t>
      </w:r>
    </w:p>
    <w:p w:rsidR="001C705E" w:rsidRDefault="001C705E" w:rsidP="001C705E">
      <w:pPr>
        <w:pStyle w:val="TextoNormal"/>
      </w:pPr>
      <w:r>
        <w:t>Aunque la inexistencia de una precisión análoga respecto del recurso interpuesto por 50 Diputados o 50 Senadores pudiera hacer pensar que en este caso no es condición necesaria para el ejercicio de la acción un «previo acuerdo adoptado al efecto», es evidente que también en ese supuesto es indispensable ese requisito que deriva de las mismas razones (reforzadas, incluso, por la naturaleza ocasional de la agrupación de Diputados o Senadores que ejercita la acción) y que igualmente viene exigido, en conexión con la designación de Comisionado, por el art. 82.1 LOTC.</w:t>
      </w:r>
    </w:p>
    <w:p w:rsidR="001C705E" w:rsidRDefault="001C705E" w:rsidP="001C705E">
      <w:pPr>
        <w:pStyle w:val="TextoNormal"/>
      </w:pPr>
      <w:r>
        <w:t xml:space="preserve">La legitimación para el recurso de inconstitucionalidad no esta atribuida en este caso, en efecto, a un órgano y ni siquiera a una parte de un órgano que, como sucede con el grupo Parlamentario, posee una cierta continuidad, una composición personal estable y un grado mayor o menor de organización, sino a la agrupación ocasional o ad hoc de 50 </w:t>
      </w:r>
      <w:r>
        <w:lastRenderedPageBreak/>
        <w:t>Diputados o 50 Senadores, que se unen al solo efecto de impugnar la validez constitucional de una Ley. La agrupación surge sólo de la concurrencia de voluntades en la decisión impugnatoria y sólo tiene existencia jurídica como parte en el proceso que con esa impugnación se inicia, en el cual los Diputados o Senadores no actúan en rigor como litis consortes, sino como integrantes de una parte única que, por imperio de la Ley, ha de ser siempre plural. De ahí el que hayan de actuar mediante una representación única que puede ser otorgada, bien a uno de sus miembros, bien a un Comisionado «nombrado al efecto» (art. 82.1 LOTC). No cabe, por tanto, transferir o delegar la facultad de impugnar, ni en el miembro de la agrupación, ni en el Comisionado, pues la parte a la que uno u otro han de representar sólo existe precisamente como parte del proceso para el que se les otorgó la representación y esta parte resulta sólo, como se dice antes, de la concurrencia de voluntades en el propósito impugnatorio. Es claro que al mismo resultado se llega, desde otro punto de vista, a partir de la consideración de que no son nunca delegables las facultades que se ostentan como representante de la voluntad popular, pero no es necesario insistir más ahora en la demostración de lo evidente.</w:t>
      </w:r>
    </w:p>
    <w:p w:rsidR="001C705E" w:rsidRDefault="001C705E" w:rsidP="001C705E">
      <w:pPr>
        <w:pStyle w:val="TextoNormal"/>
      </w:pPr>
    </w:p>
    <w:p w:rsidR="001C705E" w:rsidRDefault="001C705E" w:rsidP="001C705E">
      <w:pPr>
        <w:pStyle w:val="TextoNormal"/>
      </w:pPr>
      <w:r w:rsidRPr="001C705E">
        <w:rPr>
          <w:rStyle w:val="NumeroAFNegritaCaracter"/>
        </w:rPr>
        <w:t>3</w:t>
      </w:r>
      <w:r>
        <w:t>. Establecidas en el fundamento anterior las exigencias que la Ley impone en cuanto a legitimación para el ejercicio de la acción de inconstitucionalidad por 50 Senadores o 50 Diputados sólo resta examinar, a la luz de lo dicho, las actuaciones seguidas en el presente recurso.</w:t>
      </w:r>
    </w:p>
    <w:p w:rsidR="001C705E" w:rsidRDefault="001C705E" w:rsidP="001C705E">
      <w:pPr>
        <w:pStyle w:val="TextoNormal"/>
      </w:pPr>
      <w:r>
        <w:t>Iniciado el recurso, según indicamos en los antecedentes (punto número 1), por don José María Ruiz Gallardón como Comisionado de 54 Diputados y habiendo solicitado éste, mediante otrosí en su demanda, que se le otorgara el plazo necesario para acreditar la condición de Diputados de sus poderdantes, se accedió a su solicitud por providencia del 8 de septiembre de 1983. Una vez que, dentro del plazo señalado, presentó el documento acreditativo de la condición de los impugnantes, el recurso fue admitido a trámite (providencia de 21 de septiembre de 1983).</w:t>
      </w:r>
    </w:p>
    <w:p w:rsidR="001C705E" w:rsidRDefault="001C705E" w:rsidP="001C705E">
      <w:pPr>
        <w:pStyle w:val="TextoNormal"/>
      </w:pPr>
      <w:r>
        <w:t>Más tarde, habida cuenta de que las representaciones del Parlamento y del Gobierno Vasco denuncian la inexistencia de un poder especial que habilitara al señor Ruiz Gallardón para actuar como Comisionado en el presente recurso, e incluso de todo documento que acreditara la existencia de un acuerdo expreso de impugnar la constitucionalidad de la Ley 9/1983, del País Vasco, y a la vista de los autos, mediante providencia de 14 de noviembre de 1984 dictada al amparo del art. 94 LOTC, se concedió al señor Ruiz Gallardón un plazo de diez días para que acreditase documentalmente la existencia del acuerdo de los 54 Diputados, en cuyo nombre venía actuando, de recurrir contra la expresada Ley.  El plazo indicado transcurrió sin que el señor Ruiz Gallardón aportara documento alguno ni hiciese manifestación de ningún género.</w:t>
      </w:r>
    </w:p>
    <w:p w:rsidR="001C705E" w:rsidRDefault="001C705E" w:rsidP="001C705E">
      <w:pPr>
        <w:pStyle w:val="TextoNormal"/>
      </w:pPr>
      <w:r>
        <w:t>No habiendo hecho uso de la posibilidad que se le ofreció para subsanar los defectos que en su demanda se advertían, es forzoso extraer las consecuencias que de ellos se siguen. El poder notarial que, con su demanda, presentó ante este Tribunal el señor Ruiz Gallardón es un poder general de pleitos en el que, además, se le faculta (solidariamente con otras personas) para «interponer recursos de inconstitucionalidad ante el Tribunal Constitucional cualesquiera que fuesen sus clases» y, junto con ello, para interponer y seguir en todos sus trámites recurso de inconstitucionalidad contra determinados artículos del Real Decreto-ley 22/1982, de 7 de diciembre, por infracción de los artículos de la Constitución que se detallan, sin referencia alguna a la voluntad de recurrir contra la Ley 9/1983, del País Vasco, o de designarle Comisionado para seguir el recurso de inconstitucionalidad contra ella.</w:t>
      </w:r>
    </w:p>
    <w:p w:rsidR="001C705E" w:rsidRDefault="001C705E" w:rsidP="001C705E">
      <w:pPr>
        <w:pStyle w:val="TextoNormal"/>
      </w:pPr>
      <w:r>
        <w:lastRenderedPageBreak/>
        <w:t>Es evidente, en razón de lo dicho, que ni el poder general para pleitos ni la facultad genéricamente concedida para interponer ante el Tribunal Constitucional recursos de inconstitucionalidad «cualesquiera que fuesen sus clases» otorgan al señor Ruiz Gallardón una legitimación que, de acuerdo con la Constitución y la Ley, sólo surge de la concurrencia de voluntades, en número suficiente, de aquellos a quienes la Constitución ha otorgado esta facultad indelegable. No habiéndose probado en el presente caso, mediante la aportación del poder otorgado al efecto, como requiere el artículo 82.1 LOTC, la existencia de esa voluntad concurrente, es forzoso concluir que no existe tampoco parte legitimada para sostener la pretensión deducida en la demanda.</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Declarar inadmisible el presente recurso.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quince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6" w:name="SENTENCIA_1985_43"/>
      <w:r>
        <w:lastRenderedPageBreak/>
        <w:t>SENTENCIA 43/1985, de 22 de marzo de 1985</w:t>
      </w:r>
    </w:p>
    <w:bookmarkEnd w:id="46"/>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ECLI:ES:TC:1985:43</w:t>
      </w:r>
    </w:p>
    <w:p w:rsidR="001C705E" w:rsidRDefault="001C705E" w:rsidP="001C705E">
      <w:pPr>
        <w:pStyle w:val="SntesisDescriptiva"/>
      </w:pPr>
    </w:p>
    <w:p w:rsidR="001C705E" w:rsidRDefault="001C705E" w:rsidP="001C705E">
      <w:pPr>
        <w:pStyle w:val="SntesisDescriptiva"/>
      </w:pPr>
      <w:r>
        <w:t>Recurso de amparo 512/1984. Indefensión producida por falta de pronunciamiento sobre el fondo del asunto debatido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Por «proceso sin dilaciones indebidas» hay que entender el proceso que se desenvuelve en condiciones de normalidad dentro del tiempo requerido y en que los intereses litigiosos pueden recibir pronta satisfacción. </w:t>
      </w:r>
    </w:p>
    <w:p w:rsidR="001C705E" w:rsidRDefault="001C705E" w:rsidP="001C705E">
      <w:pPr>
        <w:pStyle w:val="Extracto"/>
      </w:pPr>
    </w:p>
    <w:p w:rsidR="001C705E" w:rsidRDefault="001C705E" w:rsidP="001C705E">
      <w:pPr>
        <w:pStyle w:val="Extracto"/>
      </w:pPr>
      <w:r>
        <w:t>2.</w:t>
      </w:r>
      <w:r>
        <w:tab/>
        <w:t xml:space="preserve">El derecho a la tutela judicial efectiva sólo subsidiariamente puede quedar satisfecho con una resolución motivada de inadmisión o de extinción del proceso que impida llegar al fondo del asunto. Esto sólo puede ocurrir cuando la inadmisión se funde en razones establecidas por el legislador, que deban al mismo tiempo considerarse como proporcionadas en relación con los fines constitucionalmente protegibles a que los requisitos procesales pretenden atender. </w:t>
      </w:r>
    </w:p>
    <w:p w:rsidR="001C705E" w:rsidRDefault="001C705E" w:rsidP="001C705E">
      <w:pPr>
        <w:pStyle w:val="Extracto"/>
      </w:pPr>
    </w:p>
    <w:p w:rsidR="001C705E" w:rsidRDefault="001C705E" w:rsidP="001C705E">
      <w:pPr>
        <w:pStyle w:val="Extracto"/>
      </w:pPr>
      <w:r>
        <w:t>3.</w:t>
      </w:r>
      <w:r>
        <w:tab/>
        <w:t xml:space="preserve">El derecho constitucional a la tutela judicial efectiva se vulnera cuando, reanudando un debate ya extinguido en punto a la competencia, el órgano jurisdiccional se abstiene de emitir un pronunciamiento sobre el fondo del asunto, declarándose incompetente.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512/1984, interpuesto por la Procuradora de los Tribunales doña María Rodríguez Puyol, asistida por el Letrado don Jaime Madruga Martín, en nombre de doña Carmen, doña Juana y doña Antonia Luisa Ajuria Jaldón contra la Sentencia dictada por el Juzgado de Primera Instancia número 1 de Huelva en 20 de junio de 1984, que resolvió un recurso de apelación formulado contra otra Sentencia del Juzgado </w:t>
      </w:r>
      <w:r>
        <w:lastRenderedPageBreak/>
        <w:t xml:space="preserve">de Distrito núm. 2 de Huelva, de 11 de octubre de 1983, recaída en juicio verbal civil seguido por las actuales solicitantes al amparo contra doña Francisca Martín Cano. </w:t>
      </w:r>
    </w:p>
    <w:p w:rsidR="001C705E" w:rsidRDefault="001C705E" w:rsidP="001C705E">
      <w:pPr>
        <w:pStyle w:val="TextoNormal"/>
      </w:pPr>
      <w:r>
        <w:t>En el presente recurso de amparo ha comparecido el Fiscal general del Estado y ha sido Ponente don Luis Díez-Picazo,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Por escrito fechado en 7 de mayo de 1982, la representación procesal de doña Carmen, doña Juana y doña Antonia Luisa Ajuria Jaldón promovió ante el Juzgado de Primera Instancia de Huelva un juicio declarativo de mayor cuantía contra doña Francisca Martín Cano. En dicho juicio, pretendían las actoras reivindicar las tres cuartas partes indivisas de la propiedad de una casa sita en la calle Cánovas del Castillo, núm. 30, de la localidad de Cartaya. Entendían que la susodicha casa había pertenecido a la herencia de doña Carmen Orta Morón, a quien sucedieron después las tres demandantes y su hermano, don Angel Ajuria Jaldón, como titulares cada uno de ellos de una cuarta parte indivisa. La demandada doña Francisca Martín Cano era heredera universal de don Angel Ajuria Jaldón y, por consiguiente, titular únicamente de una cuarta parte indivisa, si bien ocupaba, según las actoras, la totalidad de la casa y había además intentado por medio de un expediente de reanudación del tracto sucesivo obtener una inscripción en su exclusivo favor en el Registro de la Propiedad. </w:t>
      </w:r>
    </w:p>
    <w:p w:rsidR="001C705E" w:rsidRDefault="001C705E" w:rsidP="001C705E">
      <w:pPr>
        <w:pStyle w:val="TextoNormal"/>
      </w:pPr>
      <w:r>
        <w:t xml:space="preserve">En el mencionado juicio declarativo de mayor cuantía, la representación de doña Francisca Martín Cano promovió un incidente sobre la cuantía del juicio, que, debidamente sustanciado, fue resuelto por Auto del Juzgado, quien declaró que el trámite por el que debía ventilarse la demanda era el de juicio verbal ante el Juzgado de Distrito competente. </w:t>
      </w:r>
    </w:p>
    <w:p w:rsidR="001C705E" w:rsidRDefault="001C705E" w:rsidP="001C705E">
      <w:pPr>
        <w:pStyle w:val="TextoNormal"/>
      </w:pPr>
      <w:r>
        <w:t xml:space="preserve">Deducida la demanda ante el Juzgado de Distrito núm. 2 de la ciudad de Huelva, éste dictó Sentencia con fecha 21 de abril de 1983, por la cual estimó la excepción de incompetencia por razón de la cuantía alegada por la parte demandada y se abstuvo de conocer del fondo de la litis. </w:t>
      </w:r>
    </w:p>
    <w:p w:rsidR="001C705E" w:rsidRDefault="001C705E" w:rsidP="001C705E">
      <w:pPr>
        <w:pStyle w:val="TextoNormal"/>
      </w:pPr>
      <w:r>
        <w:t xml:space="preserve">Contra la Sentencia del Juzgado de Distrito interpusieron las demandantes recurso de apelación, que fue resuelto por el Juzgado de Primera Instancia número 3 de Huelva mediante Sentencia de 13 de junio de 1983, en la que se revocó la Sentencia apelada y se declaró la competencia del Juzgado de Distrito para conocer de la acción ejercitada. </w:t>
      </w:r>
    </w:p>
    <w:p w:rsidR="001C705E" w:rsidRDefault="001C705E" w:rsidP="001C705E">
      <w:pPr>
        <w:pStyle w:val="TextoNormal"/>
      </w:pPr>
      <w:r>
        <w:t xml:space="preserve">Con fecha 11 de octubre de 1983, el Juzgado de Distrito núm. 2 de los de la ciudad de Huelva dicta nueva Sentencia estimatoria de la demanda. </w:t>
      </w:r>
    </w:p>
    <w:p w:rsidR="001C705E" w:rsidRDefault="001C705E" w:rsidP="001C705E">
      <w:pPr>
        <w:pStyle w:val="TextoNormal"/>
      </w:pPr>
      <w:r>
        <w:t>Recurrida en apelación esta última Sentencia por la demandada, el Juzgado de Primera Instancia núm. 1 de Huelva dictó sentencia estimatoria en 20 de junio de 1984, declarando la incompetencia para conocer de los autos del Juzgado de Distrito núm. 2, por ser el procedimiento seguido inadecuado, pudiendo las partes ejercitar las acciones ante el Juzgado de Primera Instancia que corresponda.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En su recurso, afirman las señoras solicitantes del amparo que se les ha producido indefensión, con vulneración del derecho consagrado por el art. 24 de la Constitución, por haberse desconocido en la Sentencia impugnada la Sentencia dictada por el Juzgado de Primera Instancia núm. 3 de Huelva resolviendo definitivamente la cuestión de competencia. Mantienen también que se han producido dilaciones indebidas en el procedimiento y solicitan que se declare la nulidad de la Sentencia dictada por el Juzgado de Primera Instancia núm. 1 de Huelva el 20 de junio de 1984 y se declare que el mismo es competente </w:t>
      </w:r>
      <w:r>
        <w:lastRenderedPageBreak/>
        <w:t>para conocer de la apelación respecto del fondo de la cuestión, instándole a que se pronuncie en el más breve plazo.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Admitida a trámite la demanda, se dio traslado de la misma a los solicitantes del amparo y al Ministerio Fiscal. </w:t>
      </w:r>
    </w:p>
    <w:p w:rsidR="001C705E" w:rsidRDefault="001C705E" w:rsidP="001C705E">
      <w:pPr>
        <w:pStyle w:val="TextoNormal"/>
      </w:pPr>
      <w:r>
        <w:t xml:space="preserve">Las solicitantes del amparo evacuaron su traslado de alegaciones, insistiendo en sus pretensiones iniciales y solicitando que se dicte Sentencia, otorgándoles el debido amparo constitucional en el sentido de: a) reconocer que tienen derecho a que el Juzgado de Primera Instancia número 1 de Huelva entre a conocer en el fondo del asunto que se planteó en grado de apelación, por cuanto la competencia para conocer en la instancia inicial había sido declarada de modo firme y definitivo a favor de los Juzgados de Distrito de Huelva; b) reconocer asimismo su derecho a que se falle y resuelva sobre el fondo del asunto en el más breve plazo posible, y c) que se le restablezca la integridad de sus derechos anulándose en consecuencia la Sentencia dictada por el Juzgado de Primera Instancia núm. 1 de Huelva. </w:t>
      </w:r>
    </w:p>
    <w:p w:rsidR="001C705E" w:rsidRDefault="001C705E" w:rsidP="001C705E">
      <w:pPr>
        <w:pStyle w:val="TextoNormal"/>
      </w:pPr>
      <w:r>
        <w:t xml:space="preserve">Por su parte, en su escrito de alegaciones, el Ministerio Fiscal ha solicitado de este Tribunal que otorgue el amparo que se le ha pedido y funda estimación en las siguientes razones: En primer término, «la seguridad jurídica opera en la Constitución, como un límite que impide el que los Jueces y Tribunales puedan revisar las Sentencias y demás resoluciones firmes al margen de los supuestos taxativamente previstos por el legislador» (Sentencia Sala Primera de este Tribunal Constitucional, de 12 de noviembre de 1984). </w:t>
      </w:r>
    </w:p>
    <w:p w:rsidR="001C705E" w:rsidRDefault="001C705E" w:rsidP="001C705E">
      <w:pPr>
        <w:pStyle w:val="TextoNormal"/>
      </w:pPr>
      <w:r>
        <w:t xml:space="preserve">Por lo tanto, dice el Ministerio Fiscal, la inaplicación del principio de seguridad jurídica sancionado en la Constitución, produce una violación de la tutela judicial efectiva, cuando ese principio al ser desconocido, determine la falta de una respuesta jurídica del órgano judicial o la falta de efectividad de la tutela judicial consagrado en el art. 24 de la Constitución. </w:t>
      </w:r>
    </w:p>
    <w:p w:rsidR="001C705E" w:rsidRDefault="001C705E" w:rsidP="001C705E">
      <w:pPr>
        <w:pStyle w:val="TextoNormal"/>
      </w:pPr>
      <w:r>
        <w:t xml:space="preserve">La tutela judicial efectiva no se materializaría si ante una misma pretensión ya resuelta con carácter firme por una Sentencia se obtiene una respuesta jurídica contraria dictada por otro órgano judicial. </w:t>
      </w:r>
    </w:p>
    <w:p w:rsidR="001C705E" w:rsidRDefault="001C705E" w:rsidP="001C705E">
      <w:pPr>
        <w:pStyle w:val="TextoNormal"/>
      </w:pPr>
      <w:r>
        <w:t xml:space="preserve">La modificación de las Sentencias sólo se puede realizar a través de la pluralidad de instancias en la forma marcada en la norma. Una Sentencia dictada por un órgano judicial, puede ser revisada por el órgano superior determinado en la Ley. Pero una vez que haya obtenido la consideración de firme, la Sentencia no admite modificación alguna, porque dicha inmodificabilidad es una exigencia de la seguridad jurídica. </w:t>
      </w:r>
    </w:p>
    <w:p w:rsidR="001C705E" w:rsidRDefault="001C705E" w:rsidP="001C705E">
      <w:pPr>
        <w:pStyle w:val="TextoNormal"/>
      </w:pPr>
      <w:r>
        <w:t xml:space="preserve">La posibilidad de revisar Sentencias está taxativamente señalada por la Ley, sin que quepa la ampliación de esta posibilidad. </w:t>
      </w:r>
    </w:p>
    <w:p w:rsidR="001C705E" w:rsidRDefault="001C705E" w:rsidP="001C705E">
      <w:pPr>
        <w:pStyle w:val="TextoNormal"/>
      </w:pPr>
      <w:r>
        <w:t xml:space="preserve">La consecuencia es que la Sentencia tiene un valor, que se afirma frente a los demás órganos judiciales y tiene que ser tenida en consideración por los mismos, sin que quepa alteración de sus términos. </w:t>
      </w:r>
    </w:p>
    <w:p w:rsidR="001C705E" w:rsidRDefault="001C705E" w:rsidP="001C705E">
      <w:pPr>
        <w:pStyle w:val="TextoNormal"/>
      </w:pPr>
      <w:r>
        <w:t xml:space="preserve">El art. 24 de la Constitución recoge el derecho a la tutela judicial efectiva, y contenido de este derecho es precisamente la efectividad de esa tutela que impide que dicha tutela judicial sea inoperante, es decir, no cause los efectos que por su propia naturaleza debe causar. </w:t>
      </w:r>
    </w:p>
    <w:p w:rsidR="001C705E" w:rsidRDefault="001C705E" w:rsidP="001C705E">
      <w:pPr>
        <w:pStyle w:val="TextoNormal"/>
      </w:pPr>
      <w:r>
        <w:t xml:space="preserve">Expone el Fiscal que el caso concreto, objeto del recurso de amparo, presenta en su estudio modalidades distintas. Según el sentido que se dé al problema planteado se podría llegar a conclusiones dispares. </w:t>
      </w:r>
    </w:p>
    <w:p w:rsidR="001C705E" w:rsidRDefault="001C705E" w:rsidP="001C705E">
      <w:pPr>
        <w:pStyle w:val="TextoNormal"/>
      </w:pPr>
      <w:r>
        <w:t>La Sentencia que se impugna en sí misma no plantea conexión constitucional, ya que se limita a interpretar un problema de competencia que constituye materia de legalidad ordi</w:t>
      </w:r>
      <w:r>
        <w:lastRenderedPageBreak/>
        <w:t xml:space="preserve">naria ajena al ámbito constitucional; sin embargo, es preciso conectarla con las resoluciones judiciales anteriores y entonces sí presenta conexión constitucional. Las Sentencias anteriores conforman e integran la totalidad del proceso, y en esta totalidad la Sentencia produce la violación del art. 24 de la Constitución. Es la dependencia entre las resoluciones judiciales la que da contenido constitucional a la demanda. Es la contraposición entre las Sentencias la que determina la posible vulneración constitucional. </w:t>
      </w:r>
    </w:p>
    <w:p w:rsidR="001C705E" w:rsidRDefault="001C705E" w:rsidP="001C705E">
      <w:pPr>
        <w:pStyle w:val="TextoNormal"/>
      </w:pPr>
      <w:r>
        <w:t xml:space="preserve">La Sentencia del Juzgado de Primera Instancia núm. 3 contiene una declaración -clara e inmodificable- respecto a la competencia para conocer de la pretensión deducida por el demandante. Es competente el Juzgado de Distrito. Esta declaración, devenida firme, no puede en virtud del principio de seguridad jurídica ser modificada por ningún órgano judicial. Constituye un fundamento de la actuación posterior del Juzgado de Distrito, que, en base a esta declaración, entra a conocer del fondo de la pretensión. </w:t>
      </w:r>
    </w:p>
    <w:p w:rsidR="001C705E" w:rsidRDefault="001C705E" w:rsidP="001C705E">
      <w:pPr>
        <w:pStyle w:val="TextoNormal"/>
      </w:pPr>
      <w:r>
        <w:t>La Sentencia impugnada dictada por el Juzgado de Primera Instancia núm. 1 de Huelva, desconoce la «declaración firme» realizada por el otro órgano judicial y modifica el contenido de la misma. El hecho que adquiere relevancia es la modificación de una Sentencia firme. Esto deja sin efectividad la tutela judicial efectiva que contenía la declaración de la Sentencia.</w:t>
      </w:r>
    </w:p>
    <w:p w:rsidR="001C705E" w:rsidRDefault="001C705E" w:rsidP="001C705E">
      <w:pPr>
        <w:pStyle w:val="TextoNormal"/>
      </w:pPr>
    </w:p>
    <w:p w:rsidR="001C705E" w:rsidRDefault="001C705E" w:rsidP="001C705E">
      <w:pPr>
        <w:pStyle w:val="TextoNormal"/>
      </w:pPr>
      <w:r w:rsidRPr="001C705E">
        <w:rPr>
          <w:rStyle w:val="NumeroAFNegritaCaracter"/>
        </w:rPr>
        <w:t>4</w:t>
      </w:r>
      <w:r>
        <w:t>. Por providencia de 9 de enero pasado se señaló para la deliberación y votación el día 20 de marzo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Las solicitantes del presente amparo alegan, aunque sin la debida delimitación, el conjunto de derechos que el art. 24 de la Constitución reconoce a todos los ciudadanos atribuyéndoles carácter fundamental. Nos piden que declaremos la competencia de un determinado órgano jurisdiccional con lo que implícitamente parecen estar ejercitando su derecho al Juez legal predeterminado por la Ley; entienden que se les ha provocado una situación de indefensión; acusan la existencia de dilaciones en el procedimiento seguido por ello, porque iniciado en el mes de mayo de 1982, se encuentra todavía detenido en un debate sobre la competencia para conocer de él y, por último, de manera global, ejercitan su derecho a la tutela judicial efectiva, reclamando que se entre a conocer sin dilación del fondo del asunto por ellos planteado.</w:t>
      </w:r>
    </w:p>
    <w:p w:rsidR="001C705E" w:rsidRDefault="001C705E" w:rsidP="001C705E">
      <w:pPr>
        <w:pStyle w:val="TextoNormal"/>
      </w:pPr>
      <w:r>
        <w:t xml:space="preserve">Así articuladas las pretensiones que son objeto de este asunto debemos respecto de ellas significar: a) que no existe en puridad en este caso una cuestión de Derecho al Juez legal predeterminado por la Ley, porque no corresponde a este Tribunal decidir simples cuestiones de competencia entre órganos que pertenecen todos a la jurisdicción ordinaria, ya que todos los órganos jurisdiccionales que en este asunto han estado implicados ostentan la condición de jueces legales en un asunto de índole civil, y los criterios de aplicación de la delimitación de competencias entre ellos no es por sí sola materia que sea objeto del derecho de carácter constitucional reconocido por el art. 24 de la Constitución; b) que cualquiera que sea la tesis que se mantenga en punto al concepto de «derecho a un proceso sin dilaciones indebidas», y hay que entender por tal el proceso que se desenvuelve en condiciones de normalidad dentro del tiempo requerido y en el que los intereses litigiosos pueden recibir pronta satisfacción, el proceso promovido por doña Carmen, doña Juana y doña Antonia Luisa Ajuria Jaldón en el año 1982, sobre reivindicación de cuotas indivisas de una casa sita en la localidad de Cartaya, ha experimentado indebidas dilaciones, pues </w:t>
      </w:r>
      <w:r>
        <w:lastRenderedPageBreak/>
        <w:t>casi tres años después de comenzado continúa sin resolver, reiterándose de manera injustificada e innecesaria el debate sobre la competencia, por razón de la cuantía litigiosa, que es consecuencia de las diferentes estimaciones del valor del objeto del conflicto.  Planteamiento éste que permite considerar desproporcionada la longitud del debate, respecto de una cuestión que en sustancia presenta una gran nimiedad y de un tema de fondo, la situación del condominio sobre el inmueble, que tampoco ofrece prima facie complejidades especiales.</w:t>
      </w:r>
    </w:p>
    <w:p w:rsidR="001C705E" w:rsidRDefault="001C705E" w:rsidP="001C705E">
      <w:pPr>
        <w:pStyle w:val="TextoNormal"/>
      </w:pPr>
      <w:r>
        <w:t>Reconocido el derecho de las solicitantes del amparo a un proceso sin dilaciones indebidas y reconocido asimismo el carácter indebido de las dilaciones que el proceso que aquí se estudia, ha experimentado no podemos extraer de ello conclusiones ulteriores que las del reconocimiento de este derecho y las de ordenar que se satisfaga sin demora, dictando Sentencia sin mayores trámites.</w:t>
      </w:r>
    </w:p>
    <w:p w:rsidR="001C705E" w:rsidRDefault="001C705E" w:rsidP="001C705E">
      <w:pPr>
        <w:pStyle w:val="TextoNormal"/>
      </w:pPr>
    </w:p>
    <w:p w:rsidR="001C705E" w:rsidRDefault="001C705E" w:rsidP="001C705E">
      <w:pPr>
        <w:pStyle w:val="TextoNormal"/>
      </w:pPr>
      <w:r w:rsidRPr="001C705E">
        <w:rPr>
          <w:rStyle w:val="NumeroAFNegritaCaracter"/>
        </w:rPr>
        <w:t>2</w:t>
      </w:r>
      <w:r>
        <w:t>. El derecho a la tutela judicial efectiva, que consagra el art. 24.1 de la Constitución, consiste primariamente en que los litigantes obtengan una resolución judicial motivada, que se pronuncie sobre el fondo de las pretensiones deducidas por ellas ante el órgano jurisdiccional y, sólo subsidiariamente puede quedar satisfecho, el mencionado derecho, con una resolución motivada de inadmisión o de extinción del proceso, que impide llegar al fondo del asunto. Esto sólo puede ocurrir cuando la inadmisión se funde en razones establecidas por el legislador, que deban al mismo tiempo considerarse como proporcionadas en relación con los fines constitucionalmente protegibles a que los requisitos procesales pretenden atender.</w:t>
      </w:r>
    </w:p>
    <w:p w:rsidR="001C705E" w:rsidRDefault="001C705E" w:rsidP="001C705E">
      <w:pPr>
        <w:pStyle w:val="TextoNormal"/>
      </w:pPr>
      <w:r>
        <w:t>Pertenece sin duda a este tipo de requisitos la depuración de la competencia del órgano jurisdiccional llamado a decidir que puede razonablemente dar origen a un debate entre las partes y los órganos jurisdiccionales. Sin embargo, es manifiesto que el derecho constitucional se vulnera cuando reanudando un debate ya extinguido en punto a la competencia el órgano jurisdiccional se abstiene de emitir un pronunciamiento sobre el fondo del asunto declarándose incompetente.</w:t>
      </w:r>
    </w:p>
    <w:p w:rsidR="001C705E" w:rsidRDefault="001C705E" w:rsidP="001C705E">
      <w:pPr>
        <w:pStyle w:val="TextoNormal"/>
      </w:pPr>
      <w:r>
        <w:t>Planteadas así las cosas, parece claro que en nuestro caso se ha vulnerado el derecho reconocido en el art. 24.1 de la Constitución por cuanto la tutela que obtuvieron con la Sentencia de 13 de junio de 1983 se ha visto privada de efectividad, no ciertamente por el Juzgado de Distrito, pero sí por el de Primera Instancia núm. 1, que desconoce el efecto de la cosa juzgada de dicha Sentencia obligando a las demandantes a intentar una nueva acción condenada al fracaso, replanteando la cuestión de la competencia.</w:t>
      </w:r>
    </w:p>
    <w:p w:rsidR="001C705E" w:rsidRDefault="001C705E" w:rsidP="001C705E">
      <w:pPr>
        <w:pStyle w:val="TextoNormal"/>
      </w:pPr>
      <w:r>
        <w:t>La infracción consiste más exactamente, en que el Juzgado de Primera Instancia núm. 1 de Huelva resuelve el recurso de apelación declarando la incompetencia del Juzgado de Distrito, pues sólo en este extremo se ha privado de efectividad a la Sentencia de 13 de junio de 1983.</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lastRenderedPageBreak/>
        <w:t>Ha decidido</w:t>
      </w:r>
    </w:p>
    <w:p w:rsidR="001C705E" w:rsidRDefault="001C705E" w:rsidP="001C705E">
      <w:pPr>
        <w:pStyle w:val="TextoNormalCentrado"/>
        <w:keepNext/>
      </w:pPr>
    </w:p>
    <w:p w:rsidR="001C705E" w:rsidRDefault="001C705E" w:rsidP="001C705E">
      <w:pPr>
        <w:pStyle w:val="TextoNormal"/>
      </w:pPr>
      <w:r>
        <w:t>1. Estimar el recurso de amparo promovido por la Procuradora de los Tribunales doña María Rodríguez Puyol en nombre de doña Carmen, doña Juana y doña Antonia Luisa Ajuria Jaldón; declarando que se han lesionado los derechos de las mismas a una tutela judicial efectiva y a un proceso sin dilaciones indebidas en el litigio que sostienen con doña Francisca Martín Cano sobre las cuotas de condominio de la casa núm. 30 de la calle de Cánovas del Castillo, de la localidad de Cartaya.</w:t>
      </w:r>
    </w:p>
    <w:p w:rsidR="001C705E" w:rsidRDefault="001C705E" w:rsidP="001C705E">
      <w:pPr>
        <w:pStyle w:val="TextoNormal"/>
      </w:pPr>
      <w:r>
        <w:t>2. Otorgar a las recurrentes el amparo solicitado, declarando la nulidad de la Sentencia del Juzgado de Primera Instancia núm. 1 de Huelva de 20 de junio de 1984, para que dicho Juzgado en el plazo más breve posible se pronuncie sobre el fondo del recurso de apelación suscitado contra la Sentencia del Juzgado de Distrito núm. 2 de Huelva de 11 de octubre de 1983.</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veintidós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7" w:name="SENTENCIA_1985_44"/>
      <w:r>
        <w:lastRenderedPageBreak/>
        <w:t>SENTENCIA 44/1985, de 22 de marzo de 1985</w:t>
      </w:r>
    </w:p>
    <w:bookmarkEnd w:id="47"/>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ECLI:ES:TC:1985:44</w:t>
      </w:r>
    </w:p>
    <w:p w:rsidR="001C705E" w:rsidRDefault="001C705E" w:rsidP="001C705E">
      <w:pPr>
        <w:pStyle w:val="SntesisDescriptiva"/>
      </w:pPr>
    </w:p>
    <w:p w:rsidR="001C705E" w:rsidRDefault="001C705E" w:rsidP="001C705E">
      <w:pPr>
        <w:pStyle w:val="SntesisDescriptiva"/>
      </w:pPr>
      <w:r>
        <w:t>Recurso de amparo 591/1984. Contra resoluciones judiciales denegatorias del recurso de súplica interpuesto por el recurrente en proceso penal al negársele su derecho a comparecer en el mismo en su condición de imputado.  Vulneración del derecho al Juez ordinario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inadmisión de un medio de impugnación en la vía judicial en razón de una causa inexistente comporta a la vez ilegalidad e inconstitucionalidad, ya que afecta al contenido del derecho reconocido en el art. 24 C.E. </w:t>
      </w:r>
    </w:p>
    <w:p w:rsidR="001C705E" w:rsidRDefault="001C705E" w:rsidP="001C705E">
      <w:pPr>
        <w:pStyle w:val="Extracto"/>
      </w:pPr>
    </w:p>
    <w:p w:rsidR="001C705E" w:rsidRDefault="001C705E" w:rsidP="001C705E">
      <w:pPr>
        <w:pStyle w:val="Extracto"/>
      </w:pPr>
      <w:r>
        <w:t>2.</w:t>
      </w:r>
      <w:r>
        <w:tab/>
        <w:t xml:space="preserve">Del art. 24.1 C.E. se deriva la posibilidad de que frente a las medidas cautelares acordadas en un Auto de procesamiento y, en todo caso, frente al procedimiento pueda defenderse eficazmente el procesado y también el imputado. </w:t>
      </w:r>
    </w:p>
    <w:p w:rsidR="001C705E" w:rsidRDefault="001C705E" w:rsidP="001C705E">
      <w:pPr>
        <w:pStyle w:val="Extracto"/>
      </w:pPr>
    </w:p>
    <w:p w:rsidR="001C705E" w:rsidRDefault="001C705E" w:rsidP="001C705E">
      <w:pPr>
        <w:pStyle w:val="Extracto"/>
      </w:pPr>
      <w:r>
        <w:t>3.</w:t>
      </w:r>
      <w:r>
        <w:tab/>
        <w:t xml:space="preserve">El derecho al Juez ordinario predeterminado por la Ley comprende también el de recusar cuando concurren las causas tipificadas como circunstancias de privación de idoneidad.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y don Rafael Gómez-Ferrer Morant,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lastRenderedPageBreak/>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591/1984, promovido por don Carlos Martín de Velasco, don Gonzalo Vegas Valientes y don Ricardo Sánchez Encinar, representados por el Procurador de los Tribunales don José Manuel de Dorremochea Aramburu y bajo la dirección del Letrado don Mariano Gómez de Liaño, contra la denegación por la Providencia de la Sala de lo Penal de la Audiencia Provincial de Avila, de 3 de julio de 1984, dictada en el rollo número 48/1982, dimanante del sumario número 36/1982 del Juzgado de Instrucción de Avila, del recurso de súplica interpuesto contra el Auto de dicha Sala de 28 de junio de 1984, que ordenó procesar a los recurrentes en amparo. </w:t>
      </w:r>
    </w:p>
    <w:p w:rsidR="001C705E" w:rsidRDefault="001C705E" w:rsidP="001C705E">
      <w:pPr>
        <w:pStyle w:val="TextoNormal"/>
      </w:pPr>
      <w:r>
        <w:t>Ha comparecido el Ministerio Fiscal, el Procurador de los Tribunales don Santos de Gandarillas Carmona, en nombre y representación de la Caja General de Ahorros y Monte de Piedad de Avila, bajo la dirección del Letrado don Arturo Familiar Sánchez y don Alfonso Gil Meléndez, Procurador de los Tribunales, en nombre de don Jaime Santamaría Bejarano. Ha sido Ponente el Magistrado don Manuel Díez de Velasco Vallejo,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Procurador don José Manuel de Dorremochea Aramburu, en nombre y representación de don Carlos Martín de Velasco, don Gonzalo Vegas Valientes y don Ricardo Sánchez Encinar, por medio de escrito presentado el 30 de julio de 1984, interpuso recurso de amparo contra la providencia de la Audiencia Provincial de Avila, de 3 de julio de 1984, que denegó la tramitación del recurso de súplica interpuesto contra el Auto de dicha Audiencia de 28 de junio de 1984 que ordenó su procesamiento en el sumario núm. 36/1982, del Juzgado de Instrucción de dicha ciudad.</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parte recurrente invoca la vulneración del art. 24 de la Constitución Española (C.E.) en tres aspectos: a) denegación de la tutela judicial efectiva al no habérseles reconocido legitimación suficiente; b) el desconocimiento del derecho al recurso, y c) el derecho a ser juzgado por el Juez predeterminado por la Ley. </w:t>
      </w:r>
    </w:p>
    <w:p w:rsidR="001C705E" w:rsidRDefault="001C705E" w:rsidP="001C705E">
      <w:pPr>
        <w:pStyle w:val="TextoNormal"/>
      </w:pPr>
      <w:r>
        <w:t>Por medio de escrito presentado el 8 de agosto se amplía el recurso de amparo a la providencia de la propia Audiencia Provincial de Avila de 23 de julio de 1984, que declaró no haber lugar a tramitar el recurso de nulidad de actuaciones.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La demanda de amparo se fundamenta, en síntesis, en los siguientes hechos: </w:t>
      </w:r>
    </w:p>
    <w:p w:rsidR="001C705E" w:rsidRDefault="001C705E" w:rsidP="001C705E">
      <w:pPr>
        <w:pStyle w:val="TextoNormal"/>
      </w:pPr>
      <w:r>
        <w:t xml:space="preserve">a) El 6 de mayo de 1981, don César Calzada de la Peña interpuso querella criminal contra los promoventes del amparo que dio lugar a la tramitación del sumario núm. 36/1982 del Juzgado de Instrucción de Avila. </w:t>
      </w:r>
    </w:p>
    <w:p w:rsidR="001C705E" w:rsidRDefault="001C705E" w:rsidP="001C705E">
      <w:pPr>
        <w:pStyle w:val="TextoNormal"/>
      </w:pPr>
      <w:r>
        <w:t xml:space="preserve">La querella fue interpuesta por el señor Calzada de la Peña como consecuencia de un crédito que le otorgó la Caja General de Ahorros y Préstamos de Avila y que fue puesto bajo la condición de que fuera destinado al pago de las cargas que pesaban sobre la finca «Carcabosa y Vado», del señor Calzada, en Mérida (Badajoz), condición que a juicio del señor Calzada no fue cumplida por los directivos de la Caja General de Ahorros don Carlos Martín de Velasco, don Gonzalo Vegas Valiente y don Ricardo Sánchez Encinar. El crédito, en forma de préstamo con garantía hipotecaria, constaba con la fianza personal y solidaria de don Jaime Santamaría Bejarano, que es pariente por afinidad dentro del cuarto </w:t>
      </w:r>
      <w:r>
        <w:lastRenderedPageBreak/>
        <w:t xml:space="preserve">grado del Presidente de la Audiencia Provincial de Avila, por ser primo hermano de la mujer de dicho Presidente. El señor Santamaría compareció, formulando oposición, en los autos del juicio ejecutivo núm. 99/1980, seguidos a instancia de la Caja General de Ahorros de Avila contra el señor Calzada y el señor Santamaría, de resultas del préstamo con garantía hipotecaria, y por escrito de 15 de septiembre de 1981 comparece en el sumario núm. 36/1982, como perjudicado, teniéndosele por parte en providencia del Juzgado de 13 de octubre de 1981; </w:t>
      </w:r>
    </w:p>
    <w:p w:rsidR="001C705E" w:rsidRDefault="001C705E" w:rsidP="001C705E">
      <w:pPr>
        <w:pStyle w:val="TextoNormal"/>
      </w:pPr>
      <w:r>
        <w:t xml:space="preserve">b) Dicho sumario concluyó inicialmente sin procesamiento, interponiéndose por los querellantes, es decir, por el señor Calzada y el señor Santamaría, parte perjudicada, recursos de reforma que fueron desestimados por Auto del Juzgado de Instrucción de Avila de 8 de julio de 1983, y de apelación, resuelto por Auto de la Audiencia de 29 de noviembre del mismo año, que si bien denegó el procesamiento, ordenó, sin embargo, la práctica de diligencias complementarias; </w:t>
      </w:r>
    </w:p>
    <w:p w:rsidR="001C705E" w:rsidRDefault="001C705E" w:rsidP="001C705E">
      <w:pPr>
        <w:pStyle w:val="TextoNormal"/>
      </w:pPr>
      <w:r>
        <w:t xml:space="preserve">c) Practicadas las diligencias, el Juzgado de Instrucción, por Auto de 25 de febrero de 1984, declara nuevamente no haber lugar al procesamiento y desestima por el de 17 de marzo de 1984 el recurso de reforma que contra dicha resolución se había formulado, remitiendo el sumario a la Audiencia con emplazamiento de las partes entre las que se consideraba a los querellados, hoy promoventes del amparo, que, como tales, habían sido tenidos en todas las actuaciones procedentes; </w:t>
      </w:r>
    </w:p>
    <w:p w:rsidR="001C705E" w:rsidRDefault="001C705E" w:rsidP="001C705E">
      <w:pPr>
        <w:pStyle w:val="TextoNormal"/>
      </w:pPr>
      <w:r>
        <w:t xml:space="preserve">d) Personados los promoventes del amparo ante la Audiencia Provincial, en virtud del emplazamiento efectuado, por providencia de 24 de abril de 1984, dicha Audiencia les niega la condición de parte, no siéndoles ya notificada dicha resolución y privándoles así del recurso pertinente; </w:t>
      </w:r>
    </w:p>
    <w:p w:rsidR="001C705E" w:rsidRDefault="001C705E" w:rsidP="001C705E">
      <w:pPr>
        <w:pStyle w:val="TextoNormal"/>
      </w:pPr>
      <w:r>
        <w:t xml:space="preserve">e) Por Auto de 28 de junio de 1984, la Audiencia Provincial revoca el Auto de conclusión del sumario del Juzgado de Instrucción de Avila de 17 de marzo de 1984, devolviendo la causa para que se dictara contra los querellados Auto de procesamiento con responsabilidad civil subsidiaria de la Caja General de Ahorros de Avila; </w:t>
      </w:r>
    </w:p>
    <w:p w:rsidR="001C705E" w:rsidRDefault="001C705E" w:rsidP="001C705E">
      <w:pPr>
        <w:pStyle w:val="TextoNormal"/>
      </w:pPr>
      <w:r>
        <w:t xml:space="preserve">f) Contra dicho Auto de la Audiencia Provincial de 28 de junio, se interpone recurso de súplica denegándose su trámite por la providencia de 3 de julio de 1984, objeto del amparo constitucional, «por no ser parte el peticionario»; </w:t>
      </w:r>
    </w:p>
    <w:p w:rsidR="001C705E" w:rsidRDefault="001C705E" w:rsidP="001C705E">
      <w:pPr>
        <w:pStyle w:val="TextoNormal"/>
      </w:pPr>
      <w:r>
        <w:t xml:space="preserve">g) En el recurso de súplica interpuesto se formulaba en el fundamento primero la recusación del Presidente de la Audiencia por ser uno de los querellantes, el señor Santamaría Bejarano, pariente por afinidad dentro del cuarto grado de dicho Presidente, con fundamento en la causa primera prevista en el art. 54 de la L.E.Cr., que fue apreciada posteriormente en la inhibición acordada por el Presidente de dicha Audiencia Provincial en Auto de 5 de julio de 1984, y </w:t>
      </w:r>
    </w:p>
    <w:p w:rsidR="001C705E" w:rsidRDefault="001C705E" w:rsidP="001C705E">
      <w:pPr>
        <w:pStyle w:val="TextoNormal"/>
      </w:pPr>
      <w:r>
        <w:t>h) Por medio de providencia de 23 de julio de 1984 se acuerda no haber lugar al recurso de nulidad de actuaciones interpuesto fundamentándose, igualmente, en «no ser parte el peticionario».</w:t>
      </w:r>
    </w:p>
    <w:p w:rsidR="001C705E" w:rsidRDefault="001C705E" w:rsidP="001C705E">
      <w:pPr>
        <w:pStyle w:val="TextoNormal"/>
      </w:pPr>
    </w:p>
    <w:p w:rsidR="001C705E" w:rsidRDefault="001C705E" w:rsidP="001C705E">
      <w:pPr>
        <w:pStyle w:val="TextoNormal"/>
      </w:pPr>
      <w:r w:rsidRPr="001C705E">
        <w:rPr>
          <w:rStyle w:val="NumeroAFNegritaCaracter"/>
        </w:rPr>
        <w:t>4</w:t>
      </w:r>
      <w:r>
        <w:t>. La Sección Segunda de la Sala Primera de este Tribunal Constitucional (TC) en providencia de 19 de septiembre de 1984 acordó admitir a trámite la demanda de amparo y requerir, en aplicación del art. 51 de la LOTC a la Audiencia Provincial de Avila la remisión del rollo núm. 48/1982 y al Juzgado de Instrucción de la misma capital las actuaciones del sumario núm. 36/1982.</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En nueva providencia de la Sección Segunda de 17 de octubre de 1984, se acordó: 1. tener por recibidas las actuaciones, en fotocopia, de la Audiencia Provincial y del Juzgado </w:t>
      </w:r>
      <w:r>
        <w:lastRenderedPageBreak/>
        <w:t>de Instrucción de Avila; 2. tener por personado y parte en nombre de la Caja General de Ahorros de Avila al Procurador don Santos de Gandarillas Carmona y al Procurador don Alfonso Gil Meléndez, en nombre de don Jaime Santamaría Bejarano, y 3. de conformidad con el art. 52.1, de la LOTC se acordó conceder un plazo de veinte días a las partes personadas para que formulasen la alegaciones procedentes.</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El Fiscal ante el TC, por escrito de 12 de noviembre de 1984, formuló, en síntesis, las siguientes alegaciones: </w:t>
      </w:r>
    </w:p>
    <w:p w:rsidR="001C705E" w:rsidRDefault="001C705E" w:rsidP="001C705E">
      <w:pPr>
        <w:pStyle w:val="TextoNormal"/>
      </w:pPr>
      <w:r>
        <w:t xml:space="preserve">a) La demanda de amparo fue presentada cuando pendía ante la jurisdicción ordinaria un medio impugnativo -incidente de nulidad de actuaciones-, que la hacía intramitable. Se trataba, por consiguiente, de un recurso de amparo condicionado, de todo punto inadmisible. Sin embargo, el escrito de 6 de agosto de 1984 que da cuenta de la denegación de la nulidad intentada deja expedita la vía de amparo y convalida retroactivamente, sin duda al socaire del principio pro actione, la demanda inicial de amparo. </w:t>
      </w:r>
    </w:p>
    <w:p w:rsidR="001C705E" w:rsidRDefault="001C705E" w:rsidP="001C705E">
      <w:pPr>
        <w:pStyle w:val="TextoNormal"/>
      </w:pPr>
      <w:r>
        <w:t xml:space="preserve">Por otra parte, hay que pensar que en buena medida, de alzarse los procesamientos decretados, carecería de razón la pretensión de los actores. A éstos lo que realmente importa es salir indemnes de la causa penal que se les ha promovido y todo lo alegado, tanto la Audiencia de Avila como ahora, lo es con carácter instrumental y no tiene otra finalidad que no prospere la acción penal contra ellos intentada. </w:t>
      </w:r>
    </w:p>
    <w:p w:rsidR="001C705E" w:rsidRDefault="001C705E" w:rsidP="001C705E">
      <w:pPr>
        <w:pStyle w:val="TextoNormal"/>
      </w:pPr>
      <w:r>
        <w:t xml:space="preserve">b) Son dos los derechos fundamentales que se dicen agraviados: El de tutela judicial y el del Juez ordinario predeterminado por la Ley, aunque la lesión al primero se formula doblemente: Primero, por no admitir una personación en autos, y segundo, por la inadmisión del recurso de súplica. Se trata, con toda evidencia, de dos momentos sucesivos de un mismo derecho, el de acceso a la jurisdicción, y el segundo no deja de ser una consecuencia obligada del primero, ya que si no se reconoce la calidad de parte procesal se carece de legitimación para recurrir. </w:t>
      </w:r>
    </w:p>
    <w:p w:rsidR="001C705E" w:rsidRDefault="001C705E" w:rsidP="001C705E">
      <w:pPr>
        <w:pStyle w:val="TextoNormal"/>
      </w:pPr>
      <w:r>
        <w:t xml:space="preserve">c) La demanda sitúa la transgresión en el derecho al Juez predeterminado por la Ley y tiene su apoyo en la Sentencia de este TC núm. 47/1982, de 12 de julio, según la cual entre las garantías relativas a que el justiciable sea juzgado por el Juez ordinario predeterminado por la Ley «están también las relativas a la concreta idoneidad de un determinado Juez en relación con un concreto asunto, entre las cuales es preeminente la de imparcialidad, que se mide no sólo por las condiciones subjetivas de ecuanimidad y rectitud, sino también por las de desinterés y neutralidad», y añade a renglón seguido «de esta suerte, el derecho a la utilización por el Juez predeterminado por la Ley, comprende recusar a aquellos funcionarios ...» (Jurisprudencia Constitucional, T. 4. , pág. 74), esto es, que la recusación o derecho a Juez non suspectus, lo coloca en dos de los derechos reconocidos en el art. 24.2, el del Juez predeterminado y el de defensa. El Auto de 2 de mayo de 1984 (RA 110/1984, FJ 2. ), reitera la doctrina sentada en esta Sentencia. </w:t>
      </w:r>
    </w:p>
    <w:p w:rsidR="001C705E" w:rsidRDefault="001C705E" w:rsidP="001C705E">
      <w:pPr>
        <w:pStyle w:val="TextoNormal"/>
      </w:pPr>
      <w:r>
        <w:t xml:space="preserve">Ha intervenido un Magistrado que debió abstenerse y que su intervención ha sido decisiva y no meramente formularia, con lo que las garantías del justiciable han sido desconocidas, y en la medida que estas garantías están reconocidas en la Ley (arts. 52 y ss. de la L.E.Cr.) y el proceso «con todas las garantías» está también recogido en el mismo art. 24.2 de la C.E. es preciso concluir que ha sido vulnerado un derecho o garantía fundamental y que deben ser restablecidos los interesados en dicho derecho. Ello ha de suponer la nulidad de las resoluciones en que intervino el Presidente con la consiguiente retroacción de las actuaciones, que sería desde que el sumario tuvo su entrada en el Tribunal al ser concluido y elevado por el instructor, y </w:t>
      </w:r>
    </w:p>
    <w:p w:rsidR="001C705E" w:rsidRDefault="001C705E" w:rsidP="001C705E">
      <w:pPr>
        <w:pStyle w:val="TextoNormal"/>
      </w:pPr>
      <w:r>
        <w:lastRenderedPageBreak/>
        <w:t xml:space="preserve">d) Al declararse nulo lo actuado en los términos expuestos, lo sería la providencia de 24 de abril que negó personación a los recurrentes y también la que es objeto de impugnación en el recurso, la de 2 de julio, que rechazó la súplica. </w:t>
      </w:r>
    </w:p>
    <w:p w:rsidR="001C705E" w:rsidRDefault="001C705E" w:rsidP="001C705E">
      <w:pPr>
        <w:pStyle w:val="TextoNormal"/>
      </w:pPr>
      <w:r>
        <w:t xml:space="preserve">En el presente caso, aunque ciertamente los interesados tenían derecho a la personación en virtud de lo establecido en el art. 118 de la L.E.Cr., su denegación, en rigor, no les ha producido indefensión alguna desde el momento que la Ley no les permitía intervenir. </w:t>
      </w:r>
    </w:p>
    <w:p w:rsidR="001C705E" w:rsidRDefault="001C705E" w:rsidP="001C705E">
      <w:pPr>
        <w:pStyle w:val="TextoNormal"/>
      </w:pPr>
      <w:r>
        <w:t>El Fiscal concluye interesando del TC que, dictando la resolución prevista en el inciso inicial del art. 86.1 de su Ley Orgánica, en relación con el art. 372 de la Ley de Enjuiciamiento Civil, otorgue el amparo solicitado por vulneración del derecho a un proceso con todas las garantías legales, declarando la nulidad de las actuaciones procesales.</w:t>
      </w:r>
    </w:p>
    <w:p w:rsidR="001C705E" w:rsidRDefault="001C705E" w:rsidP="001C705E">
      <w:pPr>
        <w:pStyle w:val="TextoNormal"/>
      </w:pPr>
    </w:p>
    <w:p w:rsidR="001C705E" w:rsidRDefault="001C705E" w:rsidP="001C705E">
      <w:pPr>
        <w:pStyle w:val="TextoNormal"/>
      </w:pPr>
      <w:r w:rsidRPr="001C705E">
        <w:rPr>
          <w:rStyle w:val="NumeroAFNegritaCaracter"/>
        </w:rPr>
        <w:t>7</w:t>
      </w:r>
      <w:r>
        <w:t>. El Procurador de los Tribunales don Alfonso Gil Meléndez, en nombre de don Jaime Santamaría Bejarano, señala por escrito de 5 de noviembre de 1984, que contra el Auto de procesamiento dictado por el Juez de Instrucción de Avila, de fecha 20 de junio de 1984, se interpuso recurso de apelación, estando prevista la vista para el día 9 de noviembre de 1984 y acompaña al escrito presentado una certificación expedida por el señor Secretario de la Audiencia Provincial de Avila, referida al recurso de apelación y fotocopia del Auto de procesamiento. Para esta parte no se han agotado los recursos procedentes, encontrándose en tramitación el de apelación ante la Audiencia y el de nulidad de actuaciones, por lo que este recurso de amparo se encuentra indebidamente planteado, al no concurrir los requisitos necesarios para ser estimado.</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Don José Manuel de Dorremochea Aramburu, Procurador de los Tribunales, en nombre y representación de don Carlos Martín de Velasco, don Gonzalo Vegas Valientes y don Ricardo Sánchez Encinar, formula en su escrito de 16 de noviembre de 1984 las alegaciones en resumen siguientes: </w:t>
      </w:r>
    </w:p>
    <w:p w:rsidR="001C705E" w:rsidRDefault="001C705E" w:rsidP="001C705E">
      <w:pPr>
        <w:pStyle w:val="TextoNormal"/>
      </w:pPr>
      <w:r>
        <w:t xml:space="preserve">a) El recurso ha sido interpuesto claramente dentro del plazo sin esperar a la resolución del recurso de nulidad de actuaciones, habida cuenta de que, de no haber procedido los recurrentes de esta forma, habría sido aplicable la doctrina sentada por la Sentencia del TC 10/1984, de 2 de febrero (Sala Segunda), «Boletín Oficial del Estado» de 18 de febrero de 1984, y habría transcurrido el plazo; </w:t>
      </w:r>
    </w:p>
    <w:p w:rsidR="001C705E" w:rsidRDefault="001C705E" w:rsidP="001C705E">
      <w:pPr>
        <w:pStyle w:val="TextoNormal"/>
      </w:pPr>
      <w:r>
        <w:t xml:space="preserve">b) En cuanto al problema de si es recurrible en sí misma la decisión de procesar, debe tenerse en cuenta que han sido objeto de recurso de amparo situaciones en que el demandante de amparo recurría precisamente el procesamiento. Así en la Sentencia del TC 32/1984, de 8 de marzo -Sala Primera-, «Boletín Oficial del Estado» de 9 de marzo de 1984, y </w:t>
      </w:r>
    </w:p>
    <w:p w:rsidR="001C705E" w:rsidRDefault="001C705E" w:rsidP="001C705E">
      <w:pPr>
        <w:pStyle w:val="TextoNormal"/>
      </w:pPr>
      <w:r>
        <w:t xml:space="preserve">c) En relación con el mismo tema, existe también jurisprudencia que, con meridiana claridad, ha venido a fijar el principio de que la situación de indefensión no se subsana otorgando audiencia posteriormente. Es trasladable, por tanto, por analogía, a la fase sumarial la doctrina que la Sentencia del TC 102/1983, de 18 de noviembre (Sala Segunda), «Boletín Oficial del Estado» de 14 de diciembre de 1983, fijó para la indefensión en la primera instancia. </w:t>
      </w:r>
    </w:p>
    <w:p w:rsidR="001C705E" w:rsidRDefault="001C705E" w:rsidP="001C705E">
      <w:pPr>
        <w:pStyle w:val="TextoNormal"/>
      </w:pPr>
      <w:r>
        <w:t>Esta parte concluye interesando que se dicte Sentencia en la que, declarándose que se han violado los derechos constitucionales alegados, se decrete la retroacción de todo lo actuado hasta el momento en que debió admitirse la personación de los recurrentes ante la Audiencia Provincial o, como mínimo, hasta el momento inmediatamente anterior a la primera resolución en forma de Auto en que intervino el Magistrado que debía haberse abstenido.</w:t>
      </w:r>
    </w:p>
    <w:p w:rsidR="001C705E" w:rsidRDefault="001C705E" w:rsidP="001C705E">
      <w:pPr>
        <w:pStyle w:val="TextoNormal"/>
      </w:pPr>
    </w:p>
    <w:p w:rsidR="001C705E" w:rsidRDefault="001C705E" w:rsidP="001C705E">
      <w:pPr>
        <w:pStyle w:val="TextoNormal"/>
      </w:pPr>
      <w:r w:rsidRPr="001C705E">
        <w:rPr>
          <w:rStyle w:val="NumeroAFNegritaCaracter"/>
        </w:rPr>
        <w:t>9</w:t>
      </w:r>
      <w:r>
        <w:t>. Don Santos de Gandarillas Carmona, Procurador de los Tribunales, y de la Caja General de Ahorros y Monte de Piedad de Avila, señala, por escrito de 8 de noviembre de 1984, que esta parte hace suyos todos los argumentos esgrimidos por los recurrentes en su escrito de demanda de amparo.</w:t>
      </w:r>
    </w:p>
    <w:p w:rsidR="001C705E" w:rsidRDefault="001C705E" w:rsidP="001C705E">
      <w:pPr>
        <w:pStyle w:val="TextoNormal"/>
      </w:pPr>
    </w:p>
    <w:p w:rsidR="001C705E" w:rsidRDefault="001C705E" w:rsidP="001C705E">
      <w:pPr>
        <w:pStyle w:val="TextoNormal"/>
      </w:pPr>
      <w:r w:rsidRPr="001C705E">
        <w:rPr>
          <w:rStyle w:val="NumeroAFNegritaCaracter"/>
        </w:rPr>
        <w:t>10</w:t>
      </w:r>
      <w:r>
        <w:t xml:space="preserve">. Un examen de las actuaciones judiciales remitidas a este TC nos lleva a destacar las siguientes resoluciones a los efectos del recurso interpuesto: </w:t>
      </w:r>
    </w:p>
    <w:p w:rsidR="001C705E" w:rsidRDefault="001C705E" w:rsidP="001C705E">
      <w:pPr>
        <w:pStyle w:val="TextoNormal"/>
      </w:pPr>
      <w:r>
        <w:t xml:space="preserve">A) Resoluciones dictadas en el sumario núm. 36/1982, incoado por el Juzgado de Instrucción de Avila: a) Auto de 14 de enero de 1983 que decreta la conclusión del sumario; b) Auto de 28 de junio de 1983 que declara no haber lugar al procesamiento de los recurrentes, Auto de 8 de julio de 1983 que declara no haber lugar a la reforma del Auto de 28 de junio de 1983 y Auto de 19 de julio de 1983 que admite, en ambos efectos, el recurso de apelación; c) Auto de la Audiencia Provincial de 29 de noviembre de 1983 que declara improcedente el recurso de apelación contra el Auto de 8 de julio de 1983 y decreta la nulidad de actuaciones, a partir del momento de la admisión por el instructor del recurso; d) Auto del Juzgado de 12 de diciembre de 1983 que acuerda la reposición de las actuaciones al momento siguiente a la notificación del Auto de 8 de julio de 1983 y declara terminado el sumario; e) Auto del Juzgado de 25 de febrero de 1984 que decreta no haber lugar al procesamiento de los recurrentes, y Auto del Juzgado de 17 de marzo de 1984 que desestima el recurso de reforma contra el Auto de 25 de febrero; f) Auto de la Audiencia Provincial de 28 de junio de 1984 que revoca el Auto de conclusión del sumario de 17 de marzo de 1984 y ordena que se dicte Auto de procesamiento contra los recurrentes, y g) Auto del Juzgado de Instrucción de 20 de julio de 1984 que acuerda el procesamiento de los recurrentes y Auto del mismo Juzgado de 6 de agosto de 1984 que admite en un solo efecto el recurso de apelación contra el Auto de procesamiento. </w:t>
      </w:r>
    </w:p>
    <w:p w:rsidR="001C705E" w:rsidRDefault="001C705E" w:rsidP="001C705E">
      <w:pPr>
        <w:pStyle w:val="TextoNormal"/>
      </w:pPr>
      <w:r>
        <w:t xml:space="preserve">B) Resoluciones dictadas en el rollo de apelación núm. 48/1982, de la Audiencia Provincial de Avila: a) la providencia de 3 de febrero de 1983 que acuerda no haber lugar a la personación del Procurador señor Sánchez González por no estar dirigido el procedimiento contra los recurrentes en amparo; b) Auto de 7 de junio de 1983 en el que consta como Presidente el Magistrado señor Pérez Martín que acuerda la revocación del Auto de conclusión del sumario de 14 de enero de 1983; c) providencia de 30 de septiembre de 1983 y 26 de octubre de 1983 que acuerdan, respectivamente, la personación, entre otros, del Procurador señor Sánchez González y se acuerda que pase la causa a dicho Procurador para instrucción; d) Auto de 29 de noviembre de 1983 en el que consta como Presidente el Magistrado señor Pérez Martín, que acuerda la no procedencia de la admisión del recurso de apelación; e) providencia de 5 de enero de 1984 que tiene por personado al Procurador señor Sánchez González; f) Auto de 15 de febrero de 1984, en el que consta como Presidente el Magistrado señor Pérez Martín que acuerda la revocación del Auto de 14 de enero de 1984 del Juzgado de Instrucción y deja en libertad de criterio al Instructor para decretar el procesamiento; g) Auto del Juzgado de Instrucción de 17 de marzo de 1984 que declara terminado el sumario sin que haya lugar al recurso de reforma contra el Auto denegatorio del procesamiento y acuerda el emplazamiento de las partes ante la Audiencia; h) providencia de 24 de abril de 1984 que acuerda no haber lugar a la personación del Procurador señor Sánchez González, y no consta en Autos que dicha providencia fuese notificada; i) Auto de 28 de junio de 1984 en el que consta como Presidente el Magistrado señor Pérez Martín, que acuerda la revocación del auto de conclusión del sumario del 17 de marzo de 1984, ordena que se dicte Auto de procesamiento contra los recurrentes y se notifica el día </w:t>
      </w:r>
      <w:r>
        <w:lastRenderedPageBreak/>
        <w:t xml:space="preserve">28 de junio de 1984 al Procurador señor Sánchez González, y j) a partir de este momento, el Procurador señor Sánchez González, en nombre de los recurrentes, por escrito de 2 de julio de 1984, promueve recurso de súplica alegando, en primer lugar, la recusación del ilustrísimo señor Presidente de la Audiencia don Simón Pérez Martín, por la razón de parentesco ya señalada y en segundo lugar alega indefensión. </w:t>
      </w:r>
    </w:p>
    <w:p w:rsidR="001C705E" w:rsidRDefault="001C705E" w:rsidP="001C705E">
      <w:pPr>
        <w:pStyle w:val="TextoNormal"/>
      </w:pPr>
      <w:r>
        <w:t>La providencia de 3 de julio de 1984, dictada por el ilustrísimo señor Presidente, entre otros Magistrados, que es notificada al Procurador el día 3 de julio de 1984, declara no haber lugar al recurso de súplica por no ser parte el peticionario y por Auto de 5 de julio de 1984 en el que figura como Presidente el Magistrado señor Pérez Martín, éste se inhibe en el conocimiento de los autos. En escrito de 17 de julio de 1984, la parte recurrente en amparo promueve la nulidad de actuaciones y en providencia de 23 de julio de 1984 la Audiencia acuerda no haber lugar a tramitar dicho recurso por no ser parte el peticionario, a quien se le notifica el día 24 de julio de 1984.</w:t>
      </w:r>
    </w:p>
    <w:p w:rsidR="001C705E" w:rsidRDefault="001C705E" w:rsidP="001C705E">
      <w:pPr>
        <w:pStyle w:val="TextoNormal"/>
      </w:pPr>
    </w:p>
    <w:p w:rsidR="001C705E" w:rsidRDefault="001C705E" w:rsidP="001C705E">
      <w:pPr>
        <w:pStyle w:val="TextoNormal"/>
      </w:pPr>
      <w:r w:rsidRPr="001C705E">
        <w:rPr>
          <w:rStyle w:val="NumeroAFNegritaCaracter"/>
        </w:rPr>
        <w:t>11</w:t>
      </w:r>
      <w:r>
        <w:t>. En 27 de febrero último, el Procurador don Ignacio Corujo Pita presentó escrito, en nombre y representación de don César Calzada de la Peña, con los pedimentos de ser tenido por parte en el proceso de amparo y de que se le diera traslado de todo lo actuado para formular a su vista cuantas alegaciones tuviese por pertinentes en derecho.</w:t>
      </w:r>
    </w:p>
    <w:p w:rsidR="001C705E" w:rsidRDefault="001C705E" w:rsidP="001C705E">
      <w:pPr>
        <w:pStyle w:val="TextoNormal"/>
      </w:pPr>
    </w:p>
    <w:p w:rsidR="001C705E" w:rsidRDefault="001C705E" w:rsidP="001C705E">
      <w:pPr>
        <w:pStyle w:val="TextoNormal"/>
      </w:pPr>
      <w:r w:rsidRPr="001C705E">
        <w:rPr>
          <w:rStyle w:val="NumeroAFNegritaCaracter"/>
        </w:rPr>
        <w:t>12</w:t>
      </w:r>
      <w:r>
        <w:t>. Por providencia de 6 de marzo actual, la Sección acordó tener por personado y parte al Procurador señor Corujo Pita, en la representación acreditada de don César Calzada de la Peña, sin retrotraer las actuaciones ni haber lugar al traslado de actuaciones y a la apertura de nuevo plazo de alegaciones que solicita, al estar ya concluso el trámite que regula el art. 52 de la LOTC.</w:t>
      </w:r>
    </w:p>
    <w:p w:rsidR="001C705E" w:rsidRDefault="001C705E" w:rsidP="001C705E">
      <w:pPr>
        <w:pStyle w:val="TextoNormal"/>
      </w:pPr>
    </w:p>
    <w:p w:rsidR="001C705E" w:rsidRDefault="001C705E" w:rsidP="001C705E">
      <w:pPr>
        <w:pStyle w:val="TextoNormal"/>
      </w:pPr>
      <w:r w:rsidRPr="001C705E">
        <w:rPr>
          <w:rStyle w:val="NumeroAFNegritaCaracter"/>
        </w:rPr>
        <w:t>13</w:t>
      </w:r>
      <w:r>
        <w:t>. Para deliberación y votación se señaló el día 20 de marzo del presente año.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objeto de este recurso de amparo consiste en determinar si las resoluciones judiciales recurridas, es decir, la providencia de 3 de julio de 1984 de la Audiencia Provincial de Avila, y la posterior de 23 de julio de 1984 (según se hace constar en el escrito de 6 de agosto de 1984) vulneran el art. 24 de la C.E.</w:t>
      </w:r>
    </w:p>
    <w:p w:rsidR="001C705E" w:rsidRDefault="001C705E" w:rsidP="001C705E">
      <w:pPr>
        <w:pStyle w:val="TextoNormal"/>
      </w:pPr>
      <w:r>
        <w:t>En la primera de estas resoluciones, que es de la providencia de la Audiencia de 3 de julio de 1984, se acuerda no haber lugar a tramitar el recurso de súplica contra el Auto de la Audiencia de 28 de junio de 1984 que acordaba la revocación del Auto de conclusión del sumario núm. 36/1982, dictado por el Juzgado de Instrucción de Avila, con fecha 17 de marzo de 1984, y que tenía por finalidad que se dictase Auto de procesamiento contra los recurrentes en amparo. La segunda de las resoluciones recurridas, que es la providencia de 23 de julio de 1984, también dictada por la Audiencia, acuerda que no ha lugar a tramitar el recurso de nulidad de actuaciones promovido por la parte recurrente por no ser parte el peticionario.</w:t>
      </w:r>
    </w:p>
    <w:p w:rsidR="001C705E" w:rsidRDefault="001C705E" w:rsidP="001C705E">
      <w:pPr>
        <w:pStyle w:val="TextoNormal"/>
      </w:pPr>
      <w:r>
        <w:t>La vulneración del art. 24 de la C.E. que citan los recurrentes puede analizarse agrupando los tres aspectos que se aluden en la demanda en torno a los derechos fundamentales que eventualmente resultarían afectados: derecho a la tutela judicial efectiva (art. 24.1 de la C.E.), y el derecho al Juez ordinario predeterminado por la Ley (art. 24.2 de la C.E.).</w:t>
      </w:r>
    </w:p>
    <w:p w:rsidR="001C705E" w:rsidRDefault="001C705E" w:rsidP="001C705E">
      <w:pPr>
        <w:pStyle w:val="TextoNormal"/>
      </w:pPr>
    </w:p>
    <w:p w:rsidR="001C705E" w:rsidRDefault="001C705E" w:rsidP="001C705E">
      <w:pPr>
        <w:pStyle w:val="TextoNormal"/>
      </w:pPr>
      <w:r w:rsidRPr="001C705E">
        <w:rPr>
          <w:rStyle w:val="NumeroAFNegritaCaracter"/>
        </w:rPr>
        <w:t>2</w:t>
      </w:r>
      <w:r>
        <w:t>. La violación del derecho a la tutela judicial efectiva se habría producido, según la parte actora, al no haberse reconocido legitimación en el procedimiento penal a los promoventes del amparo y por el desconocimiento del derecho al recurso. Ambos motivos se conectan, tanto por el razonamiento de las resoluciones judiciales recurridas en amparo, en las que la declaración de no haber lugar al recurso en vía judicial -en su día interpuesto-, se basa en el desconocimiento de la condición de parte, como por pertenecer al contenido del mismo derecho fundamental, según la doctrina del TC, la necesidad de audiencia y el acceso a los recursos establecidos en la Ley. La inadmisión de un medio de impugnación en la vía judicial en razón de una causa inexistente comporta a la vez ilegalidad e inconstitucionalidad, ya que afecta al contenido del derecho reconocido en el art. 24 de la C.E.</w:t>
      </w:r>
    </w:p>
    <w:p w:rsidR="001C705E" w:rsidRDefault="001C705E" w:rsidP="001C705E">
      <w:pPr>
        <w:pStyle w:val="TextoNormal"/>
      </w:pPr>
    </w:p>
    <w:p w:rsidR="001C705E" w:rsidRDefault="001C705E" w:rsidP="001C705E">
      <w:pPr>
        <w:pStyle w:val="TextoNormal"/>
      </w:pPr>
      <w:r w:rsidRPr="001C705E">
        <w:rPr>
          <w:rStyle w:val="NumeroAFNegritaCaracter"/>
        </w:rPr>
        <w:t>3</w:t>
      </w:r>
      <w:r>
        <w:t>. Del examen de las actuaciones y del planteamiento de la demanda se infiere que el no considerar como parte respecto a los promoventes del amparo se produce como consecuencia de la providencia, que no les fue notificada, del 24 de abril de 1984 y que declaro no haber lugar a su personación ante la Audiencia, pues hasta entonces en las actuaciones anteriores se les había tenido por tales siendo, incluso, emplazados ante dicho órgano judicial.</w:t>
      </w:r>
    </w:p>
    <w:p w:rsidR="001C705E" w:rsidRDefault="001C705E" w:rsidP="001C705E">
      <w:pPr>
        <w:pStyle w:val="TextoNormal"/>
      </w:pPr>
      <w:r>
        <w:t>Como es sabido, en el proceso penal hasta la publicación de la Ley de 4 de diciembre de 1978, que redactó de nuevo el art. 118 de la Ley de Enjuiciamiento Criminal, sólo se permitía la intervención del inculpado en las actuaciones sumariales, ejercitando su derecho de defensa, desde que era sometido a la condición de procesado; pero dicha Ley, aunque de carácter preconstitucional, acomodó el proceso penal a los principios esenciales que concedía a todos los ciudadanos el art. 24 de la C.E. Es decir: El derecho a obtener la tutela judicial de los Jueces y Tribunales, en el ejercicio de sus derechos e intereses legítimos, sin que, en ningún caso, pueda producirse indefensión; el derecho a la defensa y a la asistencia de Letrado; el derecho a ser informado de la acusación formulada, y por fin, el derecho a ser sometido a un proceso público con todas las garantías. Dicho art. 118 de la L.E.Cr., reconoció la nueva categoría del «imputado» a toda persona a quien se le atribuya, más o menos fundamentadamente, un acto punible, permitiéndole ejercitar el derecho de defensa en su más amplio contenido, actuando en el procedimiento penal cualquiera que este sea, desde que se le comunique inmediatamente la admisión de denuncia o querella o cualquier actuación procesal de la que resulte la imputación de un delito, o haya sido objeto de detención, o de cualquier otra medida cautelar, o se haya acordado su procesamiento, a cuyo efecto se le instruirá de este derecho.</w:t>
      </w:r>
    </w:p>
    <w:p w:rsidR="001C705E" w:rsidRDefault="001C705E" w:rsidP="001C705E">
      <w:pPr>
        <w:pStyle w:val="TextoNormal"/>
      </w:pPr>
      <w:r>
        <w:t xml:space="preserve">Con el reconocimiento de la condición de imputado, y de los derechos de defensa que se le otorgan al mismo dentro del proceso penal, se colocó a las partes en él interesadas en un plano de equiparación y de contradición, evitando la supremacía y preponderancia de las partes acusadoras que, con anterioridad, agravaba la posición de los inculpados. Derecho de defensa que sólo podrá restringirse en los supuestos especiales y extraordinarios que exija la investigación según las leyes procesales, y si resulta indispensable a tal fin. Pero fuera de estos supuestos excepcionales, el derecho a la defensa del imputado se ostenta con carácter absoluto en todas las fases que componen el proceso, como lo indica la expresión de dicho art. 118 de la L.E.Cr., «actuando en el procemiento, cualquiera que este sea», y por consiguiente, teniendo el derecho de defenderse en la denominada fase intermedia del proceso ordinario común para los delitos de superior entidad y que se practica ante las Audiencias Provinciales, por lo que el contenido del art. 623 de la Ley de Enjuiciamiento Criminal no puede impedir que el inculpado en el sumario pueda comparecer </w:t>
      </w:r>
      <w:r>
        <w:lastRenderedPageBreak/>
        <w:t>en dicho estadio procesal, aunque no hubiera sido procesado previamente, en el que puede actuar en defensa de sus derechos, personándose como parte y recurriendo contra los acuerdos que le perjudiquen.</w:t>
      </w:r>
    </w:p>
    <w:p w:rsidR="001C705E" w:rsidRDefault="001C705E" w:rsidP="001C705E">
      <w:pPr>
        <w:pStyle w:val="TextoNormal"/>
      </w:pPr>
      <w:r>
        <w:t>En el caso concreto, resulta que la Audiencia Provincial de Avila negó la condición de parte a los imputados ante dicho órgano jurisdiccional y les privó de la posibilidad de ejercer los derechos de defensa en la providencia, recurrida en amparo, de fecha 3 de julio de 1984, pues en dicha resolución se inadmite el recurso de súplica formulado por los solicitantes del amparo contra el Auto de la Audiencia de fecha 28 de junio de 1984, que ordenó su procesamiento en el sumario núm. 36/1982 «por no ser parte el peticionario», acordado por Auto del Juzgado de Instrucción de Avila de 20 de julio de 1984.</w:t>
      </w:r>
    </w:p>
    <w:p w:rsidR="001C705E" w:rsidRDefault="001C705E" w:rsidP="001C705E">
      <w:pPr>
        <w:pStyle w:val="TextoNormal"/>
      </w:pPr>
      <w:r>
        <w:t>Concluimos señalando que en la cuestión planteada se ha vulnerado el art. 24.1 de la C.E. ya que en los que se traducen los derechos reconocidos por dicho precepto es en la falta de firmeza de las medidas cautelares acordadas en un Auto de procesamiento y en la posibilidad de que frente a las mismas y, en todo caso, frente al procesamiento, pueda defenderse eficazmente el procesado, no debiendo restringirse la personación a dicho procesado, sino que basta, meramente, la condición de imputado, ostentada por los recurrentes a quienes se deniega la posibilidad de ejercitar el recurso de súplica y el posterior incidente de nulidad de actuaciones en la providencia, también recurrida, de fecha 23 de julio de 1984.</w:t>
      </w:r>
    </w:p>
    <w:p w:rsidR="001C705E" w:rsidRDefault="001C705E" w:rsidP="001C705E">
      <w:pPr>
        <w:pStyle w:val="TextoNormal"/>
      </w:pPr>
    </w:p>
    <w:p w:rsidR="001C705E" w:rsidRDefault="001C705E" w:rsidP="001C705E">
      <w:pPr>
        <w:pStyle w:val="TextoNormal"/>
      </w:pPr>
      <w:r w:rsidRPr="001C705E">
        <w:rPr>
          <w:rStyle w:val="NumeroAFNegritaCaracter"/>
        </w:rPr>
        <w:t>4</w:t>
      </w:r>
      <w:r>
        <w:t>. Respecto a la vulneración del derecho al Juez predeterminado por la Ley, la parte recurrente concreta la violación señalando que la providencia de 3 de julio de 1983, por la que declaró no haber lugar al recurso de súplica, se dictó por la Sala en la que forma parte su Presidente, que estaba incurso en la causa de recusación prevista en el núm. 1 del art. 54, en relación con el 52 de la Ley de Enjuiciamiento Criminal, al ser uno de los querellantes y perjudicado don Jaime Santamaría Bejarano, primo hermano de su esposa, lo que determinó posteriormente la inhibición apreciada en Auto del día 5 de julio de 1984.</w:t>
      </w:r>
    </w:p>
    <w:p w:rsidR="001C705E" w:rsidRDefault="001C705E" w:rsidP="001C705E">
      <w:pPr>
        <w:pStyle w:val="TextoNormal"/>
      </w:pPr>
      <w:r>
        <w:t>El derecho invocado, según se infiere de la jurisprudencia de este TC, no sólo exige, que el órgano judicial haya sido creado previamente por norma jurídica, esté investido de jurisdicción y competencia con anterioridad al hecho motivador de la actuación o proceso judicial y que su régimen orgánico y procesal no permita calificarle de órgano especial o excepcional», sino que también requiere que «la composición venga determinada por la Ley» y se observe ésta en cada caso concreto «para garantizar la necesaria independencia e imparcialidad» (Sentencia núm. 47/1983, de 31 de mayo, «Boletín Oficial del Estado» de 17 de junio, supl. al núm. 144, pág. 30). El derecho al Juez ordinario predeterminado por la Ley «comprende también el de recusar cuando concurren las causas tipificadas como circunstancias de privación de idoneidad». (Sentencia núm. 47/1982, de 12 de julio, Jurisprudencia Constitucional, T. 4. , pág. 74).</w:t>
      </w:r>
    </w:p>
    <w:p w:rsidR="001C705E" w:rsidRDefault="001C705E" w:rsidP="001C705E">
      <w:pPr>
        <w:pStyle w:val="TextoNormal"/>
      </w:pPr>
      <w:r>
        <w:t xml:space="preserve">Consecuentemente, al haber formado parte de la Sala que dicta la resolución impugnada y las precedentes el Magistrado que es recusado -constando en el resultando del Auto de 5 de julio de 1984 literalmente: «... y en dicho sumario aparece también como querellante don Jaime Santamaría Bejarano, que es pariente por afinidad, dentro del cuarto grado, del Presidente de este Tribunal don Simón Pérez Martín, por ser primo hermano de la mujer del mismo», supuesto incluido en el cuarto grado de parentesco civil a que se refiere el número primero del art. 54 de la Ley de Enjuiciamiento Criminal-, se ha producido una alteración de las normas establecidas sobre la integración de las Salas al no ser sustituido por quien debió reemplazarle, como exige el art.  55 de la L.E.Cr., ya que los Jueces y Magistrados incursos en cualquiera de las causas previstas en el art. 54 de la L.E.Cr., en </w:t>
      </w:r>
      <w:r>
        <w:lastRenderedPageBreak/>
        <w:t>este caso el párrafo primero, deben inhibirse del conocimiento del asunto sin esperar a que se las recuse. Ha sido la jurisprudencia de la Sala Segunda del Tribunal Supremo (Sentencias de 13 de abril de 1955, repertorio Aranzadi 939; 5 de noviembre de 1956, repertorio Aranzadi 3349; 29 de noviembre de 1969, repertorio Aranzadi 5630; 24 de marzo de 1977, repertorio Aranzadi 1239, y 9 de junio de 1980, repertorio Aranzadi 2570), la que sostiene que la ratio essendi de la institución es la eliminación de toda sospecha sobre la imparcialidad y ecuanimidad del juzgador, pues forma parte del derecho al Juez ordinario predeterminado por la ley, como ha señalado este TC en su Sentencia núm.  47/1982, de 12 de julio (Jurisprudencia Constitucional, T. 4. , pág. 47) un conjunto de normas, entre ellas «la concreta idoneidad de un determinado Juez en relación con un concreto asunto» y es preeminente la imparcialidad que se cuida no sólo por las condiciones subjetivas de ecuanimidad y rectitud, sino también por las de desinterés y neutralidad, ya que de lo contrario, las justiciables (como reconoce la Sentencia del Tribunal Europeo de Derechos Humanos en el caso «Piersack», de 1 de octubre de 1982) están en el derecho de temer que el Juez -unipersonal o colegiado- no ofrece las garantías necesarias de imparcialidad previstas en el art. 6.1 de la Convención Europea para la protección de derechos humanos y libertades fundamentales, y el 14.1 del Pacto Internacional de Derechos Civiles y Políticos, tratados de los que España es parte por su ratificación.</w:t>
      </w:r>
    </w:p>
    <w:p w:rsidR="001C705E" w:rsidRDefault="001C705E" w:rsidP="001C705E">
      <w:pPr>
        <w:pStyle w:val="TextoNormal"/>
      </w:pPr>
      <w:r>
        <w:t>El razonamiento precedente nos lleva a otorgar a los recurrentes la protección que solicitan en orden a las garantías previstas en el art. 24.2 de la C.E., por vulneración del derecho al Juez ordinario predeterminado por la Ley.</w:t>
      </w:r>
    </w:p>
    <w:p w:rsidR="001C705E" w:rsidRDefault="001C705E" w:rsidP="001C705E">
      <w:pPr>
        <w:pStyle w:val="TextoNormal"/>
      </w:pPr>
    </w:p>
    <w:p w:rsidR="001C705E" w:rsidRDefault="001C705E" w:rsidP="001C705E">
      <w:pPr>
        <w:pStyle w:val="TextoNormal"/>
      </w:pPr>
      <w:r w:rsidRPr="001C705E">
        <w:rPr>
          <w:rStyle w:val="NumeroAFNegritaCaracter"/>
        </w:rPr>
        <w:t>5</w:t>
      </w:r>
      <w:r>
        <w:t>. Finalmente, es preciso hacer unas consideraciones en relación con el pronunciamiento que debe contener la Sentencia que otorga el amparo.</w:t>
      </w:r>
    </w:p>
    <w:p w:rsidR="001C705E" w:rsidRDefault="001C705E" w:rsidP="001C705E">
      <w:pPr>
        <w:pStyle w:val="TextoNormal"/>
      </w:pPr>
      <w:r>
        <w:t>La parte recurrente solicita que se anule la resolución recurrida retrotrayéndose el procedimiento al momento en que debió admitirse la personación de los recurrentes o como mínimo en que debió admitirse su personación como recurrentes en súplica y tramitarse dicho recurso; mientras que el Ministerio Fiscal, al llegar a la conclusión de que las garantías procesales de los recurrentes han sido desconocidas, señala que el restablecimiento del derecho vulnerado impone la nulidad de todas las resoluciones en que dichas garantías no han sido observadas.</w:t>
      </w:r>
    </w:p>
    <w:p w:rsidR="001C705E" w:rsidRDefault="001C705E" w:rsidP="001C705E">
      <w:pPr>
        <w:pStyle w:val="TextoNormal"/>
      </w:pPr>
      <w:r>
        <w:t>Teniendo en cuenta el objeto del presente recurso, al que debe circunscribirse la Sentencia, la estimación del mismo debe traducirse en la declaración de nulidad de la providencia de la Audiencia Provincial de Avila, de fecha 3 de julio de 1984, con retroacción de las actuaciones al momento inmediatamente anterior a la providencia de 24 de abril de 1984, que también se anula por ser el antecedente de la resolución impugnada, reconociendo el derecho de la parte recurrente a que se tramite por la Audiencia Provincial de Avila el rollo de apelación núm. 48/1982, sin originar indefensión de los solicitantes del amparo, y se respete su derecho al Juez ordinario predeterminado por la Ley, quedando restablecidos en sus derechos mediante la nueva tramitación que habrá de llevarse a cabo.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lastRenderedPageBreak/>
        <w:t>Ha decidido</w:t>
      </w:r>
    </w:p>
    <w:p w:rsidR="001C705E" w:rsidRDefault="001C705E" w:rsidP="001C705E">
      <w:pPr>
        <w:pStyle w:val="TextoNormalCentrado"/>
        <w:keepNext/>
      </w:pPr>
    </w:p>
    <w:p w:rsidR="001C705E" w:rsidRDefault="001C705E" w:rsidP="001C705E">
      <w:pPr>
        <w:pStyle w:val="TextoNormal"/>
      </w:pPr>
      <w:r>
        <w:t>Otorgar el amparo solicitado por el Procurador de los Tribunales don José Manuel Dorremochea Aramburu, que actúa en nombre y representación de don Carlos Martín de Velasco, don Gonzalo Vegas Valientes y don Ricardo Sánchez Encinar, y a tal efecto:</w:t>
      </w:r>
    </w:p>
    <w:p w:rsidR="001C705E" w:rsidRDefault="001C705E" w:rsidP="001C705E">
      <w:pPr>
        <w:pStyle w:val="TextoNormal"/>
      </w:pPr>
      <w:r>
        <w:t>1.  Declarar la nulidad de las providencias de 24 de abril y de 3 de julio de 1984, dictadas por la Audiencia Provincial de Avila en el rollo de apelación núm. 48/1982, con retroacción de las actuaciones al momento inmediatamente anterior al de dictarse la primera de dichas resoluciones.</w:t>
      </w:r>
    </w:p>
    <w:p w:rsidR="001C705E" w:rsidRDefault="001C705E" w:rsidP="001C705E">
      <w:pPr>
        <w:pStyle w:val="TextoNormal"/>
      </w:pPr>
      <w:r>
        <w:t>2.  Reconocer el derecho de la parte recurrente a que se tramite por parte de la Audiencia Provincial de Avila, el mencionado rollo de apelación sin causar indefensión y respetando el derecho al Juez ordinario predeterminado por la ley, quedando restablecida en tal derecho mediante la nueva tramitación que habrá de llevarse a cabo.</w:t>
      </w:r>
    </w:p>
    <w:p w:rsidR="001C705E" w:rsidRDefault="001C705E" w:rsidP="001C705E">
      <w:pPr>
        <w:pStyle w:val="TextoNormal"/>
      </w:pPr>
    </w:p>
    <w:p w:rsidR="001C705E" w:rsidRDefault="001C705E" w:rsidP="001C705E">
      <w:pPr>
        <w:pStyle w:val="TextoNormal"/>
      </w:pPr>
      <w:r>
        <w:t>Publíquese en el «Boletín Oficial del Estado».</w:t>
      </w:r>
    </w:p>
    <w:p w:rsidR="001C705E" w:rsidRDefault="001C705E" w:rsidP="001C705E">
      <w:pPr>
        <w:pStyle w:val="TextoNormal"/>
      </w:pPr>
      <w:r>
        <w:t>Dada en Madrid, a veintidós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8" w:name="SENTENCIA_1985_45"/>
      <w:r>
        <w:lastRenderedPageBreak/>
        <w:t>SENTENCIA 45/1985, de 26 de marzo de 1985</w:t>
      </w:r>
    </w:p>
    <w:bookmarkEnd w:id="48"/>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ECLI:ES:TC:1985:45</w:t>
      </w:r>
    </w:p>
    <w:p w:rsidR="001C705E" w:rsidRDefault="001C705E" w:rsidP="001C705E">
      <w:pPr>
        <w:pStyle w:val="SntesisDescriptiva"/>
      </w:pPr>
    </w:p>
    <w:p w:rsidR="001C705E" w:rsidRDefault="001C705E" w:rsidP="001C705E">
      <w:pPr>
        <w:pStyle w:val="SntesisDescriptiva"/>
      </w:pPr>
      <w:r>
        <w:t>Recurso de amparo 378/1983. Caducidad de la acción de amparo.</w:t>
      </w:r>
    </w:p>
    <w:p w:rsidR="001C705E" w:rsidRDefault="001C705E" w:rsidP="001C705E">
      <w:pPr>
        <w:pStyle w:val="SntesisDescriptiva"/>
      </w:pPr>
    </w:p>
    <w:p w:rsidR="001C705E" w:rsidRDefault="001C705E" w:rsidP="001C705E">
      <w:pPr>
        <w:pStyle w:val="SntesisAnaltica"/>
      </w:pPr>
      <w:r>
        <w:t>Cómputo del plazo a partir del conocimiento por el funcionario recurrente en amparo de una circular en que se hacía referencia a la Sentencia Impugnada</w:t>
      </w:r>
    </w:p>
    <w:p w:rsidR="001C705E" w:rsidRDefault="001C705E" w:rsidP="001C705E">
      <w:pPr>
        <w:pStyle w:val="SntesisAnaltica"/>
      </w:pPr>
    </w:p>
    <w:p w:rsidR="001C705E" w:rsidRDefault="001C705E" w:rsidP="001C705E">
      <w:pPr>
        <w:pStyle w:val="Extracto"/>
      </w:pPr>
      <w:r>
        <w:t>1.</w:t>
      </w:r>
      <w:r>
        <w:tab/>
        <w:t xml:space="preserve">La publicidad de las Circulares administrativas en un instrumento como el tablón de anuncios en las oficinas públicas implica, respecto a los funcionarios que trabajan en las mismas y a los que aquéllas puedan afectar, una carga de conocimiento, con sus lógicas consecuencias, que no puede equiparse a la publicidad que con respecto a los ciudadanos en general representan los diarios o boletines oficiales.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378/1983, formulado por el Procurador de los Tribunales don José Manuel de Dorremochea Aramburu, en representación de doña María Teresa Calvo Leonor, doña Angeles Inés Casado Carrero, doña Eloísa López de Sancho y Sánchez, doña Carmen Sara González Lombardero y doña Erena López-Malla García, bajo dirección de Letrado, contra la Sentencia dictada en el recurso núm. 13.338, de 4 de noviembre de 1982, por la Sala de lo Contencioso-Administrativo de la Audiencia Nacional. En el recurso han comparecido el Ministerio Fiscal, el Abogado del Estado, el Procurador don Florencio Aráez Martínez, en nombre y representación de doña María Teresa Mazarrasa de la Torre y de doña María Nieves Marcos González, bajo dirección de Letrado, así como don Félix del Olmo Piñán, en nombre propio. Ha sido Ponente el Magistrado don Antonio Truyol Serra, quien expresa el parecer de la Sala.</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31 de mayo de 1983, el Procurador de los Tribunales don José Manuel de Dorremochea Aramburu, en representación de doña María Teresa Calvo Leonor y de las otras cuatro demandantes, formuló recurso de amparo contra la Sentencia de 4 de noviembre de 1982 de la Sala de lo Contencioso-Administrativo de la Audiencia Nacional, con la súplica de que se dicte Sentencia por la que se declare que el proceso seguido y la Sentencia dictada por la Audiencia Nacional han violado su derecho a la tutela judicial efectiva y se anule la Sentencia impugnada, retrotrayendo las actuaciones al momento inmediato posterior al de interposición del recurso contencioso-administrativo núm. 13.338, al objeto de que las ahora recurrentes puedan comparecer y contestar a la demanda formulada en dicho proceso. </w:t>
      </w:r>
    </w:p>
    <w:p w:rsidR="001C705E" w:rsidRDefault="001C705E" w:rsidP="001C705E">
      <w:pPr>
        <w:pStyle w:val="TextoNormal"/>
      </w:pPr>
      <w:r>
        <w:t xml:space="preserve">Solicitan, igualmente, las demandantes la suspensión de la ejecución de la Sentencia recurrida, ya que, de llevarse ésta a efecto, les causaría perjuicios tanto morales como materiales de difícil o imposible reparación y el amparo perdería su finalidad. </w:t>
      </w:r>
    </w:p>
    <w:p w:rsidR="001C705E" w:rsidRDefault="001C705E" w:rsidP="001C705E">
      <w:pPr>
        <w:pStyle w:val="TextoNormal"/>
      </w:pPr>
      <w:r>
        <w:t xml:space="preserve">a) Los hechos en que se funda la demanda podrían resumirse así: </w:t>
      </w:r>
    </w:p>
    <w:p w:rsidR="001C705E" w:rsidRDefault="001C705E" w:rsidP="001C705E">
      <w:pPr>
        <w:pStyle w:val="TextoNormal"/>
      </w:pPr>
      <w:r>
        <w:t xml:space="preserve">Por escrito-circular núm. 113/1980, de 24 de septiembre, la Dirección General de Tráfico convocó concurso de traslado de funcionarios de la Escala Ejecutiva de dicho órgano, concurso que fue resuelto definitivamente por escrito-circular núm. 18/1981, de 6 de febrero. En virtud de este último les fueron adjudicados determinados destinos (cuatro en Madrid y uno en Soria, respectivamente) a las ahora demandantes de amparo, destinos de los que tomaron posesión al notificárseles la resolución del concurso. </w:t>
      </w:r>
    </w:p>
    <w:p w:rsidR="001C705E" w:rsidRDefault="001C705E" w:rsidP="001C705E">
      <w:pPr>
        <w:pStyle w:val="TextoNormal"/>
      </w:pPr>
      <w:r>
        <w:t xml:space="preserve">Las también funcionarias de la Escala Ejecutiva, doña María Teresa Mazarrasa de la Torre y doña María Nieves Marcos González, que habían concursado igualmente, pero no habían obtenido plaza en el referido concurso, impugnaron la resolución del mismo mediante recurso de alzada, que fue desestimado por Resolución del Ministerio del Interior, de 13 de julio de 1981. Interpuesto por las señoras Mazarrasa y Marcos el oportuno recurso contra tales resoluciones ante la Sala de lo Contencioso-Administrativo de la Audiencia Nacional, ésta, por Sentencia de 4 de noviembre de 1982, lo estimó parcialmente, anulando las resoluciones impugnadas y disponiendo que la Dirección General de Tráfico había de proceder de nuevo a la adjudicación de las plazas en cuestión. </w:t>
      </w:r>
    </w:p>
    <w:p w:rsidR="001C705E" w:rsidRDefault="001C705E" w:rsidP="001C705E">
      <w:pPr>
        <w:pStyle w:val="TextoNormal"/>
      </w:pPr>
      <w:r>
        <w:t xml:space="preserve">Con fechas de 16, 17 y 18 de mayo de 1983, la Dirección General de Tráfico, notificó a las ahora solicitantes de amparo la Sentencia referida, así como el escrito-circular núm. 54/1983, de 25 de marzo anterior, en el que, con carácter provisional y en ejecución de la expresada Sentencia, se procedió de nuevo a la adjudicación de las plazas convocadas en el repetido concurso de traslado. De acuerdo con la última resolución, las ahora solicitantes de amparo debían volver a sus anteriores destinos (en las Jefaturas Provinciales de Tráfico de Vizcaya, Guipúzcoa, Barcelona, La Coruña y Las Palmas, respectivamente). </w:t>
      </w:r>
    </w:p>
    <w:p w:rsidR="001C705E" w:rsidRDefault="001C705E" w:rsidP="001C705E">
      <w:pPr>
        <w:pStyle w:val="TextoNormal"/>
      </w:pPr>
      <w:r>
        <w:t xml:space="preserve">b) Fundan las demandantes su recurso en el art. 24.1 de la Constitución, que entienden que ha sido violado, al no haber sido emplazadas personalmente por la Sala de la Audiencia Nacional para comparecer en el proceso contencioso incoado contra una resolución de la que se derivaban derechos para ellas, con lo que consideran que se les ha ocasionado la más absoluta indefensión. Es en trámite de ejecución de Sentencia -afirman-, cuando tienen noticias de haberse promovido el recurso de alzada y el recurso contencioso-administrativo, así como de la existencia de la Sentencia dictada en este último recurso, que anula el acto administrativo declarativo de derechos a su favor. </w:t>
      </w:r>
    </w:p>
    <w:p w:rsidR="001C705E" w:rsidRDefault="001C705E" w:rsidP="001C705E">
      <w:pPr>
        <w:pStyle w:val="TextoNormal"/>
      </w:pPr>
      <w:r>
        <w:t>A tal respecto señalan las recurrentes que el emplazamiento por edictos en el «Boletín Oficial del Estado» a que se refiere el art. 64 de la Ley Reguladora de la Jurisdicción Con</w:t>
      </w:r>
      <w:r>
        <w:lastRenderedPageBreak/>
        <w:t xml:space="preserve">tencioso-Administrativa (L.J.) constituye una garantía insuficiente y citan la doctrina establecida en relación con el tema en las Sentencias de este Tribunal de 31 de marzo de 1981, 20 de octubre de 1982 y la núm. 22/1983, habida cuenta -añaden- de que las funcionarias ahora demandantes de amparo eran fácilmente identificables a efectos de la correspondiente notificación personal por la Sala de la Audiencia Nacional, al constar con el detalle suficiente sus datos de identificación personal en el expediente administrativo y figurar también relacionadas con sus nombres y apellidos y las Jefaturas de Tráfico en las que se encontraban destinadas en el acto administrativo dictado por la Dirección General de Tráfico por el que se resolvió el concurso, que fue impugnado en vía contencioso-administrativa, por lo que podían haber sido notificadas personalmente de la interposición del recurso por la Sala de la Audiencia Nacional. </w:t>
      </w:r>
    </w:p>
    <w:p w:rsidR="001C705E" w:rsidRDefault="001C705E" w:rsidP="001C705E">
      <w:pPr>
        <w:pStyle w:val="TextoNormal"/>
      </w:pPr>
      <w:r>
        <w:t>Terminan diciendo las demandantes que el recurso de amparo lo interponen dentro del plazo de veinte días que establece el art. 44.2 de la LOTC, contados a partir de la fecha en que les fue notificada personalmente por la Dirección General de Tráfico la Sentencia de la Audiencia Nacional y que no se les puede exigir, dadas las circunstancias que concurren en el presente supuesto, los requisitos establecidos en los apartados a) y c) del art. 44.1 de la propia LOTC.</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Sección Cuarta de este Tribunal, por providencia de 29 de junio de 1983, acordó admitir a trámite la demanda y tener por parte a las referidas recurrentes, así como, en aplicación de lo dispuesto en el art. 51 de la LOTC, requerir del Ministerio del Interior y de la Audiencia Nacional, Sala de lo Contencioso-Administrativo, la remisión de las correspondientes actuaciones, con emplazamiento de cuantas personas hubieren sido parte en el procedimiento para que pudieran comparecer ante este Tribunal Constitucional. </w:t>
      </w:r>
    </w:p>
    <w:p w:rsidR="001C705E" w:rsidRDefault="001C705E" w:rsidP="001C705E">
      <w:pPr>
        <w:pStyle w:val="TextoNormal"/>
      </w:pPr>
      <w:r>
        <w:t>Remitidas las actuaciones, y habiendo acusado recibo de las mismas la Sección, por sendas providencias de 5 de octubre de 1983, y de conformidad con lo determinado en el art. 52 de la LOTC, acordó dar vista de ellas al recurrente, Ministerio Fiscal y Abogado del Estado para alegaciones, y tener por personado al Procurador don Florencio Aráez Martínez, en representación de doña María Teresa Mazarrasa de la Torre y doña María Nieves Marcos González, en concepto de codemandada, otorgándole un plazo de viente días para que a la vista de las actuaciones formulase las alegaciones que estimase pertinentes conforme al art. 52 de la LOTC.</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El Ministerio Fiscal en su escrito de alegaciones solicita de este Tribunal la desestimación del recurso, por concurrir, a su juicio, la causa de inadmisibilidad prevista en el art. 50.1 a) de la LOTC, al haber sido interpuesto fuera del plazo legalmente establecido. </w:t>
      </w:r>
    </w:p>
    <w:p w:rsidR="001C705E" w:rsidRDefault="001C705E" w:rsidP="001C705E">
      <w:pPr>
        <w:pStyle w:val="TextoNormal"/>
      </w:pPr>
      <w:r>
        <w:t xml:space="preserve">Tras admitir que, al no haber sido emplazadas de modo personal las recurrentes, que reunían la consideración de parte demandada con arreglo al art. 29.1 b) de la L.J., se ha quebrantado su derecho a no ser juzgadas sin ser oídas o de defensión que establece el art. 24.1 de la Constitución, el Ministerio Fiscal afirma que la cuestión está en el plazo para recurrir en amparo y a este respecto señala: </w:t>
      </w:r>
    </w:p>
    <w:p w:rsidR="001C705E" w:rsidRDefault="001C705E" w:rsidP="001C705E">
      <w:pPr>
        <w:pStyle w:val="TextoNormal"/>
      </w:pPr>
      <w:r>
        <w:t xml:space="preserve">a) Desde el momento que no fueron parte y que, según su versión, desconocieron el proceso contencioso, el plazo que establece el art. 44.2 de la LOTC no tiene término inicial preciso, pero, lógicamente, habrá que contarlo desde el momento en que se tenga noticia del procedimiento o, en su caso, de la Sentencia dictada: conclusión que se recoge en el Auto de este Tribunal de 28 de septiembre de 1983 (A. 370/1983). </w:t>
      </w:r>
    </w:p>
    <w:p w:rsidR="001C705E" w:rsidRDefault="001C705E" w:rsidP="001C705E">
      <w:pPr>
        <w:pStyle w:val="TextoNormal"/>
      </w:pPr>
      <w:r>
        <w:t xml:space="preserve">b) Las recurrentes aportan un oficio de la Dirección General de Tráfico dirigido individualmente a cada una de ellas, de fecha de 10 de mayo de 1983, en el que se les remite la </w:t>
      </w:r>
      <w:r>
        <w:lastRenderedPageBreak/>
        <w:t xml:space="preserve">circular núm. 54/1983, de 25 de marzo, por la que, en ejecución de la Sentencia de la Audiencia Nacional, se procedió a una nueva distribución de plazas, resolución que, según se indicaba, tenía carácter provisional, pudiendo los interesados «formular las reclamaciones que estimen oportunas, que deberán tener entrada en esta Dirección General antes del día 15 del próximo abril, considerándose presentadas fuera de plazo las que tuvieran entrada con posterioridad a la fecha indicada». En las listas que se adjuntaban aparecían las recurrentes, excluidas del grupo preferente según los términos de la Sentencia. En el párrafo final de dicha circular, dirigida a los Subdirectores generales Jefes de Servicio, Jefes provinciales, Jefes de Sección y Jefes locales de Tráfico, se dice: «Lo que se hace público para general conocimiento». El oficio de la Dirección General, al que se acompañaba copia de la Sentencia, concluía diciendo que lo ponía en conocimiento de la destinataria del mismo «a efectos de notificación personal de dicha Sentencia». </w:t>
      </w:r>
    </w:p>
    <w:p w:rsidR="001C705E" w:rsidRDefault="001C705E" w:rsidP="001C705E">
      <w:pPr>
        <w:pStyle w:val="TextoNormal"/>
      </w:pPr>
      <w:r>
        <w:t xml:space="preserve">c) Si lo alegado es falta de conocimiento real del procedimiento, el momento inicial para contar el plazo para interponer el recurso de amparo es aquel en que se tenga noticia «suficiente y fehaciente» del mismo, tal como señala el Auto antes citado de este Tribunal; plazo que, como indica dicho Auto, no puede dejarse a la voluntad del interesado, ni tampoco a un momento posterior en que pueda preconstituirse un elemento formal de conocimiento, que es lo que ocurre en el presente caso por el oficio de 10 de mayo de 1983. La circular de 25 de marzo de 1983, que afectaba directamente a las recurrentes, mencionadas en sus anexos, fue hecha pública porque así se indicaba en su texto, y señalaba plazo para reclamaciones que terminaba el 15 de abril del mismo año. La presunción del conocimiento de dicha circular por las ahora solicitantes de amparo no puede quedar destruida por oficio de 10 de mayo siguiente, que, por los términos en que está redactado, hubo de darse a petición de las interesadas, que quisieron, a su voluntad, fijar el momento de su conocimiento para a partir de él contar el plazo para recurrir. Lo que se notifica es la Sentencia («a efectos de la notificación personal de la Sentencia», se dice en el oficio) y no la circular, como sería lo propio, puesto que la Dirección General de Tráfico no puede hacer notificación formal de una resolución judicial. </w:t>
      </w:r>
    </w:p>
    <w:p w:rsidR="001C705E" w:rsidRDefault="001C705E" w:rsidP="001C705E">
      <w:pPr>
        <w:pStyle w:val="TextoNormal"/>
      </w:pPr>
      <w:r>
        <w:t>d) El oficio en cuestión no contradice, pues, que tuvieran conocimiento de la circular, como era obligado por las razones expuestas, y es a partir de ese momento, que en ningún caso puede extenderse más allá del 15 de abril de 1983, cuando ha de contarse el plazo legal de los veinte días, y no desde el oficio de 10 de mayo siguiente, como se hace en la demanda, que en ningún caso señala el momento del efectivo conocimiento del proceso en que las ahora solicitantes de amparo pudieron haber comparecido.</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Abogado del Estado, por su parte, en el escrito de alegaciones solicita que se otorgue el amparo y, en consecuencia, se ordene la nulidad de lo actuado en vía contencioso-administrativa (incluso de la Sentencia de la Audiencia Nacional de 4 de noviembre de 1982), retrotrayendo el procedimiento al momento inmediato posterior al de interposición del recurso, pero haciendo uso, en cuanto fuere posible, del art. 127.2 de la L.J. </w:t>
      </w:r>
    </w:p>
    <w:p w:rsidR="001C705E" w:rsidRDefault="001C705E" w:rsidP="001C705E">
      <w:pPr>
        <w:pStyle w:val="TextoNormal"/>
      </w:pPr>
      <w:r>
        <w:t xml:space="preserve">Tras señalar que a los efectos de este recurso es irrelevante que no se cumpliera, al tramitarse el recurso administrativo de alzada, lo dispuesto en el art. 117.3 de la LPA, porque siendo la resolución administrativa desestimatoria de la alzada favorable a las ahora demandantes de amparo, la ilegalidad consistente en el incumplimiento del art. 117.3 de la LPA no implicaría para aquéllas una vulneración del art. 24.1 de la Constitución (tal como ya destacó, en un supuesto análogo, la Sentencia de este Tribunal núm. 48/1983), el Abogado del Estado entiende, al igual que lo ha hecho en ocasiones anteriores similares, que formulándose el amparo por la vía del art. 44 de la LOTC, el interés de la Administración </w:t>
      </w:r>
      <w:r>
        <w:lastRenderedPageBreak/>
        <w:t xml:space="preserve">Pública, postulado por dicha representación en los recursos de amparo, no coincide necesariamente con el mantenimiento de la validez de lo jurisdiccionalmente actuado. </w:t>
      </w:r>
    </w:p>
    <w:p w:rsidR="001C705E" w:rsidRDefault="001C705E" w:rsidP="001C705E">
      <w:pPr>
        <w:pStyle w:val="TextoNormal"/>
      </w:pPr>
      <w:r>
        <w:t>El Abogado del Estado termina diciendo que en el presente caso no hay sino que aplicar la clara jurisprudencia de las Sentencias 9/1981, 63/1982, 22/1983 y 48/1983, de acuerdo con la cual la falta de emplazamiento personal, como la aquí denunciada, constituye una violación del art. 24.1 de la Constitución.</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La representación procesal de las señoras Mazarrasa y Marcos solicita se dicte Sentencia acordando denegar el amparo. Los fundamentos en los que se apoya tal pretensión podrían resumirse así: </w:t>
      </w:r>
    </w:p>
    <w:p w:rsidR="001C705E" w:rsidRDefault="001C705E" w:rsidP="001C705E">
      <w:pPr>
        <w:pStyle w:val="TextoNormal"/>
      </w:pPr>
      <w:r>
        <w:t xml:space="preserve">En relación con los antecedentes de hecho de la demanda debe precisarse que: </w:t>
      </w:r>
    </w:p>
    <w:p w:rsidR="001C705E" w:rsidRDefault="001C705E" w:rsidP="001C705E">
      <w:pPr>
        <w:pStyle w:val="TextoNormal"/>
      </w:pPr>
      <w:r>
        <w:t xml:space="preserve">a) Entre el escrito-circular núm. 136/1980, de 21 de noviembre, y el núm. 18/1981, de 6 de febrero, consta la existencia de los recursos administrativos interpuestos por las personas que se consideraban perjudicadas y también los motivos de los mismos, cuya desestimación definitiva, en vía administrativa, aparece relacionada en el escrito circular núm. 18/1981, que a su vez abrió la vía al recurso de alzada correspondiente. </w:t>
      </w:r>
    </w:p>
    <w:p w:rsidR="001C705E" w:rsidRDefault="001C705E" w:rsidP="001C705E">
      <w:pPr>
        <w:pStyle w:val="TextoNormal"/>
      </w:pPr>
      <w:r>
        <w:t xml:space="preserve">b) Antes de entablar el recurso de alzada contra el escrito circular núm. 18/1981, las señoras Mazarrasa y Marcos, junto con otros funcionarios, habían reclamado previamente con los mismos argumentos ante la Dirección General de Tráfico, y dicha reclamación fue pública tanto en el momento de producirse como en el de desestimarse por la mencionada Dirección General. </w:t>
      </w:r>
    </w:p>
    <w:p w:rsidR="001C705E" w:rsidRDefault="001C705E" w:rsidP="001C705E">
      <w:pPr>
        <w:pStyle w:val="TextoNormal"/>
      </w:pPr>
      <w:r>
        <w:t xml:space="preserve">c) Independientemente de la existencia de la notificación personal que las ahora solicitantes de amparo dicen haber tenido, con fecha 10 de mayo de 1983, no pueden ignorar que la resolución de 25 de marzo del mismo año consta inserta en el escrito-circular núm. 54/1983, que se publicó en todas las Delegaciones de Tráfico, en el mismo mes de marzo de ese año, resumiendo el contenido de la Sentencia de la Audiencia Nacional y estableciendo un plazo hasta el día 15 de abril de 1983, para reclamaciones de los funcionarios que figuraban relacionados en los grupos que establecía y entre los que se encontraban las ahora demandantes de amparo, por lo que no puede decirse aquí que el primer conocimiento que da la Sentencia impugnada tuvieron las recurrentes fuera en mayo. </w:t>
      </w:r>
    </w:p>
    <w:p w:rsidR="001C705E" w:rsidRDefault="001C705E" w:rsidP="001C705E">
      <w:pPr>
        <w:pStyle w:val="TextoNormal"/>
      </w:pPr>
      <w:r>
        <w:t xml:space="preserve">En cuanto a las condiciones de admisibilidad del recurso: </w:t>
      </w:r>
    </w:p>
    <w:p w:rsidR="001C705E" w:rsidRDefault="001C705E" w:rsidP="001C705E">
      <w:pPr>
        <w:pStyle w:val="TextoNormal"/>
      </w:pPr>
      <w:r>
        <w:t xml:space="preserve">a) Se ha infringido el art. 44.2 de la LOTC, ya que dicho recurso se ha interpuesto fuera del plazo de veinte días a contar desde la notificación recaída en el proceso judicial. Aparte de que el precepto mencionado habla de «notificación» y no de notificación «personal», es de notar que si por circular núm. 54/1983, de 25 de marzo, se comunica y publica en todas las Delegaciones que había recaído Sentencia de la Audiencia Nacional de 4 de noviembre de 1982, en el recurso interpuesto contra la circular núm. 18/1981, declarándola no ajustada a derecho, si en aquélla se dice que se procede a anular la resolución de 21 de noviembre de 1980 (escrito-circular 136/1980), adjudicándose de nuevo las plazas convocadas en el concurso, si en la circular núm. 54/1983 se hace figurar la relación de cada nuevo grupo de funcionarios, entre los que se encuentran las recurrentes en amparo (anexo II) y si, por último, se agrega al final que se concede un plazo de reclamaciones hasta el día 15 de abril de 1983, todo ello evidencia que las ahora demandantes de amparo tuvieron conocimiento (fueron notificadas) más que suficiente de la existencia de la Sentencia recaída y de las consecuencias que la misma trajo aparejadas en el mes de marzo de 1983. Con las «notificaciones personales» de mayo de 1983 se estaba tratando de rehabilitar, pues, un plazo de reclamación ya caducado, forzando interesadamente la dicción del núm. </w:t>
      </w:r>
      <w:r>
        <w:lastRenderedPageBreak/>
        <w:t xml:space="preserve">2 del art. 44 de la LOTC en un claro fraude de Ley, previsto en el art. 6.4 del Código Civil. </w:t>
      </w:r>
    </w:p>
    <w:p w:rsidR="001C705E" w:rsidRDefault="001C705E" w:rsidP="001C705E">
      <w:pPr>
        <w:pStyle w:val="TextoNormal"/>
      </w:pPr>
      <w:r>
        <w:t xml:space="preserve">b) Se ha infringido el apartado a) del art. 44.1 de la LOTC, ya que en el presente caso no se han agotado todos los recursos utilizables dentro de la vía judicial. </w:t>
      </w:r>
    </w:p>
    <w:p w:rsidR="001C705E" w:rsidRDefault="001C705E" w:rsidP="001C705E">
      <w:pPr>
        <w:pStyle w:val="TextoNormal"/>
      </w:pPr>
      <w:r>
        <w:t xml:space="preserve">c) La demanda de amparo también es inadmisible por incurrir en el supuesto del apartado c) del art. 50.2 de la LOTC, ya que este Tribunal, por Sentencia de 31 de marzo de 1981 (R.A. 107/1980), desestimó en el fondo otro basado en presupuestos sustancialmente iguales al del presente caso, en cuanto que, al igual que en el procedimiento entonces seguido, las ahora recurrentes tuvieron oportunidad de conocer en vía administrativa la interposición del posterior recurso contencioso-administrativo y de comparecer en el mismo, máxime cuando este último no era imprevisible, dada la existencia de las actuaciones seguidas anteriormente, de las que tuvieron conocimiento (circulares núms. 136/1980 y 18/1981). </w:t>
      </w:r>
    </w:p>
    <w:p w:rsidR="001C705E" w:rsidRDefault="001C705E" w:rsidP="001C705E">
      <w:pPr>
        <w:pStyle w:val="TextoNormal"/>
      </w:pPr>
      <w:r>
        <w:t xml:space="preserve">Sobre los fundamentos jurídico-materiales del recurso: </w:t>
      </w:r>
    </w:p>
    <w:p w:rsidR="001C705E" w:rsidRDefault="001C705E" w:rsidP="001C705E">
      <w:pPr>
        <w:pStyle w:val="TextoNormal"/>
      </w:pPr>
      <w:r>
        <w:t xml:space="preserve">a) Si hubo conocimiento suficiente en el procedimiento administrativo como para poder comparecer en calidad de interesado y seguir las actuaciones posteriores y no se utilizó tal oportunidad, luego no es posible aprovechar tal circunstancia, generada por culpa de la inactividad de quien la alega, para invocar indefensión. </w:t>
      </w:r>
    </w:p>
    <w:p w:rsidR="001C705E" w:rsidRDefault="001C705E" w:rsidP="001C705E">
      <w:pPr>
        <w:pStyle w:val="TextoNormal"/>
      </w:pPr>
      <w:r>
        <w:t xml:space="preserve">b) La tutela judicial efectiva no supone, como ha declarado reiteradamente este Tribunal, un derecho a que las decisiones judiciales se acomoden a las pretensiones de la parte que la invoca. </w:t>
      </w:r>
    </w:p>
    <w:p w:rsidR="001C705E" w:rsidRDefault="001C705E" w:rsidP="001C705E">
      <w:pPr>
        <w:pStyle w:val="TextoNormal"/>
      </w:pPr>
      <w:r>
        <w:t xml:space="preserve">c) La decisión de la Administración de incluir al Cuerpo de Auxiliares promovidos a la categoría dentro de uno de los grupos del concurso de vacantes es una decisión de carácter general (que es lo que se revoca en la Sentencia de la Audiencia Nacional y no la selección de méritos particulares, en la que no entra para nada), con lo que las recurrentes se están irrogando una representatividad del colectivo de Auxiliares promovidos a la categoría que nadie les ha dado. Así, la titularidad, por causa de interés legítimo en este caso, corresponde al citado Cuerpo de Auxiliares como tal, siendo los componentes de ese Cuerpo meros coadyuvantes. </w:t>
      </w:r>
    </w:p>
    <w:p w:rsidR="001C705E" w:rsidRDefault="001C705E" w:rsidP="001C705E">
      <w:pPr>
        <w:pStyle w:val="TextoNormal"/>
      </w:pPr>
      <w:r>
        <w:t xml:space="preserve">d) El emplazamiento a través del anuncio en el «Boletín Oficial del Estado» no puede estimarse en este caso sino como el cumplimiento estricto de una mayor cautela procesal, en beneficio de la garantías legales y de la seguridad jurídica, que es, precisamente, lo que ahora se trata de desvirtuar por las recurrentes invirtiendo los términos, ya que, caso de prosperar su tesis, resultará más productivo en el futuro inhibirse desde el principio en este tipo de conflictos, para luego, si los resultados no interesan, alegar indefensión, con lo que ello conlleva de grave deterioro de la seguridad jurídica, pues hace malo un remedio legal pensado precisamente para resguardarla. </w:t>
      </w:r>
    </w:p>
    <w:p w:rsidR="001C705E" w:rsidRDefault="001C705E" w:rsidP="001C705E">
      <w:pPr>
        <w:pStyle w:val="TextoNormal"/>
      </w:pPr>
      <w:r>
        <w:t>e) La invocación por las recurrentes de las Sentencias de este Tribunal, de 20 de octubre de 1982 y 23 de marzo de 1983, nada tiene que ver (a diferencia del resuelto por la Sentencia de 31 de marzo de 1981), con el supuesto que aquí se analiza, pues en tales casos se trataba de derechos individuales impedidos por la aplicación del remedio del anuncio en el «Boletín Oficial del Estado», pensado para casos diferentes y generalizados y no, como en el presente, en que la presunta indefensión deriva de una inactividad consciente e interesada de las recurrentes, cuyas consecuencias deberán asumir.</w:t>
      </w:r>
    </w:p>
    <w:p w:rsidR="001C705E" w:rsidRDefault="001C705E" w:rsidP="001C705E">
      <w:pPr>
        <w:pStyle w:val="TextoNormal"/>
      </w:pPr>
    </w:p>
    <w:p w:rsidR="001C705E" w:rsidRDefault="001C705E" w:rsidP="001C705E">
      <w:pPr>
        <w:pStyle w:val="TextoNormal"/>
      </w:pPr>
      <w:r w:rsidRPr="001C705E">
        <w:rPr>
          <w:rStyle w:val="NumeroAFNegritaCaracter"/>
        </w:rPr>
        <w:t>6</w:t>
      </w:r>
      <w:r>
        <w:t>. Las recurrentes reiteran en su escrito de alegaciones los hechos y fundamentos en los que basan su demanda de amparo e insisten en que la Sentencia impugnada les fue notificada por primera vez, oficialmente, por la Dirección General de Tráfico, personal e indivi</w:t>
      </w:r>
      <w:r>
        <w:lastRenderedPageBreak/>
        <w:t xml:space="preserve">dualmente, cuando ya era firme y estaba en período de ejecución, en escritos de 10 de mayo de 1983, con entrega del texto íntegro de la Sentencia, a las señoras Calvo y López de Sancho el día 16, a la señora López-Malla el 17 y a las señoras Casado y González el 18, todos ellos de ese mismo mes y año, y que es en ese momento cuando únicamente han podido actuar en defensa de sus derechos interponiendo el presente recurso de amparo, comenzando a correr, a partir de las citadas fechas de notificación, el plazo de los veinte días exigidos para formular dicho recurso. </w:t>
      </w:r>
    </w:p>
    <w:p w:rsidR="001C705E" w:rsidRDefault="001C705E" w:rsidP="001C705E">
      <w:pPr>
        <w:pStyle w:val="TextoNormal"/>
      </w:pPr>
      <w:r>
        <w:t xml:space="preserve">Por otrosí, solicitan igualmente las demandantes de amparo que se reciba el proceso a prueba y se practiquen las siguientes documentales públicas: </w:t>
      </w:r>
    </w:p>
    <w:p w:rsidR="001C705E" w:rsidRDefault="001C705E" w:rsidP="001C705E">
      <w:pPr>
        <w:pStyle w:val="TextoNormal"/>
      </w:pPr>
      <w:r>
        <w:t xml:space="preserve">a) Que se expida por la Dirección General de Tráfico certificación en la que se transcriba el texto íntegro del escrito-circular núm. 113/1980, de 24 de septiembre, y de sus anexos, por el que se convoca concurso de traslados de funcionarios de la Escala Ejecutiva de dicho Organismo. </w:t>
      </w:r>
    </w:p>
    <w:p w:rsidR="001C705E" w:rsidRDefault="001C705E" w:rsidP="001C705E">
      <w:pPr>
        <w:pStyle w:val="TextoNormal"/>
      </w:pPr>
      <w:r>
        <w:t xml:space="preserve">b) Que por la misma Dirección General se expida certificación en la que se transcriba el texto íntegro y sus anexos del escrito-circular núm. 136/1980, de 21 de noviembre, por el que se resuelve provisionalmente el aludido concurso de traslados y se transcribe también el texto íntegro del escrito-circular núm. 18/1981, por el que se elevó a definitiva la resolución anterior. </w:t>
      </w:r>
    </w:p>
    <w:p w:rsidR="001C705E" w:rsidRDefault="001C705E" w:rsidP="001C705E">
      <w:pPr>
        <w:pStyle w:val="TextoNormal"/>
      </w:pPr>
      <w:r>
        <w:t xml:space="preserve">c) Que por la propia Dirección General se certifique que las funcionarias ahora recurrentes presentaron instancias con base en la circular núm. 113/1980, solicitando traslado de destino a otras provincias. </w:t>
      </w:r>
    </w:p>
    <w:p w:rsidR="001C705E" w:rsidRDefault="001C705E" w:rsidP="001C705E">
      <w:pPr>
        <w:pStyle w:val="TextoNormal"/>
      </w:pPr>
      <w:r>
        <w:t xml:space="preserve">d) Que por la repetida Dirección General se certifique que el concurso convocado por la citada circular fue resuelto con carácter provisional por la circular núm. 136/1980, resolución que fue elevada a definitiva por la circular número 18/1981 y que en esta resolución del concurso se destinaron a las recurrentes señoras Calvo, Casado, López de Sancho, González y López-Malla, respectivamente, a las Jefaturas Provinciales de Tráfico de Madrid (a las cuatro primeras) y a la de Soria (a la última), y que tales funcionarias tomaron posesión de los destinos indicados dentro del establecido en el concurso. </w:t>
      </w:r>
    </w:p>
    <w:p w:rsidR="001C705E" w:rsidRDefault="001C705E" w:rsidP="001C705E">
      <w:pPr>
        <w:pStyle w:val="TextoNormal"/>
      </w:pPr>
      <w:r>
        <w:t>e) Que por las tantas veces aludida Dirección General se certifique que la Sentencia ahora impugnada fue notificada por primera vez, siendo ya firme y en trámite de ejecución, oficial, personal e individualmente, por dicha Dirección General, con entrega del texto íntegro de la misma, en escritos de 10 de mayo de 1983, a las señoras Calvo y López de Sancho el día 16, a la señora López-Malla el 17 y a las señoras Casado y González el 18, todos ellos del mismo mes y año.</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Por providencia de 23 de noviembre la Sección acordó tener por formuladas por las partes las alegaciones a que se refiere el art. 52 de la LOTC, y habiéndose solicitado por las demandantes el recibimiento a prueba del proceso, oír por plazo común de cinco días a las otras partes sobre dicha petición. </w:t>
      </w:r>
    </w:p>
    <w:p w:rsidR="001C705E" w:rsidRDefault="001C705E" w:rsidP="001C705E">
      <w:pPr>
        <w:pStyle w:val="TextoNormal"/>
      </w:pPr>
      <w:r>
        <w:t xml:space="preserve">La Sección, por Auto de 11 de enero de 1984, acordó también que, no habiéndose opuesto formalmente las otras partes a la petición de la demandante y no infiriéndose su impertinencia en relación con el objeto litigioso, aparecía procedente acceder a lo pedido, por lo que con citación de las partes, se dirigiese comunicación a la Dirección General de Tráfico interesándole certificación o fotocopia adverada de los siguientes documentos: </w:t>
      </w:r>
    </w:p>
    <w:p w:rsidR="001C705E" w:rsidRDefault="001C705E" w:rsidP="001C705E">
      <w:pPr>
        <w:pStyle w:val="TextoNormal"/>
      </w:pPr>
      <w:r>
        <w:t xml:space="preserve">a) Escrito-circular 113/1980, de 24 de septiembre, sobre concurso de traslado de funcionarios de la Escala Ejecutiva. </w:t>
      </w:r>
    </w:p>
    <w:p w:rsidR="001C705E" w:rsidRDefault="001C705E" w:rsidP="001C705E">
      <w:pPr>
        <w:pStyle w:val="TextoNormal"/>
      </w:pPr>
      <w:r>
        <w:t xml:space="preserve">b) Escrito-circular 136/1980, de 21 de noviembre, sobre resolución del concurso a que se refiere el apartado anterior. </w:t>
      </w:r>
    </w:p>
    <w:p w:rsidR="001C705E" w:rsidRDefault="001C705E" w:rsidP="001C705E">
      <w:pPr>
        <w:pStyle w:val="TextoNormal"/>
      </w:pPr>
      <w:r>
        <w:lastRenderedPageBreak/>
        <w:t>c) Escrito-circular 18/1981 sobre resolución del concurso; acordando asimismo no haber lugar a las restantes pruebas.</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Por escrito presentado en este Tribunal el 4 de enero de 1984, don Félix del Olmo Piñán, Licenciado en Derecho y funcionario de la Escala Ejecutiva de Tráfico, con destino en la Jefatura Provincial de Tráfico de Las Palmas de Gran Canaria, compareció por sí mismo en los presentes autos solicitando se le tuviere por personado en los mismos en concepto de demandado o coadyuvante, por ser favorecido por la Sentencia impugnada de la Audiencia Nacional; y la Sección, por providencia de 8 de febrero, acordó tenerle por personado en el presente recurso, incorporándose al proceso en el estado en que se hallaba, sin retrotraer las actuaciones, debiendo en el plazo de tres días precisar si comparecía en calidad de codemandado o coadyuvante y cuál era el título que lo habilita para hacerlo con uno u otro carácter. </w:t>
      </w:r>
    </w:p>
    <w:p w:rsidR="001C705E" w:rsidRDefault="001C705E" w:rsidP="001C705E">
      <w:pPr>
        <w:pStyle w:val="TextoNormal"/>
      </w:pPr>
      <w:r>
        <w:t xml:space="preserve">Por escrito enviado por correo certificado y entrado en este Tribunal el 16 del mismo mes, el señor Del Olmo expresó que comparecía en calidad de codemandado e invocaba como título que le habilita para dicha comparecencia su condición de participante en el concurso de traslado de la Escala Ejecutiva de Tráfico y en el que resulta favorecido por la Sentencia recurrida, ya que su traslado de Las Palmas a Madrid quedaría perjudicado, caso de prosperar el recurso de amparo, añadiendo que dicha condición se halla acreditada no sólo en las dos relaciones de funcionarios acompañadas a su anterior escrito de personación, en las que figura, respectivamente, en el vigésimo segundo y vigésimo séptimo lugar, sino también en las distintas relaciones de concursantes ad hoc obrantes en el expediente. </w:t>
      </w:r>
    </w:p>
    <w:p w:rsidR="001C705E" w:rsidRDefault="001C705E" w:rsidP="001C705E">
      <w:pPr>
        <w:pStyle w:val="TextoNormal"/>
      </w:pPr>
      <w:r>
        <w:t xml:space="preserve">Por otrosí solicitaba igualmente, don Félix del Olmo que, dentro del período de prueba, se realicen las relativas a los documentos indicados por el Ministerio Fiscal en su escrito de 25 de octubre de 1983, a fin de demostrar que el recurso de amparo se ha interpuesto fuera de plazo, y al «Boletín Oficial del Estado» en el que se anunció la interposición del recurso contencioso-administrativo y que sirvió de emplazamiento a los recurrentes (arts. 60 y 64 de la LJ). </w:t>
      </w:r>
    </w:p>
    <w:p w:rsidR="001C705E" w:rsidRDefault="001C705E" w:rsidP="001C705E">
      <w:pPr>
        <w:pStyle w:val="TextoNormal"/>
      </w:pPr>
      <w:r>
        <w:t>Por providencia de 29 de febrero siguiente, la Sección acordó tener por comparecido como codemandado a don Félix del Olmo Piñán, entendiéndose con él las actuaciones a partir del momento de su personación y no haber lugar a lo que solicita en el otrosí de su escrito, por haber concluido el período probatorio, así como incorporar a las actuaciones la documentación que en período de prueba remitiera la Dirección General de Tráfico, como prueba documental, y poner la misma de manifiesto a todas las partes y al Ministerio Fiscal para que en plazo común de diez días puedan examinarla y alegar cuanto estimen procedente acerca del alcance e importancia de la misma a los efectos del presente recurso.</w:t>
      </w:r>
    </w:p>
    <w:p w:rsidR="001C705E" w:rsidRDefault="001C705E" w:rsidP="001C705E">
      <w:pPr>
        <w:pStyle w:val="TextoNormal"/>
      </w:pPr>
    </w:p>
    <w:p w:rsidR="001C705E" w:rsidRDefault="001C705E" w:rsidP="001C705E">
      <w:pPr>
        <w:pStyle w:val="TextoNormal"/>
      </w:pPr>
      <w:r w:rsidRPr="001C705E">
        <w:rPr>
          <w:rStyle w:val="NumeroAFNegritaCaracter"/>
        </w:rPr>
        <w:t>9</w:t>
      </w:r>
      <w:r>
        <w:t>. En su escrito de alegaciones el Ministerio Fiscal reitera que la prueba documental remitida por la Dirección General de Tráfico no aporta elemento de conocimiento alguno que varíe su postura de oposición al recibimiento a prueba por considerar que los puntos a que se contraía no estaban controvertidos en el recurso, subsistiendo, a su juicio, el extremo que cree clave para la solución de lo planteado, que no es otro sino que las reclamantes conocieron, en virtud de la Circular 54/1983, de 23 de marzo, «hecha pública para general conocimiento», aportada por fotocopia a las actuaciones por las propias demandantes, la Sentencia que se impugna, y que, al dejar transcurrir desde que supieron de la misma más de los veinte días que como plazo improrrogable establece el art. 44.2 de la LOTC, el re</w:t>
      </w:r>
      <w:r>
        <w:lastRenderedPageBreak/>
        <w:t>curso, en el actual trance procesal, ha de ser desestimado por haberse instado fuera de plazo.</w:t>
      </w:r>
    </w:p>
    <w:p w:rsidR="001C705E" w:rsidRDefault="001C705E" w:rsidP="001C705E">
      <w:pPr>
        <w:pStyle w:val="TextoNormal"/>
      </w:pPr>
    </w:p>
    <w:p w:rsidR="001C705E" w:rsidRDefault="001C705E" w:rsidP="001C705E">
      <w:pPr>
        <w:pStyle w:val="TextoNormal"/>
      </w:pPr>
      <w:r w:rsidRPr="001C705E">
        <w:rPr>
          <w:rStyle w:val="NumeroAFNegritaCaracter"/>
        </w:rPr>
        <w:t>10</w:t>
      </w:r>
      <w:r>
        <w:t xml:space="preserve">. El Abogado del Estado, por su parte, considera que contrayéndose la documental pública, admitida y practicada, a la adveración de determinados escritos-circulares emanados de la Dirección General de Tráfico, cuya existencia y autenticidad no se ha cuestionado en ningún momento por las partes, dicha prueba en nada altera los términos en que antes de su práctica aparecía planteado el litigio, tanto más cuanto que la repetida documental pública no guarda relación con el particular consistente en determinar el instante en que, por haber tenido las recurrentes conocimiento suficiente y fehaciente de la sentencia dictada por el órgano judicial, habría de comenzar a computar el plazo para la interposición del recurso de amparo constitucional. </w:t>
      </w:r>
    </w:p>
    <w:p w:rsidR="001C705E" w:rsidRDefault="001C705E" w:rsidP="001C705E">
      <w:pPr>
        <w:pStyle w:val="TextoNormal"/>
      </w:pPr>
      <w:r>
        <w:t>El Abogado del Estado termina diciendo que esa misma circunstancia determina, a su juicio, la inadecuación del traslado conferido para alegar acerca de si la publicidad que pueda haber tenido el escrito-circular núm. 54/1983, de 25 de marzo, debe considerarse que acredita o no, desde entonces, un conocimiento suficiente y fehaciente de la Sentencia dictada por la Audiencia Nacional.</w:t>
      </w:r>
    </w:p>
    <w:p w:rsidR="001C705E" w:rsidRDefault="001C705E" w:rsidP="001C705E">
      <w:pPr>
        <w:pStyle w:val="TextoNormal"/>
      </w:pPr>
    </w:p>
    <w:p w:rsidR="001C705E" w:rsidRDefault="001C705E" w:rsidP="001C705E">
      <w:pPr>
        <w:pStyle w:val="TextoNormal"/>
      </w:pPr>
      <w:r w:rsidRPr="001C705E">
        <w:rPr>
          <w:rStyle w:val="NumeroAFNegritaCaracter"/>
        </w:rPr>
        <w:t>11</w:t>
      </w:r>
      <w:r>
        <w:t>. El señor Del Olmo solicita que se declare no haber lugar a la admisión ni a la estimación del recurso de amparo, por haberse interpuesto fuera de plazo y, a tal efecto, considera, sumándose a las alegaciones en su día formuladas por el Ministerio Fiscal, que las actoras conocieron la existencia de la Sentencia impugnada no más tarde del 15 de abril de 1983, mediante la Circular 54/1983, dictada por la Dirección General de Tráfico, precisamente, para ejecución de dicha Sentencia, lo cual admite la parte actora, si bien objeta la incompetencia de la aludida Dirección General para efectuar la notificación, argumento notoriamente inconsistente, porque lo verdaderamente esencial, válido y eficaz es que el interesado tenga conocimiento de la Sentencia y se dé por enterado de la misma, cualquiera que sea el conducto por el que se haya adquirido ese conocimiento, de conformidad con el artículo 279 de la L.E.C.</w:t>
      </w:r>
    </w:p>
    <w:p w:rsidR="001C705E" w:rsidRDefault="001C705E" w:rsidP="001C705E">
      <w:pPr>
        <w:pStyle w:val="TextoNormal"/>
      </w:pPr>
    </w:p>
    <w:p w:rsidR="001C705E" w:rsidRDefault="001C705E" w:rsidP="001C705E">
      <w:pPr>
        <w:pStyle w:val="TextoNormal"/>
      </w:pPr>
      <w:r w:rsidRPr="001C705E">
        <w:rPr>
          <w:rStyle w:val="NumeroAFNegritaCaracter"/>
        </w:rPr>
        <w:t>12</w:t>
      </w:r>
      <w:r>
        <w:t xml:space="preserve">. Por último, la representación procesal de las demandantes señala en su escrito, fundamentalmente, que de la prueba documental practicada queda de manifiesto que las ahora demandantes han sido parte en el procedimiento administrativo seguido por la Dirección General de Tráfico. Al no haberse admitido la práctica de la prueba propuesta por las mismas para que la Dirección General de Tráfico certificase que por los escritos de 10 de mayo de 1983 se les notificó directa, personal e individualmente el escrito-circular núm. 54/1983 y se les comunicó el texto íntegro de la Sentencia dictada por la Audiencia Nacional, esta cuestión conduce al estudio de lo alegado por el Ministerio Fiscal y la representación de las codemandadas de que el recurso de amparo se ha interpuesto fuera de plazo, debiéndose señalar contra tales alegaciones que: </w:t>
      </w:r>
    </w:p>
    <w:p w:rsidR="001C705E" w:rsidRDefault="001C705E" w:rsidP="001C705E">
      <w:pPr>
        <w:pStyle w:val="TextoNormal"/>
      </w:pPr>
      <w:r>
        <w:t xml:space="preserve">a) Resulta incuestionable que las referidas notificaciones han quedado suficientemente acreditadas en autos, con la unión al escrito de demanda de los originales de los expresados escritos de notificación y han sido admitidas y reconocidas tanto por el Ministerio Fiscal como por la representación de las codemandadas en sus anteriores escritos de alegaciones. </w:t>
      </w:r>
    </w:p>
    <w:p w:rsidR="001C705E" w:rsidRDefault="001C705E" w:rsidP="001C705E">
      <w:pPr>
        <w:pStyle w:val="TextoNormal"/>
      </w:pPr>
      <w:r>
        <w:t xml:space="preserve">b) El escrito-circular núm. 54/1983 va dirigido, como se señala en su pie, a los «Subdirectores generales, Jefes de Servicio, Jefes provinciales, Jefes de Sección y Jefes locales </w:t>
      </w:r>
      <w:r>
        <w:lastRenderedPageBreak/>
        <w:t xml:space="preserve">de Tráfico» y se «hace público» -según se indica en el mismo- «para general conocimiento y subsiguientes efectos», pero nada se señala de cómo debe hacerse público. Inicialmente no se notifica en forma directa, personal e individual a los funcionarios interesados, que son los afectados por él, todos ellos conocidos e identificados en el procedimiento. Tampoco se sabe, por no estar acreditado, si se colocó ese escrito-circular en el tablón de anuncios de las Jefaturas Provinciales, y aun en la hipótesis, no admisible, de que se entendiera así, en ningún caso se acredita en autos la fecha en que lo fue, ni tampoco si llegó a conocimiento de las demandantes y en qué fecha. Además, dicho escrito-circular lo que recoge, en cuanto a la sentencia de la Audiencia Nacional, es un resumen del fallo, lo que no es suficiente para conocer el contenido de la expresada Sentencia. </w:t>
      </w:r>
    </w:p>
    <w:p w:rsidR="001C705E" w:rsidRDefault="001C705E" w:rsidP="001C705E">
      <w:pPr>
        <w:pStyle w:val="TextoNormal"/>
      </w:pPr>
      <w:r>
        <w:t xml:space="preserve">c) En aplicación de la jurisprudencia del Tribunal Supremo y de este Tribunal Constitucional para que el escrito-circular se estimara que había sido notificado en fecha concreta y determinada y para que adquiriera eficacia era absolutamente necesario que se hubiese notificado personal e individualmente, lo que no se hizo. Por ello, posteriormente, tratará de subsanarse dicho defecto, de oficio -y no a petición de las demandantes, como sin fundamento alguno, se alega de contrario-, por la Dirección General de Tráfico a través de los escritos de 10 de mayo de 1983, con los que se notifica personal e individualmente el expresado escrito-circular a los funcionarios afectados, entre los que se encuentran las solicitantes de amparo, y el contenido íntegro de la Sentencia de la Audiencia Nacional, mediante entrega de copia de su texto íntegro. </w:t>
      </w:r>
    </w:p>
    <w:p w:rsidR="001C705E" w:rsidRDefault="001C705E" w:rsidP="001C705E">
      <w:pPr>
        <w:pStyle w:val="TextoNormal"/>
      </w:pPr>
      <w:r>
        <w:t xml:space="preserve">d) Ni desde el punto de vista fáctico ni desde el jurídico las ahora demandantes de amparo tuvieron conocimiento del escrito-circular núm. 54/1983 y de la Sentencia de la Audiencia Nacional hasta que les fue notificado el primero con entrega de copia del mismo y de la Sentencia en escrito de 10 de mayo de 1983 y en las fechas ya indicadas anteriormente, siendo a partir de esas fechas cuando el primero adquiere eficacia y cuando puede computarse cualquier plazo, entre ellos el de interposición del recurso de amparo, al ser también en las que conocieron la Sentencia. </w:t>
      </w:r>
    </w:p>
    <w:p w:rsidR="001C705E" w:rsidRDefault="001C705E" w:rsidP="001C705E">
      <w:pPr>
        <w:pStyle w:val="TextoNormal"/>
      </w:pPr>
      <w:r>
        <w:t xml:space="preserve">e) El objeto fundamental de los citados escritos de 10 de mayo de 1983 es la notificación formal del escrito-circular núm. 54/1983, no la de la Sentencia, aunque se acompañe también copia de ésta, y es sólo en el sentido amplio de «hacer saber de algo» o de «comunicar» la existencia de cómo ha de entenderse el último párrafo de los repetidos escritos de 10 de mayo de 1983. </w:t>
      </w:r>
    </w:p>
    <w:p w:rsidR="001C705E" w:rsidRDefault="001C705E" w:rsidP="001C705E">
      <w:pPr>
        <w:pStyle w:val="TextoNormal"/>
      </w:pPr>
      <w:r>
        <w:t xml:space="preserve">f) En lo actuado no se conoce ni queda acreditado que las demandantes de amparo tuvieran conocimiento del escrito-circular núm. 54/1983 antes de haberles sido notificado personalmente por escrito de 10 de mayo de 1983. </w:t>
      </w:r>
    </w:p>
    <w:p w:rsidR="001C705E" w:rsidRDefault="001C705E" w:rsidP="001C705E">
      <w:pPr>
        <w:pStyle w:val="TextoNormal"/>
      </w:pPr>
      <w:r>
        <w:t xml:space="preserve">g) Frente a lo verdaderamente real y probado no se puede admitir que se alegue, de contrario, sobre la base de lo que llaman presunción, que no tiene fundamento alguno, y que son simples conjeturas o una ficción que no puede ser atendida, de que las demandantes conocieron dicho escrito-circular cuando inicialmente se puso en circulación. </w:t>
      </w:r>
    </w:p>
    <w:p w:rsidR="001C705E" w:rsidRDefault="001C705E" w:rsidP="001C705E">
      <w:pPr>
        <w:pStyle w:val="TextoNormal"/>
      </w:pPr>
      <w:r>
        <w:t xml:space="preserve">h) Otro fundamento para afirmar que el recurso de amparo se interpuso dentro del plazo legal lo ofrece el Auto de este Tribunal de 28 de septiembre de 1983 al que alude el Ministerio Fiscal, ya que dicho Auto señala que el momento en que debe empezar a computarse el plazo para la interposición del recurso de amparo es aquel en el que «la parte recurrente en amparo tuvo conocimiento suficiente y fehaciente de la Sentencia dictada por el órgano judicial, dándose por informada de su alcance material». </w:t>
      </w:r>
    </w:p>
    <w:p w:rsidR="001C705E" w:rsidRDefault="001C705E" w:rsidP="001C705E">
      <w:pPr>
        <w:pStyle w:val="TextoNormal"/>
      </w:pPr>
      <w:r>
        <w:t xml:space="preserve">i) Es evidente que tal conocimiento suficiente y fehaciente de la Sentencia no lo tuvieron las ahora solicitantes de amparo hasta que por la Dirección General de Tráfico, de forma directa, personal e individualizada, se les comunicó dicha Sentencia con entrega de </w:t>
      </w:r>
      <w:r>
        <w:lastRenderedPageBreak/>
        <w:t xml:space="preserve">una copia con su texto íntegro en unas fechas concretas que son las que se deben considerar para iniciar el cómputo del plazo de los veinte días para interponer el presente recurso de amparo. </w:t>
      </w:r>
    </w:p>
    <w:p w:rsidR="001C705E" w:rsidRDefault="001C705E" w:rsidP="001C705E">
      <w:pPr>
        <w:pStyle w:val="TextoNormal"/>
      </w:pPr>
      <w:r>
        <w:t xml:space="preserve">Añade la representación de las demandantes que, siguiendo la doctrina mantenida por este Tribunal, en materia de derechos fundamentales, las leyes deben ser interpretadas en la forma más favorable para la efectividad de tales derechos, habiéndose proclamado también el principio de interpretación más favorable al acceso jurisdiccional para la defensa de los derechos y libertades, principio éste de ineludible aplicación en el presente caso, de modo que se considere como fechas de iniciación del plazo de interposición del recurso de amparo las de notificación del escrito de 10 de mayo de 1983 en las fechas más atrás referidas, declarándose, en consecuencia, que el recurso de amparo ha sido interpuesto dentro del plazo legalmente establecido. </w:t>
      </w:r>
    </w:p>
    <w:p w:rsidR="001C705E" w:rsidRDefault="001C705E" w:rsidP="001C705E">
      <w:pPr>
        <w:pStyle w:val="TextoNormal"/>
      </w:pPr>
      <w:r>
        <w:t>En las alegaciones «quinta» a «octava» del escrito que estamos resumiendo la representación procesal de las demandantes de amparo rebate las alegaciones de la representación de las codemandadas en los puntos relativos a otros motivos de oposición del recurso, alegaciones aquéllas que no se extractan por ser ajenas al objeto establecido en nuestra providencia de 29 de febrero de 1984 y no existir en el procedimiento concerniente al proceso de amparo fase de réplica de las alegaciones efectuadas por las partes comparecientes sobre la base del art. 52 de la LOTC.</w:t>
      </w:r>
    </w:p>
    <w:p w:rsidR="001C705E" w:rsidRDefault="001C705E" w:rsidP="001C705E">
      <w:pPr>
        <w:pStyle w:val="TextoNormal"/>
      </w:pPr>
    </w:p>
    <w:p w:rsidR="001C705E" w:rsidRDefault="001C705E" w:rsidP="001C705E">
      <w:pPr>
        <w:pStyle w:val="TextoNormal"/>
      </w:pPr>
      <w:r w:rsidRPr="001C705E">
        <w:rPr>
          <w:rStyle w:val="NumeroAFNegritaCaracter"/>
        </w:rPr>
        <w:t>13</w:t>
      </w:r>
      <w:r>
        <w:t xml:space="preserve">. Habiendo señalado la Sala, por providencia de 9 de mayo de 1984, el día 20 de junio para deliberación y votación de este recurso, acordó seguidamente, por providencia de 18 de julio, para mejor proveer y con suspensión del término para dictar sentencia, haciendo uso de lo dispuesto en el art. 88 de la LOTC, que se interesara de la Dirección General de Tráfico que, en plazo que no excediese de veinte días, remitiera certificación literal o fotocopia autenticada de todos los actos referentes a la ejecución de la Sentencia, o expediente de ejecución de la misma iniciado desde la recepción de la Sentencia dictada por la Sección Primera de la Sala de lo Contencioso-Administrativo de la Audiencia Nacional en el recurso núm. 13.338, con fecha de 4 de noviembre de 1982; así como que se certificara por quien correspondiese de dicha Dirección General que las actuaciones que se remitiesen era las únicas derivadas de la referida ejecución de la Sentencia. </w:t>
      </w:r>
    </w:p>
    <w:p w:rsidR="001C705E" w:rsidRDefault="001C705E" w:rsidP="001C705E">
      <w:pPr>
        <w:pStyle w:val="TextoNormal"/>
      </w:pPr>
      <w:r>
        <w:t>Por providencia de 10 de octubre de 1984, la Sección 3.ª de esta Sala acordó lo siguiente: a) Acusar recibo de las actuaciones recabadas para mejor proveer, y habilitar un plazo común de diez días para que las partes pudieran conocer esta documentación y alegar lo que a su derecho conviniera; b) Dirigir comunicación a la Jefatura de Personal de los Servicios Centrales de la Dirección General de Tráfico para que por quien correspondiese se informase o certificase cuándo fue recibido en la indicada dependencia el escrito circular 54/1983, de 25 de marzo, procedente de la Dirección General de Tráfico, y si de él tuvieron conocimiento doña María Teresa Calvo Leonor, doña Angeles Inés Casado Carrero, doña Eloísa López de Sancho y Sánchez, doña Carmen Sara González Lombardero y doña Erena López-Malla García y si formularon reclamaciones; c) Dirigir, a los mismos fines, comunicaciones a la Jefatura Provincial de Tráfico de Madrid, con respecto a doña María Teresa Calvo Leonor, doña Angeles Inés Casado Carrero, doña Eloísa López de Sancho y Sánchez y doña Carmen Sara González Lombardero; y a la Jefatura Provincial de Tráfico de Segovia, con respecto a doña Erena López-Malla García; y d) Dirigir comunicación a la Dirección General de Tráfico (Ref. PRI, personal), para que se informase o certificase si doña María Teresa Calvo Leonor, doña Angeles Inés Casado Carrero, doña Eloísa López de Sancho y Sánchez, doña Carmen Sara González Lombardero y doña Erena López-</w:t>
      </w:r>
      <w:r>
        <w:lastRenderedPageBreak/>
        <w:t>Malla García, en virtud de lo que se dispuso en la mencionada Circular, formularon reclamaciones y, en su caso, se certificase el contenido de las mismas y trámites ulteriores.</w:t>
      </w:r>
    </w:p>
    <w:p w:rsidR="001C705E" w:rsidRDefault="001C705E" w:rsidP="001C705E">
      <w:pPr>
        <w:pStyle w:val="TextoNormal"/>
      </w:pPr>
    </w:p>
    <w:p w:rsidR="001C705E" w:rsidRDefault="001C705E" w:rsidP="001C705E">
      <w:pPr>
        <w:pStyle w:val="TextoNormal"/>
      </w:pPr>
      <w:r w:rsidRPr="001C705E">
        <w:rPr>
          <w:rStyle w:val="NumeroAFNegritaCaracter"/>
        </w:rPr>
        <w:t>14</w:t>
      </w:r>
      <w:r>
        <w:t>. Por escrito presentado en este Tribunal el día 29 de octubre la representación procesal de las demandantes de amparo reiteró la solicitud contenida en el escrito de demanda sobre la base de las siguientes alegaciones: a) Del análisis de los documentos de los que se les ha dado traslado queda acreditado que las fechas de notificación personal e individual a aquéllas del escrito-circular núm. 54/1983 y, por tanto, de la Sentencia de la Audiencia Nacional, fueron, según los casos, las de 16, 17 y 18 de mayo de 1983; b) En consecuencia, resulta incuestionable que es en las fechas indicadas cuando las demandantes conocieron por primera vez no sólo la existencia de la Sentencia citada, sino también su contenido íntegro, siendo, por tanto, dichas fechas de las que debe partirse para computar el plazo exigido por el art. 44.2 de la LOTC con lo que el presente recurso está presentado dentro de plazo hábil; c) No puede considerarse en este recurso de amparo la presentación por algunas de las demandantes de escritos de reclamación contra el escrito-circular núm. 54/1983 por las siguientes razones: a') Son las notificaciones y comunicaciones de la Sentencia por medio de los escritos de 10 de mayo de 1983 las que deben considerarse a todos los efectos, sin que pueda traerse a colación para entender otra cosa el hecho de que alguna de las demandantes hubiera presentado escritos de reclamación contra el citado escrito-circular 54/1983; b') En este escrito únicamente se hace una simple mención a la expresada Sentencia, recogiendo un resumen del fallo, pero no su texto íntegro y, en consecuencia, el que algunas demandantes presentaron ante la Dirección General de Tráfico escrito de reclamación en relación con el repetido escrito-circular 54/1983, con anterioridad a la notificación de los escritos de 10 de mayo de 1983, no permite utilizar las fechas de presentación de los citados escritos de reclamación, y ello sobre la base de la doctrina recogida en el Auto de este Tribunal de 28 de septiembre de 1983; c') La falta de conocimiento del texto íntegro de la Sentencia representó un obstáculo insalvable para que las ahora recurrentes pudieran formular la demanda de amparo, obstáculo que quedó salvado a partir de los escritos de 10 de mayo de 1983; d') Las materias a las que se concretan los referidos escritos de reclamación son totalmente ajenas al contenido de la Sentencia de 4 de noviembre de 1982; e') Es preciso afirmar que las fechas de notificación de los escritos de 10 de mayo de 1983 son las que deben considerarse para iniciar el cómputo del plazo de interposición del presente recurso de amparo; f') La recurrente doña Erena López-Malla no presentó escrito de reclamación contra el escrito-circular 54/1983, al no conocer la existencia del mismo ni la de la Sentencia hasta que le fueron comunicados, por medio del escrito de 10 de mayo de 1983, el 17 del mismo mes.</w:t>
      </w:r>
    </w:p>
    <w:p w:rsidR="001C705E" w:rsidRDefault="001C705E" w:rsidP="001C705E">
      <w:pPr>
        <w:pStyle w:val="TextoNormal"/>
      </w:pPr>
    </w:p>
    <w:p w:rsidR="001C705E" w:rsidRDefault="001C705E" w:rsidP="001C705E">
      <w:pPr>
        <w:pStyle w:val="TextoNormal"/>
      </w:pPr>
      <w:r w:rsidRPr="001C705E">
        <w:rPr>
          <w:rStyle w:val="NumeroAFNegritaCaracter"/>
        </w:rPr>
        <w:t>15</w:t>
      </w:r>
      <w:r>
        <w:t xml:space="preserve">. Por su parte, el Ministerio Fiscal en su escrito de 24 de octubre de 1984 alega lo siguiente: a) Que los documentos de los que se le ha dado vista ya eran conocidos en el presente recurso, pues fueron adjuntados con el escrito de demanda, salvo los de fecha posterior a ésta, que no son de utilidad; b) De alguna utilidad, aunque no decisiva, puede ser el resultado de los despachos ordenados en el último acuerdo de este Tribunal, porque si resulta que las recurrentes formularon alguna reclamación a tenor de la circular de 25 de marzo de 1983, que tuvo que ser antes del 15 de abril siguiente, es claro que conocieron de la Sentencia de modo suficiente y es desde entonces cuando hubieron de contar el plazo de tiempo para recurrir; c) Sobre la posibilidad de conocimiento de las circulares por los funcionarios, y con independencia de lo que puedan certificar o informar los servicios de tráfico, debe notarse, por un lado, que las circulares son conocidas por los funcionarios, ya </w:t>
      </w:r>
      <w:r>
        <w:lastRenderedPageBreak/>
        <w:t>que para eso se dan, sin que puedan equipararse a los boletines oficiales, cuyo desconocimiento sí que puede presumirse, y, por otro, que si se publicó la circular, estableciendo un plazo perentorio para reclamar, no deja de llamar la atención que, después de dicho plazo, se hiciera una notificación personal a las ahora demandantes de amparo; d) Cualquiera que sea el resultado de las comunicaciones acordadas, no puede desvirtuarse el valor de una circular interior de un Servicio que se supone que es el de informar a sus destinatarios y si en el caso presente las reclamantes conocieron en su momento y con el alcance requerido las anteriores circulares que convocaron concurso y lo resolvieron, no sería congruente aceptar el desconocimiento de la de marzo de 1983, sin duda, más trascendente que las anteriores; e) La protección de un derecho fundamental debe rodearse de parecidas garantías a las del derecho mismo, especialmente cuando, de otorgarse tal protección, pueden verse afectados seriamente derechos igualmente fundamentales de otras personas reconocidos por los Tribunales dos años atrás, y, en tal sentido, cabe citar el Auto de este Tribunal de 19 de septiembre de 1984 en Auto 415/1984.</w:t>
      </w:r>
    </w:p>
    <w:p w:rsidR="001C705E" w:rsidRDefault="001C705E" w:rsidP="001C705E">
      <w:pPr>
        <w:pStyle w:val="TextoNormal"/>
      </w:pPr>
    </w:p>
    <w:p w:rsidR="001C705E" w:rsidRDefault="001C705E" w:rsidP="001C705E">
      <w:pPr>
        <w:pStyle w:val="TextoNormal"/>
      </w:pPr>
      <w:r w:rsidRPr="001C705E">
        <w:rPr>
          <w:rStyle w:val="NumeroAFNegritaCaracter"/>
        </w:rPr>
        <w:t>16</w:t>
      </w:r>
      <w:r>
        <w:t>. El Abogado del Estado, en escrito presentado el 22 de octubre de 1984, señala que, examinadas las actuaciones recabadas para mejor proveer, se ratifica en sus anteriores alegaciones, sin perjuicio de lo que pueda resultar de las nuevas actuaciones acordadas por providencia de 10 de octubre, y solicita que se conceda nuevo plazo para formulación de alegaciones respecto de las nuevas actuaciones citadas.</w:t>
      </w:r>
    </w:p>
    <w:p w:rsidR="001C705E" w:rsidRDefault="001C705E" w:rsidP="001C705E">
      <w:pPr>
        <w:pStyle w:val="TextoNormal"/>
      </w:pPr>
    </w:p>
    <w:p w:rsidR="001C705E" w:rsidRDefault="001C705E" w:rsidP="001C705E">
      <w:pPr>
        <w:pStyle w:val="TextoNormal"/>
      </w:pPr>
      <w:r w:rsidRPr="001C705E">
        <w:rPr>
          <w:rStyle w:val="NumeroAFNegritaCaracter"/>
        </w:rPr>
        <w:t>17</w:t>
      </w:r>
      <w:r>
        <w:t>. La representación procesal de las señoras Mazarrasa y Marcos, en escrito presentado el 31 de octubre de 1984, alega que del certificado emitido el 9 de agosto de 1984 por el Jefe del Servicio de Personal y Régimen Interior de la Dirección General de Tráfico se desprende que sólo se notificó íntegramente la Sentencia de la Audiencia Nacional a las ahora demandantes de amparo; que no obstante, en el oficio del Director general de Tráfico dirigido el 15 de julio de 1983 al Subsecretario del Ministerio del Interior se dice que el 10 de mayo de 1983 se notificó a cada uno de los participantes en el concurso tanto la Sentencia como el escrito-circular núm. 54/1983, y que las señoras Mazarrasa y Marcos no han recibido, en ningún momento, las notificaciones a las que se refiere el certificado y el oficio citados y han tenido conocimiento de la Circular núm. 54/1983 por medio de los tablones de anuncios de las Delegaciones donde trabajan. Por todo lo cual, dicha representación procesal interesa de este Tribunal que acuerde ampliar, si procede, los mandamientos relacionados en la providencia de 10 de octubre de 1984, en el sentido de dirigir comunicación a la Dirección General de Tráfico para que remita los acuses de recibo de las notificaciones personales dirigidas a todos los funcionarios participantes en el concurso de traslados que originó el recurso contencioso-administrativo núm. 13. 338, de acuerdo con el contenido del punto 2 del citado oficio de 15 de julio de 1983.</w:t>
      </w:r>
    </w:p>
    <w:p w:rsidR="001C705E" w:rsidRDefault="001C705E" w:rsidP="001C705E">
      <w:pPr>
        <w:pStyle w:val="TextoNormal"/>
      </w:pPr>
    </w:p>
    <w:p w:rsidR="001C705E" w:rsidRDefault="001C705E" w:rsidP="001C705E">
      <w:pPr>
        <w:pStyle w:val="TextoNormal"/>
      </w:pPr>
      <w:r w:rsidRPr="001C705E">
        <w:rPr>
          <w:rStyle w:val="NumeroAFNegritaCaracter"/>
        </w:rPr>
        <w:t>18</w:t>
      </w:r>
      <w:r>
        <w:t>. Por providencia de 12 de diciembre de 1984, la Sección Tercera de esta Sala acordó acusar recibo de la documentación recibida y habilitar un plazo común de diez días para que pudiera ser conocida por las partes y el Ministerio Fiscal y alegaran lo que a su derecho conviniera.</w:t>
      </w:r>
    </w:p>
    <w:p w:rsidR="001C705E" w:rsidRDefault="001C705E" w:rsidP="001C705E">
      <w:pPr>
        <w:pStyle w:val="TextoNormal"/>
      </w:pPr>
    </w:p>
    <w:p w:rsidR="001C705E" w:rsidRDefault="001C705E" w:rsidP="001C705E">
      <w:pPr>
        <w:pStyle w:val="TextoNormal"/>
      </w:pPr>
      <w:r w:rsidRPr="001C705E">
        <w:rPr>
          <w:rStyle w:val="NumeroAFNegritaCaracter"/>
        </w:rPr>
        <w:t>19</w:t>
      </w:r>
      <w:r>
        <w:t xml:space="preserve">. En escrito presentado el 29 de diciembre de 1984, la representación procesal de las demandantes hace las siguientes alegaciones: a) El escrito-circular núm. 54/1983 afecta a derechos subjetivos de funcionarios de la Escala Ejecutiva a los que se refiere, al anularles </w:t>
      </w:r>
      <w:r>
        <w:lastRenderedPageBreak/>
        <w:t xml:space="preserve">el último destino obtenido, y en tal sentido, de acuerdo con los artículos 79 y 80 de la LPA, debió ser notificado a los interesados, como lo fue el escrito de 10 de mayo de 1983; b) Este Tribunal Constitucional se ha manifestado en esta misma línea en cuanto a la necesidad de que las resoluciones se notifiquen personal e individualmente a los titulares de un derecho o interés legítimo, con el fin de no causarles indefensión; c) Se reitera que la notificación de 10 de mayo de 1983 a los funcionarios, entre los que se encontraban las ahora demandantes de amparo, lo fue no a petición de éstas, sino de oficio; d) El escrito de 10 de mayo de 1983 fue remitido a todos los funcionarios afectados por el escrito-circular núm. 54/1983, tal como se acredita en la copia del escrito dirigido por el Director general de Tráfico al Subsecretario del Ministerio del Interior; e) Se reitera que la presentación de los escritos de reclamación por parte de cuatro de las ahora demandantes no puede ser considerada en el presente recurso de amparo, ya que, por un lado, el escrito-circular núm. 54/1983 contiene una resolución provisional, con el único objeto de que los funcionarios interesados formulen reclamaciones antes de ser elevada a definitiva, y por otro lado, en el mencionado escrito-circular se hace simple mención a la Sentencia de la Audiencia Nacional, recogiéndose un resumen del fallo; f) El hecho de que las demandantes presentaran tales escritos de reclamaciones no permite utilizar las fechas de los mismos como punto de partida o referencia procesal para iniciar el cómputo del plazo de interposición del recurso de amparo, afirmación ésta que tiene su fundamento en la doctrina recogida en el Auto de este Tribunal de 28 de septiembre de 1983; g) El conocimiento suficiente y fehaciente de la Sentencia y la información de su alcance material lo tienen las demandantes no cuando presentaron los escritos de reclamaciones, sino cuando se les notifica, de forma directa e individualizada, en escritos de 10 de mayo de 1983, a todos los funcionarios afectados, y entre ellos a aquéllas, el texto íntegro de la Sentencia y otros documentos; h) La señora López-Malla García no presentó reclamación contra el escrito-circular núm. 54/1983, ya que no lo conoció hasta que la Dirección General de Tráfico no le notificó, personal y directamente, la Sentencia de la Audiencia Nacional. </w:t>
      </w:r>
    </w:p>
    <w:p w:rsidR="001C705E" w:rsidRDefault="001C705E" w:rsidP="001C705E">
      <w:pPr>
        <w:pStyle w:val="TextoNormal"/>
      </w:pPr>
      <w:r>
        <w:t>Las demandantes terminan su escrito de alegaciones con la súplica de que para mejor proveer se acuerde dirigir escrito a la Dirección General de Tráfico para que por quien proceda se certifique que el escrito de 10 de mayo de 1983, por el que se notificó el escrito-circular núm. 54/1983 y se comunicó la Sentencia de la Audiencia Nacional, fue enviado a cada uno de los funcionarios de la Escala Ejecutiva afectados por el referido escrito-circular núm. 54/1983.</w:t>
      </w:r>
    </w:p>
    <w:p w:rsidR="001C705E" w:rsidRDefault="001C705E" w:rsidP="001C705E">
      <w:pPr>
        <w:pStyle w:val="TextoNormal"/>
      </w:pPr>
    </w:p>
    <w:p w:rsidR="001C705E" w:rsidRDefault="001C705E" w:rsidP="001C705E">
      <w:pPr>
        <w:pStyle w:val="TextoNormal"/>
      </w:pPr>
      <w:r w:rsidRPr="001C705E">
        <w:rPr>
          <w:rStyle w:val="NumeroAFNegritaCaracter"/>
        </w:rPr>
        <w:t>20</w:t>
      </w:r>
      <w:r>
        <w:t xml:space="preserve">. El Ministerio Fiscal, en escrito presentado el 31 de diciembre de 1984, alega lo siguiente: a) Las recurrentes eran conocedoras de la Circular de 25 de marzo de 1983, ya que cuatro de ellas formularon escrito de reclamación antes del 15 de abril siguiente, tal y como permitía la Circular; b) Trabajo ha costado conocer este extremo, que las recurrentes han venido ocultando cuidadosamente hasta su escrito de 25 de octubre, en el que ya lo admiten después de que el Tribunal acordara dirigir comunicación a Tráfico para aclarar dicho punto; c) El hecho cierto es que cuatro de las reclamantes conocieron la Sentencia antes de la peculiar notificación efectuada por Tráfico, conocimiento que fue suficientemente informativo del alcance de la Sentencia, que se discute en las reclamaciones con razones de fondo; con lo que hay que concluir que la demanda de amparo es extemporánea; d) En cuanto a la señora López-Malla, el caso se presenta como confusamente contradictorio, ya que, de una parte, aparece como «funcionaria de la Escala Ejecutiva-Servicios Centrales», lugar en el que firmó la notificación de la Sentencia, con lo que, si está en activo, conoció la existencia de la Circular como todas las demás, sin que el hecho </w:t>
      </w:r>
      <w:r>
        <w:lastRenderedPageBreak/>
        <w:t>de que no reclamara tenga que ver con lo que aquí importa; pero, de otra parte, la Jefatura Provincial de Soria certifica que quedó excedente voluntaria el 1 de julio de 1981, aunque es posible que después reingresara al servicio activo o que continúe en excedencia, en cuyo caso no se advierte qué interés puede tener en mantener el acto impugnado del que no se le deriva efecto que le ataña; e) En resumen, si está, como parece, en servicio activo (en los Servicios Centrales), conoció la Circular, que para eso se colocó en los tablones de anuncios y, por tanto, su demanda es extemporánea, y si está o estuvo excedente cuando se recurrió ante la Audiencia Nacional, ningún derecho ni interés se le podía derivar de la impugnación del concurso, con lo que, al no ser emplazada de forma personal, no se le lesionó el alegado derecho a defenderse procesalmente. Por todo lo cual -concluye el Ministerio Público-, y ahora con mayor fundamento si cabe, procede desestimar el amparo solicitado.</w:t>
      </w:r>
    </w:p>
    <w:p w:rsidR="001C705E" w:rsidRDefault="001C705E" w:rsidP="001C705E">
      <w:pPr>
        <w:pStyle w:val="TextoNormal"/>
      </w:pPr>
    </w:p>
    <w:p w:rsidR="001C705E" w:rsidRDefault="001C705E" w:rsidP="001C705E">
      <w:pPr>
        <w:pStyle w:val="TextoNormal"/>
      </w:pPr>
      <w:r w:rsidRPr="001C705E">
        <w:rPr>
          <w:rStyle w:val="NumeroAFNegritaCaracter"/>
        </w:rPr>
        <w:t>21</w:t>
      </w:r>
      <w:r>
        <w:t>. El Abogado del Estado, en escrito presentado el 28 de diciembre de 1984, solicita de este Tribunal que, en atención a la documentación incorporada a los autos, resuelva desestimar el presente recurso de amparo constitucional, por aparecer el mismo promovido fuera de plazo. Las razones en las que se apoya tal pretensión son las siguientes: a) El escrito-circular 54/1983 resulta suficientemente expresivo del contenido de la Sentencia de la Audiencia Nacional impugnada en amparo; b) Dicho escrito-circular fue efectivamente conocido por las demandantes señoras Calvo, Casado, López de Sancho y González, al menos en las fechas en que, respectivamente, cada una de ellas formuló las reclamaciones, que obran incorporadas a los autos, contra el mencionado escrito-circular; c) Tales extremos llevan a concluir que, con independencia del valor general que como medio de comunicación haya de asignarse a las circulares internas de servicio, respecto de las susodichas demandantes resulta acreditado un conocimiento suficiente y fehaciente, a partir de cuya fecha el recurso de amparo se formuló extemporáneamente, y d) En cuanto a la señora López-Malla deben tenerse en cuenta dos circunstancias: a') que su situación funcionarial fue la determinante de la eventual falta de conocimiento del referido escrito-circular dentro del plazo previsto en el mismo para la presentación de reclamaciones, y b') que la notificación personal que más tarde se le hizo presumiblemente a su petición no parece que pueda originar la apertura de un plazo singular de reclamación para ello, plazo distinto del general previsto en la Circular 54/1983 y del que, en razón únicamente a su situación funcionarial, hubiera de quedar excepcionada a pesar de encontrarse incluida en el ámbito de los destinatarios del repetido escrito-circular.</w:t>
      </w:r>
    </w:p>
    <w:p w:rsidR="001C705E" w:rsidRDefault="001C705E" w:rsidP="001C705E">
      <w:pPr>
        <w:pStyle w:val="TextoNormal"/>
      </w:pPr>
    </w:p>
    <w:p w:rsidR="001C705E" w:rsidRDefault="001C705E" w:rsidP="001C705E">
      <w:pPr>
        <w:pStyle w:val="TextoNormal"/>
      </w:pPr>
      <w:r w:rsidRPr="001C705E">
        <w:rPr>
          <w:rStyle w:val="NumeroAFNegritaCaracter"/>
        </w:rPr>
        <w:t>22</w:t>
      </w:r>
      <w:r>
        <w:t>. El señor Del Olmo Piñán, en escrito presentado el 3 de enero de 1985, solicita que se declare no haber lugar a admitir la reclamación de las recurrentes, haciendo suyas y dando por reproducidas las manifestaciones del Ministerio Fiscal en su escrito de 22 de octubre de 1984, agregando a ellas el principio de seguridad jurídica recogido en el art. 9.3 de la Constitución.</w:t>
      </w:r>
    </w:p>
    <w:p w:rsidR="001C705E" w:rsidRDefault="001C705E" w:rsidP="001C705E">
      <w:pPr>
        <w:pStyle w:val="TextoNormal"/>
      </w:pPr>
    </w:p>
    <w:p w:rsidR="001C705E" w:rsidRDefault="001C705E" w:rsidP="001C705E">
      <w:pPr>
        <w:pStyle w:val="TextoNormal"/>
      </w:pPr>
      <w:r w:rsidRPr="001C705E">
        <w:rPr>
          <w:rStyle w:val="NumeroAFNegritaCaracter"/>
        </w:rPr>
        <w:t>23</w:t>
      </w:r>
      <w:r>
        <w:t xml:space="preserve">. La representación procesal de las señoras Mazarrasa y Marcos, en escrito presentado el 3 de enero de 1985, observa lo siguiente: a) Se confirma plenamente que la Circular 54/1983 -en donde constan relacionadas, con sus nombres y apellidos, las reclamantes en amparo- fue difundida de la misma manera que el resto de las Circulares de la Dirección General de Tráfico, habiéndose colocado en los tablones de anuncios de todas las dependencias para conocimiento general; b) Las demandantes señoras Casado, González </w:t>
      </w:r>
      <w:r>
        <w:lastRenderedPageBreak/>
        <w:t xml:space="preserve">Lombardero, Calvo y López de Sancho no sólo tuvieron conocimiento de la referida Circular en las fechas de su publicación, sino que, además, recurrieron contra la misma, mencionando expresamente en sus escritos, presentados todos ellos antes del 15 de abril de 1983, la Sentencia de 4 de noviembre de 1982, que alegan desconocer con anterioridad a la primera quincena de mayo de 1983; c) La señora López-Malla, que pasó el 1 de julio de 1981 a la situación de excedencia voluntaria, reingresó más tarde en situación de «servicios especiales» con destino en los Servicios Centrales de la Dirección General de Tráfico; d) Todo ello demuestra, sin lugar a dudas, que todas las demandantes tuvieron conocimiento cumplido tanto de la Circular 54/1983 como del contenido material de la Sentencia de la Audiencia Nacional, cuyo fallo se reproducía íntegramente en dicha Circular, que describía y aplicaba las consecuencias de aquélla en el concurso de traslado al que se refería y que desembocaban en la nueva adjudicación de las plazas convocadas, conocimiento que se produjo en el mes de marzo de 1983 cuando se publicó la repetida Circular en todos los tablones de anuncios de todas las dependencias de la Dirección General de Tráfico; e) Por consiguiente, el recurso de amparo fue promovido extemporáneamente, bien se computen los días desde el 25 de marzo o desde el 15 de abril de 1984; f) Gracias a la nueva documentación requerida por este Tribunal se ha patentizado que las demandantes han incurrido en temeridad y mala fe al cohonestar el recurso de amparo mediante la preconfiguración de la validez de un plazo ya caducado a sabiendas de la ilegitimidad de dicha actuación, faltando a la verdad durante todo el proceso seguido ante este Tribunal. </w:t>
      </w:r>
    </w:p>
    <w:p w:rsidR="001C705E" w:rsidRDefault="001C705E" w:rsidP="001C705E">
      <w:pPr>
        <w:pStyle w:val="TextoNormal"/>
      </w:pPr>
      <w:r>
        <w:t>La representación procesal de las señoras Mazarrasa y Marcos termina su escrito solicitando se aprecie temeridad y mala fe en la postura procesal de las recurrentes en amparo a los efectos previstos legalmente, entre los que se encuentran las sanciones descritas en el art. 95 de la LOTC.</w:t>
      </w:r>
    </w:p>
    <w:p w:rsidR="001C705E" w:rsidRDefault="001C705E" w:rsidP="001C705E">
      <w:pPr>
        <w:pStyle w:val="TextoNormal"/>
      </w:pPr>
    </w:p>
    <w:p w:rsidR="001C705E" w:rsidRDefault="001C705E" w:rsidP="001C705E">
      <w:pPr>
        <w:pStyle w:val="TextoNormal"/>
      </w:pPr>
      <w:r w:rsidRPr="001C705E">
        <w:rPr>
          <w:rStyle w:val="NumeroAFNegritaCaracter"/>
        </w:rPr>
        <w:t>24</w:t>
      </w:r>
      <w:r>
        <w:t>. Por providencia de 9 de enero de 1985, la Sala acordó unir a las actuaciones los escritos presentados por las partes y el Ministerio Fiscal en el trámite de alegaciones sobre la prueba documental recibida y señalar para la deliberación y votación del presente recurso el día 13 de marzo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objeto de la presente resolución es decidir si realmente se ha producido o no la violación del derecho fundamental alegado por las demandantes, es decir, si se ha infringido o no su derecho a la tutela judicial efectiva, consagrado en el art. 24 de la Constitución, por no haber sido emplazadas personal y directamente en un proceso en el que, según ellas, se enjuiciaban unos actos de los que se derivaban para las mismas derechos e intereses legítimos.</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Este Tribunal ha declarado en múltiples ocasiones que el derecho a la tutela judicial efectiva reconocido en el art. 24.1 de la Constitución requiere la existencia de un juicio contradictorio en el que las partes puedan hacer valer sus derechos e intereses legítimos, y por ello el emplazamiento personal, al asegurar la comparecencia en juicio, se convierte en un instrumento ineludible para garantizar tal derecho. En este sentido ha reiterado en numerosas Sentencias, en relación con el significado y alcance del art. 64 de la Ley reguladora de la Jurisdicción Contencioso-Administrativa -la última de las cuales es la número 105/1984, de 15 de noviembre («Boletín Oficial del Estado» del 28), de la Sala Primera-, </w:t>
      </w:r>
      <w:r>
        <w:lastRenderedPageBreak/>
        <w:t>que es exigible constitucionalmente el emplazamiento personal cuando los legitimados como parte demandada fueren conocidos e identificables a partir de los datos que figuran en el escrito de interposición del recurso contencioso-administrativo en la demanda o en el expediente administrativo, y que, en estos supuestos, la falta de dicho emplazamiento supone una vulneración del mencionado precepto constitucional.</w:t>
      </w:r>
    </w:p>
    <w:p w:rsidR="001C705E" w:rsidRDefault="001C705E" w:rsidP="001C705E">
      <w:pPr>
        <w:pStyle w:val="TextoNormal"/>
      </w:pPr>
      <w:r>
        <w:t>Ahora bien, dicha doctrina, que puede considerarse ciertamente como de carácter o índole general en relación con el problema del emplazamiento en el proceso contencioso-administrativo, ha sido matizada en diversas ocasiones -como se apunta en la reciente Sentencia de la Sala Segunda de este Tribunal núm. 119/1984, de 7 de diciembre («Boletín Oficial del Estado» de 11 de enero de 1985)-, con el fin de dar cuenta de las peculiaridades específicas de cada supuesto.</w:t>
      </w:r>
    </w:p>
    <w:p w:rsidR="001C705E" w:rsidRDefault="001C705E" w:rsidP="001C705E">
      <w:pPr>
        <w:pStyle w:val="TextoNormal"/>
      </w:pPr>
      <w:r>
        <w:t>En este orden de ideas, cabría plantear si la necesidad del emplazamiento personal de los afectados es la misma cuando se impugna resolución de carácter general (como la inclusión o no de determinados funcionarios de un Cuerpo en el primer grupo de éste) que cuando el recurso contencioso-administrativo se dirige contra un acto concreto, y si el conocimiento de que el acto administrativo cuestionado ha sido recurrido en alzada impone a los beneficiados por él una obligación de especial diligencia para seguir el curso del procedimiento. Pero previa a cualquier otra cuestión es la relativa al fundamento de la excepción de extemporaneidad en la interposición de la demanda, que las demás partes le oponen.</w:t>
      </w:r>
    </w:p>
    <w:p w:rsidR="001C705E" w:rsidRDefault="001C705E" w:rsidP="001C705E">
      <w:pPr>
        <w:pStyle w:val="TextoNormal"/>
      </w:pPr>
    </w:p>
    <w:p w:rsidR="001C705E" w:rsidRDefault="001C705E" w:rsidP="001C705E">
      <w:pPr>
        <w:pStyle w:val="TextoNormal"/>
      </w:pPr>
      <w:r w:rsidRPr="001C705E">
        <w:rPr>
          <w:rStyle w:val="NumeroAFNegritaCaracter"/>
        </w:rPr>
        <w:t>3</w:t>
      </w:r>
      <w:r>
        <w:t>. Independientemente de si las ahora demandantes de amparo debieron o no ser emplazadas directa y personalmente en el proceso contencioso-administrativo que culminó en la Sentencia de la Audiencia Nacional de 4 de noviembre de 1982, lo cierto es que, como sostienen el Ministerio Fiscal, el Abogado del Estado, la representación procesal de las señoras Mazarrasa y Marcos y el señor Del Olmo, el recurso de amparo ante este Tribunal ha sido presentado por las demandantes fuera de plazo, con lo que al concurrir esta causa de inadmisión, según se desprende claramente de las actuaciones e informes remitidos a este Tribunal, dicho recurso ha de desestimarse en esta fase procesal.</w:t>
      </w:r>
    </w:p>
    <w:p w:rsidR="001C705E" w:rsidRDefault="001C705E" w:rsidP="001C705E">
      <w:pPr>
        <w:pStyle w:val="TextoNormal"/>
      </w:pPr>
      <w:r>
        <w:t xml:space="preserve">En efecto, contra lo que sostienen las demandantes de amparo y de acuerdo con el criterio mantenido por todas las demás partes comparecidas en el presente proceso, el plazo de los veinte días para impugnar la Sentencia de la Audiencia Nacional, establecido en el art. 44.2 de la LOTC, ha de computarse a partir de la fecha en que las demandantes tuvieron conocimiento suficiente y fehaciente de la existencia de dicha Sentencia, conocimiento que se tuvo indudablemente por las recurrentes señoras Calvo Leonor, Casado Carrero, López de Sancho y González Lombardero, a contar, al menos, de la fecha en que interpusieron sendos escritos de reclamación contra la Circular núm. 54/1983, en la que se hacía claramente referencia al contenido esencial de la repetida Sentencia y a los efectos de su fallo en el concurso cuya resolución venía a anular; Circular aquélla que fue objeto de general conocimiento a través de la colocación de un ejemplar de la misma en los tablones de anuncios de todas las dependencias, centrales y periféricas, de la Dirección General de Tráfico. En consecuencia, habida cuenta de que las citadas demandantes presentaron las aludidas reclamaciones -dándose, pues, por enteradas de la mencionada Circular- los días 11, 14 y 19 de abril de 1983 y que el recurso de amparo formulado por las mismas tuvo su entrada en este Tribunal el 31 de mayo siguiente, dicho recurso ha sido interpuesto notoriamente fuera del plazo legalmente establecido. Igualmente, el plazo en cuestión debe computarse a partir de la publicación en el tablón de anuncios de la susodicha Circular o, al menos, del último día de plazo para recurrir contra ésta -el 15 de abril de 1983- y no de </w:t>
      </w:r>
      <w:r>
        <w:lastRenderedPageBreak/>
        <w:t>la notificación personal de la misma, por lo que respecta también a la señora López-Malla, porque, aunque no reclamara como sus compañeras y ahora codemandantes contra aquella Circular, por los datos que se desprenden de las actuaciones que este Tribunal ha tenido a la vista, como todas las partes de este proceso, estaba en activo en dependencias en que fue publicada, mediante el correspondiente tablón de anuncios, la repetida Circular. Porque o la señora López-Malla estaba excedente en la fecha de publicación de la Circular 54/1983, en cuyo caso no tenía por qué comunicársele ni aquélla ni la Sentencia, o estaba en activo, en cuyo supuesto, aunque no reclamara en vía administrativa contra la misma, empezó a correr el plazo desde la publicación de la Circular o, al menos, desde la terminación del plazo establecido en ella para impugnarla en dicha vía administrativa. En una y otra hipótesis, la consecuencia es que el 31 de mayo de 1983, fecha de interposición del recurso de amparo, había concluido con creces el plazo para hacerlo legalmente según lo dispuesto en el art. 44.2 de la LOTC.</w:t>
      </w:r>
    </w:p>
    <w:p w:rsidR="001C705E" w:rsidRDefault="001C705E" w:rsidP="001C705E">
      <w:pPr>
        <w:pStyle w:val="TextoNormal"/>
      </w:pPr>
      <w:r>
        <w:t>Es obvio que la publicidad de las Circulares en un instrumento como el tablón de anuncios en las oficinas públicas implica respecto a los funcionarios que trabajan en las mismas y a los que aquéllas puedan afectar una carga de conocimiento, con sus lógicas consecuencias, que no puede equipararse a la publicidad que con respecto a los ciudadanos en general representan los diarios o boletines oficiales.</w:t>
      </w:r>
    </w:p>
    <w:p w:rsidR="001C705E" w:rsidRDefault="001C705E" w:rsidP="001C705E">
      <w:pPr>
        <w:pStyle w:val="TextoNormal"/>
      </w:pPr>
      <w:r>
        <w:t>Pretender, por consiguiente, darse por no enterados del contenido, suficiente y fehaciente, de una Circular debidamente publicada en un instrumento de conocimiento interno para los funcionarios destinados en la correspondiente oficina pública como es el tablón de anuncios, es tanto como desconocer la peculiaridad de la relación funcionarial y el correlativo entramado de derechos, deberes y cargas inherentes a la pertinente relación especial de la Administración con sus funcionarios.</w:t>
      </w:r>
    </w:p>
    <w:p w:rsidR="001C705E" w:rsidRDefault="001C705E" w:rsidP="001C705E">
      <w:pPr>
        <w:pStyle w:val="TextoNormal"/>
      </w:pPr>
    </w:p>
    <w:p w:rsidR="001C705E" w:rsidRDefault="001C705E" w:rsidP="001C705E">
      <w:pPr>
        <w:pStyle w:val="TextoNormal"/>
      </w:pPr>
      <w:r w:rsidRPr="001C705E">
        <w:rPr>
          <w:rStyle w:val="NumeroAFNegritaCaracter"/>
        </w:rPr>
        <w:t>4</w:t>
      </w:r>
      <w:r>
        <w:t>. La extensa relación de antecedentes de la presente Sentencia pone a todas luces de relieve que las recurrentes conocieron antes de lo que habían afirmado, y de modo suficiente y fehaciente, la existencia y contenido esencial de la decisión judicial que han impugnado en amparo. Tal comportamiento procesal implica temeridad en el sostenimiento de la presente acción constitucional, por lo que procede la imposición de las costas del presente proceso, de acuerdo con lo dispuesto en el art. 95.2 de la LOTC.</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 por doña María Teresa Calvo Leonor, doña Angeles Inés Casado Carrero, doña Eloísa López de Sancho y Sánchez, doña Carmen Sara González Lombardero y doña Erena López-Malla García, así como imponerles las costas del presente proceso.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veintiséis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49" w:name="SENTENCIA_1985_46"/>
      <w:r>
        <w:lastRenderedPageBreak/>
        <w:t>SENTENCIA 46/1985, de 26 de marzo de 1985</w:t>
      </w:r>
    </w:p>
    <w:bookmarkEnd w:id="49"/>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ECLI:ES:TC:1985:46</w:t>
      </w:r>
    </w:p>
    <w:p w:rsidR="001C705E" w:rsidRDefault="001C705E" w:rsidP="001C705E">
      <w:pPr>
        <w:pStyle w:val="SntesisDescriptiva"/>
      </w:pPr>
    </w:p>
    <w:p w:rsidR="001C705E" w:rsidRDefault="001C705E" w:rsidP="001C705E">
      <w:pPr>
        <w:pStyle w:val="SntesisDescriptiva"/>
      </w:pPr>
      <w:r>
        <w:t>Recurso de inconstitucionalidad 154/1984. Promovido por el Presidente del Gobierno contra los apartados 3. y 4. del art. 19 de la Ley de 24 de noviembre de 1983, de la Junta General del Principado de Asturias, por la que se regulan las tasas sanitarias de la Comunidad Autónoma del Principado de Asturias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Lo que el art. 149.1.17.ª de la C.E. permite a las Comunidades Autónomas es la ejecución de los servicios de la Seguridad Social, de suerte que consiente lo que se ha venido denominando competencia de ejecución. Por ello, constituye competencia exclusiva e indeclinable del Estado todo lo relativo al régimen económico de la Seguridad Social. </w:t>
      </w:r>
    </w:p>
    <w:p w:rsidR="001C705E" w:rsidRDefault="001C705E" w:rsidP="001C705E">
      <w:pPr>
        <w:pStyle w:val="Extracto"/>
      </w:pPr>
    </w:p>
    <w:p w:rsidR="001C705E" w:rsidRDefault="001C705E" w:rsidP="001C705E">
      <w:pPr>
        <w:pStyle w:val="Extracto"/>
      </w:pPr>
      <w:r>
        <w:t>2.</w:t>
      </w:r>
      <w:r>
        <w:tab/>
        <w:t xml:space="preserve">Lo que el art. 149.1.17.ª de la C.E. permite a las Comunidades Autónomas es la ejecución de los servicios de la Seguridad Social, de suerte que consiente lo que se ha venido denominando competencia de ejecución. Por ello, constituye competencia exclusiva e indeclinable del Estado todo lo relativo al régimen económico de la Seguridad Social.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y don Jerónimo Arozamena Sierra, don Angel Latorre Segura, don Manuel Diez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inconstitucionalidad núm. 152/1984, interpuesto por el Presidente del Gobierno contra los apartados tercero cuarto del art. 19 de la Ley de 24 de noviembre de 1983, de la Junta General del Principado de Asturias, por la que se regulan las tasas sanitarias de la Comunidad Autónoma del Principado de Asturias. </w:t>
      </w:r>
    </w:p>
    <w:p w:rsidR="001C705E" w:rsidRDefault="001C705E" w:rsidP="001C705E">
      <w:pPr>
        <w:pStyle w:val="TextoNormal"/>
      </w:pPr>
      <w:r>
        <w:t xml:space="preserve">En el referido asunto han sido partes, don Juan Ramón Zapico García, como Presidente de la Junta General del Principado de Asturias, y el Procurador de los Tribunales don Juan </w:t>
      </w:r>
      <w:r>
        <w:lastRenderedPageBreak/>
        <w:t>Corujo López Villamil, asistido por el Abogado don Jesús González Pérez, en virtud de los poderes conferidos por el Presidente del Principado de Asturias. Ha sido Ponente el Magistrado don Luis Díez-Picazo,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La Junta General del Principado de Asturias dictó, con fecha 24 de noviembre de 1983, una Ley por la que se regulan las tasas sanitarias de la Comunidad Autónoma del Principado de Asturias. El capítulo II del título II (arts. 19-24) de dicha Ley regula las tasas por prestación de servicios en el Hospital Psiquiátrico Regional. Dentro de esta regulación se encuentra el art. 19, que establece quiénes son los sujetos pasivos y los responsables del pago de la tasa, señalando que la obligación de pago recae directamente sobre el usuario, sin perjuicio de poder ser exigida a otras personas, naturales o jurídicas, que por razones civiles, legales o contractuales resulten responsables (ap. 1), y disponiendo que se exceptúa de la obligación al usuario en aquellos supuestos en que resulte directamente obligada al pago alguna entidad, en virtud de obligación legal o contractual (ap. 2). </w:t>
      </w:r>
    </w:p>
    <w:p w:rsidR="001C705E" w:rsidRDefault="001C705E" w:rsidP="001C705E">
      <w:pPr>
        <w:pStyle w:val="TextoNormal"/>
      </w:pPr>
      <w:r>
        <w:t xml:space="preserve">Tras las anteriores disposiciones, los apartados 3 y 4 del art. 19 de la Ley susodicha, establecen lo siguiente: </w:t>
      </w:r>
    </w:p>
    <w:p w:rsidR="001C705E" w:rsidRDefault="001C705E" w:rsidP="001C705E">
      <w:pPr>
        <w:pStyle w:val="TextoNormal"/>
      </w:pPr>
      <w:r>
        <w:t xml:space="preserve">a) Que a los efectos del numero anterior -es decir, del ap. 2- «se declara expresamente la responsabilidad de la Seguridad Social a través del Instituto Nacional de la Salud, de conformidad con lo dispuesto en la Ley de Seguridad Social y Decreto de Asistencia Sanitaria de 16 de noviembre de 1967 para el abono de los gastos de internamiento de beneficiarios de la Seguridad Social» (apartado 3). </w:t>
      </w:r>
    </w:p>
    <w:p w:rsidR="001C705E" w:rsidRDefault="001C705E" w:rsidP="001C705E">
      <w:pPr>
        <w:pStyle w:val="TextoNormal"/>
      </w:pPr>
      <w:r>
        <w:t xml:space="preserve">b) Que en todos los supuestos «en que exista un responsable o una entidad directamente obligada al pago, como consecuencia de relaciones contractuales, incluida la Seguridad Social, de obligaciones civiles o derivadas de culpa o negligencia, los sujetos pasivos tendrán, a todos los efectos, la consideración de pacientes de pago total» (apartado 4). </w:t>
      </w:r>
    </w:p>
    <w:p w:rsidR="001C705E" w:rsidRDefault="001C705E" w:rsidP="001C705E">
      <w:pPr>
        <w:pStyle w:val="TextoNormal"/>
      </w:pPr>
      <w:r>
        <w:t xml:space="preserve">La anterior norma fue publicada en el «Boletín Oficial del Principado de Asturias» núm. 279, de 6 de diciembre de 1983, y su exposición de motivos (apartado III) decía lo siguiente: </w:t>
      </w:r>
    </w:p>
    <w:p w:rsidR="001C705E" w:rsidRDefault="001C705E" w:rsidP="001C705E">
      <w:pPr>
        <w:pStyle w:val="TextoNormal"/>
      </w:pPr>
      <w:r>
        <w:t xml:space="preserve">«Respecto del Hospital Psiquiátrico Regional y servicios de él dependientes, la novedad más destacable que se introduce por la presente Ley, al margen de la adecuación de las tarifas a los costes actuales de prestación de servicios, viene constituida por la expresa declaración de responsabilidad de la Seguridad Social para el abono de los devengos que produzca la asistencia de sus asegurados en la Institución, todo ello en estricta aplicación de lo dispuesto en la Ley de la Seguridad Social y el Decreto de Asistencia Sanitaria de 16 de noviembre de 1967, cuya aplicación ha sido reconocida en numerosas resoluciones judiciales. </w:t>
      </w:r>
    </w:p>
    <w:p w:rsidR="001C705E" w:rsidRDefault="001C705E" w:rsidP="001C705E">
      <w:pPr>
        <w:pStyle w:val="TextoNormal"/>
      </w:pPr>
      <w:r>
        <w:t xml:space="preserve">Con apoyo de esta abundante jurisprudencia, y a través de las previsiones contenidas en la presente Ley, se pretende invertir la situación actual que obliga a los afiliados de la Seguridad Social a recurrir contra la denegación de cobertura de asistencia, defendiendo los derechos colectivos de la población asturiana, al colocar a la Seguridad Social en la tesitura de ser quien recurra ante los Tribunales, en el caso de persistir en su negativa a reconocer el derecho a la asistencia psiquiátrica. </w:t>
      </w:r>
    </w:p>
    <w:p w:rsidR="001C705E" w:rsidRDefault="001C705E" w:rsidP="001C705E">
      <w:pPr>
        <w:pStyle w:val="TextoNormal"/>
      </w:pPr>
      <w:r>
        <w:t>La trascendencia de la medida es también considerable en el orden económico, al permitir que, con exclusión del coste a soportar por los pacientes exentos de pago, el servicio se financie en su totalidad, descargando así el Presupuesto del Principado de un grave es</w:t>
      </w:r>
      <w:r>
        <w:lastRenderedPageBreak/>
        <w:t>fuerzo financiero, el cual, por razón de su estructura de costes, predominantemente de personal, venía acusando una línea tendencial creciente, sin prácticamente contrapartidas de ingresos.»</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El Consejo de Ministros, en la reunión celebrada el día 22 de febrero de 1984, decidió solicitar del Presidente del Gobierno que promoviera recurso de inconstitucionalidad para impugnar el apartado 3 del art. 19 de la antes referida Ley, y el apartado 4 del mismo artículo, en cuanto guarda conexión con el anterior. En cumplimiento de la mencionada decisión, el Presidente del Gobierno dio las órdenes oportunas a la Abogacía del Estado, la cual, por escrito fechado en 6 de marzo de 1984, interpuso el referido recurso, haciendo en él expresa invocación del art. 161.2 de la Constitución, y solicitando la declaración de inconstitucionalidad de los preceptos aludidos por considerar que infringen el art. 149.1.16.ª de la Constitución y el art. 13 del Estatuto de Autonomía. </w:t>
      </w:r>
    </w:p>
    <w:p w:rsidR="001C705E" w:rsidRDefault="001C705E" w:rsidP="001C705E">
      <w:pPr>
        <w:pStyle w:val="TextoNormal"/>
      </w:pPr>
      <w:r>
        <w:t xml:space="preserve">Constituían -sintéticamente expuestos- fundamentos de la pretensión de que anteriormente se ha hecho mérito que la mayor o menor fundamentación, desde el punto de vista de la interpretación de la legalidad en materia de Seguridad Social, del criterio establecido en el precepto impugnado (de la «novedad» introducida en el mismo, según la califica la Exposición de Motivos) es una cuestión irrelevante, si se tiene presente la total falta de competencia de la Comunidad Autónoma del Principado de Asturias para la regulación efectuada. Sin poner en duda que el derecho, constitucionalmente reconocido, a la protección de la salud, fundamenta, con arreglo al art. 53.3, la inequívoca extensión a la asistencia sanitaria psiquiátrica del mandato dirigido a los Poderes Públicos, en el núm. 2 del art. 43, es lo cierto que, en tanto no se dicte la Ley prevista en el referido precepto constitucional, la Comunidad Autónoma no puede deducir del art. 43 unas consecuencias que no se encaucen precisamente a través del régimen de la Seguridad Social. El art. 19.3 de la Ley de 24 de noviembre sitúa así de modo incontrovenible en el ámbito material de la Seguridad Social y al tratar de establecer un régimen legal de responsabilidad directa del Instituto Nacional de la Salud frente al Hospital Psiquiátrico Regional de Asturias, incide en el régimen económico de la Seguridad Social. </w:t>
      </w:r>
    </w:p>
    <w:p w:rsidR="001C705E" w:rsidRDefault="001C705E" w:rsidP="001C705E">
      <w:pPr>
        <w:pStyle w:val="TextoNormal"/>
      </w:pPr>
      <w:r>
        <w:t xml:space="preserve">No puede discutirse la competencia de la Comunidad Autónoma del Principado de Asturias para regular sus tasas sanitarias, tal como se definen en el núm. 2 del art. 1 de la propia Ley. Sin embargo, el núm. 3 -y por conexión, en lo que atañe a la referencia a la Seguridad Social el núm. 4- del art. 19 no se circunscriben a este objeto, sino que, interpretando, no importa si con mayor o menor fundamento, la legislación vigente en materia de Seguridad Social, incorporan un novum normativo a la misma en el sentido que explicita la Exposición de Motivos. Como consecuencia de ello, el régimen normativo de la Seguridad Social (y la regulación económico-financiera del INSALUD, en lo que se refiere a sus relaciones con el Hospital Psiquiátrico de Asturias) de no prosperar el recurso tendría como norma de directa e inmediata aplicación al tan repetido art. 19.3 de la Ley asturiana de 24 de noviembre de 1983. </w:t>
      </w:r>
    </w:p>
    <w:p w:rsidR="001C705E" w:rsidRDefault="001C705E" w:rsidP="001C705E">
      <w:pPr>
        <w:pStyle w:val="TextoNormal"/>
      </w:pPr>
      <w:r>
        <w:t xml:space="preserve">La innovación introducida, por su trascendencia económica, tendría que calificarse como contenido propio de la legislación básica en cuanto materia sometida a una regulación normativa uniforme y vigencia común en toda la Nación, para asegurar, en aras de intereses generales superiores a los de cada Comunidad Autónoma, un común denominador normativo, a partir del cual cada Comunidad, en defensa del propio interés general, podrá establecer las peculiaridades que le convengan dentro del marco de competencias que la Constitución y su Estatuto le hayan atribuido sobre aquella misma materia (fundamento primero de la Sentencia 1/1982, de 28 de enero), extremo digno de resaltarse, más que por </w:t>
      </w:r>
      <w:r>
        <w:lastRenderedPageBreak/>
        <w:t xml:space="preserve">su importancia en este caso, desde la perspectiva del reparto competencial, por cuanto refuerza la inviabilidad, en este ámbito, de una norma que singularice la posición del Hospital Psiquiátrico Regional de Asturias frente a la que con aquel carácter de común denominador normativo, general y uniforme, disciplina el régimen de la Seguridad Social, y las relaciones del INSALUD con entidades sanitarias ajenas a aquella. </w:t>
      </w:r>
    </w:p>
    <w:p w:rsidR="001C705E" w:rsidRDefault="001C705E" w:rsidP="001C705E">
      <w:pPr>
        <w:pStyle w:val="TextoNormal"/>
      </w:pPr>
      <w:r>
        <w:t>Aunque se considere el precepto analizado como aplicación y desarrollo de la legalidad vigente en materia de Seguridad Social, y, por ende, se estime que no contraviene la competencia estatal exclusiva respecto de la legislación básica de la Seguridad Social, hay que concluir en la total falta de competencia de la Comunidad Autónoma del Principado de Asturias para dictarlo: porque, aun como norma de desarrollo fundada en una interpretación plausible de la legalidad vigente, el precepto legal, al declarar expresamente una responsabilidad directa del INSALUD frente al Hospital Psiquiátrico Regional de Asturias, incide en el régimen económico-financiero del INSALUD, y con arreglo al núm. 17.ª del art. 149.1, C.E., en este sector la competencia estatal es rigurosamente exclusiva en el sentido de no contraerse a las bases, sino de alcanzar a la totalidad de la ordenación normativa, y porque la Comunidad Autónoma del Principado de Asturias no puede invocar siquiera las competencias de mera ejecución, con el alcance a los reglamentos organizativos que ha señalado el Tribunal Constitucional, a partir de su Sentencia 18/1982, de 4 de mayo. El precepto discutido es de mera estructuración interna de la organización administrativa, puesto que el destinatario directo de su eficacia normativa ha de ser el INSALUD. Además, la posible asunción de competencias autonómicas de ejecución de servicios de la Seguridad Social, que permite el art. 149.1.16.ª de la Constitución, la limita el Estatuto de la Comunidad Autónoma del Principado de Asturias (de conformidad con el núm. 2 del art. 148), en su art. 13.1, a la futura asunción de competencias a través de alguno de los procedimientos indicados en el núm. 2 del mismo precepto estatutario.</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La Sección Cuarta del Tribunal, en 14 de mayo de 1984, admitió a trámite el recurso interpuesto y ordenó dar traslado del mismo al Congreso de los Diputados, al Senado y a la Junta General del Principado de Asturias, por conducto de sus respectivos Presidentes, a fin de que en el plazo de quince días pudieran personarse en el proceso y formular las alegaciones que estimaran oportunas. </w:t>
      </w:r>
    </w:p>
    <w:p w:rsidR="001C705E" w:rsidRDefault="001C705E" w:rsidP="001C705E">
      <w:pPr>
        <w:pStyle w:val="TextoNormal"/>
      </w:pPr>
      <w:r>
        <w:t xml:space="preserve">Dentro del mencionado término comparecieron y efectuaron alegaciones don Juan Ramón Zapico García, como Presidente de la Junta General del Principado de Asturias, y el Procurador de los Tribunales don Juan Corujo López Villamil, en nombre del Presidente del Consejo de Gobierno del Principado de Asturias. Uno y otro, en sus escritos, solicitaron la desestimación del recurso: </w:t>
      </w:r>
    </w:p>
    <w:p w:rsidR="001C705E" w:rsidRDefault="001C705E" w:rsidP="001C705E">
      <w:pPr>
        <w:pStyle w:val="TextoNormal"/>
      </w:pPr>
      <w:r>
        <w:t xml:space="preserve">a) El Presidente de la Junta General del Principado de Asturias alega que la interpretación de los preceptos impugnados, en su contexto de determinación de «sujetos pasivos y responsables» de la tasa sanitaria devengada, ha de situarse en un marco del que se desprende que la obligación de pago en sustitución del usuario del servicio, se condiciona a que la entidad o persona a quien se imputa, «resulte directamente obligada... en virtud de la obligación legal o contractual». Y por estimar que la Seguridad Social resulta obligada legalmente, en virtud de la legislación que en el apartado 3 de la Ley de Tasas Sanitarias se declara expresamente la responsabilidad para el abono de los gastos de internamiento de beneficiados de la Seguridad Social. De este modo, la inclusión en el apartado 4 del precepto discutido incluye a la Seguridad Social, responde a la consideración y exigencia de que «exista» una responsabilidad u obligación directa de pago «como consecuencia de relaciones contractuales». Es forzoso, pues, concluir que los preceptos impugnados no </w:t>
      </w:r>
      <w:r>
        <w:lastRenderedPageBreak/>
        <w:t xml:space="preserve">imponen ex novo y por sí mismos una obligación a la Seguridad Social, sino que suponen la exigencia de una obligación preexistente, creada por la legislación general de la Seguridad Social o por vinculaciones contractuales. En los preceptos impugnados, la obligación de la Seguridad Social no se crea, ni se constituye, sino que simplemente «se declara», puesto que supone un débito preexistente, por vinculación legal o contractual previa. En correcta técnica jurídica, la fuente de la que emana la posible obligación no son los preceptos de h Ley del Principado, sino la regulación de la Seguridad Social o los contratos que entre este Organismo y el Principado hayan podido celebrarse. Solamente cuando la Seguridad Social resulte directamente «obligada al pago», en virtud de «obligación legal o contractual», será exigible tal responsabilidad. Por otra parte, se incluye a la Seguridad Social como responsable únicamente (apartado 4) «como consecuencia de relaciones contractuales», al igual que se incluye a quienes puedan resultar incursos en responsabilidad en virtud de otras «obligaciones civiles o derivadas de culpa o negligencia», sin que obviamente estas tengan su nacimiento por razón de la Ley del Principado, sino que nacerán y se generarán con arreglo a las fuentes legales, contractuales o extracontractuales, de carácter general, fuera y al margen de la Ley impugnada. </w:t>
      </w:r>
    </w:p>
    <w:p w:rsidR="001C705E" w:rsidRDefault="001C705E" w:rsidP="001C705E">
      <w:pPr>
        <w:pStyle w:val="TextoNormal"/>
      </w:pPr>
      <w:r>
        <w:t xml:space="preserve">Con esta perspectiva, resulta conveniente afrontar si verdaderamente la obligación de atención y pago por la Seguridad Social preexiste, en relación a la atención de sus beneficiarios y en el orden del internamiento psiquiátrico, y si tal obligación, de existir, tiene su fuente en alguna norma de carácter legal y puede nacer de vínculos contractuales. Al mismo tiempo hay que examinar si una Ley sobre tasas sanitarias puede determinar el sujeto pasivo y responsable de la tasa y atribuir a esta posición jurídica, a efectos de la exigencia de pago por cumplimiento de obligación o vínculo preexistente. </w:t>
      </w:r>
    </w:p>
    <w:p w:rsidR="001C705E" w:rsidRDefault="001C705E" w:rsidP="001C705E">
      <w:pPr>
        <w:pStyle w:val="TextoNormal"/>
      </w:pPr>
      <w:r>
        <w:t xml:space="preserve">La Seguridad Social tiene atribuida por Ley la obligación de prestar a sus beneficiarios la atención psiquiátrica, incluso en régimen de internamiento, así como, caso de utilizar establecimientos ajenos, la de satisfacer los gastos que se produzcan con tal motivo. La proposición que queda enunciada no resulta, de suyo, presupuesto inexcusable previo para que la Ley del Principado pueda atribuirle la responsabilidad del pago de la tasa. En efecto, bastaría tomar por base la mera posibilidad o potencialidad para que, de producirse el nacimiento posterior de esta obligación, se siguiese su determinación de sujeto pasivo o responsable de dicha tasa. Como asimismo, para atribuir igual condición a quien resulte obligado por vínculos de carácter contractual, no resulta imprescindible una relación contractual actual, sino que puede afectar, en su momento, a obligaciones nacidas de contratos posteriores celebrados y a partir del momento en que las obligaciones emanadas de los mismos sean exigibles. </w:t>
      </w:r>
    </w:p>
    <w:p w:rsidR="001C705E" w:rsidRDefault="001C705E" w:rsidP="001C705E">
      <w:pPr>
        <w:pStyle w:val="TextoNormal"/>
      </w:pPr>
      <w:r>
        <w:t xml:space="preserve">La obligación legal de la Seguridad Social de prestar atención psiquiátrica a sus beneficiarios existe actualmente, aunque el Abogado del Estado, en su escrito de alegaciones, pretenda desconocerlo cuando afirma que «el Decreto 2766/1967, de 16 de noviembre..., aparece referido a prestaciones de asistencia sanitaria de la Seguridad Social, en cuyo ámbito no vienen considerándose incluidas las prestaciones de internamiento psiquiátrico». </w:t>
      </w:r>
    </w:p>
    <w:p w:rsidR="001C705E" w:rsidRDefault="001C705E" w:rsidP="001C705E">
      <w:pPr>
        <w:pStyle w:val="TextoNormal"/>
      </w:pPr>
      <w:r>
        <w:t xml:space="preserve">El inciso transcrito contiene una afirmación no ajustada a la realidad. «No vienen considerándose -dice- incluidas las prestaciones de internamiento psiquiátrico» en el ámbito de asistencia sanitaria de la Seguridad Social. Quizás lo entienda así la Seguridad Social, con una interpretación parcial e interesada. Quizás también por ello se ha dado lugar a una toma de postura de la jurisprudencia, que, desde hace tiempo, entiende lo contrario, con base en la suficiente claridad de los preceptos legales que le atribuyen la obligación de atender al internamiento psiquiátrico de sus beneficiarios. </w:t>
      </w:r>
    </w:p>
    <w:p w:rsidR="001C705E" w:rsidRDefault="001C705E" w:rsidP="001C705E">
      <w:pPr>
        <w:pStyle w:val="TextoNormal"/>
      </w:pPr>
      <w:r>
        <w:lastRenderedPageBreak/>
        <w:t xml:space="preserve">En el Decreto 2065/1974, de 30 de mayo, que aprueba el texto refundido de la Ley de la Seguridad Social, se establecen como riesgos protegidos por la asistencia sanitaria «la enfermedad común o profesional» (art. 99), dentro de la finalidad general de su objeto de «prestación de los servicios médicos y farmacéuticos conducentes a conservar o restablecer la salud de los beneficiarios de dicho régimen, así como su aptitud para el trabajo» (art. 98). La asistencia sanitaria, conforme a lo que se establece en la disposición mencionada y en el Decreto 2766/1967, de 16 de noviembre, por el que se dictan normas sobre prestaciones de asistencia sanitaria (Decreto a que la propia Ley de Tasas del Principado se refiere y en que también se apoya el escrito de alegaciones de interposición de este recurso), comprende los servicios de medicina general y la práctica totalidad de las especialidades médicas, citándose expresamente, entre éstas, la de neuropsiquiatría (art. 28 del Decreto de 16 de noviembre de 1967). En el mismo Decreto, con una tendencia de ampliación, se dispone que «la asistencia médica podrá prestarse de conformidad con las siguientes modalidades: Asistencia domiciliaria, asistencia ambulatoria, asistencia en régimen de internamiento» (art. 29). </w:t>
      </w:r>
    </w:p>
    <w:p w:rsidR="001C705E" w:rsidRDefault="001C705E" w:rsidP="001C705E">
      <w:pPr>
        <w:pStyle w:val="TextoNormal"/>
      </w:pPr>
      <w:r>
        <w:t xml:space="preserve">Para la asistencia en régimen de internamiento, el art. 33 del Decreto (como el correlativo art. 104 del texto refundido de la Ley de la Seguridad Social), determina que «se prestará en las Instituciones sanitarias de la Seguridad Social, así como en las clínicas, sanatorios y establecimientos de análoga naturaleza, públicos o privados...». </w:t>
      </w:r>
    </w:p>
    <w:p w:rsidR="001C705E" w:rsidRDefault="001C705E" w:rsidP="001C705E">
      <w:pPr>
        <w:pStyle w:val="TextoNormal"/>
      </w:pPr>
      <w:r>
        <w:t xml:space="preserve">La especialidad de neuropsiquiatría, por tanto, está dentro y debe ser comprendida como prestación sanitaria en el ámbito de la Seguridad Social, y así es contrastable a diario. Dicha prestación, por medio de internamiento del beneficiario, no constituye, ni puede tomarse como prestación distinta, sino, como la legislación de la Seguridad Social expresa, una modalidad, prevista su satisfacción a través de Instituciones propias o ajenas, en este caso debiendo establecerse el «oportuno concierto», según reza el citado art. 33, en su párrafo 1. </w:t>
      </w:r>
    </w:p>
    <w:p w:rsidR="001C705E" w:rsidRDefault="001C705E" w:rsidP="001C705E">
      <w:pPr>
        <w:pStyle w:val="TextoNormal"/>
      </w:pPr>
      <w:r>
        <w:t xml:space="preserve">Con la obligación de atención sanitaria de internamiento psiquiátrico de los beneficiarios se empareja legalmente la de obligarse contractualmente, si tal atención no la presta en sus propias Instituciones, mediante el «oportuno concierto», y para este supuesto, la obligación impuesta por la Ley 37/1962, sobre normas reguladoras de hospitales, de abonar los gastos ocasionados. En efecto, esta Ley de Hospitales, aplicable, según establece su art. 3, «a los hospitales del Estado y sus Organismos Autónomos, los de la Seguridad Social..., los de las Corporaciones Locales...», dispone, en el art. 11, que «los gastos ocasionados por la asistencia prestada en los hospitales a los enfermos correrán a cargo de las entidades o personas que, por razón de disposiciones legales o de contratos, tengan tal obligación. Los enfermos o sus representantes legales sólo vendrán obligados a satisfacerlos cuando, no existiendo otra entidad obligada al pago, tengan una capacidad económica, que será fijada reglamentariamente». En el art. 12 se concreta esta obligación general en lo que respecta a la Seguridad Social y, en el párrafo 2, expresamente se determina que «cuando la asistencia de sus beneficiarios se produzca en Instituciones sanitarias distintas, la Seguridad Social habrá de reintegrar los gastos...». </w:t>
      </w:r>
    </w:p>
    <w:p w:rsidR="001C705E" w:rsidRDefault="001C705E" w:rsidP="001C705E">
      <w:pPr>
        <w:pStyle w:val="TextoNormal"/>
      </w:pPr>
      <w:r>
        <w:t xml:space="preserve">Este aspecto económico, que impone a la Seguridad Social la obligación de asumir los gastos de internamiento de sus beneficiarios, tiene su reflejo en la legislación específica. Así, en el ya citado Decreto de Asistencia Sanitaria de 16 de noviembre de 1967, bajo el epígrafe de «hospitalización no quirúrgica», dispone el art. 19 que «los internamientos acordados por la entidad gestora, conforme a lo previsto en este número, no puedan efectuarse en ninguna institución cerrada, propia o concertada, de la Seguridad Social, podrán llevarse a cabo en cualquier establecimiento de la red hospitalaria nacional que cuente con </w:t>
      </w:r>
      <w:r>
        <w:lastRenderedPageBreak/>
        <w:t xml:space="preserve">instalaciones adecuadas, siendo los gastos ocasionados en tales casos a cargo de la Seguridad Social». </w:t>
      </w:r>
    </w:p>
    <w:p w:rsidR="001C705E" w:rsidRDefault="001C705E" w:rsidP="001C705E">
      <w:pPr>
        <w:pStyle w:val="TextoNormal"/>
      </w:pPr>
      <w:r>
        <w:t xml:space="preserve">La jurisprudencia del Tribunal Central de Trabajo avala la interpretación que se da a los preceptos mencionados en orden a la obligación de la Seguridad Social de prestar atención a sus beneficiarios mediante internamiento psiquiátrico, así como la de abonar los gastos que tal internamiento produzca, si dicha atención se verifica en centros hospitalarios ajenos y es constante y reiterada doctrina jurisprudencial (como lo es igualmente la de las Magistraturas de Trabajo) la afirmación de ambos extremos. </w:t>
      </w:r>
    </w:p>
    <w:p w:rsidR="001C705E" w:rsidRDefault="001C705E" w:rsidP="001C705E">
      <w:pPr>
        <w:pStyle w:val="TextoNormal"/>
      </w:pPr>
      <w:r>
        <w:t xml:space="preserve">La Ley del Principado de Asturias, impugnada en este recurso, es una Ley de tasas sanitarias que se ajusta a las competencias de la Comunidad Autónoma en este orden y a la regulación general sobre imposición de tributos. Aunque el Abogado del Estado, en su escrito de alegaciones, afirme que «no puede discutirse la competencia de la Comunidad Autónoma del Principado de Asturias para la regulación de sus tasas sanitarias», hace el Principado conveniente dejar sentado, sin perjuicio de entrar posteriormente en la vertiente constitucional, que la regulación de las tasas se ajusta escrupulosamente al objeto pretendido, sin extralimitación alguna. </w:t>
      </w:r>
    </w:p>
    <w:p w:rsidR="001C705E" w:rsidRDefault="001C705E" w:rsidP="001C705E">
      <w:pPr>
        <w:pStyle w:val="TextoNormal"/>
      </w:pPr>
      <w:r>
        <w:t xml:space="preserve">La Ley regula las tasas por prestación de un servicio dependiente del Principado, de conformidad con lo establecido en el art. 133.2 de la Constitución, en relación con lo previsto por el art. 24.8 del Estatuto de Autonomía de Asturias y el art. 7.1 de la Ley orgánica 8/1983, de 22 de septiembre, de Financiación de las Comunidades Autónomas. </w:t>
      </w:r>
    </w:p>
    <w:p w:rsidR="001C705E" w:rsidRDefault="001C705E" w:rsidP="001C705E">
      <w:pPr>
        <w:pStyle w:val="TextoNormal"/>
      </w:pPr>
      <w:r>
        <w:t xml:space="preserve">La regulación no podría dejar determinar los sujetos pasivos del tributo y los sujetos responsables del mismo, de conformidad con las previsiones contenidas en los arts. 10 y concordantes de la Ley General Tributaria y, específicamente, con la prescripción contenida en el art. 5.1 de la Ley de 26 de diciembre de 1958 sobre tasas y exacciones parafiscales. Imperativo legal que si, por una parte, tiene su reconocimiento en la doctrina sentada por el Tribunal Constitucional (Sentencia de 16 de noviembre de 1981, en la que se afirma la necesidad de que sea el Parlamento autónomo) quien «determine los elementos esenciales del tributo»), viene exigido, de otro lado, por la naturaleza de la figura tributaria. </w:t>
      </w:r>
    </w:p>
    <w:p w:rsidR="001C705E" w:rsidRDefault="001C705E" w:rsidP="001C705E">
      <w:pPr>
        <w:pStyle w:val="TextoNormal"/>
      </w:pPr>
      <w:r>
        <w:t xml:space="preserve">Al regular el sujeto pasivo de la tasa, resulta congruente y necesario determinar las situaciones que pueden dar lugar a una sustitución de sujetos o a solidaridad entre ellos. Y en este orden, quienes por Ley les resulta atribuida una obligación de pago, o mediante contrato hayan consentido, o igualmente se hayan obligado, deben ser tomadas en cuenta, y por razón del carácter tributario de la Ley (interpretación restrictiva y no aplicación de presunciones), debidamente explicitados. Sucede, sin embargo, que tales situaciones no siempre se presentan concretas y determinadas, sino que, en ocasiones, se ofrecen dotadas de generalidad o abstracción y así se han de figurar para que, cuando se determinen o actualicen, puedan ser subsumibles. Tal sería el caso de la condición de sujeto responsable que podría derivarse de una obligación civil como la que puede provenir del derecho a alimentos. Previsión de supuestos que la Ley ha de hacer para anudar al sujeto responsable del pago de la tasa el hecho impositivo y que no se agota con las situaciones abstractas, ni puede desconocer aquellas otras en que la realidad y la experiencia atestiguan la presencia, en un alto porcentaje de casos, de un responsable concreto. En este sentido, como se afirma en la exposición de motivos y se recoge en el texto de los preceptos legales impugnados, se atribuye la condición de sujeto responsable a la Seguridad Social en aquellos supuestos en que resulte directamente obligada al pago... en virtud de obligación legal o contractual» y «se declara expresamente la responsabilidad... de conformidad con lo dispuesto en la Ley de Seguridad Social y Decreto de Asistencia Sanitaria de 16 de noviembre de </w:t>
      </w:r>
      <w:r>
        <w:lastRenderedPageBreak/>
        <w:t xml:space="preserve">1967, para el abono de los gastos de internamiento de beneficiarios de la Seguridad Social» (art. 19, párrafos 2 y 3). Y, asimismo, se incluye a la Seguridad Social como Entidad directamente obligada al pago si tal obligación viniese atribuida «como consecuencia de relaciones contractuales» (id., párrafo 4). </w:t>
      </w:r>
    </w:p>
    <w:p w:rsidR="001C705E" w:rsidRDefault="001C705E" w:rsidP="001C705E">
      <w:pPr>
        <w:pStyle w:val="TextoNormal"/>
      </w:pPr>
      <w:r>
        <w:t xml:space="preserve">La regulación aludida no constituye ninguna obligación a cargo de la Seguridad Social, sino que simplemente la declara, puesto que ésta nace al margen de la Ley del Principado. Hay que matizar, no obstante, que la pretensión (muy propia de una Ley de tasas) es garantizar adecuadamente el cumplimiento de la obligación preexistente y que motivos sobrados existen para tratar de garantizar aquélla, por la habitualidad con que viene siendo conculcada, quizá por el interesado argumento, que todavía se mantiene en el recurso, de que la Seguridad Social no incluye entre sus prestaciones la asistencia psiquiátrica en régimen de internamiento. Lo que supone una opinión contraria a las previsiones legales y a las reiteradas interpretaciones jurisprudenciales. </w:t>
      </w:r>
    </w:p>
    <w:p w:rsidR="001C705E" w:rsidRDefault="001C705E" w:rsidP="001C705E">
      <w:pPr>
        <w:pStyle w:val="TextoNormal"/>
      </w:pPr>
      <w:r>
        <w:t xml:space="preserve">La mención de la Seguridad Social en la Ley impugnada no significa, como el Abogado del Estado afirma, incorporación alguna de un novum normativo, en el sentido de creación de obligación no existente, sino tan sólo en el de facilitar su exigibilidad. Porque la realidad es que el precepto impugnado tiene tan absoluta carencia de originalidad que basta compararlo con el art. 11 de la Ley de 21 de julio de 1962 sobre normas reguladoras de hospitales. </w:t>
      </w:r>
    </w:p>
    <w:p w:rsidR="001C705E" w:rsidRDefault="001C705E" w:rsidP="001C705E">
      <w:pPr>
        <w:pStyle w:val="TextoNormal"/>
      </w:pPr>
      <w:r>
        <w:t xml:space="preserve">Desde la óptica del servicio prestado que la tasa retribuye y por razón de la entidad que lo presta, cabría considerar la exigibilidad a la Seguridad Social del pago de aquella en virtud de la aplicación de las disposiciones contenidas en el Real Decreto 3250/1976, de 30 de diciembre, sobre Haciendas Locales. La Comunidad Autónoma de Asturias, en virtud de la asunción de las competencias, medios y recursos de la extinguida Diputación Provincial de Oviedo, tiene como norma al respecto dicha disposición legal, en la que, entre otras cosas, se establece su competencia para establecer tasas por prestación de servicios «incluso cuando los gastos deban sufragarse por otras entidades de cualquier naturaleza» (arts. 135 y 139); la consideración de «sustitutos del contribuyente» de «las personas o entidades que tengan la obligación legal o pactada de atender a los usuarios del servicio» (art. 10.4 en relación al art. 140) y, en definitiva, la posibilidad de hacer recaer la tasa sobre la persona o entidad obligada respecto al usuario del servicio prestado. Lo que sucede es que, desconociendo estos preceptos y otros anteriormente citados, la Seguridad Social incumplía su obligación y ello avocaba a reclamaciones individuales en las que, a veces, la condición de los ingresados -en frecuentes situaciones de incapacidad- dificultaba, cuando no impedía, su éxito final. En cualquier caso, la condición de sujeto responsable que en la Ley de Tasas se atribuye a la Seguridad Social, no añade un ápice en lo que atañe a su anterior obligación legal existente. Aunque las cosas se quieran ver desde la vertiente de la atribución de responsabilidad directa, resulta que ésta venía ya anteriormente prescrita. Y tampoco supone una ampliación o agravación de la responsabilidad legalmente contraida, ni la supresión o limitación de los requisitos que pudiera exigir a sus beneficiarios, ni una mayor onerosidad, por cuanto la posición del sujeto tributario viene delimitada con la misma extensión en que aquélla exista, o, dicho en los términos de la Ley impugnada, la responsabilidad se concreta y resulta exigible «de conformidad con lo dispuesto en la Ley de la Seguridad Social y Decreto de Asistencia Sanitaria...». </w:t>
      </w:r>
    </w:p>
    <w:p w:rsidR="001C705E" w:rsidRDefault="001C705E" w:rsidP="001C705E">
      <w:pPr>
        <w:pStyle w:val="TextoNormal"/>
      </w:pPr>
      <w:r>
        <w:t>Desde otra Perspectiva, y de modo negativo, si la legislación sobre tasas impugnada no contemplase, incluso expresamente, la responsabilidad que la Ley atribuye en este orden a la Seguridad Social, estaría incurriendo en una omisión. Y, por supuesto, si acogiese la doctrina mantenida en este recurso por el Abogado del Estado, incurriría, con toda seguri</w:t>
      </w:r>
      <w:r>
        <w:lastRenderedPageBreak/>
        <w:t xml:space="preserve">dad, en ella, al permitir injustificadamente que se prestase un servicio a cargo de otra entidad -que, además, recibe contrapartida por ello- sin que abone el importe del mismo. Principio contrario abiertamente al carácter restrictivo y explícito de las exenciones, reducciones o bonificaciones, según se desprende del art. 133 de la Constitución y tiene su sanción en los arts. 10, 14 y 15 de la Ley General Tributaria, en el art. 9.2 en relación al art. 140 del Real Decreto 3250/1976, de 30 de diciembre, y hasta su respaldo interpretativo en la jurisprudencia del Tribunal Supremo de Justicia que, en Sentencia de 17 de junio de 1981, sostiene la imposibilidad de pretender un «trato fiscal privilegiado», particularmente «desde la promulgación de la vigente Constitución...». </w:t>
      </w:r>
    </w:p>
    <w:p w:rsidR="001C705E" w:rsidRDefault="001C705E" w:rsidP="001C705E">
      <w:pPr>
        <w:pStyle w:val="TextoNormal"/>
      </w:pPr>
      <w:r>
        <w:t xml:space="preserve">Así como la efectiva exigencia de responsabilidad tributaria de la Seguridad Social va a depender de su propia voluntad, por cuanto nada impide en esta Ley de Tasas Sanitaria del Principado de Asturias que no incurra en el pago si sus propios servicios atienden a los pacientes que requieran internamiento psiquiátrico, en mayor medida dependerá de su voluntad colocarse en la posición de sujeto responsable, por vínculo contractual, que por hipótesis se genera con la insoslayable prestación de su consentimiento. Pero es el caso que igualmente remisa se ha mostrado en el cumplimiento de la obligación legal que en eludir la celebración de un contrato o convenio que permita resolver las situaciones planteadas. Su postura ha venido siendo -al menos frente al Principado de Asturias, que no, al parecer, en otras regiones o provincias- la de simplemente eludir o no afrontar eficazmente la situación creada, lo que explica la necesidad de promover el cumplimiento de aquellas obligaciones por parte del Principado que en eso consiste la «novedad» de los preceptos impugnados, cual se recoge en la exposición de motivos. </w:t>
      </w:r>
    </w:p>
    <w:p w:rsidR="001C705E" w:rsidRDefault="001C705E" w:rsidP="001C705E">
      <w:pPr>
        <w:pStyle w:val="TextoNormal"/>
      </w:pPr>
      <w:r>
        <w:t xml:space="preserve">Si, en hipótesis, se exonerase a la Seguridad Social del pago de las tasas por prestación de servicios a sus beneficiarios, su importe habría de recaer sobre estos, y al así aplicarla se produciría una situación de notoria injusticia por cuanto han estado cotizando para el disfrute del derecho a la atención legalmente debida. Y, simultáneamente, habría un enriquecimiento injusto por parte de la Seguridad Social, que se beneficiaría en igual medida bien a costa de sus asegurados o bien soportando indebidamente el gravamen el Principado de Asturias, a quien, de suyo, solo le corresponde afrontar el cargo por los pacientes atendidos que hayan obtenido en legal forma el carné de beneficencia. </w:t>
      </w:r>
    </w:p>
    <w:p w:rsidR="001C705E" w:rsidRDefault="001C705E" w:rsidP="001C705E">
      <w:pPr>
        <w:pStyle w:val="TextoNormal"/>
      </w:pPr>
      <w:r>
        <w:t xml:space="preserve">Los preceptos impugnados no suponen vulneración alguna de otros constitucionales no estatutarios, ya que no invaden competencias del Estado, ni desarrollan la legalidad vigente en materia de Seguridad Social, ni asumen competencias de ejecución de servicios de dicha Institución. El Principado de Asturias ejerce, simplemente, una competencia propia con la aprobación de unas tasas por prestación de sus propios servicios. Es punto de partida el hecho innegable de que el precepto impugnado se integra en la Ley del Principado de Asturias que regula las tasas sanitarias por prestación de servicios. La competencia de la Comunidad Autónoma para regular tales tasas ya se ha acreditado y, en general, la reconoce el Abogado del Estado. Sentado este principio, no cabe afirmar la falta de competencia de la Comunidad Autónoma del Principado de Asturias para la regulación efectuada, porque la regulación efectuada ha de situarse en su verdadero marco y ha de dotársele de su exacto contenido y alcance. Se trata de una modestísima Ley de Tasas de la Comunidad, heredera de las anteriores Ordenanzas de tasas de la extinguida Diputación Provincial, por prestación de sus servicios. Entender que, con ella, se puede desarrollar nada menos que el derecho a la protección de la salud, constitucionalmente garantizado, es una extrapolación infundada. La Ley del Principado no extiende la protección sanitaria a nadie a quien antes no le hubiera sido otorgada, ni asume papel o impone obligación nueva alguna a la Seguridad Social. Simplemente, en su ámbito de regulación tributaria, pretende cobrar por los </w:t>
      </w:r>
      <w:r>
        <w:lastRenderedPageBreak/>
        <w:t xml:space="preserve">servicios prestados en sus establecimientos a quienes ya tengan la obligación de pago de los mismos. Las obligaciones de atención al enfermo psiquiátrico y de pago por el servicio prestado en Instituciones ajenas está ya atribuido a la Seguridad Social y, por consiguiente, no deriva de la Ley del Principado. Que, como se dice en las alegaciones del Abogado del Estado, la nueva Ley de Tasas del Principado incida en el «régimen económico de la Seguridad Social» es algo que no resulta correctamente expresado, ni se acredita. Puede incidir en la economía de la Seguridad Social, pero no en su «régimen económico», a la manera como incidiría cualquier crédito reconocido que pretendiese hacer efectivo cualquier otro acreedor. Y en la economía, que no en el régimen económico, incidirá si la Seguridad Social, que está obliga a pagar por la atención de sus pacientes, hasta ahora venía siendo remisa y desde ahora se le podrá exigir su cumplimiento con el adecuado instrumento legal. Pero afirmar que al tener que pagar o satisfacer las propias obligaciones por la Seguridad Social contraídas, o las que le vienen (y ya venían) impuestas legalmente, es definir su régimen económico carece de congruencia y no está justificado. </w:t>
      </w:r>
    </w:p>
    <w:p w:rsidR="001C705E" w:rsidRDefault="001C705E" w:rsidP="001C705E">
      <w:pPr>
        <w:pStyle w:val="TextoNormal"/>
      </w:pPr>
      <w:r>
        <w:t xml:space="preserve">En efecto, el régimen económico de la Seguridad Social está regulado, fundamentalmente, en el capitulo VIII del título I del Decreto 2065/1974, de 30 de mayo. Por el que se aprueba el texto refundido de la Ley de la Seguridad Social y de la Ley de financiación y perfeccionamiento de la acción protectora de su régimen general, cuyo capítulo precisamente se titula «Régimen económico y financiero». Y según esta regulación, el régimen económico se define por conceptos tales como el «patrimonio de la Seguridad Social» (Bienes, derechos y acciones, cuotas o recursos, etcétera, cfr. arts. 48 y 49); las «facultades de las entidades gestoras» (administración, custodia, enajenación, inversión, del art. 50); los «recursos generales de la Seguridad Social» (aportaciones, cotizaciones, frutos e ingresos, en el art. 51); «sistema financiero y de inversiones» (arts. 52 y 53). Ni que decir tiene que la Ley de Tasas del Principado, por su ámbito material, ni atañe, ni afecta, ni deroga o modifica, ni siquiera «incide», en tales materias, respecto de las que, desde luego, toda regulación de una Comunidad Autónoma supondría una intromisión, si efectivamente las tomase como objeto de su legislación. </w:t>
      </w:r>
    </w:p>
    <w:p w:rsidR="001C705E" w:rsidRDefault="001C705E" w:rsidP="001C705E">
      <w:pPr>
        <w:pStyle w:val="TextoNormal"/>
      </w:pPr>
      <w:r>
        <w:t xml:space="preserve">El precepto impugnado es una mera aplicación de la legalidad vigente en materia de Seguridad Social, pero no desarrolla ésta, ni mucho menos contraviene competencia estatal alguna; ni exclusiva ni compartida, ni siquiera asumida o asumible por la Comunidad Autónoma. Intentar confrontar, por tanto, el precepto del Principado de Asturias con el art. 149.1.17.ª de la Constitución no resulta adecuado. El precepto controvertido no invade competencia del Estado, ni regula o desarrolla en absoluto la legislación básica y el régimen económico de la Seguridad Social, ni trata de asumir, modificar o ejecutar sus servicios. Lo único que, en su caso, supone es, respecto de los servicios prestados en un establecimiento de la Comunidad Autónoma, la regulación de la percepción de tasas que, si afectan a la Seguridad Social, es exclusivamente en cuanto allí envíe a sus pacientes, y en cuanto, por este hecho, viene obligada, por la propia legislación estatal tan citada, a satisfacer los gastos ocasionados. El significado del concepto constitucional de «legislación básica» lo ofrece la Sentencia del Tribunal Constitucional de 28 de enero de 1982, que el escrito de alegaciones del Abogado del Estado recoge. En tal concepto, no sólo es forzado, sino, incluso, impensable, intentar subsumir el precepto de la Ley asturiana recurrido. </w:t>
      </w:r>
    </w:p>
    <w:p w:rsidR="001C705E" w:rsidRDefault="001C705E" w:rsidP="001C705E">
      <w:pPr>
        <w:pStyle w:val="TextoNormal"/>
      </w:pPr>
      <w:r>
        <w:t xml:space="preserve">El constitucionalmente inocuo precepto impugnado es sólo consecuencia de la competencia de la Comunidad Autónoma para regular las tasas por prestación de sus servicios. Competencia que, al ejercitarla, se encuentra lejos de confrontación constitucional alguna y, a la vez, distante de los grandes conceptos de «legislación básica», «competencia exclusiva del Estado», «desarrollo legislativo» y otros de igual porte. De aquella competencia </w:t>
      </w:r>
      <w:r>
        <w:lastRenderedPageBreak/>
        <w:t xml:space="preserve">gozaba ya Asturias, antes de su constitución en Comunidad Autonómica, a través de la competencia atribuida a su Diputación Provincial, si bien ahora, además de asumir ésta en virtud de lo dispuesto en el articulo 20 del Estatuto de Autonomía, la refuerza en cuanto a la materia tributaria se refiere, por lo establecido, entre otros, por los arts. 133.2 y 157.1 b) de la Constitución, y, en relación a estos, por lo que se dispone en los arts. 4 y siguientes (en especial el art. 7) de la Ley orgánica de Financiación de las Comunidades Autónomas y en el art. 24.8 del Estatuto de Autonomía. </w:t>
      </w:r>
    </w:p>
    <w:p w:rsidR="001C705E" w:rsidRDefault="001C705E" w:rsidP="001C705E">
      <w:pPr>
        <w:pStyle w:val="TextoNormal"/>
      </w:pPr>
      <w:r>
        <w:t xml:space="preserve">b) El Consejo de Gobierno de la Comunidad Autónoma alega que, en virtud de la normativa estatal, la Seguridad Social esta obligada a prestar asistencia de internamiento psiquiátrico a sus asegurados y beneficiarios, y que si bien ésta no es cuestión que pueda plantearse directamente en un proceso constitucional, es aserto del que hay que partir ineludiblemente para el juicio de constitucionalidad de los apartados impugnados de la Ley de 24 de noviembre de 1983. El derecho a la asistencia psiquiátrica esta reconocido como prestación obligatoria y no graciable en los artículos 103 de la Ley General de la Seguridad Social y 19 del Decreto de 16 de noviembre de 1967. La Seguridad Social regula entre las especialidades que reconoce, y por tanto en atenciones médicas que concede a sus beneficiarios, la de neuropsiquiatría (art. 28 del Decreto 2766/1967, de 16 de noviembre). </w:t>
      </w:r>
    </w:p>
    <w:p w:rsidR="001C705E" w:rsidRDefault="001C705E" w:rsidP="001C705E">
      <w:pPr>
        <w:pStyle w:val="TextoNormal"/>
      </w:pPr>
      <w:r>
        <w:t xml:space="preserve">Con invocación de los aludidos preceptos legales, son innumerables las Sentencias de las Magistraturas de Trabajo y del Tribunal Central de Trabajo que condenan al Instituto Nacional de la Salud a abonar los gastos ocasionados como consecuencia del internamiento en hospitales psiquiátricos de beneficiarios de la Seguridad Social, siempre que el ingreso se realice por indicación del Médico de la Seguridad Social y se cumplan los demás requisitos legales exigidos. </w:t>
      </w:r>
    </w:p>
    <w:p w:rsidR="001C705E" w:rsidRDefault="001C705E" w:rsidP="001C705E">
      <w:pPr>
        <w:pStyle w:val="TextoNormal"/>
      </w:pPr>
      <w:r>
        <w:t xml:space="preserve">Para el cumplimiento de la obligación de prestar asistencia a sus asegurados y beneficiarios, la Seguridad Social dispone de consultas en ambulatorios que atienden aproximadamente al 70 por 100 de la demanda de la especialidad producida en el país en psiquiatría. Es prácticamente imposible distinguir entre asistencia psiquiátrica no ambulatoria y asistencia psiquiátrica ambulatoria, porque la oportunidad de una y otra depende del estado del enfermo; pero dentro de la asistencia psiquiátrica no ambulatoria, con régimen de internamiento, también la Seguridad Social tiene servicios propios. </w:t>
      </w:r>
    </w:p>
    <w:p w:rsidR="001C705E" w:rsidRDefault="001C705E" w:rsidP="001C705E">
      <w:pPr>
        <w:pStyle w:val="TextoNormal"/>
      </w:pPr>
      <w:r>
        <w:t xml:space="preserve">No sólo la norma y la jurisprudencia, sino la realidad cotidiana de unas estructuras establecidas por la Seguridad Social, ponen de manifiesto de modo inequívoco que la prestación del servicio de asistencia psiquiátrica hospitalaria corre a cargo de la Seguridad Social cuando el ingreso se produce por indicación del Médico de la Seguridad Social y se cumplen los demás requisitos legales y reglamentarios establecidos por el Estado. </w:t>
      </w:r>
    </w:p>
    <w:p w:rsidR="001C705E" w:rsidRDefault="001C705E" w:rsidP="001C705E">
      <w:pPr>
        <w:pStyle w:val="TextoNormal"/>
      </w:pPr>
      <w:r>
        <w:t xml:space="preserve">Varias son las objeciones que se alzan contra la postura de la Abogacía del Estado en torno a la materia objeto de regulación, su pretendida invasión del ámbito material de la Seguridad Social e incidencia en el régimen económico de la misma. </w:t>
      </w:r>
    </w:p>
    <w:p w:rsidR="001C705E" w:rsidRDefault="001C705E" w:rsidP="001C705E">
      <w:pPr>
        <w:pStyle w:val="TextoNormal"/>
      </w:pPr>
      <w:r>
        <w:t xml:space="preserve">El Hospital Psiquiátrico Regional es un servicio de la Comunidad Autónoma recibido de la extinguida Diputación Provincial que por exigencias de la Ley de Régimen Local ha de ser mantenido como obligación mínima (art. 20 de la Ley orgánica 7/1981, de 30 de diciembre, de Estatuto de Autonomía para Asturias, en relación con los arts. 245 y 250 de la Ley de Régimen Local). </w:t>
      </w:r>
    </w:p>
    <w:p w:rsidR="001C705E" w:rsidRDefault="001C705E" w:rsidP="001C705E">
      <w:pPr>
        <w:pStyle w:val="TextoNormal"/>
      </w:pPr>
      <w:r>
        <w:t xml:space="preserve">Como servicio propio de la Comunidad Autónoma, resulta insoslayable la competencia de la misma para regular la forma y condiciones de su prestación dentro del marco general que el ordenamiento jurídico establece. </w:t>
      </w:r>
    </w:p>
    <w:p w:rsidR="001C705E" w:rsidRDefault="001C705E" w:rsidP="001C705E">
      <w:pPr>
        <w:pStyle w:val="TextoNormal"/>
      </w:pPr>
      <w:r>
        <w:t xml:space="preserve">El establecimiento, modificación y supresión de tasas por prestación de servicios ha de hacerse necesariamente por Ley de la Junta, conforme determina el art. 46.1 del Estatuto </w:t>
      </w:r>
      <w:r>
        <w:lastRenderedPageBreak/>
        <w:t xml:space="preserve">de Autonomía para Asturias, y ha sido precisamente una norma con rango de Ley la que ha aprobado la Comunidad asturiana para la percepción de tasa por prestación de servicios en el Hospital Psiquiátrico Regional. </w:t>
      </w:r>
    </w:p>
    <w:p w:rsidR="001C705E" w:rsidRDefault="001C705E" w:rsidP="001C705E">
      <w:pPr>
        <w:pStyle w:val="TextoNormal"/>
      </w:pPr>
      <w:r>
        <w:t xml:space="preserve">Es función propia e inesquivable de una Ley de Tasas regular el hecho imponible, los sujetos pasivos, la base, el tipo de gravamen, el devengo y demás elementos de la deuda tributaria, conforme se desprende de lo establecido en el art. 59 de la Ley de 26 de diciembre de 1958, de tasas y exacciones parafiscales, y como así lo tiene declarado el propio Tribunal Constitucional en Sentencia de 16 de noviembre de 1981 (recurso de inconstitucionalidad número 184/1981) al señalar «que la competencia debe ser ejercida, sin embargo, conforme a la Constitución y a las Leyes, y la Constitución (artículos 31.3 y 133.2) exige que el establecimiento de tributos se haga precisamente con arreglo a la ley, lo que implica la necesidad de que sea el propio Parlamento (el vasco, en el supuesto de la Sentencia) el que determine los elementos esenciales del tributo...». </w:t>
      </w:r>
    </w:p>
    <w:p w:rsidR="001C705E" w:rsidRDefault="001C705E" w:rsidP="001C705E">
      <w:pPr>
        <w:pStyle w:val="TextoNormal"/>
      </w:pPr>
      <w:r>
        <w:t xml:space="preserve">Además, de la Ley General Tributaria -art. 26.1 a)-, en relación con el 10 a) se desprende con toda claridad la necesidad de regular, en todo caso, por la Ley, la determinación del hecho imponible, del sujeto pasivo, de la base, del tipo de gravamen del devengo y de todos los demás elementos directamente determinantes de la deuda tributaria. </w:t>
      </w:r>
    </w:p>
    <w:p w:rsidR="001C705E" w:rsidRDefault="001C705E" w:rsidP="001C705E">
      <w:pPr>
        <w:pStyle w:val="TextoNormal"/>
      </w:pPr>
      <w:r>
        <w:t xml:space="preserve">Todas estas afirmaciones demuestran inequívocamente que la Junta General del Principado, al aprobar la Ley de Tasas, se ha limitado a ejercer una competencia de regulación de las propias tasas sanitarias que, lógicamente, no le puede ser discutida y menos negada. </w:t>
      </w:r>
    </w:p>
    <w:p w:rsidR="001C705E" w:rsidRDefault="001C705E" w:rsidP="001C705E">
      <w:pPr>
        <w:pStyle w:val="TextoNormal"/>
      </w:pPr>
      <w:r>
        <w:t xml:space="preserve">El artículo 19 de la Ley 8/1981 se ha limitado a reglamentar una de las materias propias de toda ley tributaria. La regulación del sujeto pasivo es -repetimos- obligatoria, al ser uno de los elementos esenciales del tributo a que alude la Sentencia anteriormente citada del Tribunal Constitucional y los preceptos -también citados- de la Ley General Tributaria y de la Ley de Tasas y Exacciones Parafiscales; no puede, pues, por principio, estimarse que al determinar tales sujetos la Ley de Tasas impugnada incida en extralimitación o en invasión de competencias que correspondan a la esfera estatal o a materias que son contenido propio de la legislación estatal. </w:t>
      </w:r>
    </w:p>
    <w:p w:rsidR="001C705E" w:rsidRDefault="001C705E" w:rsidP="001C705E">
      <w:pPr>
        <w:pStyle w:val="TextoNormal"/>
      </w:pPr>
      <w:r>
        <w:t xml:space="preserve">Además, en los apartados impugnados por la Abogacía del Estado, la Ley de 24 de noviembre de 1983 no impone ex novo ninguna obligación a la Seguridad Social. Incluso se ha tenido la especial delicadeza de precisarlo con toda exactitud: La declaración de «responsabilidad» de la Seguridad Social se formulará (sólo) «de conformidad con lo dispuesto en la Ley de Seguridad Social y Decreto de Asistencia sanitaria de 16 de noviembre de 1967». </w:t>
      </w:r>
    </w:p>
    <w:p w:rsidR="001C705E" w:rsidRDefault="001C705E" w:rsidP="001C705E">
      <w:pPr>
        <w:pStyle w:val="TextoNormal"/>
      </w:pPr>
      <w:r>
        <w:t xml:space="preserve">La obligación que se configura en los preceptos impugnados no nace siquiera de la propia Ley de Tasas, sino que ya estaba recogida en la Ley 37/1962, de 21 de julio, de Hospitales, en cuyo art. 12 se determina que «cuando la asistencia de sus beneficiarios se produzca en instalaciones sanitarias distintas, la Seguridad Social habrá de reintegrar los gastos siempre que las hospitalizaciones se realicen de acuerdo con las disposiciones vigentes sobre la materia». </w:t>
      </w:r>
    </w:p>
    <w:p w:rsidR="001C705E" w:rsidRDefault="001C705E" w:rsidP="001C705E">
      <w:pPr>
        <w:pStyle w:val="TextoNormal"/>
      </w:pPr>
      <w:r>
        <w:t xml:space="preserve">En el ya citado Real Decreto 3250/1977, de 30 de diciembre, se determinará igualmente en el apartado 4 del art. 10 que «cuando se trate de asistencia o estancia en hospitales, sanatorios, dispensarios, clínicas y, en general, centros sanitarios o asistenciales, serán sustitutos del contribuyente las personas o entidades que tengan la obligación legal o pactada de atender a los usuarios del servicio». </w:t>
      </w:r>
    </w:p>
    <w:p w:rsidR="001C705E" w:rsidRDefault="001C705E" w:rsidP="001C705E">
      <w:pPr>
        <w:pStyle w:val="TextoNormal"/>
      </w:pPr>
      <w:r>
        <w:t>En consecuencia, no se establece nada ex novo en los preceptos impugnados, sino que, por el contrario, se limita a recoger y referir en concreto a la Seguridad Social una obliga</w:t>
      </w:r>
      <w:r>
        <w:lastRenderedPageBreak/>
        <w:t xml:space="preserve">ción que estrictamente, como sujeto pasivo, le corresponde, de acuerdo con las normas dictadas por los propios órganos legislativos y gubernativos estatales. </w:t>
      </w:r>
    </w:p>
    <w:p w:rsidR="001C705E" w:rsidRDefault="001C705E" w:rsidP="001C705E">
      <w:pPr>
        <w:pStyle w:val="TextoNormal"/>
      </w:pPr>
      <w:r>
        <w:t xml:space="preserve">El hecho de que en el precepto impugnado se contemple singularmente al Instituto Nacional de la Salud como sujeto responsable del abono de los gastos del internamiento de los beneficiarios de la Seguridad Social no deriva de la supuesta pretensión aducida por el recurrente de establecer innovaciones, sino simplemente de la necesidad de destacar singularmente al mayor y más importante ente asegurador en el ámbito sanitario, y de ahí su tratamiento específico que conscientemente se ha querido destacar para dejar clarificado y reflejado en la Ley un tema ya decantado legal y jurisprudencialmente que en la etapa precedente había sido origen, como antes quedó expresado, de numerosas situaciones conflictivas. </w:t>
      </w:r>
    </w:p>
    <w:p w:rsidR="001C705E" w:rsidRDefault="001C705E" w:rsidP="001C705E">
      <w:pPr>
        <w:pStyle w:val="TextoNormal"/>
      </w:pPr>
      <w:r>
        <w:t>Por último, es incorrecta la apreciación de la Abogacía del Estado acerca del art. 19.3 de la Ley de 24 de noviembre de 1983, contiene una declaración erga omnes del derecho a la asistencia de internamiento psiquiátrico de todo beneficiario de la Seguridad Social, pues se limita a regular el derecho al cobro de unas tasas por prestación de un servicio, precisando singularmente uno de los elementos esenciales, el sujeto pasivo responsable, en este caso la Seguridad Social.</w:t>
      </w:r>
    </w:p>
    <w:p w:rsidR="001C705E" w:rsidRDefault="001C705E" w:rsidP="001C705E">
      <w:pPr>
        <w:pStyle w:val="TextoNormal"/>
      </w:pPr>
    </w:p>
    <w:p w:rsidR="001C705E" w:rsidRDefault="001C705E" w:rsidP="001C705E">
      <w:pPr>
        <w:pStyle w:val="TextoNormal"/>
      </w:pPr>
      <w:r w:rsidRPr="001C705E">
        <w:rPr>
          <w:rStyle w:val="NumeroAFNegritaCaracter"/>
        </w:rPr>
        <w:t>4</w:t>
      </w:r>
      <w:r>
        <w:t>. Por providencia de 14 de marzo del corriente se señaló el día 21 del mismo mes para la deliberación y votación de esta Sentencia, fecha en que tuvo lugar.</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presente recurso de inconstitucionalidad se ciñe al apartado 3.° del art. 19 y al inciso que reza «incluida la Seguridad Social», del apartado 4.° del mismo precepto, de la Ley de 24 de noviembre de 1983, de la Junta General del Principado de Asturias, por la que se regularon las tasas sanitarias que la mencionada Comunidad Autónoma debe percibir. La razón de la inconstitucionalidad, de acuerdo con el recurso, es de orden competencial y derivada de la violación de lo dispuesto en el art.  149.1.17.ª de la Constitución, en relación con el art. 13 del Estatuto de Autonomía, y en estos estrictos términos el asunto debe ser analizado y resuelto.</w:t>
      </w:r>
    </w:p>
    <w:p w:rsidR="001C705E" w:rsidRDefault="001C705E" w:rsidP="001C705E">
      <w:pPr>
        <w:pStyle w:val="TextoNormal"/>
      </w:pPr>
      <w:r>
        <w:t>El capítulo II de la Ley del Principado de Asturias, Ley de 24 de noviembre de 1983, regula las tasas que deben regir en el Hospital Psiquiátrico del Hospital Regional de Asturias. Dentro de él, el apartado 1.°, del art. 19 enuncia los títulos civiles, legales o contractuales por cuya virtud una persona natural o jurídica distinta del usuario puede ser responsable de la obligación de pago de la tasa, contemplando el número 2.° los supuestos en que existe un obligado directo distinto del usuario en virtud de obligación legal o contractual. En esa misma línea, el núm. 3.° declara expresamente la responsabilidad de la Seguridad Social a través del Instituto Nacional de la Salud «para el abono de los gastos de internamiento de beneficiarios de la Seguridad Social» y el núm. 4.° ratifica la misma idea con el inciso de «incluida la Seguridad Social».</w:t>
      </w:r>
    </w:p>
    <w:p w:rsidR="001C705E" w:rsidRDefault="001C705E" w:rsidP="001C705E">
      <w:pPr>
        <w:pStyle w:val="TextoNormal"/>
      </w:pPr>
      <w:r>
        <w:t xml:space="preserve">La exposición de motivos, que en los antecedentes de esta Sentencia ha sido transcrita, pone de relieve el deseo manifestado por el legislador comunitario al señalar que la «novedad más destacable que se introduce por la presente Ley es la expresa declaración de responsabilidad de la Seguridad Social para el abono de los devengos que produzca la asistencia de sus asegurados en la Institución». Se añade después que ello se hace en estricta aplicación de lo dispuesto en la Ley General de la Seguridad Social y en el Decreto </w:t>
      </w:r>
      <w:r>
        <w:lastRenderedPageBreak/>
        <w:t>de Asistencia Sanitaria de 16 de noviembre de 1967, Decreto 2766/1967, cuya aplicación, se dice también, ha sido reconocida en numerosas resoluciones judiciales.</w:t>
      </w:r>
    </w:p>
    <w:p w:rsidR="001C705E" w:rsidRDefault="001C705E" w:rsidP="001C705E">
      <w:pPr>
        <w:pStyle w:val="TextoNormal"/>
      </w:pPr>
    </w:p>
    <w:p w:rsidR="001C705E" w:rsidRDefault="001C705E" w:rsidP="001C705E">
      <w:pPr>
        <w:pStyle w:val="TextoNormal"/>
      </w:pPr>
      <w:r w:rsidRPr="001C705E">
        <w:rPr>
          <w:rStyle w:val="NumeroAFNegritaCaracter"/>
        </w:rPr>
        <w:t>2</w:t>
      </w:r>
      <w:r>
        <w:t>. El apartado 17.ª del art. 149.1 de la Constitución atribuye competencia al Estado para todo lo que se refiera a la legislación básica y al régimen económico de la Seguridad Social, sin perjuicio de la ejecución de sus servicios por las Comunidades Autónomas.  Una exégesis somera del precepto permite concluir que lo que el artículo 149.1.17.ª permite a las Comunidades Autónomas es la ejecución de los servicios de la Seguridad Social, de suerte que consiente lo que se ha venido denominando competencia de ejecución. Por ello, constituye competencia exclusiva e indeclinable del Estado todo lo relativo al régimen económico de la Seguridad Social.</w:t>
      </w:r>
    </w:p>
    <w:p w:rsidR="001C705E" w:rsidRDefault="001C705E" w:rsidP="001C705E">
      <w:pPr>
        <w:pStyle w:val="TextoNormal"/>
      </w:pPr>
    </w:p>
    <w:p w:rsidR="001C705E" w:rsidRDefault="001C705E" w:rsidP="001C705E">
      <w:pPr>
        <w:pStyle w:val="TextoNormal"/>
      </w:pPr>
      <w:r w:rsidRPr="001C705E">
        <w:rPr>
          <w:rStyle w:val="NumeroAFNegritaCaracter"/>
        </w:rPr>
        <w:t>3</w:t>
      </w:r>
      <w:r>
        <w:t>. El art. 13 del Estatuto de Autonomía del Principado de Asturias establece un elenco de competencias sobre una serie de materias, entre las que se encuentra la mencionada en el apartado 1 h) de la Seguridad Social, pero deja bien en claro que estas competencias sólo las ejercerá el Principado de Asturias en los términos que el apartado segundo del mencionado artículo señala. Y estos términos son, obviamente, la ampliación de las competencias estatutarias, una vez transcurridos los plazos previstos en el art. 148.2 de la Constitución o la existencia de transferencias que hayan seguido el procedimiento del art. 150.2. Se desprende de ello que, si bien en el momento actual la Comunidad Autónoma del Principado de Asturias tiene competencia para regular el régimen del Hospital Provincial de Asturias, y sus tasas, no la tiene para incidir legislativamente en el régimen jurídico y económico de la Seguridad Social.</w:t>
      </w:r>
    </w:p>
    <w:p w:rsidR="001C705E" w:rsidRDefault="001C705E" w:rsidP="001C705E">
      <w:pPr>
        <w:pStyle w:val="TextoNormal"/>
      </w:pPr>
    </w:p>
    <w:p w:rsidR="001C705E" w:rsidRDefault="001C705E" w:rsidP="001C705E">
      <w:pPr>
        <w:pStyle w:val="TextoNormal"/>
      </w:pPr>
      <w:r w:rsidRPr="001C705E">
        <w:rPr>
          <w:rStyle w:val="NumeroAFNegritaCaracter"/>
        </w:rPr>
        <w:t>4</w:t>
      </w:r>
      <w:r>
        <w:t>. Por la razón antedicha, hay que considerar que contraviene los mencionados preceptos de la Constitución y del Estatuto de Autonomía la puesta a cargo de la Seguridad Social, a través del Instituto Nacional de la Salud, de la obligación de pago de las tasas hospitalarias por las prestaciones que en el Hospital Psiquiátrico Provincial se realicen a favor de beneficiarios de la Seguridad Social.  Para llegar a la conclusión anterior no es necesario -antes bien, es perturbador- entrar en el debate acerca de si la Seguridad Social está o no obligada a la prestación de asistencia psiquiátrica a sus beneficiarios o respecto de qué tipo de asistencia la obligación existe.  Ni hay que entrar tampoco a decidir si, satisfecha dicha obligación por una entidad distinta como en este caso es el Hospital Psiquiátrico Provincial, existe o no, y por qué título, la obligación del pago de las tasas; ni si esta obligación nace del juego conjunto de la Ley General de la Seguridad Social y el Decreto de 16 de noviembre de 1967, o por cualquier otro tipo de razón jurídica, como puede ser el cumplimiento de una deuda ajena o la acción de enriquecimiento sin causa o cualesquiera otros expedientes o técnicas similares, pues lo cierto es que el art. 19 de la Ley de 24 de noviembre de 1983 no lleva a cabo una enunciación de unas consecuencias jurídicas que derivarán de otras normas, sino que es una norma legal con sustantividad propia, que, en caso de poseer legitimidad constitucional, supondría un nuevo título, ex lege, que se sumaría a los que con anterioridad pudieran existir como título nuevo y con vida propia en el terreno de la juridicidad, aunque ahora se quiera limitar su alcance a ser puramente declarativo de lo estatuido en otras normas.</w:t>
      </w:r>
    </w:p>
    <w:p w:rsidR="001C705E" w:rsidRDefault="001C705E" w:rsidP="001C705E">
      <w:pPr>
        <w:pStyle w:val="TextoNormal"/>
      </w:pPr>
    </w:p>
    <w:p w:rsidR="001C705E" w:rsidRDefault="001C705E" w:rsidP="001C705E">
      <w:pPr>
        <w:pStyle w:val="TextoNormalCentrado"/>
        <w:keepNext/>
      </w:pPr>
      <w:r>
        <w:lastRenderedPageBreak/>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Declarar inconstitucional en la Ley de 24 de noviembre de 1983 del Principado de Asturias, por la que se regulan las tasas sanitarias de dicha Comunidad Autónoma, el apartado 3.° del art. 19 y el inciso «incluida la Seguridad Social» del apartado 4.° del citado art. 19.</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veintiséis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0" w:name="SENTENCIA_1985_47"/>
      <w:r>
        <w:lastRenderedPageBreak/>
        <w:t>SENTENCIA 47/1985, de 27 de marzo de 1985</w:t>
      </w:r>
    </w:p>
    <w:bookmarkEnd w:id="50"/>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ECLI:ES:TC:1985:47</w:t>
      </w:r>
    </w:p>
    <w:p w:rsidR="001C705E" w:rsidRDefault="001C705E" w:rsidP="001C705E">
      <w:pPr>
        <w:pStyle w:val="SntesisDescriptiva"/>
      </w:pPr>
    </w:p>
    <w:p w:rsidR="001C705E" w:rsidRDefault="001C705E" w:rsidP="001C705E">
      <w:pPr>
        <w:pStyle w:val="SntesisDescriptiva"/>
      </w:pPr>
      <w:r>
        <w:t>Recurso de amparo 811/1983. Despido de Profesora por ejercicio de su actividad docente en forma no ajustada al ideario educativo del Centro en que prestaba sus servicios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Una actividad docente hostil o contraria al ideario de un Centro docente privado puede ser causa legítima de despido del Profesor al que se le impute tal conducta o tal hecho singular, con tal de que los hechos o el hecho constitutivo de «ataque abierto o solapado» al ideario del Centro resulten probados por quien los alega como causa de despido, esto es, por el empresario. Pero el respeto, entre otros, a los derechos constitucionalizados en el art. 16 de la C.E. implica, asimismo, que la simple disconformidad de un Profesor respecto al ideario del Centro no puede ser causa de despido, si no se ha exteriorizado o puesto de manifiesto en alguna de las actividades educativas del Centro. </w:t>
      </w:r>
    </w:p>
    <w:p w:rsidR="001C705E" w:rsidRDefault="001C705E" w:rsidP="001C705E">
      <w:pPr>
        <w:pStyle w:val="Extracto"/>
      </w:pPr>
    </w:p>
    <w:p w:rsidR="001C705E" w:rsidRDefault="001C705E" w:rsidP="001C705E">
      <w:pPr>
        <w:pStyle w:val="Extracto"/>
      </w:pPr>
      <w:r>
        <w:t>2.</w:t>
      </w:r>
      <w:r>
        <w:tab/>
        <w:t xml:space="preserve">Los hechos cuya realidad se invoque para justificar en este caso la licitud del despido ideológico deberían ser claros y concretos y no deberían estar aludidos en fórmulas que por su generalidad dificultan tanto su prueba como la defensa frente a la imputación. </w:t>
      </w:r>
    </w:p>
    <w:p w:rsidR="001C705E" w:rsidRDefault="001C705E" w:rsidP="001C705E">
      <w:pPr>
        <w:pStyle w:val="Extracto"/>
      </w:pPr>
    </w:p>
    <w:p w:rsidR="001C705E" w:rsidRDefault="001C705E" w:rsidP="001C705E">
      <w:pPr>
        <w:pStyle w:val="Extracto"/>
      </w:pPr>
      <w:r>
        <w:t>3.</w:t>
      </w:r>
      <w:r>
        <w:tab/>
        <w:t xml:space="preserve">No teniendo la Ley 62/1978, de 26 de diciembre, una vía de acceso específica para la «garantía laboral» de los derechos fundamentales, hay que admitir que la única vía de acceso para pedir el amparo judicial de los mismos es el proceso laboral.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 xml:space="preserve">En el recurso de amparo promovido por doña Pilar Sala Ribalta, representada por el Procurador don Federico de Olivares Santiago y bajo la dirección del Letrado don Josó </w:t>
      </w:r>
      <w:r>
        <w:lastRenderedPageBreak/>
        <w:t>Manuel Gómez de Miguel, sobre Sentencia de la Magistratura de Trabajo núm. 4 de Barcelona por despido, y en el que han comparecido el Ministerio Fiscal, el Abogado del Estado y la «Compañía de María Nuestra Señora, Colegio Lestonnac», representada por el Procurador don Enrique Hernández Tabernilla, siendo Ponente el Magistrado don Francisco Tomás y Valiente,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Procurador de los Tribunales don Federico Olivares, en nombre y representación de doña Pilar Sala Ribalta, interpuso ante este Tribunal recurso de amparo contra la Sentencia dictada por el Tribunal Central de Trabajo el 27 de septiembre de 1983, confirmatoria de la pronunciada por la Magistratura de Trabajo núm. 4 de las de Barcelona en los autos 1571/1982, con fecha 29 de septiembre de 1982. Considera violados la recurrente sus derechos «a la tutela efectiva de los Jueces y Tribunales» y de «igualdad ante la Ley» reconocidos por los arts. 24 y 14, respectivamente, de la Constitución. </w:t>
      </w:r>
    </w:p>
    <w:p w:rsidR="001C705E" w:rsidRDefault="001C705E" w:rsidP="001C705E">
      <w:pPr>
        <w:pStyle w:val="TextoNormal"/>
      </w:pPr>
      <w:r>
        <w:t xml:space="preserve">La demandante prestaba sus servicios como Profesora titular de EGB en la Empresa dedicada a la enseñanza no estatal «Col. Legi. Lestonnac», en Mollet de Vallés (Barcelona). Según consta en un resultando de la Sencia de Magistratura, el 23 de julio de 1982 la Empresa envió a la actora una carta de despido cuyo texto era el siguiente: «Muy señora nuestra: Lamentamos tener que notificarle que a partir de la recepción de la presente carta queda rescindida su relación laboral y, en consecuencia, puede usted considerarse despedida. Los motivos que justifican esta grave decisión son los que a continuación le exponemos: a) Por su disconformidad con las normas de la Dirección del Centro, creando con ello fricciones que deterioran los criterios que presiden la enseñanza en esta Institución; b) Por desarrollar usted su actividad profesional en forma que no se ajusta el ideario que rige nuestro Centro y que velando por el mismo hemos de cumplir todos y hacer cumplir. Tiene a su disposición en nuestra oficina la correspondiente liquidación de partes proporcionales y vacaciones. Sin más por el momento le saluda atentamente». La Profesora despedida interpuso demanda ante la Magistratura de Trabajo núm. 4 de las de Barcelona, en cuya Sentencia se lee que la nulidad del despido que quede incluido en el ámbito del art. 17.1 de la LET «es una nulidad radical», citando al efecto la Sentencia de esta Sala de 23 de noviembre de 1981, ya que siendo su causa una discriminación contraria a tal precepto y, por lo mismo, al artículo 14 de la Constitución y al 16.2 si la discriminación es por motivos religiosos, no sería suficiente una mera declaración de nulidad que en fin de cuentas podía resolverse en indemnización sin readmisión, «sino que necesariamente ha de exigir la readmisión del trabajador sin alternativa». En la misma Sentencia, y tras aludir a la doctrina de la inversión de la carga de la prueba como correspondiente a quien niegue la discriminación, el Magistrado añade: «Y si bien es cierto que la parte demandada no ha probado los hechos alegados en la carta de despido, entre otras cosas por su generalidad y por el propio desarrollo del juicio, sí consideramos que ha quedado (sic) que los motivos del despido son razonablemente ajenos a todo propósito discriminatorio atentatorio a un derecho constitucional. Por ello ha de ser desestimada la pretensión de nulidad radical aducida en la demanda». Seguidamente la Sentencia de Magistratura, tras un análisis formal de la carta de despido, lo declaró nulo a tenor de lo dispuesto en el art. 55.3 de la LET, dado que los términos en que están redactados las causas o motivos del despido en la carta transcrita «pecan sin duda de generalidad y ambigüedad» y mal pueden ser discutidos por el trabajador despedido unos hechos cuya «falta de concreción lo sitúa en indefensión, pues mal </w:t>
      </w:r>
      <w:r>
        <w:lastRenderedPageBreak/>
        <w:t xml:space="preserve">pueden combatirse hechos que por su inconcreción o generalidad impiden su cabal conocimiento». En el fallo declaró nulo el despido y condenó a la Empresa «Col. Legi. Lestonnac» de la Compañía de María a readmitir a la Profesora despedida. </w:t>
      </w:r>
    </w:p>
    <w:p w:rsidR="001C705E" w:rsidRDefault="001C705E" w:rsidP="001C705E">
      <w:pPr>
        <w:pStyle w:val="TextoNormal"/>
      </w:pPr>
      <w:r>
        <w:t>Contra esta Sentencia la demandante interpuso recurso de suplicación ante el TCT, al amparo del art. 152.3 de la LPL (motivo primero), por causa del núm. 2 del mismo artículo 152, por ampliación de hechos nuevos, por error de hecho en la apreciación de la prueba, por infracción de la doctrina constitucional establecida en la Sentencia de esta Sala de 23 de noviembre de 1981 y, finalmente, por violación de los arts. 17. 1 de la LET y 14 de la Constitución. La Sentencia del TCT de 27 de septiembre de 1982 desestimó el recurso y confirmó en todo la Sentencia impugnada.</w:t>
      </w:r>
    </w:p>
    <w:p w:rsidR="001C705E" w:rsidRDefault="001C705E" w:rsidP="001C705E">
      <w:pPr>
        <w:pStyle w:val="TextoNormal"/>
      </w:pPr>
    </w:p>
    <w:p w:rsidR="001C705E" w:rsidRDefault="001C705E" w:rsidP="001C705E">
      <w:pPr>
        <w:pStyle w:val="TextoNormal"/>
      </w:pPr>
      <w:r w:rsidRPr="001C705E">
        <w:rPr>
          <w:rStyle w:val="NumeroAFNegritaCaracter"/>
        </w:rPr>
        <w:t>2</w:t>
      </w:r>
      <w:r>
        <w:t>. En su demanda de amparo la recurrente considera que la Sentencia del TCT al no haber dado respuesta a todos los motivos del recurso de suplicación no ha prestado tutela efectiva y ha violado el art. 24 de la Constitución. En forma subsidiaria, y para el caso de que no se estimase el anterior motivo de amparo, la recurrente lo pide por violación del art. 14 de la CE, pues su representante procesal afirma que doña Pilar Sala Ribalta ha sido discriminada en razón de sus principios ideológicos o creencias íntimas «al ser despedida de la Empresa en que prestaba sus servicios por este motivo, ajeno a cualquier cuestión laboral», con violación de los arts. 14 y 16 de la Constitución. Como peticiones de amparo formula las siguientes: A) En primer lugar que se anule la Sentencia del TCT, con reposición de las actuaciones al momento procedente, para que dicho Tribunal dicte nueva Sentencia en la que se pronuncie sobre las cuestiones planteadas en el recurso de suplicación; B) Subsidiariamente declarar que el despido es nulo con nulidad radical, reconocer el derecho de la demandante a no sufrir discriminación por sus ideas o creencias íntimas y restablecerla en la integridad de su derecho o libertad, para la cual deberá ser admitida por la Empresa del «Col. Legi Lestonnac».</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La Sección Cuarta declaró admitido el recurso por providencia de 18 de enero de 1984, y en cumplimiento del art. 51 de la LOTC acordó que se interesara de la Magistratura y del TCT el envío de las correspondientes actuaciones, con indicación a aquélla de que emplazara a cuantos hubieren sido parte en el procedimiento laboral. </w:t>
      </w:r>
    </w:p>
    <w:p w:rsidR="001C705E" w:rsidRDefault="001C705E" w:rsidP="001C705E">
      <w:pPr>
        <w:pStyle w:val="TextoNormal"/>
      </w:pPr>
      <w:r>
        <w:t>Por otra providencia de 28 de marzo de 1984 se dirigió oficio al Fondo de Garantía Salarial por si deseara comparecer en este proceso y se reiteró a la Magistratura la reclamación del envío de las actuaciones. Compareció en este proceso de amparo constitucional la representación de la «Compañía de Nuestra Señora», titular del «Colegio Lestonnac», de Mollet (Barcelona), y el Abogado del Estado en representación del Fondo. Recibidas las actuaciones se dio traslado por plazo común a la actora, al Ministerio Fiscal, al Abogado del Estado y al representante procesal del citado Colegio para que formularan sus respectivas alegaciones.</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En sus alegaciones la recurrente insiste en el primer motivo por el que pide amparo y alega en su apoyo que el TCT se abstuvo de analizar la posible violación de los derechos del art. 14 C.E. y 17.1 LET, absteniéndose de pronunciarse sobre la existencia de discriminación religiosa o limitándose a comprobar el cumplimiento o incumplimiento de los requisitos formales propios del despido disciplinario, produciéndose, pues, una «posposición de la protección legal a los derechos fundamentales». Alega en favor del segundo motivo de su petición de amparo constitucional que la misma Sentencia del Magistrado </w:t>
      </w:r>
      <w:r>
        <w:lastRenderedPageBreak/>
        <w:t xml:space="preserve">reconoce «que no ha quedado probado que el motivo de despido sea la no catolicidad de la actora», lo que demuestra que la prueba de la no discriminación no se ha producido. Por el contrario, las pruebas aportadas por la actora expresan con toda claridad que ésta «había sido despedida por haber declarado a la Dirección en privado no ser católica». En consecuencia, la Empresa demandada debió probar ser cierto lo contrario y, al no hacerlo, del silencio del empleador y del contenido literal de la carta de despido, se infiere que éste tuvo motivos ideológicos y discriminatorios contrarios a los derechos fundamentales. </w:t>
      </w:r>
    </w:p>
    <w:p w:rsidR="001C705E" w:rsidRDefault="001C705E" w:rsidP="001C705E">
      <w:pPr>
        <w:pStyle w:val="TextoNormal"/>
      </w:pPr>
      <w:r>
        <w:t xml:space="preserve">El representante procesal de la «Compañía de María Nuestra Señora» insiste, reproduciendo literalmente el contenido de la carta de despido, que esas, las que allí se mencionan y no otras, son las causas del despido, ninguna de las cuales evidentemente constituye discriminación de clase alguna. Que como dice el TCT en su Sentencia, en el proceso laboral no se estudió ni definió la existencia o inexistencia de hechos que avalen la procedencia de la decisión patronal, por lo que falta el presupuesto de hecho para atribuir el onus probandi a quien niegue la discriminación. No ha habido en ninguna de las dos Sentencias infracción del art. 24 de la C.E., pues una y otra razonan minuciosamente sus respectivos fallos y los puntos en ellas sometidos a examen. En cuanto al segundo motivo del amparo solicitado, la representación del Colegio demandado ya demostró en Magistratura «que no hubo propósito discriminatorio», por lo cual no cabe hablar de violación del art. 14, pues no la hay cuando una conducta profesional contradice, como es el caso presente, las normas del ideario del Centro. De otro modo bastaría con que cualquier trabajador alegase «discriminación para tener la parte patronal que demostrar la no existencia de la misma, con las dificultades inherentes a la prueba de todo hecho negativo». Pide la desestimación del recurso. </w:t>
      </w:r>
    </w:p>
    <w:p w:rsidR="001C705E" w:rsidRDefault="001C705E" w:rsidP="001C705E">
      <w:pPr>
        <w:pStyle w:val="TextoNormal"/>
      </w:pPr>
      <w:r>
        <w:t xml:space="preserve">El Fiscal ante el Tribunal Constitucional llega al término de sus alegaciones a esa misma conclusión. Entiende que el TCT al responder de forma suficiente y razonada al recurso de suplicación interpuesto contra la Sentencia de Magistratura, no vulneró el art. 24 de la Constitución, pues, al analizar el TCT los motivos 2.° y 6.° del recurso, respondió también a los restantes motivos aducidos por la recurrente en súplica. El Fiscal, a la luz de la Sentencia de este Tribunal de 13 de febrero de 1981 sobre la LOECE, estima que los motivos de despido aducidos en la carta de la Empresa son adecuados, porque las creencias no católicas de la despedida creaban «fricciones» y se exteriorizaban en una «actividad» no ajustada al ideario del Centro, y aunque tales expresiones son conceptos muy sutiles que entrañan ambigüedad, ésta, ya ha tenido su sanción dentro de la legalidad, con la declaración de la nulidad del despido dentro del marco de los núms. 3 y 1 del art. 55 de la LET. </w:t>
      </w:r>
    </w:p>
    <w:p w:rsidR="001C705E" w:rsidRDefault="001C705E" w:rsidP="001C705E">
      <w:pPr>
        <w:pStyle w:val="TextoNormal"/>
      </w:pPr>
      <w:r>
        <w:t xml:space="preserve">Finalmente, el Abogado del Estado comienza por analizar el motivo primero del amparo solicitado, esto es, la incongruencia imputable al TCT por omitir dar respuesta a determinadas cuestiones planteadas por la recurrente, en concreto las alusivas a los artículos 14 y 16 de la C.E.; pero lo cierto es que el TCT, «al referirse genéricamente en su último considerando a la falta de prueba de una acción discriminatoria de parte de la Empresa, daba solución expresa a cuanto constituía el petitum y la causa petendi del recurso de suplicación», por lo que el Abogado del Estado considera que hay que rechazar la pretensión principal contenida en la demanda de amparo. Respecto al motivo subsidiario, el Abogado del Estado realiza algunas consideraciones sobre el onus probandi relativas a la no discriminación y entiende que en este caso el empresario fundó su decisión de despedir en un desajuste entre la actividad docente del despedido y el ideario del Centro, y al hacerlo así es el propio empresario quien revela en el caso la afectación de un derecho fundamental, el de la libertad de cátedra o libertad ideológica, y quien por tanto «debe asumir la carga </w:t>
      </w:r>
      <w:r>
        <w:lastRenderedPageBreak/>
        <w:t>probatoria de justificar que la causa o razón del despido es ajena a toda discriminación». Que el despido sea nulo por motivos formales no debe impedir al juzgador entrar en el fondo y poner en claro si tal despido, nulo por la forma, fue además nulo con nulidad radical por ser discriminatorio al lesionar un derecho fundamental. De no ser así, sería muy fácil para un empresario burlar los efectos de un despido nulo por discriminatorio, acudiendo a una forma de despido nulo. Ello lleva al Abogado del Estado a concluir «que el despido origen de estos autos debió ser declarado nulo con nulidad radical como único medio de asegurar el derecho de defensa del trabajador despedido ante la posible existencia de una causa de discriminación. Al no haberse procedido así, existe una violación del artículo 24 en la resolución combatida que debe dar lugar a la estimación del amparo».</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La Sala, por providencia de 13 de junio de 1984, acordó unir a las actuaciones los escritos de alegaciones, nombrar como Ponente de este recurso al Magistrado excelentísimo señor Tomás y Valiente, y señalar para deliberación y fallo el día 4 de julio de 1984. </w:t>
      </w:r>
    </w:p>
    <w:p w:rsidR="001C705E" w:rsidRDefault="001C705E" w:rsidP="001C705E">
      <w:pPr>
        <w:pStyle w:val="TextoNormal"/>
      </w:pPr>
      <w:r>
        <w:t xml:space="preserve">En el curso de la deliberación, la Sala, de acuerdo con el art. 88 de la LOTC y con suspensión del plazo para dictar Sentencia, acordó interesar de la Magistratura de Trabajo núm. 4 de Barcelona que, en relación con los autos 1571/1982, envíe a este Tribunal certificación o testimonio de los particulares de los que resulte si la señora Sala Ribalta interesó de Magistratura la ejecución de la Sentencia en sus propios términos, con las actuaciones en tal caso seguidas para la efectividad de la Sentencia; y, asimismo, de los particulares de los que resulte quién instó la ejecución de la Sentencia, en qué términos, oposición, en su caso, de la señora Sala Ribalta, decisión adoptada y si ésta ha ganado firmeza y se ha ejecutado. Tales acuerdos se plasmaron en providencia de la Sala Segunda de 11 de julio. </w:t>
      </w:r>
    </w:p>
    <w:p w:rsidR="001C705E" w:rsidRDefault="001C705E" w:rsidP="001C705E">
      <w:pPr>
        <w:pStyle w:val="TextoNormal"/>
      </w:pPr>
      <w:r>
        <w:t xml:space="preserve">A 17 de octubre se recibió, según consta por diligencia del Secretario de esta Sala, una comunicación de la Magistratura de Trabajo núm. 4 de las de Barcelona, fechada a 3 de octubre, en la que se indicaba la imposibilidad de cumplir con lo que de ella se había interesado por obrar los autos originales en el Tribunal Central de Trabajo. </w:t>
      </w:r>
    </w:p>
    <w:p w:rsidR="001C705E" w:rsidRDefault="001C705E" w:rsidP="001C705E">
      <w:pPr>
        <w:pStyle w:val="TextoNormal"/>
      </w:pPr>
      <w:r>
        <w:t xml:space="preserve">A 31 de octubre la Sección acordó por providencia dirigirse al mencionado Tribunal para interesarle el envío de los particulares reseñados en la providencia de 11 de julio. Ejecutado dicho acuerdo, el Tribunal Central de Trabajo, por comunicación fechada a 22 de noviembre y recibida el día 26, hizo saber a esta Sala que con fecha 24 de octubre había dictado Sentencia (de la que acompañaba copia) resolviendo el recurso de suplicación interpuesto por doña Pilar Sala contra Auto de 30 de mayo de 1984, en ejecución de Sentencia, por lo que aquel Tribunal devolvió los autos originales a la Magistratura de instancia. </w:t>
      </w:r>
    </w:p>
    <w:p w:rsidR="001C705E" w:rsidRDefault="001C705E" w:rsidP="001C705E">
      <w:pPr>
        <w:pStyle w:val="TextoNormal"/>
      </w:pPr>
      <w:r>
        <w:t xml:space="preserve">A 5 de diciembre la Sección acordó por providencia dirigirse de nuevo a la Magistratura de Trabajo núm. 4 de Barcelona reiterándole la remisión de los particulares indicados en la providencia de 11 de julio de 1984. </w:t>
      </w:r>
    </w:p>
    <w:p w:rsidR="001C705E" w:rsidRDefault="001C705E" w:rsidP="001C705E">
      <w:pPr>
        <w:pStyle w:val="TextoNormal"/>
      </w:pPr>
      <w:r>
        <w:t xml:space="preserve">A 17 de diciembre el Magistrado de Trabajo se dirigió a este Tribunal remitiendo adjunto el correspondiente certificado del Secretario de aquella Magistratura sobre los particulares indicados en la providencia de 11 de julio referida en la de 5 de diciembre. Respecto al primer punto que se indicaba en aquella providencia de la Sección, la Secretaría de la Magistratura certifica que «la actora no solicitó la ejecución de la Sentencia». Respecto al segundo certifica que la parte demandada, «Col. Legi Lestonnac» solicitó la ejecución de la Sentencia por lo que «se dictó Auto declarando extinguida la relación laboral en fecha 10 de febrero de 1984». Contra dicho Auto la parte actora anunció recurso de suplicación el 14 de marzo. La demandada consignó la cantidad que se fijó en el Auto de 10 de febrero; se dio traslado a la actora por providencia que fue recurrida por dicha parte en reposición, recurso que fue resuelto por Auto de 30 de mayo de 1984. El recurso de </w:t>
      </w:r>
      <w:r>
        <w:lastRenderedPageBreak/>
        <w:t xml:space="preserve">suplicación formulado por la actora el 14 de marzo se resolvió por Sentencia del TCT de 24 de octubre de 1984. La parte demandada, en 17 de diciembre de 1984, consignó en Magistratura «la cantidad importe de los salarios fijados en la mentada Sentencia». </w:t>
      </w:r>
    </w:p>
    <w:p w:rsidR="001C705E" w:rsidRDefault="001C705E" w:rsidP="001C705E">
      <w:pPr>
        <w:pStyle w:val="TextoNormal"/>
      </w:pPr>
      <w:r>
        <w:t xml:space="preserve">La Sección Cuarta, en su reunión de 16 de enero de 1985, acordó por providencia dar traslado a las partes de la comunicación remitida por la Magistratura de Trabajo, para que alegasen sobre ello lo que estimaren procedente. </w:t>
      </w:r>
    </w:p>
    <w:p w:rsidR="001C705E" w:rsidRDefault="001C705E" w:rsidP="001C705E">
      <w:pPr>
        <w:pStyle w:val="TextoNormal"/>
      </w:pPr>
      <w:r>
        <w:t xml:space="preserve">A 5 de febrero de 1985 el Secretario de la Sala pone en los autos una diligencia haciendo constar que en cumplimiento de lo acordado en la providencia de 16 de enero han presentado alegaciones el Abogado del Estado y el Procurador de la demandante de amparo. </w:t>
      </w:r>
    </w:p>
    <w:p w:rsidR="001C705E" w:rsidRDefault="001C705E" w:rsidP="001C705E">
      <w:pPr>
        <w:pStyle w:val="TextoNormal"/>
      </w:pPr>
      <w:r>
        <w:t xml:space="preserve">El Abogado del Estado en un lacónico escrito hace constar: 1) Que en fase de ejecución la demandante de amparo no ha opuesto nada a la ejecución de la Sentencia; 2) Que la demandante, al consentir la opción hecha por el empresario, ha hecho dejación de sus derechos; 3) Que si bien es cierto que en el cuerpo de la Sentencia se rechaza la pretensión de despido discriminatorio, tal rechazo fue debido a insuficiencia de prueba que pudiera haberse suplido en el incidente de ejecución; 4) «Que la cuestión estriba por tanto en determinar el ámbito del incidente de ejecución para justificar la existencia de discriminación en el acto de despido. Siendo dudosa esta cuestión, y puesto que si bien la materia controvertida en la fase de ejecución parece proyectarse sobre el hecho de la no readmisión o la admisión irregular, muy bien podría servir para justificar los datos que permiten cualificar un despido como discriminatorio». Por lo expuesto pide a la Sala que admita su escrito. </w:t>
      </w:r>
    </w:p>
    <w:p w:rsidR="001C705E" w:rsidRDefault="001C705E" w:rsidP="001C705E">
      <w:pPr>
        <w:pStyle w:val="TextoNormal"/>
      </w:pPr>
      <w:r>
        <w:t>En el mismo trámite, la parte actora presenta sus alegaciones, también sucintas, acompañadas de copia de su recurso de suplicación en la fase de ejecución y de copia de la Sentencia del TCT por la que se resolvió tal recurso. En sus alegaciones hace especial hincapié en que, como ha quedado demostrado, no pidió la ejecución de la Sentencia de Magistratura y sí se opuso frontalmente a la ejecución pedida por la parte demandada, esto es, el Colegio que despidió a doña Pilar Sala. Para mayor claridad respecto a los términos de su oposición, no del todo explícitos en la certificación de la Magistratura, se remite al recurso de suplicación ya citado. Por otra parte insiste en la falta de tutela judicial de que ha sido víctima respecto a la declaración de nulidad radical de su despido. Finalmente extiende su petición de nulidad de la Sentencia recurrida en amparo a todos los actos de ejecución de la Sentencia en cuestión.</w:t>
      </w:r>
    </w:p>
    <w:p w:rsidR="001C705E" w:rsidRDefault="001C705E" w:rsidP="001C705E">
      <w:pPr>
        <w:pStyle w:val="TextoNormal"/>
      </w:pPr>
    </w:p>
    <w:p w:rsidR="001C705E" w:rsidRDefault="001C705E" w:rsidP="001C705E">
      <w:pPr>
        <w:pStyle w:val="TextoNormal"/>
      </w:pPr>
      <w:r w:rsidRPr="001C705E">
        <w:rPr>
          <w:rStyle w:val="NumeroAFNegritaCaracter"/>
        </w:rPr>
        <w:t>6</w:t>
      </w:r>
      <w:r>
        <w:t>. La Sala, en su providencia de 6 de febrero de 1985, acordó unir a las actuaciones todos los escritos referidos en el anterior antecedente, y señalar para la deliberación y fallo del presente recurso de amparo el día 6 de marzo del año actual, quedando concluida el día 20.</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amplitud en la tramitación de este proceso constitucional, en cuyo transcurso la Sala entendió que convenía abrir las actuaciones reseñadas en el antecedente quinto, y, por otro lado las imprecisiones, no insalvables, de la demanda, hacen necesario que procedamos ahora al planteamiento del presente debate en términos correctos y precisos.</w:t>
      </w:r>
    </w:p>
    <w:p w:rsidR="001C705E" w:rsidRDefault="001C705E" w:rsidP="001C705E">
      <w:pPr>
        <w:pStyle w:val="TextoNormal"/>
      </w:pPr>
      <w:r>
        <w:t xml:space="preserve">En su demanda de amparo la recurrente se dirige, como pretensión principal, contra la Sentencia del TCT de 27 de septiembre de 1983 por violación de su derecho a una tutela judicial efectiva (art. 24.1 de la C.E.). Sostiene la recurrente que la Sentencia que impugna </w:t>
      </w:r>
      <w:r>
        <w:lastRenderedPageBreak/>
        <w:t>se apoya en una motivación «claramente insuficiente», pues sólo da «una respuesta insuficiente» a algunos motivos de su recurso de suplicación y «omite la respuesta» a otros. Dejando a un lado la imposibilidad de apreciar infracción constitucional del derecho invocado por causa de haber recibido «respuestas insuficientes», pues es claro que tal expresión encierra un juicio de valor de imposible concreción, es lo cierto que la Sentencia del TCT responde a todos los motivos del recurso, conclusión a la que se llega con un cotejo de ambos textos, aunque en verdad el Tribunal no procede siguiendo el orden formal de la exposición de la allí recurrente, sino que concentra los motivos y sus respuestas a ellos con arreglo a un orden lógico cuya fijación pertenece a la libertad del razonamiento jurídico del órgano sentenciador. En la fundamentación se contiene sólo una breve frase respecto a uno de los motivos invocados, pero dentro de un contexto argumental más extenso, con base en todo lo cual no puede tacharse de falta de atención por parte del Tribunal a los motivos del recurso, y mucho menos de falta de respuesta al petitum de la recurrente, que es donde, por incongruencia ex silentio, podría residir una lesión contra el derecho a recibir una tutela judicial efectiva. Como la recurrente ha tenido acceso al recurso y ha obtenido una Sentencia que se adecua a lo en él pedido y que razona en tres densos considerandos lo que se le pidió, su derecho fundamental no se le ha violado, aun en el supuesto de que algún argumento no haya obtenido respuesta explícita y directa o sólo lo que la recurrente denomina «respuesta insuficiente», valoración subjetiva que no puede constituir fundamento de violación del derecho invocado.</w:t>
      </w:r>
    </w:p>
    <w:p w:rsidR="001C705E" w:rsidRDefault="001C705E" w:rsidP="001C705E">
      <w:pPr>
        <w:pStyle w:val="TextoNormal"/>
      </w:pPr>
      <w:r>
        <w:t>Como pretensión interpuesta «en forma subsidiaria» la recurrente pedía amparo por la violación sufrida al haber sido despedida del Colegio en el que prestaba sus servicios como Profesora «en razón a sus principios ideológicos o creencias íntimas». En esta segunda pretensión citaba como derechos vulnerados los del art. 14, por haber sufrido discriminación; el art. 24, en cuanto que no obtuvo «de los Tribunales laborales» la tutela de ese mismo derecho a no ser discriminada, y, finalmente, el artículo 16, todos ellos de la Constitución, este último en conexión con el 14, puesto que «la libertad ideológica y de opinión aparecen garantizadas como libertades fundamentales en el art. 16 del propio texto constitucional». Esto sitúa la pretensión de amparo (única a la que se refiere en adelante esta fundamentación, tras haber sido desechada la pretensión principal) en el ámbito del art. 16 en cuanto que éste garantiza «la libertad ideológica (no por cierto la de opinión), derecho que en este caso está en juego como posiblemente vulnerado.</w:t>
      </w:r>
    </w:p>
    <w:p w:rsidR="001C705E" w:rsidRDefault="001C705E" w:rsidP="001C705E">
      <w:pPr>
        <w:pStyle w:val="TextoNormal"/>
      </w:pPr>
      <w:r>
        <w:t>Esta pretensión se dirige objetivamente contra la Sentencia de Magistratura, primer acto de un poder público al que puede imputársele la posible violación del derecho de libertad ideológica, al no haber amparado tal derecho por no haber considerado despido nulo con nulidad radical el producido contra la demandante. Ahora bien, en el caso de que esta pretensión prospere, no implica lesión contra los derechos constitucionalizados en el art. 24 de la C.E., pues no contiene acusación referida a ninguna de las garantías procesales ni puede considerarse involucrado aquí el derecho a una tutela judicial que consiste en el derecho al proceso y a obtener en él una resolución, que aquí ha sido de fondo y sólidamente fundada. La violación, en su caso, cometida por el órgano judicial al que se le pidió que declarara nulo radicalmente el despido por discriminatorio y lesivo contra derechos fundamentales, consistirá, si ha existido, en la indebida denegación de amparo (amparo judicial con base en el art. 53.2 de la C.E.)  a ese derecho fundamental, aquí el de libertad ideológica, en virtud de cuyo desconocimiento por la Empresa docente se produjo (según la demandante) el despido.</w:t>
      </w:r>
    </w:p>
    <w:p w:rsidR="001C705E" w:rsidRDefault="001C705E" w:rsidP="001C705E">
      <w:pPr>
        <w:pStyle w:val="TextoNormal"/>
      </w:pPr>
      <w:r>
        <w:t>Queda todavía por puntualizar si en efecto la demandante en el proceso laboral situó, desde su demanda inicial hasta las actuaciones en fase de ejecución de Sentencia, su peti</w:t>
      </w:r>
      <w:r>
        <w:lastRenderedPageBreak/>
        <w:t>tum en relación con la protección de su derecho de libertad ideológica. Del examen de todas las actuaciones judiciales se extrae al respecto una conclusión sin duda afirmativa. Es más: Como en seguida veremos, antes de la demanda por despido, ya la misma carta de despido de la Empresa situó éste en el terreno del conflicto ideológico. Por su parte, la Profesora despedida, si bien es cierto que en el encabezamiento de su demanda de despido pide que el órgano judicial lo declare nulo, ya en el contenido argumental de la demanda expone que se la despidió «por sus creencias íntimas y no por hechos externos y objetivos», por lo que, seguía allí diciendo, «tal actitud discriminatoria conculca claramente derechos y libertades fundamentales contemplados en el capítulo segundo de la Constitución y debe conducir, por tanto, a la declaración de nulidad in radice del despido; petición de declaración de nulidad radical del despido y subsiguiente readmisión, que se contiene en el suplico de la demanda, y que ha sido sostenida sin contradicciones por la hoy demandante de amparo, incluso, tras el resultado adverso de su recurso de suplicación, en la fase de ejecución de la Sentencia.</w:t>
      </w:r>
    </w:p>
    <w:p w:rsidR="001C705E" w:rsidRDefault="001C705E" w:rsidP="001C705E">
      <w:pPr>
        <w:pStyle w:val="TextoNormal"/>
      </w:pPr>
      <w:r>
        <w:t>En consecuencia, rectamente planteada, la cuestión que hemos de dilucidar es si el órgano judicial prestó o no el debido amparo a los derechos fundamentales de la demandante (art. 16 de la C. E.)  y, por lo mismo, si el despido fue o no discriminatorio por lesión del art. 16 de la Constitución, desarrollado más en concreto por el art. 17.1 de la LET. Para resolverla será de todo punto necesario un análisis reflexivo de los antecedentes, en la medida, como se dijo en la Sentencia del TC 46/1982, de 12 de julio («Boletín Oficial del Estado» de 4 de agosto; JTC, IV, 51-62), en que ello «pueda resultar conveniente o incluso necesario para la fundamentación de la resolución».</w:t>
      </w:r>
    </w:p>
    <w:p w:rsidR="001C705E" w:rsidRDefault="001C705E" w:rsidP="001C705E">
      <w:pPr>
        <w:pStyle w:val="TextoNormal"/>
      </w:pPr>
    </w:p>
    <w:p w:rsidR="001C705E" w:rsidRDefault="001C705E" w:rsidP="001C705E">
      <w:pPr>
        <w:pStyle w:val="TextoNormal"/>
      </w:pPr>
      <w:r w:rsidRPr="001C705E">
        <w:rPr>
          <w:rStyle w:val="NumeroAFNegritaCaracter"/>
        </w:rPr>
        <w:t>2</w:t>
      </w:r>
      <w:r>
        <w:t>. Los motivos del despido de la demandante de amparo, tal y como quedaron reflejados en la carta de despido transcrita en el resultando cuarto de la Sentencia de Magistratura, fueron los dos siguientes: a) La disconformidad de la Profesora «con las normas de la Dirección del Centro, creando con ello fricciones que deterioran los criterios que presiden la enseñanza en esta Institución». b) El desarrollar, la Profesora, «su actividad profesional en forma que no se ajusta al ideario que rige en nuestro Centro». La lectura de aquella carta, en su transcripción por el Magistrado de Trabajo, nos conduce a formular dos importantes consecuencias. La primera es que (como insinuamos en el fundamento jurídico anterior) desde ese mismo momento, el de emisión de la carta, el despido quedó planteado en el terreno del conflicto ideológico, momento que para el órgano judicial es el de presentación de la demanda que iba acompañada de copia de la citada carta. La segunda consecuencia a tener en cuenta es que desde que se interpone demanda por despido, basado en una determinada carta de despido, las causas del mismo a debatir en el proceso laboral son las invocadas por el empresario en la carta y sólo esas. En el caso que nos ocupa, aquellas dos causas, y no otras, fueron las justificativas o no justificativas del despido, y aquellas causas encerraban un inequívoco contenido ideológico. En una y en otra el ideario del Centro es el valor referencial. En la causa a) se invoca y se reprueba la «disconformidad» de la Profesora con las normas del Centro y «las fricciones» que tal disconformidad provocan con «los criterios que presiden la enseñanza». En la causa b), más explícitamente, se invoca el desajuste entre la «actividad profesional» de la Profesora y el ideario del Centro. Ello nos obliga a trasladar nuestro análisis a la LOECE (LO 5/1980, de 19 de junio) y a la Sentencia de este Tribunal 5/1981, de 13 de febrero («Boletín Oficial del Estado» de 24 de febrero; JTC, I, 62 a 111).</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3</w:t>
      </w:r>
      <w:r>
        <w:t>. Declarados conformes con la Constitución en aquella Sentencia, entre otros, los arts. 34.1 y 15 de la LOECE, es incuestionable que en los Centros docentes privados donde estén establecidos los Profesores están obligados a respetar el ideario educativo propio del Centro y, en consecuencia, «la libertad del Profesor no le faculta, por tanto, para dirigir ataques abiertos o solapados contra este ideario» (Sentencia del TC 5/1981, FJ 10). Pero, por otro lado, no es menos cierto que el derecho a establecer un ideario educativo no es ilimitado ni lo consagra como tal el art. 34.1 de la LOECE, sino que, por el contrario, «este artículo sitúa sus límites en el respeto de los principios y declaraciones de la Constitución» (ibídem FJ 8). Sin necesidad de replantear ni de redefinir ahora lo que en aquella Sentencia se dijo, pero ateniéndonos a lo entonces expuesto, podemos concluir que una actividad docente hostil o contraria al ideario de un Centro docente privado puede ser causa legítima de despido del Profesor al que se le impute tal conducta o tal hecho singular, con tal de que los hechos o el hecho constitutivos de «ataque abierto o solapado» al ideario del Centro resulten probados por quien los alega como causa de despido, esto es, por el empresario. Pero el respeto, entre otros, a los derechos constitucionalizados en el art. 16 implica, asimismo, que la simple disconformidad de un Profesor respecto al ideario del Centro no puede ser causa de despido, si no se ha exterioriozado o puesto de manifiesto en alguna de las actividades educativas del Centro.</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En el caso que nos ocupa, y volviendo a las causas del despido invocadas en la carta que dirigió la empresa a la Profesora, la causa a) alude a una disconformidad con la que se creaban fricciones con los criterios del Centro, y la causa b) se refería a una «actividad profesional» no ajustada al ideario.  Para que el despido por motivos de carácter ideológico fuese lícito habría que demostrar que hubo no sólo disconformidad, sino fricciones, contra los criterios del Centro, consistentes en actos concretos de la Profesora y en una actividad contraria (o al menos no ajustada) al ideario. Dicho de otro modo: Corresponde al empresario que alegue el específico incumplimiento del deber de respeto al ideario del Centro la prueba de los hechos que, de existir, justifican su decisión de despedir. Ello no significa inversión de la carga de la prueba, sino la aplicación del principio de que quien afirma debe probar, sobre todo teniendo en cuenta que en el conflicto, tal y como está planteado en el terreno ideológico, entran en juego no sólo derechos infraconstitucionales e intereses en todo caso legítimos, sino derechos fundamentales. Para ponderar cuál y en qué medida de los derechos fundamentales en conflicto (que aquí son los del art. 16 de la C.E.  para la Profesora y los del art. 27.6 de la C.E. para los titulares del Centro docente) deben ser restringidos en beneficio de los demás, y al mismo tiempo para facilitar cualquier actividad probatoria, los hechos cuya realidad se invoque para justificar en este caso la licitud del despido ideológico deberían ser claros y concretos y no deberían estar aludidos en fórmulas que «por su generalidad», por decirlo con palabras del propio Magistrado de Trabajo en la Sentencia del caso, dificultan tanto su prueba como la defensa frente a la imputación. En todo caso es lo cierto que si la prueba de los hechos imputados por el titular del Centro a la Profesora demandante justificaría desde una perspectiva constitucional el despido y produciría el efecto de sustraerlo del campo de la discriminación por ideas religiosas (art.  17.1 de la LET y art. 16 de la C.E.), también lo es que, no probados aquellos hechos, subsiste el motivo ideológico del despido, terreno en que lo situó ab initio el requerimiento o carta de despido, pero con la decisiva consecuencia de que tal despido causalmente ideológico se convierte en injustificado por discriminatorio y contrario tanto a la libertad ideológica reconocida por el art. 16.1 de la de la C.E., como a la expresa y específica prohibición contenida en el art. 17.1 de la LET. En efecto, al no probarse que </w:t>
      </w:r>
      <w:r>
        <w:lastRenderedPageBreak/>
        <w:t>hubo fricciones contra los criterios del Centro o actividad profesional desarrollada en forma contraria o no ajustada al ideario del Centro, sólo quedaría en pie como imputación de la Empresa, no desmentida por la Profesora, la disconformidad de ésta con los criterios o con el ideario del Centro, pero disconformidad no exteriorizada, y, en cuanto tal, no invocable como causa justa de despido.</w:t>
      </w:r>
    </w:p>
    <w:p w:rsidR="001C705E" w:rsidRDefault="001C705E" w:rsidP="001C705E">
      <w:pPr>
        <w:pStyle w:val="TextoNormal"/>
      </w:pPr>
    </w:p>
    <w:p w:rsidR="001C705E" w:rsidRDefault="001C705E" w:rsidP="001C705E">
      <w:pPr>
        <w:pStyle w:val="TextoNormal"/>
      </w:pPr>
      <w:r w:rsidRPr="001C705E">
        <w:rPr>
          <w:rStyle w:val="NumeroAFNegritaCaracter"/>
        </w:rPr>
        <w:t>5</w:t>
      </w:r>
      <w:r>
        <w:t>. Sin entrar a delimitar aquí hasta dónde alcanza la dimensión entre particulares de los derechos fundamentales y libertades públicas, esto es, la denominada eficacia respecto de terceros, es claro que el presente recurso no podría ni siquiera existir si en el caso no estuviera involucrado, además y después del Centro docente y su Profesora, algún poder público al cual se le pudiera atribuir la violación del derecho fundamental invocado, que en este caso es el de la libertad ideológica. Tal poder público, implicado en este caso, es el Magistrado de Trabajo y, en cuanto que confirmó su Sentencia, el TCT. La vulneración por el Magistrado de Trabajo no podría consistir en modo alguno en una supuesta transformación del derecho del 16.1 de la C.E., convirtiendo lo que es y no puede dejar de ser un derecho de libertad en un derecho de prestación. Sucede, sin embargo, que los Jueces y Tribunales ordinarios están obligados por el art. 53.2 de la Constitución a la tutela de los derechos y libertades de los arts.  14 a 29 y 30.2 de la Constitución; que no teniendo la Ley 62/1978, de 26 de diciembre (a la que hay que acudir por el juego de las remisiones del art. 53.2 de la C.E. y de la disposición transitoria segunda, 2, de la LOTC) una vía de acceso específica para la «garantía laboral» de los derechos citados, hay que admitir que la única vía de acceso para pedir el amparo judicial de los derechos fundamentales es el proceso laboral; y, finalmente, sucede que, como ya vimos, en este caso y desde su comienzo quedó planteada de modo patente, y así lo percibió el Magistrado de Trabajo, su dimensión constitucional.</w:t>
      </w:r>
    </w:p>
    <w:p w:rsidR="001C705E" w:rsidRDefault="001C705E" w:rsidP="001C705E">
      <w:pPr>
        <w:pStyle w:val="TextoNormal"/>
      </w:pPr>
      <w:r>
        <w:t>Así las cosas, la Sentencia de la Magistratura no amparó a la demandante en su libertad ideológica. En efecto, el Magistrado, que apreció, como vimos que él mismo dijo, la falta de prueba de los hechos justificativos de un despido causalmente ideológico, no debió limitarse a declarar que el despido era simplemente nulo por no tener probada la causa expuesta en la carta, sino que, a falta de aquellos hechos probados, debió calificar como discriminatoria con arreglo al art. 17.1 de la LET dicho despido, y, dada la íntima vinculación del art. 17.1 de la LET con el art. 16 de la Constitución por lo que hace al caso presente, debió amparar a la demandante en su libertad ideológica y declarar el despido nulo con nulidad radical por lesión de un derecho fundamental. La simple declaración de nulidad no basta, por varias razones: Primera, porque con ella el órgano judicial se queda en el plano de la legalidad sin adentrarse por el de la constitucionalidad al que aquélla (el art. 17.1 de la LET) le conduce; segunda, porque al pararse ahí, incumple con el deber de tutela que la Constitución le impone, ex art. 53.2; tercera, porque si tal actuación judicial bastara, sería facilísimo para cualquier empresario encubrir un despido en verdad discriminatorio (art.  17.1 de la LET) y contrario a algún derecho fundamental bajo la apariencia de un despido sin causa, por medio de un requerimiento o carta de despido que diera lugar a una declaración de despido nulo; cuarta, porque la declaración del despido nulo con nulidad radical, que es la que desde su demanda hasta el trámite de ejecución de sentencia ha pedido la demandante, implica la necesaria readmisión y no permite la indemnización sustitutoria que es posible en casos de despidos simplemente nulos.</w:t>
      </w:r>
    </w:p>
    <w:p w:rsidR="001C705E" w:rsidRDefault="001C705E" w:rsidP="001C705E">
      <w:pPr>
        <w:pStyle w:val="TextoNormal"/>
      </w:pPr>
      <w:r>
        <w:t xml:space="preserve">En conclusión: Establecido por el Magistrado que la parte demandada en el juicio por despido no probó los hechos por ella misma alegados en su carta de despido, que hubieran podido, de ser probados como ciertos, justificar un despido planteado como causalmente </w:t>
      </w:r>
      <w:r>
        <w:lastRenderedPageBreak/>
        <w:t>ideológico, debió amparar a la Profesora en su libertad ideológica (art. 16 de la C.E.), considerar el despido como discriminatorio en el sentido del art. 17.1 de la LET, como contrario a la citada libertad ideológica de la Profesora, y, en consecuencia, como nulo con nulidad radical, lo que comporta la readmisión con exclusión de indemnización sustitutoria. Al no decirlo así, la Sentencia del Magistrado de Trabajo, y tras ella la que la confirmó, lesionan el derecho del art. 16. 1 de la C.  E.  de la demandante y deben ser anuladas.</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a doña Pilar Sala Ribalta, y en su consecuencia:</w:t>
      </w:r>
    </w:p>
    <w:p w:rsidR="001C705E" w:rsidRDefault="001C705E" w:rsidP="001C705E">
      <w:pPr>
        <w:pStyle w:val="TextoNormal"/>
      </w:pPr>
      <w:r>
        <w:t>1.° Anular la Sentencia de la Magistratura de Trabajo núm. 4 de Barcelona de 29 de noviembre de 1982, y en cuanto confirmatoria de ésta, la Sentencia del Tribunal Central de Trabajo de 27 de septiembre de 1983.</w:t>
      </w:r>
    </w:p>
    <w:p w:rsidR="001C705E" w:rsidRDefault="001C705E" w:rsidP="001C705E">
      <w:pPr>
        <w:pStyle w:val="TextoNormal"/>
      </w:pPr>
      <w:r>
        <w:t>2.° Declarar que el despido de que fue objeto la demandante fue nulo con nulidad radical.</w:t>
      </w:r>
    </w:p>
    <w:p w:rsidR="001C705E" w:rsidRDefault="001C705E" w:rsidP="001C705E">
      <w:pPr>
        <w:pStyle w:val="TextoNormal"/>
      </w:pPr>
      <w:r>
        <w:t>3.° Reconocer el derecho de la demandante a la libertad ideológica y a no ser objeto de discriminación por motivos ideológicos.</w:t>
      </w:r>
    </w:p>
    <w:p w:rsidR="001C705E" w:rsidRDefault="001C705E" w:rsidP="001C705E">
      <w:pPr>
        <w:pStyle w:val="TextoNormal"/>
      </w:pPr>
      <w:r>
        <w:t>4.° Restablecer a la demandante en la integridad de su derecho, para lo cual deberá ser admitida por la Empresa docente del «Col. Legi Lestonnac».</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veintisiete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1" w:name="SENTENCIA_1985_48"/>
      <w:r>
        <w:lastRenderedPageBreak/>
        <w:t>SENTENCIA 48/1985, de 28 de marzo de 1985</w:t>
      </w:r>
    </w:p>
    <w:bookmarkEnd w:id="51"/>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ECLI:ES:TC:1985:48</w:t>
      </w:r>
    </w:p>
    <w:p w:rsidR="001C705E" w:rsidRDefault="001C705E" w:rsidP="001C705E">
      <w:pPr>
        <w:pStyle w:val="SntesisDescriptiva"/>
      </w:pPr>
    </w:p>
    <w:p w:rsidR="001C705E" w:rsidRDefault="001C705E" w:rsidP="001C705E">
      <w:pPr>
        <w:pStyle w:val="SntesisDescriptiva"/>
      </w:pPr>
      <w:r>
        <w:t>Conflicto positivo de competencia 170/1982. Promovido por el Gobierno Vasco contra la Orden del Ministerio de Educación y Ciencia de 30 de julio de 1982, por la que se convoca concurso de méritos para proveer plazas vacantes en la plantilla del Cuerpo Especial de Inspectores Técnicos de Formación Profesional</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reparto competencial en materia educativa entre el Estado y la Comunidad del País Vasco ha de tener en cuenta también la proyección que sobre la materia tienen otros títulos competenciales -concretamente, los relativos a la función pública- tanto en la C.E. (art. 149.1.18.ª), como en el propio EAPV ( art. 10.4) y que permiten, como es obvio, relativizar el alcance de la competencia asumida por la Comunidad del País Vasco en el art. 16 de su Estatuto. </w:t>
      </w:r>
    </w:p>
    <w:p w:rsidR="001C705E" w:rsidRDefault="001C705E" w:rsidP="001C705E">
      <w:pPr>
        <w:pStyle w:val="Extracto"/>
      </w:pPr>
    </w:p>
    <w:p w:rsidR="001C705E" w:rsidRDefault="001C705E" w:rsidP="001C705E">
      <w:pPr>
        <w:pStyle w:val="Extracto"/>
      </w:pPr>
      <w:r>
        <w:t>2.</w:t>
      </w:r>
      <w:r>
        <w:tab/>
        <w:t xml:space="preserve">No debe olvidarse el valor interpretativo -que, naturalmente, no puede prevalecer sobre las previsiones constitucionales y estatutarias ni vincular a este Tribunal Constitucional- de los Decretos de transferencia, que suelen contener con mayor o menor detalle una especificación de las funciones que recibe la Comunidad Autónoma y las que retiene el Estado. </w:t>
      </w:r>
    </w:p>
    <w:p w:rsidR="001C705E" w:rsidRDefault="001C705E" w:rsidP="001C705E">
      <w:pPr>
        <w:pStyle w:val="Extracto"/>
      </w:pPr>
    </w:p>
    <w:p w:rsidR="001C705E" w:rsidRDefault="001C705E" w:rsidP="001C705E">
      <w:pPr>
        <w:pStyle w:val="Extracto"/>
      </w:pPr>
      <w:r>
        <w:t>3.</w:t>
      </w:r>
      <w:r>
        <w:tab/>
        <w:t xml:space="preserve">El ingreso en un Cuerpo de funcionarios de ámbito estatal no impide el ejercicio de competencias en relación con los mismos por parte de las Comunidades Autónomas que las tengan atribuidas en sus Estatutos.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(TC),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lastRenderedPageBreak/>
        <w:t>SENTENCIA</w:t>
      </w:r>
    </w:p>
    <w:p w:rsidR="001C705E" w:rsidRDefault="001C705E" w:rsidP="001C705E">
      <w:pPr>
        <w:pStyle w:val="TextoNormalCentrado"/>
        <w:keepNext/>
      </w:pPr>
    </w:p>
    <w:p w:rsidR="001C705E" w:rsidRDefault="001C705E" w:rsidP="001C705E">
      <w:pPr>
        <w:pStyle w:val="TextoNormal"/>
      </w:pPr>
      <w:r>
        <w:t>En el conflicto positivo de competencia número 470/1982, interpuesto por la representación del Gobierno Vasco contra la Orden del Ministerio de Educación y Ciencia de 30 de julio de 1982, por la que se convoca concurso de méritos para proveer plazas vacantes en la plantilla del Cuerpo Especial de Inspectores Técnicos de Formación Profesional. Ha comparecido en nombre y representación del Gobierno de la Nación el Abogado del Estado y ha sido Ponente el Magistrado don Manuel Díez de Velasco Vallejo,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Por escrito presentado ante este TC el día 2 de diciembre de 1982 don Javier Otaola Bageneta, en nombre y representación del Gobierno Vasco, planteó conflicto de competencia positivo frente al Gobierno de la Nación por entender que la referida Orden de 30 de julio de 1982 no respeta el orden de competencias establecido en la Constitución Española (C.E.) y en el Estatuto de Autonomía para el País Vasco (EAPV), solicitando, en consecuencia, que se declare la titularidad de la Comunidad Autónoma del País Vasco, en relación con la competencia controvertida. </w:t>
      </w:r>
    </w:p>
    <w:p w:rsidR="001C705E" w:rsidRDefault="001C705E" w:rsidP="001C705E">
      <w:pPr>
        <w:pStyle w:val="TextoNormal"/>
      </w:pPr>
      <w:r>
        <w:t>Por otrosí se solicitó igualmente la suspensión de la vigencia de la disposición impugnada, en lo que concierne al ámbito de dicha Comunidad Autónoma.</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Tras exponer que se ha agotado la vía previa que regula el art. 63 de la LOTC, por el rechazo expreso del requerimiento del Gobierno Vasco por parte del Gobierno de la Nación y hacer referencia al cumplimiento de los distintos requisitos procesales, se exponen los fundamentos jurídicos relativos al fondo del conflicto que, en síntesis, son los siguientes: </w:t>
      </w:r>
    </w:p>
    <w:p w:rsidR="001C705E" w:rsidRDefault="001C705E" w:rsidP="001C705E">
      <w:pPr>
        <w:pStyle w:val="TextoNormal"/>
      </w:pPr>
      <w:r>
        <w:t xml:space="preserve">a) Tras transcribir literalmente los arts. 149. 1.1.ª, de la C.E. 16 del EAPV, 8 del Real Decreto 2339/1980, de 26 de septiembre, por el que se aprueban las normas sobre traspaso de servicios a la Comunidad Autónoma del País Vasco, y letra B), apartados b y d, del Real Decreto 2808/1980, de 26 de septiembre, sobre traspaso de servicios a la Comunidad Autónoma del País Vasco en materia de enseñanza, y citar igualmente el art. 10.4 del Estatuto referido, se afirma: a') que es indiferente, a los efectos del presente conflicto, que un Cuerpo haya sido creado mediante Ley especial o mediante cualquier otro tipo de Ley o disposición; b') que no es cierto como, por el contrario, sostiene el Gobierno de la Nación en la contestación al requerimiento de incompetencia, que el Real Decreto 2808/1980 no se refiere a la transferencia de los funcionarios a los que alude la Orden impugnada, pues la expresión «Inspección Técnica» hace referencia a las potestades de inspección técnica que se refieren a las funciones asumidas entre las que se encuentra la materia de Formación Profesional; c') la referencia que hace el apartado d) de dicho Real Decreto a «elaboración y aprobación de las previsiones de necesidades de personal de los Centros docentes y de los servicios administrativos que se transfieren» es suficientemente explícita de que el alcance de esta función abarca también a la Formación Profesional; d') el artículo 3 de la Ley 31/1980, de 21 de junio, remite con claridad la función de este Cuerpo a la Inspección Técnica, por lo que mal puede alegarse que no existe asunción de competencia en esta materia; e') dejando aparte el art. 8 del Real Decreto 2339/1980, del Real Decreto 2808/1980, y más concretamente, de la relación de créditos a transferir a la Comunidad </w:t>
      </w:r>
      <w:r>
        <w:lastRenderedPageBreak/>
        <w:t xml:space="preserve">Autónoma del País Vasco (ap. 5, núm. 1 ), donde consta una partida global de 163.940. 899 pesetas para gastos de personal, entre los que se incluye al Cuerpo Especial de Inspectores Técnicos de Formación Profesional, se deduce una clara conclusión: La transferencia de funcionarios de este Cuerpo a la Comunidad Autónoma Vasca. </w:t>
      </w:r>
    </w:p>
    <w:p w:rsidR="001C705E" w:rsidRDefault="001C705E" w:rsidP="001C705E">
      <w:pPr>
        <w:pStyle w:val="TextoNormal"/>
      </w:pPr>
      <w:r>
        <w:t xml:space="preserve">b) Aunque no se cuestiona la constitucionalidad de la Ley 31/1980, de 21 de junio, se afirma la existencia de límites en materia de creación de Cuerpos de funcionarios nuevos, entendiendo por tales los no existentes, ya en el momento de la entrada en vigor del Estatuto, ya en el momento del Decreto de transferencias. </w:t>
      </w:r>
    </w:p>
    <w:p w:rsidR="001C705E" w:rsidRDefault="001C705E" w:rsidP="001C705E">
      <w:pPr>
        <w:pStyle w:val="TextoNormal"/>
      </w:pPr>
      <w:r>
        <w:t xml:space="preserve">c) El art. 149.1.18.ª, de la C.E. en ningún caso atribuye al Estado la competencia para reglamentar en detalle una materia en que sólo se le atribuye el régimen jurídico básico, y menos aún tiene competencia para la realización de actos concretos de ejecución en materia de funcionarios. </w:t>
      </w:r>
    </w:p>
    <w:p w:rsidR="001C705E" w:rsidRDefault="001C705E" w:rsidP="001C705E">
      <w:pPr>
        <w:pStyle w:val="TextoNormal"/>
      </w:pPr>
      <w:r>
        <w:t xml:space="preserve">d) El inciso inicial del art. 149.3, de la C.E. tiene el significado de reducir el alcance del art. 149.1, de la misma a sus justos límites, es decir, que las competencias en él atribuidas al Estado son efectivamente exclusivas, pero son exclusivas en los términos en que la C.E. y los Estatutos de Autónoma lo establecen; por ello el párrafo siguiente del mismo apartado 3 diferencia entre competencia (que siempre es exclusiva) y materia. La concurrencia se produce en materias, pero no en competencias. </w:t>
      </w:r>
    </w:p>
    <w:p w:rsidR="001C705E" w:rsidRDefault="001C705E" w:rsidP="001C705E">
      <w:pPr>
        <w:pStyle w:val="TextoNormal"/>
      </w:pPr>
      <w:r>
        <w:t xml:space="preserve">e) De la conjugación de los arts. 148.2; 149.1.18.ª, 149.3, y disposición transitoria segunda de la C.E., respetando el núcleo normativo esencial o básico reservado al Estado en la materia, el EAPV es título jurídico suficientemente amparado por la C.E. para atribuir a la Comunidad Autónoma todas las restantes competencias en materia de funcionarios. Y ésta es precisamente la previsión estatutaria contenida en el art. 10.3, del EAPV. </w:t>
      </w:r>
    </w:p>
    <w:p w:rsidR="001C705E" w:rsidRDefault="001C705E" w:rsidP="001C705E">
      <w:pPr>
        <w:pStyle w:val="TextoNormal"/>
      </w:pPr>
      <w:r>
        <w:t xml:space="preserve">f) La C.E. [art. 147.2 d)] remite a cada Estatuto de Autonomía, en su doble carácter de norma institucional básica de cada Comunidad y de norma integrante del ordenamiento jurídico estatal, para que determine el régimen básico de las transferencias de servicios. Este cauce normativo de ordenación del proceso de transferencias, en lo que se refiere a la Comunidad Autónoma del País Vasco, es complementado por la disposición transitoria segunda de su Estatuto de Autonomía. </w:t>
      </w:r>
    </w:p>
    <w:p w:rsidR="001C705E" w:rsidRDefault="001C705E" w:rsidP="001C705E">
      <w:pPr>
        <w:pStyle w:val="TextoNormal"/>
      </w:pPr>
      <w:r>
        <w:t xml:space="preserve">g) Del binomio Constitución-Estatuto cabe deducir tres consecuencias: 1.ª La existencia de una comisión de formación paritaria con competencia real en materia de traspasos, aunque subordinada a la delimitación competencial realizada en la Constitución y Estatutos; 2.ª Los acuerdos de transferencias han de ser adoptados en el seno de esta comisión paritaria, con intervención, por tanto, de representantes de ambas administraciones, y, 3.ª La competencia de la Comisión Mixta de la disposición transitoria segunda del Estatuto del País Vasco no se limita a la adopción de cuerdos de traspasos, sino que se extiende a la autonormación. </w:t>
      </w:r>
    </w:p>
    <w:p w:rsidR="001C705E" w:rsidRDefault="001C705E" w:rsidP="001C705E">
      <w:pPr>
        <w:pStyle w:val="TextoNormal"/>
      </w:pPr>
      <w:r>
        <w:t xml:space="preserve">Cerrando el iter abierto por el art. 147.2 d), de la C.E., la Comisión Mixta estableció las normas que rigen dichos traspasos, que son publicadas por el Real Decreto 2339/1980, en cuyo art. 1 se expresa la función de tales normas. </w:t>
      </w:r>
    </w:p>
    <w:p w:rsidR="001C705E" w:rsidRDefault="001C705E" w:rsidP="001C705E">
      <w:pPr>
        <w:pStyle w:val="TextoNormal"/>
      </w:pPr>
      <w:r>
        <w:t xml:space="preserve">h) La tesis expuesta tiene fundamento directo en la jurisprudencia constitucional, en la que se afirma que la C.E. contiene una formulación abierta en la delimitación competencial Estado-Comunidades Autónomas, que se complementa con las asunciones hechas en cada Estatuto (Sentencias de 4 de mayo, 30 de junio y 8 de julio de 1982). </w:t>
      </w:r>
    </w:p>
    <w:p w:rsidR="001C705E" w:rsidRDefault="001C705E" w:rsidP="001C705E">
      <w:pPr>
        <w:pStyle w:val="TextoNormal"/>
      </w:pPr>
      <w:r>
        <w:t xml:space="preserve">i) De los arts. 1 y 2 del Real Decreto 2339/1980, se desprende que el procedimiento previsto por el Estatuto de Autonomía no deja resquicio alguno a innovaciones o cambios unilaterales y extra ordinem: Todo cambio, toda modificación o toda mejora de las normas </w:t>
      </w:r>
      <w:r>
        <w:lastRenderedPageBreak/>
        <w:t xml:space="preserve">de traspaso ha de pasar por el tamiz de la Comisión Mixta; si no se hace así, se vulnera el Estatuto de Autonomía y, por ende, la Constitución. </w:t>
      </w:r>
    </w:p>
    <w:p w:rsidR="001C705E" w:rsidRDefault="001C705E" w:rsidP="001C705E">
      <w:pPr>
        <w:pStyle w:val="TextoNormal"/>
      </w:pPr>
      <w:r>
        <w:t xml:space="preserve">j) Frente al art. 8.2 de dicho Real Decreto, la Orden del Ministerio de Educación y Ciencia de 30 de julio de 1982 recurrida establece que la convocatoria del concurso y la provisión de vacantes corresponde a la Administración del Estado. </w:t>
      </w:r>
    </w:p>
    <w:p w:rsidR="001C705E" w:rsidRDefault="001C705E" w:rsidP="001C705E">
      <w:pPr>
        <w:pStyle w:val="TextoNormal"/>
      </w:pPr>
      <w:r>
        <w:t xml:space="preserve">k) Lo que se está discutiendo es el ejercicio de una competencia en el nivel mínimo de ejecución. Para el examen puntual de qué ente es el que dispone de la competencia controvertida, en nada es invocable la necesariedad de «un régimen unitario de acceso», ni, mucho menos, defender la competencia de los órganos centrales en la «garantía de las condiciones de igualdad» como sostiene el Gobierno de la Nación en la contestación al requerimiento de incompetencia. </w:t>
      </w:r>
    </w:p>
    <w:p w:rsidR="001C705E" w:rsidRDefault="001C705E" w:rsidP="001C705E">
      <w:pPr>
        <w:pStyle w:val="TextoNormal"/>
      </w:pPr>
      <w:r>
        <w:t xml:space="preserve">No se está discutiendo la determinación de los criterios o requisitos generales de ingreso -o acceso- en la Función Pública. Lo que se afirma es que este dato -que puede incluirse en una normativa básica a completar por un desarrollo autonómico- no puede confundirse con la concreción en detalle -normativamente- y con la ulterior gestión -ejecución- que compete sin lugar a dudas a la Comunidad Autónoma del País Vasco. </w:t>
      </w:r>
    </w:p>
    <w:p w:rsidR="001C705E" w:rsidRDefault="001C705E" w:rsidP="001C705E">
      <w:pPr>
        <w:pStyle w:val="TextoNormal"/>
      </w:pPr>
      <w:r>
        <w:t xml:space="preserve">l) La vulnerabilidad del planteamiento del Gobierno del Estado virtualiza, con toda rotundidad, en la equívoca invocación a las garantías de las condiciones de igualdad. Garantías en las que pretende aferrarse el ejercicio de la competencia por el Gobierno del Estado. Un largo recordatorio de Sentencias del Alto Tribunal ha configurado el marco de acción del principio de igualdad (se cita, a modo de ejemplo, la Sentencia de 16 de noviembre de 1981). </w:t>
      </w:r>
    </w:p>
    <w:p w:rsidR="001C705E" w:rsidRDefault="001C705E" w:rsidP="001C705E">
      <w:pPr>
        <w:pStyle w:val="TextoNormal"/>
      </w:pPr>
      <w:r>
        <w:t xml:space="preserve">Resulta todavía más grave la prendida «patrimonialización» del principio de igualdad por parte de los órganos centrales, puesto que colisiona con la obligatoriedad que tienen todos los poderes públicos en su absoluta observancia. El negar el ejercicio de una competencia de ejecución sustentándose en que se afecta a las condiciones de igualdad es un argumento, cuando menos, pobre (y se cita a continuación la Sentencia de este TC de 10 de noviembre de 1981). </w:t>
      </w:r>
    </w:p>
    <w:p w:rsidR="001C705E" w:rsidRDefault="001C705E" w:rsidP="001C705E">
      <w:pPr>
        <w:pStyle w:val="TextoNormal"/>
      </w:pPr>
      <w:r>
        <w:t xml:space="preserve">ll) No se estima ajustada la invocación tácita del art. 149.1.1.ª de la C.E., puesto que el ejercicio de estas competencias, por parte de la Comunidad Autónoma, para nada altera la posición de igualdad de las personas. Es evidente que la Comunidad Autónoma Vasca, en ejercicio de estas competencias, debe respetar los principios dimanantes del ordenamiento constitucional, pero no se puede pretender, a priori, decir que es muy grave, que tal ejercicio altera las condiciones de igualdad. E igualmente, pretender la defensa de la competencia con base en el precepto citado, supondría magnificar su contenido, darle una potencialidad expansiva y, finalmente, sustraer todas las competencias comunitarias en base al mismo. </w:t>
      </w:r>
    </w:p>
    <w:p w:rsidR="001C705E" w:rsidRDefault="001C705E" w:rsidP="001C705E">
      <w:pPr>
        <w:pStyle w:val="TextoNormal"/>
      </w:pPr>
      <w:r>
        <w:t xml:space="preserve">La C.E. prevé que todos los españoles tienen los mismos derechos y obligaciones en cualquier parte del territorio del Estado (art. 139), pero esta previsión no se ve en absoluto afectada por la reclamación de competencia que recaba para sí la Comunidad Autónoma Vasca. La vulneración de este principio se está estimando de modo «apriorístico» por el Gobierno del Estado. Pero nada hay, ni puede haberlo, que justifique la invasión competencial que se afirma en el presente conflicto. </w:t>
      </w:r>
    </w:p>
    <w:p w:rsidR="001C705E" w:rsidRDefault="001C705E" w:rsidP="001C705E">
      <w:pPr>
        <w:pStyle w:val="TextoNormal"/>
      </w:pPr>
      <w:r>
        <w:t xml:space="preserve">m) Pudiera pretender enervarse la evidente competencia en la materia de la Comunidad Autónoma del País Vasco, en base a la necesidad de una Función Pública única, pero no cabe cuestionar tal punto, pues solamente se pretende ejecutar la legislación del Estado, es decir, lo único que se reivindica es el ejercicio de una facultad de mera ejecución que no perjudica tal unidad. </w:t>
      </w:r>
    </w:p>
    <w:p w:rsidR="001C705E" w:rsidRDefault="001C705E" w:rsidP="001C705E">
      <w:pPr>
        <w:pStyle w:val="TextoNormal"/>
      </w:pPr>
      <w:r>
        <w:lastRenderedPageBreak/>
        <w:t xml:space="preserve">Tampoco puede enervar tal facultad el carácter nacional del Cuerpo que se crea, y ello sin necesidad de cuestionar, en este momento, la constitucionalidad de la pervivencia de tales Cuerpos, pues el que su ámbito sea estatal no impide que la competencia para la convocatoria de concursos y posterior adjudicación de plazas pueda corresponder a la Comunidad Autónoma del País Vasco, dado el carácter de mera gestión que estos actos tienen. </w:t>
      </w:r>
    </w:p>
    <w:p w:rsidR="001C705E" w:rsidRDefault="001C705E" w:rsidP="001C705E">
      <w:pPr>
        <w:pStyle w:val="TextoNormal"/>
      </w:pPr>
      <w:r>
        <w:t xml:space="preserve">n) La propia práctica de la Administración del Estado abona esta tesis. Así, cabe citar la Orden del Ministerio de Educación de 21 de febrero de 1981 («Boletín Oficial del Estado» de 28 de febrero) y la Orden del Departamento de Educación del Gobierno Vasco de 26 de febrero de 1981 («BOPV» núm. 5, de 9 de marzo), sobre provisión de vacantes de Profesores numerarios de Escuelas de Maestría Industrial, referida la primera al territorio estatal, excluidas las Comunidades Autónomas del País Vasco y Cataluña, y la segunda, al País Vasco. Este argumento es de particular importancia: La Administración del Estado ha actuado en esta materia -en este caso concreto- en momentos anteriores con absoluto respeto a la legalidad vigente, entendiendo que esta facultad de convocar concursos, como facultad de ejecución, corresponde a la Comunidad Autónoma. </w:t>
      </w:r>
    </w:p>
    <w:p w:rsidR="001C705E" w:rsidRDefault="001C705E" w:rsidP="001C705E">
      <w:pPr>
        <w:pStyle w:val="TextoNormal"/>
      </w:pPr>
      <w:r>
        <w:t xml:space="preserve">En consecuencia, carece de sentido cualquier intento de sustentar la competencia estatal en materia de provisión de vacantes de Cuerpos de funcionarios, como fundamento en su ámbito estatal, toda vez que otras actuaciones -más acordes con la Constitución- de la propia Administración del Estado evidencian precisamente la tesis contraria de entender viable la existencia de Cuerpos de ámbito estatal y la provisión de vacantes a nivel de las Comunidades Autónomas, incluso en lo que respecta a la integración funcional en dichos Cuerpos. </w:t>
      </w:r>
    </w:p>
    <w:p w:rsidR="001C705E" w:rsidRDefault="001C705E" w:rsidP="001C705E">
      <w:pPr>
        <w:pStyle w:val="TextoNormal"/>
      </w:pPr>
      <w:r>
        <w:t xml:space="preserve">o) Ciertamente, pueden plantearse problemas de derecho transitorio en tanto las bases no sean aprobadas y que puedan repercutir en la ejecución por parte de la Comunidad Autónoma; pero, en este caso concreto, tampoco existe el problema transitorio por la previsión regulada en el art. 8 del Real Decreto 2339/1980. </w:t>
      </w:r>
    </w:p>
    <w:p w:rsidR="001C705E" w:rsidRDefault="001C705E" w:rsidP="001C705E">
      <w:pPr>
        <w:pStyle w:val="TextoNormal"/>
      </w:pPr>
      <w:r>
        <w:t xml:space="preserve">p) No es ésta la primera ocasión en que el Gobierno Vasco ha requerido de incompetencia al Gobierno Central por haber éste procedido a convocar concursos de provisión de vacantes de plazas en materias asumidas en las que se había procedido también al oportuno traspaso de servicios, funcionarios y medios materiales. </w:t>
      </w:r>
    </w:p>
    <w:p w:rsidR="001C705E" w:rsidRDefault="001C705E" w:rsidP="001C705E">
      <w:pPr>
        <w:pStyle w:val="TextoNormal"/>
      </w:pPr>
      <w:r>
        <w:t xml:space="preserve">En orden a requerimientos de incompetencia, mediante acuerdo del Gobierno Vasco de 30 de diciembre de 1981, se requirió frente a las Resoluciones de la Dirección General de la Función Pública de 14 de noviembre de 1981 («Boletín Oficial del Estado» núm. 277, de 19 de noviembre) «por la que se convoca concurso de traslado para la provisión de vacantes en los Cuerpos a extinguir integrados en la Administración Civil del Estado por Real Decreto 23/1977, de 1 de abril, y Real Decreto 1281/1977, de 2 de junio, y de 9 de diciembre de 1981 ("Boletín Oficial del Estado" núm. 298, de 14 de diciembre)». </w:t>
      </w:r>
    </w:p>
    <w:p w:rsidR="001C705E" w:rsidRDefault="001C705E" w:rsidP="001C705E">
      <w:pPr>
        <w:pStyle w:val="TextoNormal"/>
      </w:pPr>
      <w:r>
        <w:t xml:space="preserve">El requerimiento fue entendido correcto desde el momento en que la Dirección General de la Función Pública por Resolución de 24 de febrero de 1982 («Boletín Oficial del Estado» de 3 de marzo), dejó sin efecto la convocatoria «de plazas anunciadas en el anexo 1 de la referida Resolución de 14 de noviembre de 1981, que están afectadas por lo establecido en art. 8.2 del Real Decreto 2339/1980, de 26 de septiembre». </w:t>
      </w:r>
    </w:p>
    <w:p w:rsidR="001C705E" w:rsidRDefault="001C705E" w:rsidP="001C705E">
      <w:pPr>
        <w:pStyle w:val="TextoNormal"/>
      </w:pPr>
      <w:r>
        <w:t xml:space="preserve">En igual sentido, y en otro requerimiento de igual fecha, se solicitaba la revocación, en lo que hacía referencia al País Vasco, de otra Resolución de la Dirección General de la Función Pública, de fecha también de 14 de noviembre de 1981 («Boletín Oficial del Estado» núm. 277, de 19 de noviembre) por la que se convocaba «concurso de traslado entre funcionarios de la AISS de diferentes escalas para la provisión de plazas en la Secretaría de Estado para el Consumo». </w:t>
      </w:r>
    </w:p>
    <w:p w:rsidR="001C705E" w:rsidRDefault="001C705E" w:rsidP="001C705E">
      <w:pPr>
        <w:pStyle w:val="TextoNormal"/>
      </w:pPr>
      <w:r>
        <w:lastRenderedPageBreak/>
        <w:t>El Gobierno Central aceptó el requerimiento en igual sentido que en el caso anterior.</w:t>
      </w:r>
    </w:p>
    <w:p w:rsidR="001C705E" w:rsidRDefault="001C705E" w:rsidP="001C705E">
      <w:pPr>
        <w:pStyle w:val="TextoNormal"/>
      </w:pPr>
    </w:p>
    <w:p w:rsidR="001C705E" w:rsidRDefault="001C705E" w:rsidP="001C705E">
      <w:pPr>
        <w:pStyle w:val="TextoNormal"/>
      </w:pPr>
      <w:r w:rsidRPr="001C705E">
        <w:rPr>
          <w:rStyle w:val="NumeroAFNegritaCaracter"/>
        </w:rPr>
        <w:t>3</w:t>
      </w:r>
      <w:r>
        <w:t>. Por providencia de 15 de diciembre de 1982 la Sección Segunda del Pleno de este TC acordó: «a) tener por planteado por el Gobierno Vasco conflicto positivo de competencia frente al Gobierno del Estado, en relación con la Orden del Ministerio de Educación y Ciencia de 30 de julio de 1982, por la que se convoca concurso de méritos para proveer plazas vacantes en la plantilla del Cuerpo Especial de Inspectores Técnicos de Formación Profesional, en lo que se refiere a la Comunidad Autónoma del País Vasco: b) dar traslado al Gobierno del Estado de esta providencia y de la demanda y documentos presentados, para que en el plazo de veinte días aporte cuantos documentos y alegaciones considere convenientes; c) dirigir comunicación al Presidente de la Audiencia Nacional para conocimiento de la Sala de lo Contencioso-Administrativo de la misma, por si ante ésta estuviera impugnada o se impugnase la referida Orden ministerial, en lo que se refiere a la Comunicad Autónoma del País Vasco, a los efectos de lo dispuesto en el art. 61.2, de la Ley Orgánica del Tribunal Constitucional (LOTC); d) oír a la representación del Gobierno por plazo de tres días para que formule alegaciones respecto de la suspensión solicitada de dicha Orden, y, e) publicar en el "Boletín Oficial del Estado" y en el "Boletín Oficial del País Vasco" la formalización del conflicto para general conocimiento (publicación que tuvo lugar, respectivamente, el 24 de diciembre de 1982 y el 15 de enero de 1983)».</w:t>
      </w:r>
    </w:p>
    <w:p w:rsidR="001C705E" w:rsidRDefault="001C705E" w:rsidP="001C705E">
      <w:pPr>
        <w:pStyle w:val="TextoNormal"/>
      </w:pPr>
    </w:p>
    <w:p w:rsidR="001C705E" w:rsidRDefault="001C705E" w:rsidP="001C705E">
      <w:pPr>
        <w:pStyle w:val="TextoNormal"/>
      </w:pPr>
      <w:r w:rsidRPr="001C705E">
        <w:rPr>
          <w:rStyle w:val="NumeroAFNegritaCaracter"/>
        </w:rPr>
        <w:t>4</w:t>
      </w:r>
      <w:r>
        <w:t>. Por escrito presentado en este TC, el 3 de enero de 1983, el representante del Gobierno Vasco señala que con posterioridad a la fecha de formalización del presente conflicto y, en concreto, el 22 de diciembre de 1982, le ha sido notificada a la Presidencia de dicho Gobierno la decisión adoptada por el Gobierno de la Nación acordando atender el requerimiento de incompetencia formulado por el Gobierno Vasco en relación con dos Resoluciones de la Subsecretaría del Ministerio de Industria y Energía de 31 de julio y 15 de octubre de 1982 («Boletín Oficial del Estado» de 29 de septiembre y 4 de noviembre, respectivamente) sobre convocatoria de concurso de méritos del Cuerpo de Ingenieros Industriales y concurso de traslados del Cuerpo de Ingenieros Técnicos Industriales, con la consecuencia de excluir de dichas convocatorias las plazas vacantes de tales Cuerpos existentes en la Comunidad Autónoma del País Vasco.</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Por escrito presentado ante este TC el 13 de enero de 1983 el Abogado del Estado, en representación del Gobierno de la Nación, formulo alegaciones en relación con el presente conflicto, con súplica de que se dicte Sentencia por la que se declare que corresponde al Estado la titularidad de la competencia para la convocatoria y resolución del concurso de méritos a que se refiere la Orden impugnada de 30 de julio de 1982. </w:t>
      </w:r>
    </w:p>
    <w:p w:rsidR="001C705E" w:rsidRDefault="001C705E" w:rsidP="001C705E">
      <w:pPr>
        <w:pStyle w:val="TextoNormal"/>
      </w:pPr>
      <w:r>
        <w:t xml:space="preserve">Los argumentos en los que fundamenta su pretensión el representante del Gobierno de la Nación son en síntesis los siguientes: </w:t>
      </w:r>
    </w:p>
    <w:p w:rsidR="001C705E" w:rsidRDefault="001C705E" w:rsidP="001C705E">
      <w:pPr>
        <w:pStyle w:val="TextoNormal"/>
      </w:pPr>
      <w:r>
        <w:t xml:space="preserve">a) Del conjunto del escrito de planteamiento del conflicto se desprende que el objeto del mismo no es en realidad una disposición o un acto normativo, sino propiamente una competencia de gestión cuyo ejercicio por la Administración del Estado se concreta en el acto administrativo strictu sensu o no normativo aunque plurimo y de destinatarios numéricamente indeterminados en que consiste la convocatoria de concurso de méritos efectuada mediante la Orden ministerial de 30 de julio de 1982. </w:t>
      </w:r>
    </w:p>
    <w:p w:rsidR="001C705E" w:rsidRDefault="001C705E" w:rsidP="001C705E">
      <w:pPr>
        <w:pStyle w:val="TextoNormal"/>
      </w:pPr>
      <w:r>
        <w:t xml:space="preserve">b) La Ley 31/1980 crea un Cuerpo de funcionarios hasta entonces inexistente. En dicha Ley, posconstitucional y asimismo posterior a la Ley Orgánica que aprobó el Estatuto de </w:t>
      </w:r>
      <w:r>
        <w:lastRenderedPageBreak/>
        <w:t xml:space="preserve">Autonomía del País Vasco, se asigna a los futuros miembros de ese Cuerpo «las funciones de inspección técnica, que se especifican en el art. 142 de la Ley General de Educación en los distintos grados de Formación Profesional que en la misma se establecen» (art. 3). </w:t>
      </w:r>
    </w:p>
    <w:p w:rsidR="001C705E" w:rsidRDefault="001C705E" w:rsidP="001C705E">
      <w:pPr>
        <w:pStyle w:val="TextoNormal"/>
      </w:pPr>
      <w:r>
        <w:t xml:space="preserve">La competencia de la Comunidad Autónoma Vasca en relación a la inspección técnica de la Formación Profesional resulta del art. 16 de su Estatuto y expresamente aparece reconocida en el anexo B, b), del Real Decreto 2808/1980. </w:t>
      </w:r>
    </w:p>
    <w:p w:rsidR="001C705E" w:rsidRDefault="001C705E" w:rsidP="001C705E">
      <w:pPr>
        <w:pStyle w:val="TextoNormal"/>
      </w:pPr>
      <w:r>
        <w:t xml:space="preserve">Pero del mismo modo que el citado art. 16 del EAPV delimita la competencia autonómica por referencia al art. 27 de la C.E. y leyes orgánicas que lo desarrollen, a las facultades que atribuye al Estado el art. 149.1.30.ª de la C. E. y a la alta inspección necesaria para el cumplimiento y garantía de aquéllas, también la extensión del título competencial específicamente relativo a la inspección técnica de la Formación Profesional aparece matizada por los principios constitucionales, ya que, como ha señalado la Sentencia 18/1982 de este TC, «el Estatuto de Autonomía, al igual que el resto del ordenamiento jurídico, debe ser interpretado siempre de conformidad con la Constitución». </w:t>
      </w:r>
    </w:p>
    <w:p w:rsidR="001C705E" w:rsidRDefault="001C705E" w:rsidP="001C705E">
      <w:pPr>
        <w:pStyle w:val="TextoNormal"/>
      </w:pPr>
      <w:r>
        <w:t xml:space="preserve">c) La noción de transferencia o traspaso de los servicios no es sólo una determinación formal que preceptivamente ha de regularse en los Estatutos, sino también una regla material sobre el modo de organizar el funcionamiento de las autonomías. El concepto de transferencia se opone a la ruptura de todo nexo de continuidad entre los aparatos burocráticos, supone optar por la configuración de la función pública de los nuevos entes autonómicos sobre la base de la función pública que hasta el momento había venido sirviendo al Estado centralizado. Pero junto a esta significación, de alcance transitorio, que implica la transferencia, el criterio permanente de la coordinación (subrayado por este TC en la citada Sentencia 18/1982) conduce a mantener establemente una cierta conexión entre las distintas funciones públicas, de manera que no sólo se evita la inicial duplicación de funciones públicas y la necesidad para las Comunidades Autónomas de tener que reclutar ex novo a toda la burocracia que precise para poner en marcha su actuación, sino que además, una vez ya en desenvolvimiento la actividad de las Comunidades Autónomas, los mecanismos de conexión entre sus respectivas funciones públicas y la estatal dotan de una mayor eficacia al sistema en su conjunto. </w:t>
      </w:r>
    </w:p>
    <w:p w:rsidR="001C705E" w:rsidRDefault="001C705E" w:rsidP="001C705E">
      <w:pPr>
        <w:pStyle w:val="TextoNormal"/>
      </w:pPr>
      <w:r>
        <w:t xml:space="preserve">d) La mencionada Sentencia 18/1982 detecta el principio de coordinación en los arts. 103.1, y 158 de la C.E. Respecto a la función pública y junto a las referencias a la noción de traspaso del art. 147.2 d) de la C.E. y de las disposiciones transitorias de los Estatutos, el criterio de la coordinación se encuentra implícito también en la reserva a la competencia exclusiva estatal que contiene el art. 149. 1.18.ª, facilitando además el efectivo ejercicio del derecho fundamental consagrado en el art. 23.2, a acceder a la función pública en condiciones de igualdad, según los requisitos que señalen las Leyes, necesariamente inspiradas (art. 103.3), en principio de mérito y capacidad, lo que conduciría a sustentar la competencia estatal respecto al acceso a la función pública, aun si no existiera el art. 149.1.18.ª por aplicación del art. 149.1.1.ª </w:t>
      </w:r>
    </w:p>
    <w:p w:rsidR="001C705E" w:rsidRDefault="001C705E" w:rsidP="001C705E">
      <w:pPr>
        <w:pStyle w:val="TextoNormal"/>
      </w:pPr>
      <w:r>
        <w:t xml:space="preserve">e) Respecto a quienes ostentando ya la condición de Inspectores Técnicos de Formación Profesional resultasen transferidos o trasladados a la Comunidad Autónoma Vasca, ninguna duda podría ofrecer su dependencia de dicha Comunidad en los términos que hoy determina el art. 8.1 del Real Decreto 2339/1980. Junto a las potestades que en el orden estrictamente funcionarial corresponden al Gobierno Vasco, éste ostenta también la potestad organizadora del servicio de la inspección técnica de Formación Profesional, tal como resulta del art. 16 del EAPV y del Real Decreto 2808/1980, y habida cuenta también de que la disposición adicional del Real Decreto 657/1982 deja a salvo las competencias autonómicas sobre la Inspección Técnica de Formación Profesional. </w:t>
      </w:r>
    </w:p>
    <w:p w:rsidR="001C705E" w:rsidRDefault="001C705E" w:rsidP="001C705E">
      <w:pPr>
        <w:pStyle w:val="TextoNormal"/>
      </w:pPr>
      <w:r>
        <w:lastRenderedPageBreak/>
        <w:t xml:space="preserve">f) Al tratarse de un Cuerpo hasta ahora inexistente, la Ley 31/1980 y el Real Decreto 657/1982 han asignado a la competencia estatal la gestión unitaria del ingreso, como resulta de la disposición final primera de la Ley y explícitamente recoge el artículo 13.2 y la disposición transitoria del Real Decreto 657/1982. </w:t>
      </w:r>
    </w:p>
    <w:p w:rsidR="001C705E" w:rsidRDefault="001C705E" w:rsidP="001C705E">
      <w:pPr>
        <w:pStyle w:val="TextoNormal"/>
      </w:pPr>
      <w:r>
        <w:t xml:space="preserve">Es precisamente esta circunstancia de tratarse de un Cuerpo de funcionarios de nueva creación la que explica que en relación a la Inspección Técnica de Formación Profesional (y frente al régimen -con doble posibilidad de convocatorias generales y específicas- previsto para los demás Cuerpos de funcionarios del Ministerio de Educación y Ciencia en el Real Decreto 229/1981, de 5 de febrero, cuya vigencia para 1982 se dispuso mediante Real Decreto 3266/1981, de 29 de diciembre) expresamente se haya establecido una gestión unitaria para el ingreso en el Cuerpo, sin que por ello se invada la competencia del Gobierno Vasco en materia de Formación Profesional. </w:t>
      </w:r>
    </w:p>
    <w:p w:rsidR="001C705E" w:rsidRDefault="001C705E" w:rsidP="001C705E">
      <w:pPr>
        <w:pStyle w:val="TextoNormal"/>
      </w:pPr>
      <w:r>
        <w:t xml:space="preserve">g) El art. 8.2 del Real Decreto 2339/1980 atribuye al Gobierno Vasco la convocatoria de los concursos para cubrir vacantes de los funcionarios transferidos. En el caso ahora sometido al TC no ha llegado a existir transferencia de funcionarios respecto de la que, producida la vacante, entre en juego la competencia consignada en el mencionado art. 8.2 del Real Decreto 2339/1980. </w:t>
      </w:r>
    </w:p>
    <w:p w:rsidR="001C705E" w:rsidRDefault="001C705E" w:rsidP="001C705E">
      <w:pPr>
        <w:pStyle w:val="TextoNormal"/>
      </w:pPr>
      <w:r>
        <w:t xml:space="preserve">Y es que el concurso convocado mediante la controvertida Orden ministerial de 30 de julio de 1982 tiene un objetivo primario expresado en su exposición de motivos: De acuerdo con el art. 4.1 de la Ley 31/1980 y art. 12 y disposición transitoria segunda del Real Decreto 657/1982 se trata de convocar el concurso de méritos previsto como primer turno de acceso al Cuerpo. </w:t>
      </w:r>
    </w:p>
    <w:p w:rsidR="001C705E" w:rsidRDefault="001C705E" w:rsidP="001C705E">
      <w:pPr>
        <w:pStyle w:val="TextoNormal"/>
      </w:pPr>
      <w:r>
        <w:t xml:space="preserve">Es, por tanto, el ingreso en el Cuerpo el acceso a la condición de Inspector Técnico de Formación Profesional el objeto fundamental de la convocatoria. Y sólo de manera ulterior se procede a la asignación de destino cubriendo de esta forma el ya funcionario ingresado en el repetido Cuerpo alguna de las plazas vacantes que hayan sido previstas. </w:t>
      </w:r>
    </w:p>
    <w:p w:rsidR="001C705E" w:rsidRDefault="001C705E" w:rsidP="001C705E">
      <w:pPr>
        <w:pStyle w:val="TextoNormal"/>
      </w:pPr>
      <w:r>
        <w:t xml:space="preserve">La convocatoria se efectúa, pues, con arreglo a una Ley estatal, y para posibilitar el ingreso por primera vez en un Cuerpo hasta ahora inexistente, Cuerpo cuyos miembros ostentan en principio la condición de funcionarios de la Administración del Estado y pueden resultar destinados a cualquier lugar del territorio nacional. </w:t>
      </w:r>
    </w:p>
    <w:p w:rsidR="001C705E" w:rsidRDefault="001C705E" w:rsidP="001C705E">
      <w:pPr>
        <w:pStyle w:val="TextoNormal"/>
      </w:pPr>
      <w:r>
        <w:t xml:space="preserve">La convocatoria trasciende, pues, a los intereses propios de una Comunidad Autónoma, ya que -de manera conjunta y articulada que necesariamente integra a un solo concurso y en una sola resolución a todos los interesados en ingresar en el Cuerpo Especial de Inspectores Técnicos de Formación Profesional- esa convocatoria afectará a otras Comunidades Autónomas y a la propia Administración del Estado. </w:t>
      </w:r>
    </w:p>
    <w:p w:rsidR="001C705E" w:rsidRDefault="001C705E" w:rsidP="001C705E">
      <w:pPr>
        <w:pStyle w:val="TextoNormal"/>
      </w:pPr>
      <w:r>
        <w:t xml:space="preserve">h) Demostración asimismo del carácter indivisible de la convocatoria y, en suma, de que el objeto fundamental de ella es el ingreso en el Cuerpo y la consecuente adquisición de miembro de ese Cuerpo, al margen de que el primer destino sea una vacante en el País Vasco y comporte una dependencia del Gobierno Autónomo, la ofrece el régimen general de provisión de plazas recogido en el art. 11 del Real Decreto 657/1982, que, en último término, no hace sino reiterar lo que, con carácter general para todos los funcionarios transferidos, ya establecen la disposición transitoria segunda del Estatuto Vasco y el art. 8.1 del Real Decreto 2339/1980. </w:t>
      </w:r>
    </w:p>
    <w:p w:rsidR="001C705E" w:rsidRDefault="001C705E" w:rsidP="001C705E">
      <w:pPr>
        <w:pStyle w:val="TextoNormal"/>
      </w:pPr>
      <w:r>
        <w:t>i) La competencia autonómica respecto de quienes ya ostenten la condición de funcionarios en el momento de transferirse las plazas correspondientes y la que, el artículo 8.2 del Real Decreto 2339/1980, tiene la Comunidad Autónoma acerca de las vacantes que en las plazas correspondientes a aquellos funcionarios se produzca, no pueden ampliarse de manera que impiden a la Administración estatal ejercitar unas competencias inequívoca</w:t>
      </w:r>
      <w:r>
        <w:lastRenderedPageBreak/>
        <w:t xml:space="preserve">mente estatales. Hasta que se verifique la asignación del funcionario a la Comunidad Autónoma, el acceso al Cuerpo Especial de Inspección Técnica de Formación Profesional -Cuerpo de funcionarios de la Administración Civil del Estado, sin perjuicio de la posible transferencia de sus miembros a las Comunidades .Autónomas s, sin duda, materia de la competencia estatal y resulta perfectamente legítimo que la convocatoria y la resolución del concurso para el ingreso en dicho Cuerpo sea competencia estatal. </w:t>
      </w:r>
    </w:p>
    <w:p w:rsidR="001C705E" w:rsidRDefault="001C705E" w:rsidP="001C705E">
      <w:pPr>
        <w:pStyle w:val="TextoNormal"/>
      </w:pPr>
      <w:r>
        <w:t xml:space="preserve">j) La posterior asignación, una vez ingresado en el Cuerpo Especial de Inspectores Técnicos de Formación Profesional, a vacantes existentes en el País Vasco equivaldrá a la transferencia inicial de funcionarios aludida en el núm. 1 del art. 8 del Real Decreto 2339/1980 y del mismo modo que sólo a partir de esa primera dotación personal de los servicios transferidos entran en juego las competencias autonómicas del art. 8.2, sólo después de producida la primera adscripción a la Comunidad Autónoma del funcionario, hasta entonces estatal y perteneciente al Cuerpo de Inspectores Técnicos de Formación Profesional, operarán las competencias de la Comunidad Autónoma. </w:t>
      </w:r>
    </w:p>
    <w:p w:rsidR="001C705E" w:rsidRDefault="001C705E" w:rsidP="001C705E">
      <w:pPr>
        <w:pStyle w:val="TextoNormal"/>
      </w:pPr>
      <w:r>
        <w:t xml:space="preserve">k) Es claro que esta circunstancia, ingreso por primera vez en un Cuerpo hasta ahora inexistente, no se da en los concursos de traslado, que, en cuanto a vacantes en el País Vasco y correspondientes a servicios ya transferidos, con sus respectivas dotaciones personales, si quedan hoy por hoy sometidos al régimen del art. 8.2 del Real Decreto 2339/1980. De ahí la admisión de la competencia autonómica respecto a las convocatorias efectuadas en las Resoluciones de la Dirección General de la Función Pública de 14 de noviembre de 1981. </w:t>
      </w:r>
    </w:p>
    <w:p w:rsidR="001C705E" w:rsidRDefault="001C705E" w:rsidP="001C705E">
      <w:pPr>
        <w:pStyle w:val="TextoNormal"/>
      </w:pPr>
      <w:r>
        <w:t xml:space="preserve">En el mismo sentido, por no tratarse de Cuerpo ya existente, se explica que el acceso a la Inspección Técnica de Formación Profesional esté excluida del régimen previsto para los demás Cuerpos del Ministerio de Educación en los Reales Decretos 229/1981 y 3266/1981, exclusión que con fundamento en la Ley 31/1980 resulta del art. 12 y de la disposición transitoria segunda del Real Decreto 657/1982. En los demás Cuerpos dependientes del Ministerio de Educación, el régimen de convocatorias, generales o específicas, implica una competencia compartida, lo que resulta lógico, ya que los funcionarios acceden a un Cuerpo que continúa siendo estatal sin perjuicio de que sus miembros dependan de una Comunidad Autónoma si son destinados a una plaza vacante en dicha Comunidad. En los Cuerpos ya existentes ese régimen de acceso es suficiente para garantizar, de un lado, la conexión o coordinación y, de otra parte, para asegurar que el acceso se realiza en condiciones sustanciales de igualdad según criterios de mérito y capacidad. Tratándose, en cambio, de un primer concurso de méritos para ingresar en un Cuerpo de nueva creación, la fragmentación en diferentes concursos a convocar y resolver -desconectadamente entre sí- por las distintas Comunidades Autónomas impediría la aparición del nuevo Cuerpo y además privaría a quienes ostentan las condiciones señaladas en el art. 4.1 de la Ley 31/1980 de la posibilidad de acceder a ese Cuerpo Superior restringiendo así la proyección de un status funcionarial alcanzado en condiciones de igualdad según criterios de mérito y capacidad. </w:t>
      </w:r>
    </w:p>
    <w:p w:rsidR="001C705E" w:rsidRDefault="001C705E" w:rsidP="001C705E">
      <w:pPr>
        <w:pStyle w:val="TextoNormal"/>
      </w:pPr>
      <w:r>
        <w:t xml:space="preserve">l) En el supuesto objeto de este conflicto se reitera el frecuente fenómeno del «entrecruzamiento» o interferencia entre dos posibles enfoques competenciales, ya que junto al campo de la enseñanza la Orden del Ministerio de Educación y Ciencia de 30 de julio de 1982 incide también en el acceso a la Función Pública. </w:t>
      </w:r>
    </w:p>
    <w:p w:rsidR="001C705E" w:rsidRDefault="001C705E" w:rsidP="001C705E">
      <w:pPr>
        <w:pStyle w:val="TextoNormal"/>
      </w:pPr>
      <w:r>
        <w:t xml:space="preserve">Aplicando la doctrina sentada en la Sentencia de este TC 42/1981 es obligado apurar el contenido inherente a cada competencia y, haciéndolo así, resulta que en este caso el entrecruzamiento desaparece por cuanto la Orden impugnada responde al contenido propio de una competencia en materia funcionarial de modo mucho más característico que a las </w:t>
      </w:r>
      <w:r>
        <w:lastRenderedPageBreak/>
        <w:t xml:space="preserve">competencias existentes sobre el sector material del ordenamiento respecto al que hayan de ejercer su actividad los funcionarios reclutados. </w:t>
      </w:r>
    </w:p>
    <w:p w:rsidR="001C705E" w:rsidRDefault="001C705E" w:rsidP="001C705E">
      <w:pPr>
        <w:pStyle w:val="TextoNormal"/>
      </w:pPr>
      <w:r>
        <w:t xml:space="preserve">ll) No se discute por la Comunidad Autónoma que sean más o menos las vacantes a cubrir en su territorio. El punto sobre el que verdaderamente gira el conflicto es el de la titularidad para convocar y resolver el concurso. Y es en este punto donde el criterio decisivo de distribución competencial será no el relativo a la enseñanza sino el concerniente al acceso a la Función Pública, concretado en el art. 149.1. 18.ª, y en el art. 149.1.1.ª (en relación al art. 23.2), todos ellos de la C.E. </w:t>
      </w:r>
    </w:p>
    <w:p w:rsidR="001C705E" w:rsidRDefault="001C705E" w:rsidP="001C705E">
      <w:pPr>
        <w:pStyle w:val="TextoNormal"/>
      </w:pPr>
      <w:r>
        <w:t xml:space="preserve">m) La disposición final primera de la Ley 31/1980 y el art. 23.2), y disposición transitoria segunda del Real Decreto 657/1982, constituyen normas básicas en sentido material acerca del acceso a la Función Pública que atribuyen a la Administración del Estado la competencia de gestión unitaria. Sin dicha gestión unitaria, y, por tanto, con la consecuente fragmentación de los Inspectores Técnicos de Formación Profesional y la volatilización del Cuerpo creado en la Ley 31/1980, se evaporan también a este respecto las nociones de transferencia y coordinación. No sólo se frustraría la íntegra aplicación de una Ley, la 31/1980, posterior a la Constitución y al Estatuto Vasco, impidiendo que en el País Vasco se ejerciera por los funcionarios de un Cuerpo creado a través de una Ley anterior a la efectiva asunción -mediante el Real Decreto 2808/1980- por la Comunidad de las competencias, sino que, mientras, en otras Comunidades Autónomas, sí habría transferencia funcionarial e intercomunicación en cuanto a la Inspección Técnica de Formación Profesional. </w:t>
      </w:r>
    </w:p>
    <w:p w:rsidR="001C705E" w:rsidRDefault="001C705E" w:rsidP="001C705E">
      <w:pPr>
        <w:pStyle w:val="TextoNormal"/>
      </w:pPr>
      <w:r>
        <w:t xml:space="preserve">n) Los derechos subjetivos generados en los funcionarios a que se refiere el art. 4.1 de la Ley 31/1980, legítima proyección de un status alcanzado en condiciones de igualdad, según criterios de mérito y capacidad: arts. 23.2, y 103.3 de la C.E.demandan la gestión unitaria, toda vez que la fragmentación de la convocatoria y resolución del concurso comportaría la desaparición como tal del Cuerpo, de la condición, inicial, de funcionarios estatales de los miembros del mismo, y en definitiva de las consecuencias inherentes a esa condición entre las que figura la movilidad regulada en los antes citados art. 11 del Real Decreto 657/1982; disposición transitoria segunda del Estatuto Vasco y art. 8.1 del Real Decreto 2339/1980. </w:t>
      </w:r>
    </w:p>
    <w:p w:rsidR="001C705E" w:rsidRDefault="001C705E" w:rsidP="001C705E">
      <w:pPr>
        <w:pStyle w:val="TextoNormal"/>
      </w:pPr>
      <w:r>
        <w:t>o) Por estas razones atinentes tanto a causas de índole objetiva -nociones de transferencia y coordinación como criterios inspiradores del proceso de nueva organización del Estado- como de carácter subjetivo -garantía del acceso y de la promoción, dentro de la función pública en condiciones de igualdad según criterios de mérito y capacidad- ha de concluirse que la competencia del Gobierno Vasco resultante del art. 10.4 de su Estatuto no alcanza a la convocatoria y resolución del concurso cuestionado -precisamente por quedar delimitada aquella competencia mediante la lógica referencia al art. 149.1.18.ª de la C.E. y comprenderse dentro de la legislación básica que, en virtud de ese precepto constitucional ha promulgado el Estado- la atribución de una competencia de gestión unitaria respecto a la convocatoria y resolución del concurso controvertido.</w:t>
      </w:r>
    </w:p>
    <w:p w:rsidR="001C705E" w:rsidRDefault="001C705E" w:rsidP="001C705E">
      <w:pPr>
        <w:pStyle w:val="TextoNormal"/>
      </w:pPr>
    </w:p>
    <w:p w:rsidR="001C705E" w:rsidRDefault="001C705E" w:rsidP="001C705E">
      <w:pPr>
        <w:pStyle w:val="TextoNormal"/>
      </w:pPr>
      <w:r w:rsidRPr="001C705E">
        <w:rPr>
          <w:rStyle w:val="NumeroAFNegritaCaracter"/>
        </w:rPr>
        <w:t>6</w:t>
      </w:r>
      <w:r>
        <w:t>. Por Auto de 27 de enero de 1983 el Pleno de este TC acordó no acceder a la suspensión de la vigencia de la Orden impugnada en el presente conflicto manteniendo la misma en vigor incluso en lo que concierne a las plazas convocadas relativas al ámbito territorial de la Comunidad Autónoma del País Vasco, por entender que no existía perjuicio de difícil o imposible reparación que hubiera de evitarse mediante la suspensión solicitada.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7</w:t>
      </w:r>
      <w:r>
        <w:t>. El Pleno del TC acordó por providencia de 21 de marzo de 1985 fijar el día 26 de marzo de 1985 para deliberación y votación.</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Con el fin de centrar el análisis de las cuestiones planteadas en el presente conflicto conviene señalar en primer término que en el mismo no se discute por su promotor, el Gobierno Vasco, la existencia del Cuerpo de Inspectores Técnicos de Formación Profesional o, lo que es igual, su creación por la Ley 31/1980, ni tampoco su regulación por el Real Decreto 657/1982, de 17 de marzo. Ello sin duda porque en lo que respecta a esta última disposición, se contiene en ella una disposición adicional que salva las competencias en la materia de las Comunidades Autónomas que las tengan reconocidas en sus respectivos Estatutos, razón que puede apoyarse también en la propia denominación del Real Decreto (que regula «la Inspección Técnica del Estado de Formación Profesional») y en otros preceptos del mismo y en especial los arts. 4 y 18.1 y 2.</w:t>
      </w:r>
    </w:p>
    <w:p w:rsidR="001C705E" w:rsidRDefault="001C705E" w:rsidP="001C705E">
      <w:pPr>
        <w:pStyle w:val="TextoNormal"/>
      </w:pPr>
      <w:r>
        <w:t>Lo que se discute únicamente en el presente conflicto de competencias es si la convocatoria del concurso de méritos para proveer plazas vacantes en la plantilla del Cuerpo Especial de Inspectores Técnicos de Formación Profesional ubicadas en el territorio de la Comunidad Autónoma del País Vasco, realizada por la Orden del Ministerio de Educación y Ciencia de 30 de julio de 1982 y de su posterior resolución, en cuanto a tales plazas, corresponde a la competencia del Estado o de la referida Comunidad Autónoma.</w:t>
      </w:r>
    </w:p>
    <w:p w:rsidR="001C705E" w:rsidRDefault="001C705E" w:rsidP="001C705E">
      <w:pPr>
        <w:pStyle w:val="TextoNormal"/>
      </w:pPr>
      <w:r>
        <w:t>Como con toda claridad precisa el representante del Gobierno Vasco, lo que se está discutiendo en el presente conflicto es el ejercicio de una competencia en el nivel estrictamente de ejecución, no la determinación de los criterios o requisitos generales de ingreso -o acceso- en la Función Pública.</w:t>
      </w:r>
    </w:p>
    <w:p w:rsidR="001C705E" w:rsidRDefault="001C705E" w:rsidP="001C705E">
      <w:pPr>
        <w:pStyle w:val="TextoNormal"/>
      </w:pPr>
      <w:r>
        <w:t>No se cuestiona siquiera finalmente por el promotor del conflicto el carácter nacional o estatal del Cuerpo cuyas plazas se convocan, sino únicamente que pueda ingresarse en el mismo a través de plazas ubicadas en el ámbito territorial del País Vasco sin que esta Comunidad Autónoma haga la convocatoria para cubrir tales plazas.</w:t>
      </w:r>
    </w:p>
    <w:p w:rsidR="001C705E" w:rsidRDefault="001C705E" w:rsidP="001C705E">
      <w:pPr>
        <w:pStyle w:val="TextoNormal"/>
      </w:pPr>
    </w:p>
    <w:p w:rsidR="001C705E" w:rsidRDefault="001C705E" w:rsidP="001C705E">
      <w:pPr>
        <w:pStyle w:val="TextoNormal"/>
      </w:pPr>
      <w:r w:rsidRPr="001C705E">
        <w:rPr>
          <w:rStyle w:val="NumeroAFNegritaCaracter"/>
        </w:rPr>
        <w:t>2</w:t>
      </w:r>
      <w:r>
        <w:t>. Toda la argumentación del Abogado del Estado en defensa de la competencia gira, fundamentalmente, en torno a estos dos puntos: a) que por tratarse del ingreso inicial en un nuevo Cuerpo de funcionarios, la competencia para la convocatoria y resolución del correspondiente concurso de méritos no puede partirse entre el Estado y las Comunidades Autónomas según la ubicación territorial de las plazas, ya que ello iría contra la garantía de igualdad de todos los españoles en la regulación de las condiciones básicas para el ejercicio de los derechos y el cumplimiento de los deberes constitucionales (art. 149.1.1.ª), en relación con el artículo 23.2 de la C.E., y b), que se trata de un aspecto básico del régimen estatutario de los funcionarios y, en consecuencia, entra dentro de la competencia del Estado (art. 149.1.18.ª de la C.E.).</w:t>
      </w:r>
    </w:p>
    <w:p w:rsidR="001C705E" w:rsidRDefault="001C705E" w:rsidP="001C705E">
      <w:pPr>
        <w:pStyle w:val="TextoNormal"/>
      </w:pPr>
      <w:r>
        <w:t>El Abogado del Estado pone un especial énfasis en el hecho de que se trate de ingreso inicial en un Cuerpo de nueva creación, admitiendo expresamente que si no fuera así la competencia para la convocatoria y resolución del concurso de méritos, en relación con las plazas ubicadas en el territorio del País Vasco, sería, al igual que en otros supuestos a los que se refiere -entre los que cabe incluso el ingreso mediante oposición y no sólo por concurso-, compartida del Estado y de la Comunidad Autónoma Vasca.</w:t>
      </w:r>
    </w:p>
    <w:p w:rsidR="001C705E" w:rsidRDefault="001C705E" w:rsidP="001C705E">
      <w:pPr>
        <w:pStyle w:val="TextoNormal"/>
      </w:pPr>
      <w:r>
        <w:lastRenderedPageBreak/>
        <w:t>Para el Abogado del Estado, el objeto fundamental de la convocatoria controvertida es el ingreso en el Cuerpo, es decir, el acceso a la condición de Inspector Técnico de Formación Profesional, no la asignación de destino o plaza concretos, que es lo que ocurre, según él, ulteriormente a dicho ingreso. Insiste, también, como se ha visto, en que tratándose de un primer concurso de méritos para ingresar en un Cuerpo de nueva creación, la fragmentación en diferentes concursos a convocar y resolver por las distintas Comunidades Autónomas impediría la aparición del nuevo Cuerpo y restringiría la proyección del status funcionarial alcanzado según criterios de mérito y capacidad.</w:t>
      </w:r>
    </w:p>
    <w:p w:rsidR="001C705E" w:rsidRDefault="001C705E" w:rsidP="001C705E">
      <w:pPr>
        <w:pStyle w:val="TextoNormal"/>
      </w:pPr>
    </w:p>
    <w:p w:rsidR="001C705E" w:rsidRDefault="001C705E" w:rsidP="001C705E">
      <w:pPr>
        <w:pStyle w:val="TextoNormal"/>
      </w:pPr>
      <w:r w:rsidRPr="001C705E">
        <w:rPr>
          <w:rStyle w:val="NumeroAFNegritaCaracter"/>
        </w:rPr>
        <w:t>3</w:t>
      </w:r>
      <w:r>
        <w:t>. Establecidos los puntos esenciales de la controversia que enfrenta al Estado y a la Comunidad Autónoma del País Vasco, corresponde al TC examinar los argumentos de una posible solución del conflicto.</w:t>
      </w:r>
    </w:p>
    <w:p w:rsidR="001C705E" w:rsidRDefault="001C705E" w:rsidP="001C705E">
      <w:pPr>
        <w:pStyle w:val="TextoNormal"/>
      </w:pPr>
      <w:r>
        <w:t>El argumento de que puede llegar a romperse la cohesión en el Cuerpo y la igualdad de condiciones en el acceso al mismo sólo sería válido si el primer concurso de méritos fuera realmente para ingresar en el Cuerpo de nueva creación y no para adjudicar simultáneamente a dicho ingreso plaza alguna concreta de la plantilla del mismo. Si así fuese, nada habría que objetar, ciertamente, a la tesis mantenida por el Abogado del Estado. Pero no es así, por mucho que éste entienda que ingreso en el Cuerpo y atribución de plaza concreta son dos momentos o fases sucesivas. Basta con leer no sólo el expresivo título de la Orden impugnada, sino, sobre todo, el art. 8 de la misma, en lo que respecta, nótese bien, tanto a la adjudicación de plazas definitivas de destino a aquellos concursantes exentos de la realización del período de prácticas como a la adjudicación de tales plazas a los concursantes que hayan de realizar dichas prácticas, pues hasta que no se superen éstas positivamente no ingresan en el Cuerpo, no pueden, en consecuencia, obtener plaza definitiva en la plantilla del mismo. No creemos, en definitiva, que pueda razonablemente aceptarse dicha tesis sobre la base de una diferencia -inexistente, repetimos- entre primero y sucesivos concursos de méritos (o concursos-oposición, que es la otra vía alternativa a éstos que prevén la Ley 31/1980 y el Real Decreto 657/1982).</w:t>
      </w:r>
    </w:p>
    <w:p w:rsidR="001C705E" w:rsidRDefault="001C705E" w:rsidP="001C705E">
      <w:pPr>
        <w:pStyle w:val="TextoNormal"/>
      </w:pPr>
    </w:p>
    <w:p w:rsidR="001C705E" w:rsidRDefault="001C705E" w:rsidP="001C705E">
      <w:pPr>
        <w:pStyle w:val="TextoNormal"/>
      </w:pPr>
      <w:r w:rsidRPr="001C705E">
        <w:rPr>
          <w:rStyle w:val="NumeroAFNegritaCaracter"/>
        </w:rPr>
        <w:t>4</w:t>
      </w:r>
      <w:r>
        <w:t>. Otro punto importante es el relativo al encuadramiento de la cuestión litigiosa en una «materia» a efectos de la determinación de la titularidad competencial correspondiente.</w:t>
      </w:r>
    </w:p>
    <w:p w:rsidR="001C705E" w:rsidRDefault="001C705E" w:rsidP="001C705E">
      <w:pPr>
        <w:pStyle w:val="TextoNormal"/>
      </w:pPr>
      <w:r>
        <w:t>No cabe duda de que, en principio, la «cuestión» objeto del presente conflicto -la convocatoria y resolución de un concurso de méritos para proveer las plazas vacantes en la plantilla de terminado Cuerpo de funcionarios que realizan tareas de inspección en el ámbito de cierto nivel de la enseñanza o de la educación escolar- puede encuadrarse tanto en la «materia» relativa a la «función pública» como en la de la «enseñanza o educación escolar».</w:t>
      </w:r>
    </w:p>
    <w:p w:rsidR="001C705E" w:rsidRDefault="001C705E" w:rsidP="001C705E">
      <w:pPr>
        <w:pStyle w:val="TextoNormal"/>
      </w:pPr>
      <w:r>
        <w:t>Del conjunto del razonamiento del representante del Gobierno Vasco se desprende que, para él, dicha cuestión puede encuadrarse en ambas materias con la misma consecuencia: Que la titularidad de la competencia controvertida corresponde a la Comunidad Autónoma tanto porque la Formación Profesional es una materia encuadrable dentro de la competencia asumida por tal ente en el art. 16 de su Estatuto -así lo corroboran los Reales Decretos de traspaso de servicios en la repetida materia núms. 2808/1980 y 3195/1980- como porque la facultad que se reivindica no es sino de mera ejecución, perfectamente subsumible en el art. 10.4 del propio EAPV y salvando absolutamente la competencia del Estado en materia funcionarial prevista en el art. 149.1.18.ª de la C.E.</w:t>
      </w:r>
    </w:p>
    <w:p w:rsidR="001C705E" w:rsidRDefault="001C705E" w:rsidP="001C705E">
      <w:pPr>
        <w:pStyle w:val="TextoNormal"/>
      </w:pPr>
      <w:r>
        <w:lastRenderedPageBreak/>
        <w:t>Dicho con otras palabras, para el representante del Gobierno Vasco, el «encuadramiento» de la cuestión litigiosa en dos materias distintas conduce, de todos modos, a idéntica conclusión: La atribución de la misma a la competencia de la Comunidad Autónoma.</w:t>
      </w:r>
    </w:p>
    <w:p w:rsidR="001C705E" w:rsidRDefault="001C705E" w:rsidP="001C705E">
      <w:pPr>
        <w:pStyle w:val="TextoNormal"/>
      </w:pPr>
      <w:r>
        <w:t>Por el contrario, el Abogado del Estado, tras referirse al «entrecruzamiento» entre dos posibles enfoques competenciales -relativos, respectivamente, a enseñanza y función pública- y apelar a la doctrina sentada por este TC en la Sentencia núm.  42/1981 (Jurisprudencia Constitucional, tomo segundo, pág.  382), concluye diciendo que dicho entrecruzamiento desaparece por cuanto la Orden en litigio responde de modo más característico a una competencia en materia funcionarial, para deducir de ello -con base en otros fundamentos que ahora no hacen al caso- que la titularidad de la misma en este caso concreto corresponde al Estado.</w:t>
      </w:r>
    </w:p>
    <w:p w:rsidR="001C705E" w:rsidRDefault="001C705E" w:rsidP="001C705E">
      <w:pPr>
        <w:pStyle w:val="TextoNormal"/>
      </w:pPr>
      <w:r>
        <w:t>No es necesario realizar dicha opción excluyente, pues cabe perfectamente mantener, sin contradicción en cuanto a las consecuencias, que la cuestión litigiosa puede encuadrarse en las dos materias aludidas -enseñanza y función pública- como sostiene el representante del Gobierno Vasco.</w:t>
      </w:r>
    </w:p>
    <w:p w:rsidR="001C705E" w:rsidRDefault="001C705E" w:rsidP="001C705E">
      <w:pPr>
        <w:pStyle w:val="TextoNormal"/>
      </w:pPr>
      <w:r>
        <w:t>Veamos a continuación en qué medida la configuración constitucional y estatutaria de ambas materias permite considerar que la competencia controvertida corresponde a la titularidad de la Comunidad Autónoma del País Vasco.</w:t>
      </w:r>
    </w:p>
    <w:p w:rsidR="001C705E" w:rsidRDefault="001C705E" w:rsidP="001C705E">
      <w:pPr>
        <w:pStyle w:val="TextoNormal"/>
      </w:pPr>
    </w:p>
    <w:p w:rsidR="001C705E" w:rsidRDefault="001C705E" w:rsidP="001C705E">
      <w:pPr>
        <w:pStyle w:val="TextoNormal"/>
      </w:pPr>
      <w:r w:rsidRPr="001C705E">
        <w:rPr>
          <w:rStyle w:val="NumeroAFNegritaCaracter"/>
        </w:rPr>
        <w:t>5</w:t>
      </w:r>
      <w:r>
        <w:t>. Por lo que se refiere a la materia educativa o de enseñanza debe partirse de lo que establece el art. 16 del EAPV, según el cual «en aplicación de lo dispuesto en la disposición adicional primera de la Constitución es de la competencia de la Comunidad Autónoma del País Vasco la enseñanza en toda su extensión, niveles y grados, modalidades y especialidades, sin perjuicio del art. 27 de la Constitución y Leyes Orgánicas que lo desarrollen de las facultades que atribuye al Estado el art. 149. 1.30.ª de la misma y de la alta inspección necesaria para su cumplimiento y garantía».</w:t>
      </w:r>
    </w:p>
    <w:p w:rsidR="001C705E" w:rsidRDefault="001C705E" w:rsidP="001C705E">
      <w:pPr>
        <w:pStyle w:val="TextoNormal"/>
      </w:pPr>
      <w:r>
        <w:t>Del precepto transcrito puede fácilmente deducirse que en materia de enseñanza corresponde a la Comunidad del País Vasco una amplia competencia limitada directamente por la del Estado en lo que respecta a la regulación del derecho fundamental a la educación y a la libertad de enseñanza en sus distintos aspectos, a que se refiere el art. 27 de la C.E. (cuyo desarrollo corresponde efectuar al Estado mediante Ley Orgánica), a la regulación de las condiciones de obtención, expedición y homologación de títulos académicos y profesionales (art. 149.1.30.ª de la C.E.)  y a la alta inspección necesaria para el cumplimiento y garantía de los derechos fundamentales en materia educativa y de las obligaciones de los poderes públicos en la misma (art. 27.8 de la C.E.).</w:t>
      </w:r>
    </w:p>
    <w:p w:rsidR="001C705E" w:rsidRDefault="001C705E" w:rsidP="001C705E">
      <w:pPr>
        <w:pStyle w:val="TextoNormal"/>
      </w:pPr>
      <w:r>
        <w:t>El reparto competencial en materia educativa entre el Estado y la Comunidad del País Vasco ha de tener en cuenta también la proyección que sobre tal materia tienen otros títulos competenciales -concretamente, los relativos a la función pública- tanto en la C.E. (art. 149.1.18.ª), como en el propio EAPV (art. 10.4) y que permiten, como es obvio, relativizar el alcance de la competencia asumida por la Comunidad del País Vasco en el art. 16 de su Estatuto.</w:t>
      </w:r>
    </w:p>
    <w:p w:rsidR="001C705E" w:rsidRDefault="001C705E" w:rsidP="001C705E">
      <w:pPr>
        <w:pStyle w:val="TextoNormal"/>
      </w:pPr>
      <w:r>
        <w:t xml:space="preserve">Como ha señalado este TC en la Sentencia núm. 6/1982, «si prescindimos de la alta inspección, las competencias que exclusivamente corresponden al Estado, en orden a la enseñanza (ordenación general del sistema educativo; fijación de las enseñanzas mínimas; regulación de las demás condiciones para obtención, expedición y homologación de títulos académicos y profesionales y establecimiento de normas básicas para el desarrollo del art. 27 de la C.E.; que garanticen el cumplimiento de las obligaciones de los poderes públicos y la igualdad de todos los españoles en el ejercicio de los derechos y el desarrollo de los </w:t>
      </w:r>
      <w:r>
        <w:lastRenderedPageBreak/>
        <w:t>deberes constitucionales) tiene un contenido esencialmente normativo como se infiere de su propia significación semántica: "Ordenar", "fijar", "regular", "establecer", son verbos que aluden a una concreción, por quien puede hacerlo, de propósito, principios, objetivos y métodos preordenados a un fin, expresados en declaraciones de carácter imperativo».  «En la medida -sigue diciendo el TC- en que no se alude a los actos de Gobierno y administración necesarios para hacer efectivos esos principios, desarrollarlos, aplicarlos o imponerlos, tácitamente se está admitiendo que su ejecución puede, eventualmente, ser atribuida a los poderes autonómicos» (F.  J. núm. 4, Jurisprudencia Constitucional, tomo tercero, pág. 90).</w:t>
      </w:r>
    </w:p>
    <w:p w:rsidR="001C705E" w:rsidRDefault="001C705E" w:rsidP="001C705E">
      <w:pPr>
        <w:pStyle w:val="TextoNormal"/>
      </w:pPr>
      <w:r>
        <w:t>Aunque como este mismo TC tiene declarado con reiteración, la distribución de competencias entre el Estado y las Comunidades Autónomas viene establecida en la C.E. y en los respectivos Estatutos de Autonomía, de modo que los Decretos de traspaso de servicios se limitan a transferir éstos y no transfieren competencias (Cfr., por ejemplo, entre otras, las Sentencias núms. 26/1982 y 25, 71, 76, 87, 88 y 133/1983); no debe olvidarse, sin embargo, el valor interpretativo -que, naturalmente, no puede prevalecer sobre las previsiones constitucionales y estatutarias ni vincular a este TC- de tales Decretos de transferencia, que suelen contener con mayor o menor detalle una especificación de las funciones que recibe la Comunidad Autónoma y las que retiene el Estado.</w:t>
      </w:r>
    </w:p>
    <w:p w:rsidR="001C705E" w:rsidRDefault="001C705E" w:rsidP="001C705E">
      <w:pPr>
        <w:pStyle w:val="TextoNormal"/>
      </w:pPr>
      <w:r>
        <w:t>Pues bien, si se examinan los Reales Decretos núms. 2808/1980, de 26 de septiembre, y 3195/1980, de 30 de diciembre, por los que, respectivamente, se traspasan servicios del Estado a la Comunidad Autónoma del País Vasco en materia de enseñanza y se completa dicho traspaso de servicios, se verá que entre los servicios e instituciones que se traspasan a dicha Comunidad Autónoma en virtud del primero de tales Decretos figura expresamente la Inspección Técnica [letra B.b) del anexo], y que en el segundo Decreto se precisa que entre los servicios e instituciones que se traspasan se contiene «el nombramiento, traslado, promoción, perfeccionamiento y movilidad del personal docente y no docente, adscrito a los Centros y servicios transferidos» [letra B.d) del anexo], figurando, además, en la «Relación de créditos a transferir a la Comunidad Autónoma del País Vasco correspondientes al Ministerio de Educación», entre otros, los relativos al «Cuerpo Especial de Inspectores Técnicos de Formación Profesional» (punto 5.1 del anexo del primero de los Reales Decretos citados).</w:t>
      </w:r>
    </w:p>
    <w:p w:rsidR="001C705E" w:rsidRDefault="001C705E" w:rsidP="001C705E">
      <w:pPr>
        <w:pStyle w:val="TextoNormal"/>
      </w:pPr>
      <w:r>
        <w:t>De todo ello se deduce, a nuestro juicio, que la competencia para convocar y resolver el concurso anunciado por la Orden controvertida en cuanto a las plazas de la plantilla ubicadas en el ámbito territorial del País Vasco corresponde a esta Comunidad Autónoma.</w:t>
      </w:r>
    </w:p>
    <w:p w:rsidR="001C705E" w:rsidRDefault="001C705E" w:rsidP="001C705E">
      <w:pPr>
        <w:pStyle w:val="TextoNormal"/>
      </w:pPr>
      <w:r>
        <w:t>En efecto, si la «Inspección Técnica» es uno de los servicios transferidos, tal «función» puede perfectamente encuadrarse en la amplia competencia que en materia de enseñanza otorga al País Vasco su Estatuto de Autonomía en el art.  16, sin que le afecten, por otro lado, en este punto, las reservas competenciales del Estado antes vistas, no puede discutirse que la referida convocatoria y resolución del concurso controvertido corresponde a la Comunidad Autónoma del País Vasco.</w:t>
      </w:r>
    </w:p>
    <w:p w:rsidR="001C705E" w:rsidRDefault="001C705E" w:rsidP="001C705E">
      <w:pPr>
        <w:pStyle w:val="TextoNormal"/>
      </w:pPr>
    </w:p>
    <w:p w:rsidR="001C705E" w:rsidRDefault="001C705E" w:rsidP="001C705E">
      <w:pPr>
        <w:pStyle w:val="TextoNormal"/>
      </w:pPr>
      <w:r w:rsidRPr="001C705E">
        <w:rPr>
          <w:rStyle w:val="NumeroAFNegritaCaracter"/>
        </w:rPr>
        <w:t>6</w:t>
      </w:r>
      <w:r>
        <w:t>. A la misma conclusión puede llegarse si se analiza la cuestión controvertida desde la perspectiva de la competencia en materia de función pública, habida cuenta de lo que disponen al respecto el art. 149.1.18.ª de la C.E. y el art. 10.4 del Estatuto de Autonomía del País Vasco.</w:t>
      </w:r>
    </w:p>
    <w:p w:rsidR="001C705E" w:rsidRDefault="001C705E" w:rsidP="001C705E">
      <w:pPr>
        <w:pStyle w:val="TextoNormal"/>
      </w:pPr>
      <w:r>
        <w:t>De una interpretación combinada de ambos preceptos se deduce claramente que al Estado corresponde el establecimiento de las bases del régimen estatutario de los funciona</w:t>
      </w:r>
      <w:r>
        <w:lastRenderedPageBreak/>
        <w:t>rios y a la Comunidad del País Vasco el desarrollo legislativo y la ejecución de dicho régimen estatutario en lo que se refiere a los funcionarios al servicio de dicha Comunidad.</w:t>
      </w:r>
    </w:p>
    <w:p w:rsidR="001C705E" w:rsidRDefault="001C705E" w:rsidP="001C705E">
      <w:pPr>
        <w:pStyle w:val="TextoNormal"/>
      </w:pPr>
      <w:r>
        <w:t>Pues bien, si la inspección técnica y, en concreto, la inspección técnica de formación profesional es un servicio transferido al País Vasco -que se comprende en la «materia» de enseñanza asumida por su Estatuto de Autonomía-, y en él, como en todo servicio, deben comprenderse, aparte de los demás medios materiales y financieros, los personales, es obvio que la competencia de desarrollo legislativo y de ejecución de la normativa básica estatal relativa a tales funcionarios es de titularidad del País Vasco en cuanto a las plazas ubicadas en el ámbito territorial de esa Comunidad Autónoma.</w:t>
      </w:r>
    </w:p>
    <w:p w:rsidR="001C705E" w:rsidRDefault="001C705E" w:rsidP="001C705E">
      <w:pPr>
        <w:pStyle w:val="TextoNormal"/>
      </w:pPr>
      <w:r>
        <w:t>En este conflicto, sin embargo, no se discute por ninguna de las partes la competencia relativa al desarrollo legislativo de las bases en materia de función pública -ni el representante del Estado afirma que le corresponde a éste ni el del Gobierno Vasco reivindica tal potestad en este caso concreto para la Comunidad Autónoma-, sino, exclusivamente, una específica facultad ejecutiva, la de convocar y resolver el concurso de méritos anunciado por la Orden impugnada, facultad que el Gobierno Vasco entiende que le corresponde en lo que respecta al ámbito territorial de esa Comunidad Autónoma y que el Gobierno de la Nación considera también que entra dentro de sus atribuciones.</w:t>
      </w:r>
    </w:p>
    <w:p w:rsidR="001C705E" w:rsidRDefault="001C705E" w:rsidP="001C705E">
      <w:pPr>
        <w:pStyle w:val="TextoNormal"/>
      </w:pPr>
      <w:r>
        <w:t>A juicio de este TC, la tesis del Abogado del Estado sería correcta, desde el punto de vista constitucional, sólo si tal facultad pudiese considerarse básica o, lo que es lo mismo, un aspecto básico del régimen estatutario de los funcionarios públicos.  No creemos que ello sea así ni siquiera en un supuesto como éste en el que no sólo se trata de acceder inicialmente a un nuevo Cuerpo, sino también de adjudicar simultáneamente a dicho ingreso plazas ubicadas en el País Vasco.</w:t>
      </w:r>
    </w:p>
    <w:p w:rsidR="001C705E" w:rsidRDefault="001C705E" w:rsidP="001C705E">
      <w:pPr>
        <w:pStyle w:val="TextoNormal"/>
      </w:pPr>
      <w:r>
        <w:t>Por otro lado, tampoco tiene relevancia el hecho de que se trate de ingreso en un Cuerpo de ámbito estatal. Ello no impide el ejercicio de competencias en relación con los mismos por parte de las Comunidades Autónomas que las tenga atribuidas en sus Estatutos.</w:t>
      </w:r>
    </w:p>
    <w:p w:rsidR="001C705E" w:rsidRDefault="001C705E" w:rsidP="001C705E">
      <w:pPr>
        <w:pStyle w:val="TextoNormal"/>
      </w:pPr>
      <w:r>
        <w:t>Hay, en efecto, abundantes ejemplos de lo que decimos a partir del Real Decreto 229/1981, de 5 de febrero, por el que se introducen determinadas modificaciones en el procedimiento de acceso a los Cuerpos de funcionarios hasta ahora dependientes del Ministerio de Educación y Ciencia. Con base en dicho Real Decreto -cuya prórroga para el año 1982 llevó a cabo el Real Decreto 3266/1981, de 29 de diciembre- se han efectuado múltiples convocatorias para acceder por oposición o por concurso a plazas ubicadas en el ámbito territorial de las Comunidades Autónomas del País Vasco y de Cataluña de los Cuerpos de Maestros de Taller, Profesores Numerarios de Escuelas de Maestría Industrial, Profesores de Educación General Básica, Catedráticos Numerarios de Bachillerato y Profesores Agregados de Bachillerato.</w:t>
      </w:r>
    </w:p>
    <w:p w:rsidR="001C705E" w:rsidRDefault="001C705E" w:rsidP="001C705E">
      <w:pPr>
        <w:pStyle w:val="TextoNormal"/>
      </w:pPr>
      <w:r>
        <w:t>El mismo sentido tienen también las convocatorias de concursos de traslados de otros Cuerpos de funcionarios para cubrir plazas ubicadas en el territorio del País Vasco, que efectuadas primeramente por la Administración del Estado, el Gobierno de la Nación aceptó luego expresa o tácitamente que correspondía hacer a dicha Comunidad Autónoma, o con su participación [Vid. los ejemplos que ofrece en este sentido el representante del Gobierno Vasco en su escrito.  Antecedente segundo, apartado p), de la presente Sentencia].</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Admitida por la presente Sentencia que la competencia controvertida corresponde a la Comunidad Autónoma del País Vasco y su correspondiente corolario de nulidad de la resolución del concurso de méritos por lo que se refiere a las plazas ubicadas en el ámbito territorial del País Vasco, es necesario ocuparse de los efectos que hayan podido producir </w:t>
      </w:r>
      <w:r>
        <w:lastRenderedPageBreak/>
        <w:t>los nombramientos de los seis Inspectores de las plazas convocadas en el País Vasco, así como los actos realizados por los mismos y la continuidad o no de sus funciones.</w:t>
      </w:r>
    </w:p>
    <w:p w:rsidR="001C705E" w:rsidRDefault="001C705E" w:rsidP="001C705E">
      <w:pPr>
        <w:pStyle w:val="TextoNormal"/>
      </w:pPr>
      <w:r>
        <w:t>Este TC, de acuerdo con lo dispuesto en el art. 66 de la LOTC, considera necesario optar por: a) El mantenimiento de la eficacia de los actos realizados por los Inspectores que hayan ocupado las plazas convocadas para el País Vasco por la Orden de 30 de julio de 1982, actos que no pueden ser considerados nulos por el hecho de que hayan sido nombrados por un ente incompetente para ello, y, b) La continuidad en la prestación de las funciones en la plaza que hayan venido ocupando por parte de los Inspectores Técnicos de Formación Profesional nombrados en virtud de la referida Orden hasta tanto se resuelva, previa convocatoria realizada por la Comunidad Autónoma del País Vasco, el nuevo concurso de méritos para cubrir las plazas ubicadas en el País Vasco.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Que la competencia controvertida corresponde a la Comunidad Autónoma del País Vasco.</w:t>
      </w:r>
    </w:p>
    <w:p w:rsidR="001C705E" w:rsidRDefault="001C705E" w:rsidP="001C705E">
      <w:pPr>
        <w:pStyle w:val="TextoNormal"/>
      </w:pPr>
      <w:r>
        <w:t>2.  Declarar la nulidad de la Orden de 30 de julio de 1982 («Boletín Oficial del Estado» núm. 197, de 18 de agosto), exclusivamente en lo que se refiere a las seis plazas convocadas para el País Vasco contenidas en el anexo II de dicha Orden.</w:t>
      </w:r>
    </w:p>
    <w:p w:rsidR="001C705E" w:rsidRDefault="001C705E" w:rsidP="001C705E">
      <w:pPr>
        <w:pStyle w:val="TextoNormal"/>
      </w:pPr>
      <w:r>
        <w:t>3.  Mantener la eficacia de los actos realizados por los Inspectores nombrados y la continuación en la prestación de sus funciones conforme y con la extensión establecida en el fundamento jurídico séptimo.</w:t>
      </w:r>
    </w:p>
    <w:p w:rsidR="001C705E" w:rsidRDefault="001C705E" w:rsidP="001C705E">
      <w:pPr>
        <w:pStyle w:val="TextoNormal"/>
      </w:pPr>
    </w:p>
    <w:p w:rsidR="001C705E" w:rsidRDefault="001C705E" w:rsidP="001C705E">
      <w:pPr>
        <w:pStyle w:val="TextoNormal"/>
      </w:pPr>
      <w:r>
        <w:t>Publíquese en el «Boletín Oficial del Estado».</w:t>
      </w:r>
    </w:p>
    <w:p w:rsidR="001C705E" w:rsidRDefault="001C705E" w:rsidP="001C705E">
      <w:pPr>
        <w:pStyle w:val="TextoNormal"/>
      </w:pPr>
      <w:r>
        <w:t>Dada en Madrid, a veintiocho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2" w:name="SENTENCIA_1985_49"/>
      <w:r>
        <w:lastRenderedPageBreak/>
        <w:t>SENTENCIA 49/1985, de 28 de marzo de 1985</w:t>
      </w:r>
    </w:p>
    <w:bookmarkEnd w:id="52"/>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ECLI:ES:TC:1985:49</w:t>
      </w:r>
    </w:p>
    <w:p w:rsidR="001C705E" w:rsidRDefault="001C705E" w:rsidP="001C705E">
      <w:pPr>
        <w:pStyle w:val="SntesisDescriptiva"/>
      </w:pPr>
    </w:p>
    <w:p w:rsidR="001C705E" w:rsidRDefault="001C705E" w:rsidP="001C705E">
      <w:pPr>
        <w:pStyle w:val="SntesisDescriptiva"/>
      </w:pPr>
      <w:r>
        <w:t>Recurso de amparo 278/1984. Contra Sentencia de la Magistratura de Trabajo por violación del principio de igualdad en la aplicación de la Ley</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De los principios de independencia y autonomía judicial y sujeción exclusiva del Juez a la legalidad deriva la imposibilidad de exigir del juzgador un mantenimiento indefinido de sus propios precedentes. La propia dinámica jurídica, que se manifiesta no sólo en la modificación normativa sino también en una razonable evolución en la interpretación y aplicación de la legalidad (STC 63/1984, de 21 de mayo), fundamenta la libertad de cada órgano judicial para modificar sus propios criterios; libertad que, además, no puede ser controlada por este Tribunal en el recurso de amparo en la medida en que no incida en la vulneración de derechos fundamentales. </w:t>
      </w:r>
    </w:p>
    <w:p w:rsidR="001C705E" w:rsidRDefault="001C705E" w:rsidP="001C705E">
      <w:pPr>
        <w:pStyle w:val="Extracto"/>
      </w:pPr>
    </w:p>
    <w:p w:rsidR="001C705E" w:rsidRDefault="001C705E" w:rsidP="001C705E">
      <w:pPr>
        <w:pStyle w:val="Extracto"/>
      </w:pPr>
      <w:r>
        <w:t>2.</w:t>
      </w:r>
      <w:r>
        <w:tab/>
        <w:t xml:space="preserve">La posibilidad de modificar el criterio previamente adoptado constituye incluso exigencia ineludible de la propia función judicial cuando aquél se considera posteriormente erróneo, pues el Juez está sujeto a la Ley y no al precedente. </w:t>
      </w:r>
    </w:p>
    <w:p w:rsidR="001C705E" w:rsidRDefault="001C705E" w:rsidP="001C705E">
      <w:pPr>
        <w:pStyle w:val="Extracto"/>
      </w:pPr>
    </w:p>
    <w:p w:rsidR="001C705E" w:rsidRDefault="001C705E" w:rsidP="001C705E">
      <w:pPr>
        <w:pStyle w:val="Extracto"/>
      </w:pPr>
      <w:r>
        <w:t>3.</w:t>
      </w:r>
      <w:r>
        <w:tab/>
        <w:t xml:space="preserve">El significado del principio de igualdad en la aplicación de la Ley ofrece un sentido muy diferente del correspondiente al principio de igualdad ante la Ley; mientras este último es de carácter material y pretende garantizar la identidad de trato de los iguales, aquél es predominantemente formal. Lo que el principio de igualdad en la aplicación de la Ley exige no es tanto que la Ley reciba siempre la misma interpretación a efectos de que los sujetos a los que se aplique resulten siempre idénticamente afectados, sino que no se emitan pronunciamientos arbitrarios por incurrir en desigualdad no justificada en un cambio de criterio que pueda reconocerse como tal. </w:t>
      </w:r>
    </w:p>
    <w:p w:rsidR="001C705E" w:rsidRDefault="001C705E" w:rsidP="001C705E">
      <w:pPr>
        <w:pStyle w:val="Extracto"/>
      </w:pPr>
    </w:p>
    <w:p w:rsidR="001C705E" w:rsidRDefault="001C705E" w:rsidP="001C705E">
      <w:pPr>
        <w:pStyle w:val="Extracto"/>
      </w:pPr>
      <w:r>
        <w:t>4.</w:t>
      </w:r>
      <w:r>
        <w:tab/>
        <w:t>Afirman las SSTC 63/1978 y 64/1978, de 21 de mayo, que la estricta aplicación de la Constitución exige que el cambio de criterio aparezca suficientemente motivado mediante la expresa referencia al criterio anterior y la aportación de las razones que justifican el apartamiento de los precedentes, pues ello constituye una garantía tanto de la evitación de la arbitrariedad como de la promoción de la seguridad jurídica. No obstante, como siguen diciendo las mencionadas Sentencias, no siempre que falte la motivación expresa del cambio de criterio ha de entenderse sin más quebrado el principio de igualdad en la aplicación de la Ley. Puede haber casos en los que de la propia lógica interna de la resolución, o de datos externos a ella, pueda inferirse con certeza, o, al menos con relativa seguridad, que el cambio objetivamente perceptible es consciente, y que de él queda excluida tanto la arbitrariedad como la inadvertencia. Bien entendido que, como lo natu</w:t>
      </w:r>
      <w:r>
        <w:lastRenderedPageBreak/>
        <w:t xml:space="preserve">ralmente exigible es la motivación expresa, la tácita sólo podrá admitirse cuando se dé respecto a ella ese alto grado de certeza antes evocado.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278/1984, interpuesto por el Procurador don Luis Fernando Alvarez Wiese, asistido del Letrado don Pedro Feced Martínez, en nombre de don Joaquín Ataz Sánchez, don Casimiro Jiménez García-Alcalá, don José Jiménez García Alcalá, don José Pérez García, don Gregorio Mendo Salgado, don Esteban Malagón Arriero, don Tomás Gallego Gamero, don Julián Reinoso Romero, don Luis Romero Huete, don Felipe de la Paz Quesada, don Lorenzo Negrete Fernández don Gabriel Fernández Matamala, don Juan Tirado García, don Vicente Quintana García y don Rafael Mata Cañete, contra Sentencia de la Magistratura de Trabajo núm. 20 de Madrid que desestima demanda sobre reclamación por fin de obra. </w:t>
      </w:r>
    </w:p>
    <w:p w:rsidR="001C705E" w:rsidRDefault="001C705E" w:rsidP="001C705E">
      <w:pPr>
        <w:pStyle w:val="TextoNormal"/>
      </w:pPr>
      <w:r>
        <w:t>Han sido parte en el asunto el Fiscal General del Estado, y en calidad de codemandada la Entidad «Hispano-Alemana de Construcciones, Sociedad Anónima», representada por el Procurador don Eduardo Sánchez Alvarez y asistida por el Letrado don Luis López Moya, y ha sido Ponente el Magistrado don Francisco Tomás y Valiente,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día 16 de abril de 1984 tuvo entrada en el Tribunal demanda de amparo formulada por el Procurador don Luis Fernando Alvarez Wiese en nombre y representación de don Joaquín Ataz Sánchez, don Casimiro Jiménez García-Alcalá, don José Jiménez García-Alcalá, don José Pérez García, don Gregorio Mendo Salgado, don Esteban Malagón Arriero, don Tomás Gallego Gamero, don Julián Reinoso Romero, don Luis Romero Huete, don Felipe de la Paz Quesada, don Lorenzo Negrete Fernández, don Gabriel Fernández Matamala, don Juan Tirado García, don Vicente Quintana García y don Rafael Mata Cañete, contra la Sentencia de la Magistratura de Trabajo núm. 20 de Madrid, de 27 de febrero de 1984, presuntamente infractora del art. 14 de la Constitución Española, que consagra el principio de igualdad en la aplicación de la Ley. </w:t>
      </w:r>
    </w:p>
    <w:p w:rsidR="001C705E" w:rsidRDefault="001C705E" w:rsidP="001C705E">
      <w:pPr>
        <w:pStyle w:val="TextoNormal"/>
      </w:pPr>
      <w:r>
        <w:t>Según se relata en la demanda, los actores fueron contratados en distintas fechas entre los meses de junio y agosto de 1981 por la Empresa «Hispano-Alemana de Construccio</w:t>
      </w:r>
      <w:r>
        <w:lastRenderedPageBreak/>
        <w:t xml:space="preserve">nes, Sociedad Anónima», hasta la finalización de los trabajos de su especialidad en una obra determinada, siendo cesados por dicha causa el 8 de abril de 1983. </w:t>
      </w:r>
    </w:p>
    <w:p w:rsidR="001C705E" w:rsidRDefault="001C705E" w:rsidP="001C705E">
      <w:pPr>
        <w:pStyle w:val="TextoNormal"/>
      </w:pPr>
      <w:r>
        <w:t xml:space="preserve">Habiendo reclamado, sin resultado, la indemnización del 4,5 por 100 que prevé el art. 44 c), párrafo cuarto, de la Ordenanza de Trabajo para la Construcción, Vidrio y Cerámica de 28 de agosto de 1970 para los trabajadores contratados para la realización de una obra determinada, al finalizar ésta, interpusieron las correspondientes demandas judiciales que fueron resueltas por Sentencia desestimatoria de la Magistratura de Trabajo núm. 20 de Madrid, de 27 de febrero de 1984. En un breve considerando, el Magistrado de Trabajo declaró «que si bien la Ordenanza de la Construcción prevé la indemnización del 4,5 por 100 sobre el salario devengado en el supuesto de cese del personal fijo de obra, art. 44 c), es cierto que de conformidad con lo preceptuado en el art. 1.4 del Real Decreto 2303/1980, de 17 de octubre, en los contratos de trabajo para la realización de obra o servicio determinado, no percibirá indemnización de conclusión, salvo pacto individual o colectivo en contrario, por lo que al no contemplarse en el Convenio Colectivo de la Construcción la indemnización del 4,5 por 100 a que se refiere la Ordenanza, ni quedar acreditado por los accionantes la existencia de pacto al respecto en sus contratos individuales, los que, en definitiva, no invocan, como apoyatura de sus pretensiones, otro fundamento que el precepto primeramente indicado, es claro que no procede estimar las demandas...». </w:t>
      </w:r>
    </w:p>
    <w:p w:rsidR="001C705E" w:rsidRDefault="001C705E" w:rsidP="001C705E">
      <w:pPr>
        <w:pStyle w:val="TextoNormal"/>
      </w:pPr>
      <w:r>
        <w:t xml:space="preserve">Los actores alegan que, con anterioridad a la Sentencia impugnada, el 15 de noviembre de 1983, la misma Magistratura de Trabajo dictó Sentencia en un supuesto relativo al trabajador don Hermenegildo Vallejo Navarro, también contratado por «Hispano-Alemana de Construcciones, Sociedad Anónima», para la realización de una obra el 24 de noviembre de 1981 y cesado el 30 de marzo de 1983, accediendo a la pretensión indemnizatoria. Según se expone en tal Sentencia, «si bien el art. 1 del Real Decreto 2303/1980, de 17 de octubre, contratos para obra o servicio determinado, establece en su punto 4 que en los contratos a que se refiere dicho art. no procederá indemnización de conclusión, salvo pacto individual o colectivo en contrario, y no deduciéndose del conjunto de la prueba practicada que en el acuerdo individual regulando las condiciones de trabajo del demandante con la Empresa demandada se pactara la prohibición de percibir el importe del 4,5 por 100 sobre el salario devengado en jornada ordinaria, para el caso de cese en la Empresa por terminación de los trabajos de su especialidad, que, a mayor abundamiento, el Convenio Colectivo de aplicación no sólo no prohíbe de forma expresa la percepción de dicha cantidad, sino que en su art. 7 se remite a la Ordenanza Laboral de la Construcción, de 28 de agosto de 1970, la que continuará, dice dicho precepto, rigiendo en aquellas disposiciones que no sean sustituidas por lo pactado en el Convenio, con lo que, sin lugar a dudas, el citado precepto convencional está permitiendo la vigencia del art. 44 c) de la Ordenanza, más si se tiene en cuenta que la Ordenanza no se encuentra derogada por el Real Decreto 2303/1980, de 17 de octubre, como argumenta la representación de la accionada, pues su vigencia viene impuesta por lo previsto en la disposición transitoria segunda del Estatuto de los Trabajadores, de superior rango normativo que el Real Decreto mencionado, no cuestionado por la representación de la Empresa el importe de lo reclamado en la demanda, es claro que procede estimar la pretensión deducida...». </w:t>
      </w:r>
    </w:p>
    <w:p w:rsidR="001C705E" w:rsidRDefault="001C705E" w:rsidP="001C705E">
      <w:pPr>
        <w:pStyle w:val="TextoNormal"/>
      </w:pPr>
      <w:r>
        <w:t>Se aduce igualmente que, todavía en un supuesto anterior relativo a los trabajadores don Juan Alvarez Fermín y don Francisco García Robles, contratados por la misma Empresa el 3 de febrero de 1981 y hasta el 30 de septiembre de 1981, la Magistratura de Trabajo núm. 20 de Madrid reconoció también el derecho a la indemnización del 4,5 por 100 en su Sentencia de 20 de enero de 1983, declarando «que al establecer la disposición transitoria segunda del Estatuto de los Trabajadores que las Ordenanzas de Trabajo continua</w:t>
      </w:r>
      <w:r>
        <w:lastRenderedPageBreak/>
        <w:t>rán en vigor, como derecho dispositivo, es claro que al estar regulado en la de la Construcción, Vidrio y Cerámica, en su art. 44, los ceses e indemnizaciones por terminación de obra, han de ser de aplicación en tanto no se modifique por Convenio, más si se tiene en cuenta que, a mayor abundamiento, no ha quedado acreditado por la empleadora que existe pacto expreso que derogue dicha disposición de la Ordenanza o que resulte sustituido por otro concepto retributivo, de conformidad con lo declarado en la Sentencia del Tribunal Central de Trabajo, de 15 de diciembre de 1981 (R. Aranzadi 7466), procede estimar las demandas, en este particular cuestionado».</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Para fundamentar su apreciación de que la Resolución recurrida vulnera el derecho a la igualdad en la aplicación de la Ley, los demandantes, con apoyo en la Sentencia de este Tribunal núm. 2/1983, de 24 de enero, proceden a comprobar la existencia de la identidad de situaciones de hecho y de derecho y a precisar las circunstancias concurrentes en las Resoluciones judiciales que mantienen distinta aplicación jurídica para su posible confrontación. </w:t>
      </w:r>
    </w:p>
    <w:p w:rsidR="001C705E" w:rsidRDefault="001C705E" w:rsidP="001C705E">
      <w:pPr>
        <w:pStyle w:val="TextoNormal"/>
      </w:pPr>
      <w:r>
        <w:t xml:space="preserve">Destacan así la identidad de los contratos de trabajo implicados y de las demandas resueltas por las distintas Resoluciones judiciales, todas las cuales pretendían la aplicación del art. 44 c), párrafo cuarto, de la Ordenanza de Trabajo para la Construcción, Vidrio y Cerámica. Dichas demandas correspondieron a la misma Magistratura, servida también, en los tres casos, por el mismo titular, que hubo de aplicar en los tres procedimientos idéntico marco jurídico. Pese a ello, mientras en los dos primeros casos se falla a favor de los trabajadores, en el tercero se desestiman las demandas, ofreciendo una argumentación diferente, pero sin efectuar consideración alguna tendente a explicar las razones por las que el titular de la Magistratura se aparta de su anterior criterio, ni por qué causa son los demandantes los que deben probar la existencia de pacto individual que mantenga la indemnización cuando en las anteriores Resoluciones la carga de la prueba gravita sobre la Empresa; del mismo modo que tampoco se fundamenta la causa por la que se deja de considerar que la indemnización de la Ordenanza se mantiene en vigor en virtud del Estatuto de los Trabajadores y pese al Decreto 2303/1980 y se pasa a sostener que éste hace desaparecer aquella indemnización. </w:t>
      </w:r>
    </w:p>
    <w:p w:rsidR="001C705E" w:rsidRDefault="001C705E" w:rsidP="001C705E">
      <w:pPr>
        <w:pStyle w:val="TextoNormal"/>
      </w:pPr>
      <w:r>
        <w:t>Habiéndose producido, pues, una desigualdad en la aplicación de la Ley, y no cabiendo en el presente caso recurso ante el Tribunal Superior por razón de la cuantía, corresponde al Tribunal Constitucional restablecer el principio consagrado en el art. 14 de la Constitución, declarando la nulidad de la Sentencia de 27 de febrero de 1984, para que la Magistratura dicte otra en el mismo sentido que las dos precedentes o fundamentando de forma expresa su apartamiento de dicha posición.</w:t>
      </w:r>
    </w:p>
    <w:p w:rsidR="001C705E" w:rsidRDefault="001C705E" w:rsidP="001C705E">
      <w:pPr>
        <w:pStyle w:val="TextoNormal"/>
      </w:pPr>
    </w:p>
    <w:p w:rsidR="001C705E" w:rsidRDefault="001C705E" w:rsidP="001C705E">
      <w:pPr>
        <w:pStyle w:val="TextoNormal"/>
      </w:pPr>
      <w:r w:rsidRPr="001C705E">
        <w:rPr>
          <w:rStyle w:val="NumeroAFNegritaCaracter"/>
        </w:rPr>
        <w:t>3</w:t>
      </w:r>
      <w:r>
        <w:t>. La Sección acordó mediante providencia de 23 de mayo admitir a trámite la demanda de amparo y reclamar de la Magistratura de Trabajo núm. 20 de Madrid la remisión de las actuaciones y el emplazamiento de las partes. Cumplido todo ello, y habiéndose personado el Procurador don Eduardo Sánchez Alvarez en nombre y representación de la Compañía mercantil «Hispano-Alemana de Construcciones, Sociedad Anónima», la Sección dictó providencia de 11 de julio dando vista de las actuaciones a las partes y al Ministerio Fiscal por término de veinte días para la formulación de sus alegaciones.</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4</w:t>
      </w:r>
      <w:r>
        <w:t xml:space="preserve">. El Ministerio Fiscal presenta escrito de 6 de agosto de 1984 en el que tras exponer los hechos relevantes, resume la doctrina del Tribunal Constitucional en materia de igualdad en la aplicación de la Ley, afirmando que: </w:t>
      </w:r>
    </w:p>
    <w:p w:rsidR="001C705E" w:rsidRDefault="001C705E" w:rsidP="001C705E">
      <w:pPr>
        <w:pStyle w:val="TextoNormal"/>
      </w:pPr>
      <w:r>
        <w:t xml:space="preserve">a) El derecho a la igualdad incluye la igualdad en la Ley y en la aplicación de la Ley, lo que implica que un mismo órgano no puede modificar arbitrariamente el sentido de sus decisiones en casos sustancialmente iguales y que cuando el órgano en cuestión considere que debe apartarse de sus precedentes tiene que ofrecer para ello fundamentación suficiente y razonable. </w:t>
      </w:r>
    </w:p>
    <w:p w:rsidR="001C705E" w:rsidRDefault="001C705E" w:rsidP="001C705E">
      <w:pPr>
        <w:pStyle w:val="TextoNormal"/>
      </w:pPr>
      <w:r>
        <w:t xml:space="preserve">b) No existe, por tanto, un mandato de igualdad absoluta, pues ello sería contrario a la propia dinámica jurídica que se manifiesta no sólo en una modificación normativa, sino también en una razonable evolución en la interpretación y aplicación de la legalidad. </w:t>
      </w:r>
    </w:p>
    <w:p w:rsidR="001C705E" w:rsidRDefault="001C705E" w:rsidP="001C705E">
      <w:pPr>
        <w:pStyle w:val="TextoNormal"/>
      </w:pPr>
      <w:r>
        <w:t xml:space="preserve">c) Desde la perspectiva de la igualdad, una vez comprobado que los supuestos de hechos son iguales y que han sido objeto de un tratamiento diferente, el enjuiciamiento debe limitarse exclusivamente a determinar en qué medida ello obedece a un cambio de criterio en el órgano judicial. </w:t>
      </w:r>
    </w:p>
    <w:p w:rsidR="001C705E" w:rsidRDefault="001C705E" w:rsidP="001C705E">
      <w:pPr>
        <w:pStyle w:val="TextoNormal"/>
      </w:pPr>
      <w:r>
        <w:t xml:space="preserve">d) El cambio de criterio debe aparecer suficientemente motivado, lo que indudablemente ocurre cuando se hace expresa referencia al criterio anterior y a las razones que han justificado el apartamiento de los precedentes. </w:t>
      </w:r>
    </w:p>
    <w:p w:rsidR="001C705E" w:rsidRDefault="001C705E" w:rsidP="001C705E">
      <w:pPr>
        <w:pStyle w:val="TextoNormal"/>
      </w:pPr>
      <w:r>
        <w:t xml:space="preserve">e) Pero no siempre que la motivación expresa está ausente se origina una desigualdad inconstitucional, pues lo importante es la voluntad de cambio de criterio, que puede desprenderse de la propia resolución e, incluso, de otros elementos de juicio externos a la misma que lo acrediten. </w:t>
      </w:r>
    </w:p>
    <w:p w:rsidR="001C705E" w:rsidRDefault="001C705E" w:rsidP="001C705E">
      <w:pPr>
        <w:pStyle w:val="TextoNormal"/>
      </w:pPr>
      <w:r>
        <w:t xml:space="preserve">El Fiscal reconoce la identidad de los hechos y del derecho aplicable, así como que la diversidad de pronunciamientos no aparece expresamente justificada. Para determinar si nos encontramos ante una desviación arbitraria o ante un cambio de criterio jurídicamente válido, hemos de investigar la voluntad judicial en base a los datos que aporte la resolución impugnada y los que puedan encontrarse fuera de ella. Se aprecia, así, que la Sentencia de 20 de enero de 1983 concede la indemnización en base al artículo 44 c) de la Ordenanza sin estudiar su oposición con el Real Decreto 2303/1980; que la de 17 de noviembre examina ya la divergencia entre ambas normas, inclinándose por dar preferencia a la primera con razonamientos basados en el Convenio Colectivo entonces vigente; y que la de 27 de febrero de 1984 da preferencia al Real Decreto 2303/1980 no apreciando la existencia de pacto colectivo o individual que legitime la indemnización solicitada. No se trata, pues, de una Sentencia que se oponga a una doctrina jurisprudencial clara y continuada, sino de una profundización en la cuestión debatida que conduce al Magistrado a evolucionar en la resolución del conflicto. </w:t>
      </w:r>
    </w:p>
    <w:p w:rsidR="001C705E" w:rsidRDefault="001C705E" w:rsidP="001C705E">
      <w:pPr>
        <w:pStyle w:val="TextoNormal"/>
      </w:pPr>
      <w:r>
        <w:t xml:space="preserve">A igual conclusión se llega estudiando la prueba documental unida al procedimiento, pues el demandante aportó a los autos copia de la Sentencia de 20 de enero de 1983, lo que acredita que el Magistrado al dictar la resolución impugnada tenía presentes sus anteriores resoluciones y se apartaba de ellas conscientemente. Por otra parte, la demandada aportó copias de Sentencias de las Magistraturas 2 y 5 de Madrid en las que se resolvían casos idénticos aplicando estrictamente el Real Decreto 2303/1980, por lo que resulta evidente que el Magistrado quiso modificar su anterior criterio por estimar más acertada la tesis mantenida por otras Magistraturas, unificando así la jurisprudencia de órganos jurisdiccionales del mismo rango. </w:t>
      </w:r>
    </w:p>
    <w:p w:rsidR="001C705E" w:rsidRDefault="001C705E" w:rsidP="001C705E">
      <w:pPr>
        <w:pStyle w:val="TextoNormal"/>
      </w:pPr>
      <w:r>
        <w:t xml:space="preserve">De lo expuesto deriva que si bien la Sentencia de 27 de febrero de 1984 resuelve de forma distinta un supuesto de hecho idéntico al contemplado en las de 20 de enero y 17 de noviembre de 1983, ello no se debe a un cambio de criterio irreflexivo y arbitrario, sino a </w:t>
      </w:r>
      <w:r>
        <w:lastRenderedPageBreak/>
        <w:t>la introducción de una nueva interpretación de la legalidad vigente, concorde con la mantenida por otras Magistraturas. Todo ello conduce al Ministerio Fiscal a solicitar la denegación del amparo.</w:t>
      </w:r>
    </w:p>
    <w:p w:rsidR="001C705E" w:rsidRDefault="001C705E" w:rsidP="001C705E">
      <w:pPr>
        <w:pStyle w:val="TextoNormal"/>
      </w:pPr>
    </w:p>
    <w:p w:rsidR="001C705E" w:rsidRDefault="001C705E" w:rsidP="001C705E">
      <w:pPr>
        <w:pStyle w:val="TextoNormal"/>
      </w:pPr>
      <w:r w:rsidRPr="001C705E">
        <w:rPr>
          <w:rStyle w:val="NumeroAFNegritaCaracter"/>
        </w:rPr>
        <w:t>5</w:t>
      </w:r>
      <w:r>
        <w:t>. Los demandantes reiteran en su escrito de 4 de octubre la identidad fáctica y jurídica de los supuestos planteados y la desigualdad en la aplicación de las normas concurrentes en las distintas Sentencias. Ello supone una violación del art. 14 de la Constitución, porque ya en diferentes casos el Tribunal Constitucional ha manifestado que «el principio de igualdad en la aplicación de la Ley lo que impone es la prohibición de diferencias de tratamiento arbitrarias por no justificadas en un cambio de criterio que pueda reconocerse como tal, ... dicho cambio de criterio (debe aparecer) ... suficientemente motivado, lo que ha de hacerse con carácter general mediante una expresa referencia al criterio anterior y las aportaciones de las razones que han justificado el apartamiento de los precedentes y la estructuración de una nueva respuesta al problema planteado, pues ello constituye la garantía tanto de la evitación de la arbitrariedad como de la promoción de la seguridad jurídica...» (S. 64/1984, de 21 de mayo). Tras solicitar el otorgamiento del amparo, los demandantes proponen la práctica de prueba documental pública consistente en la aportación por la Magistratura de Trabajo de las actuaciones seguidas en los procedimientos núms. 1103/1982 y 572/1983 en que recayeron las Sentencias de 20 de enero y 17 de noviembre de 1983, y documental privada que aportan consistente en copias testimoniadas de las diversas Sentencias y copias de las demandas interpuestas en cada caso, así como copias de los Convenios Provinciales de la Construcción de 1980 y 1982 y de la Sentencia del Tribunal Central de 15 de diciembre de 1981.</w:t>
      </w:r>
    </w:p>
    <w:p w:rsidR="001C705E" w:rsidRDefault="001C705E" w:rsidP="001C705E">
      <w:pPr>
        <w:pStyle w:val="TextoNormal"/>
      </w:pPr>
    </w:p>
    <w:p w:rsidR="001C705E" w:rsidRDefault="001C705E" w:rsidP="001C705E">
      <w:pPr>
        <w:pStyle w:val="TextoNormal"/>
      </w:pPr>
      <w:r w:rsidRPr="001C705E">
        <w:rPr>
          <w:rStyle w:val="NumeroAFNegritaCaracter"/>
        </w:rPr>
        <w:t>6</w:t>
      </w:r>
      <w:r>
        <w:t>. La Sección acordó por providencia de 17 de octubre oír al Ministerio Fiscal y a la parte demandada sobre la admisión de la prueba propuesta por los demandantes. Habiéndose recibido escrito del Fiscal, que no se opone a aceptar las Sentencias aportadas así como los convenios colectivos, que rechaza las copias de las demandas por no reunir los requisitos exigidos por la Ley de Enjuiciamiento Civil para su aceptación, al no estar adveradas o testimoniadas por fedatario, y que se muestra conforme con la admisión de la prueba documental pública, la Sección dictó providencia de 14 de noviembre admitiendo esta última, interesando de Magistratura la remisión de las demandas, acta del juicio y Sentencias recaídas en los correspondientes procedimientos, y admitiendo la prueba documental aportada con el carácter con que se hizo y con el valor con que en su caso corresponda al tratarse de documentos no adverados o con valor de copia simple. Recibidas las actuaciones solicitadas, se dio vista de las mismas a las partes mediante providencia de 12 de diciembre, recibiéndose exclusivamente escrito del Ministerio Fiscal que reitera su dictamen de alegaciones.</w:t>
      </w:r>
    </w:p>
    <w:p w:rsidR="001C705E" w:rsidRDefault="001C705E" w:rsidP="001C705E">
      <w:pPr>
        <w:pStyle w:val="TextoNormal"/>
      </w:pPr>
    </w:p>
    <w:p w:rsidR="001C705E" w:rsidRDefault="001C705E" w:rsidP="001C705E">
      <w:pPr>
        <w:pStyle w:val="TextoNormal"/>
      </w:pPr>
      <w:r w:rsidRPr="001C705E">
        <w:rPr>
          <w:rStyle w:val="NumeroAFNegritaCaracter"/>
        </w:rPr>
        <w:t>7</w:t>
      </w:r>
      <w:r>
        <w:t>. Por providencia de 16 de enero último, se señaló para deliberación y votación del recurso el día 20 de marzo siguiente.</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recurso de amparo formulado por el Procurador don Luis Fernández Alvarez Wiese no suscita problema alguno relativo a la determinación de la identidad de los he</w:t>
      </w:r>
      <w:r>
        <w:lastRenderedPageBreak/>
        <w:t>chos y del derecho aplicable en los tres supuestos que se comparan, así como a la apreciación de la diversidad de los pronunciamientos adoptados por la misma Magistratura de Trabajo, y, más concreto, por el mismo titular.  Así lo reconoce el Ministerio Fiscal y así se desprende del análisis de las demandas y de las Sentencias aportadas.</w:t>
      </w:r>
    </w:p>
    <w:p w:rsidR="001C705E" w:rsidRDefault="001C705E" w:rsidP="001C705E">
      <w:pPr>
        <w:pStyle w:val="TextoNormal"/>
      </w:pPr>
      <w:r>
        <w:t>En los tres casos se trató de contratos celebrados para la realización de una obra determinada con la misma Empresa, que se extinguieron como consecuencia de la terminación de los trabajos propios de la especialidad de los contratados. En los tres se reclamó la indemnización del 4,5 por 100 de los salarios que reconoce el art. 44 c), párrafo cuarto, de la Ordenanza de Trabajo para la Construcción, Vidrio y Cerámica para tales supuestos. En los tres el marco jurídico aplicable era idéntico, y estaba compuesto por el Estatuto de los Trabajadores, el Real Decreto 2303/1980, de 17 de octubre, la Ordenanza de Trabajo y el Convenio Colectivo aplicable. Aunque el convenio vigente en el supuesto resuelto por la Sentencia de 20 de enero de 1983 era el de 1980, diferente al aplicable en los dos restantes casos que era el de 1982, eso no cambia los términos del problema pues ambos convenios contenían igual cláusula de respeto a la Ordenanza en los respectivos arts. 7 y guardaban igual silencio sobre la indemnización por cese.</w:t>
      </w:r>
    </w:p>
    <w:p w:rsidR="001C705E" w:rsidRDefault="001C705E" w:rsidP="001C705E">
      <w:pPr>
        <w:pStyle w:val="TextoNormal"/>
      </w:pPr>
      <w:r>
        <w:t>El debate jurídico se planteó también en cada caso en los mismos términos, como demuestra la lectura de las actas de los diferentes procesos. Así, en el acta relativa al proceso 1103/1982 en que recayó la Sentencia de 20 de enero de 1983 correspondiente a don Francisco García Robles y don Juan Alvarez Fermín, se lee que la parte demandante «se ratifica en su demanda. Invoca el art. 44 c) de la Ordenanza de la Construcción», y «la demandada se opone.  Invoca el art. 15 del Estatuto de los Trabajadores y Decreto de 17 de octubre de 1980 que regula los contratos temporales y prevé que no procede indemnización alguna en estos contratos temporales. Después del Estatuto de los Trabajadores y disposiciones transitorias se dictó este Real Decreto y la Ley posterior deroga a la anterior». Por su parte, en el acta del proceso 573/1983 resuelto por la Sentencia de 17 de noviembre de 1983 que afectó a don Hermenegildo Vallejo Navarro, se afirma que «la parte demandante se ratifica en su demanda. El Convenio prevé el cálculo del 4 por 100. Invoca el art. 7 del mismo. Hay remisión a la Ordenanza. Es fijo de obra» y la demandada «se opone. La Ordenanza está derogada por Decreto 2303/1980, de 27 de octubre. El convenio en su texto real, del año 1982 que es el vigente, no recoge el abono del 4 por 100». Por fin, en la perteneciente al proceso en que se dicta la Sentencia recurrida, después de declararse que la parte demandante «se ratifica en su demanda», se afirma que la demandada «se opone. El problema es aplicable la Ordenanza o el Decreto, la demandada entiende no ser aplicable la Ordenanza y por ello no procede la reclamación», añadiéndose después la oposición adicional fundada en que cuatro de los demandantes no habían sido contratados para la realización de una obra, lo que resulta irrelevante para el presente amparo.</w:t>
      </w:r>
    </w:p>
    <w:p w:rsidR="001C705E" w:rsidRDefault="001C705E" w:rsidP="001C705E">
      <w:pPr>
        <w:pStyle w:val="TextoNormal"/>
      </w:pPr>
      <w:r>
        <w:t xml:space="preserve">Es patente, en cambio, la divergencia de las soluciones ofrecidas pese a la identidad de los supuestos y del debate procesal. En la Sentencia de 20 de enero de 1983 se declara la vigencia y aplicabilidad de la Ordenanza como consecuencia de lo dispuesto en la disposición transitoria segunda del Estatuto de los Trabajadores, hasta tanto no se modifique por convenio, al no haberse acreditado la existencia de pacto expreso que derogue la indemnización prevista en la Ordenanza o la sustituya por otro concepto retributivo. En la de 17 de noviembre de 1983 se reitera igual afirmación incluyendo una expresa referencia al Real Decreto 2303/1980 que no modifica la situación pues no deroga la Ordenanza dado que la vigencia de ésta viene impuesta por una norma de superior rango como es el Estatuto de los Trabajadores. En la Sentencia recurrida, por el contrario, se declara la preeminencia del Real Decreto 2303/1980 sobre la Ordenanza, y se exige que la indemnización proceda </w:t>
      </w:r>
      <w:r>
        <w:lastRenderedPageBreak/>
        <w:t>de pacto expreso que no se ha demostrado existente. Tal inversión en la interpretación del conjunto normativo aplicable no aparece, sin embargo, expresamente justificada en la Sentencia, que no hace alusión alguna a la posición mantenida con anterioridad ni, por tanto, a las razones que fundamentan el cambio.</w:t>
      </w:r>
    </w:p>
    <w:p w:rsidR="001C705E" w:rsidRDefault="001C705E" w:rsidP="001C705E">
      <w:pPr>
        <w:pStyle w:val="TextoNormal"/>
      </w:pPr>
      <w:r>
        <w:t>No existen dudas, en consecuencia, sobre la configuración del problema suscitado y su vinculación constitucional con el principio de igualdad.  Enfrentado con supuestos sustancialmente iguales, un mismo órgano judicial ha dictado resoluciones opuestas, apartándose en la Sentencia recurrida de sus propios pronunciamientos anteriores y afectando con ello al derecho reconocido en el art. 14 de la Constitución en su vertiente de igualdad en la aplicación de la Ley.</w:t>
      </w:r>
    </w:p>
    <w:p w:rsidR="001C705E" w:rsidRDefault="001C705E" w:rsidP="001C705E">
      <w:pPr>
        <w:pStyle w:val="TextoNormal"/>
      </w:pPr>
    </w:p>
    <w:p w:rsidR="001C705E" w:rsidRDefault="001C705E" w:rsidP="001C705E">
      <w:pPr>
        <w:pStyle w:val="TextoNormal"/>
      </w:pPr>
      <w:r w:rsidRPr="001C705E">
        <w:rPr>
          <w:rStyle w:val="NumeroAFNegritaCaracter"/>
        </w:rPr>
        <w:t>2</w:t>
      </w:r>
      <w:r>
        <w:t>. Precisado lo anterior, la cuestión que hemos de resolver consiste en si al actuar así el Magistrado ha vulnerado el derecho de igualdad. El problema se enmarca en la confrontación entre las exigencias derivadas del mandato de tratamiento igual en los supuestos iguales, y las deducibles de los principios de independencia y autonomía judicial y de sujeción exclusiva del Juez a la legalidad.</w:t>
      </w:r>
    </w:p>
    <w:p w:rsidR="001C705E" w:rsidRDefault="001C705E" w:rsidP="001C705E">
      <w:pPr>
        <w:pStyle w:val="TextoNormal"/>
      </w:pPr>
      <w:r>
        <w:t>De estos últimos deriva la imposibilidad de exigir del juzgador un mantenimiento indefinido de sus propios precedentes. De un lado, la propia dinámica jurídica que se manifiesta no sólo en la modificación normativa sino también en una razonable evolución en la interpretación y aplicación de la legalidad (STC 63/1984, de 21 de mayo) fundamenta la libertad de cada órgano judicial para modificar sus propios criterios; libertad que, además, no puede ser controlada por este Tribunal en el recurso de amparo en la medida en que no incida en la vulneración de derechos fundamentales, pues es al Juez al que la Constitución reconoce la potestad exclusiva de juzgar. De otro, la posibilidad de modificar el criterio previamente adoptado constituye incluso exigencia ineludible de la propia función judicial cuando aquél se considera posteriormente erróneo, pues el Juez está sujeto a la Ley y no al precedente y está obligado por mandato constitucional a aplicar aquélla, es decir, el sentido de la misma que reconozca como ajustado en el momento de juzgar.</w:t>
      </w:r>
    </w:p>
    <w:p w:rsidR="001C705E" w:rsidRDefault="001C705E" w:rsidP="001C705E">
      <w:pPr>
        <w:pStyle w:val="TextoNormal"/>
      </w:pPr>
      <w:r>
        <w:t>Existiendo, en consecuencia, no sólo la facultad de modificación del criterio previo, sino incluso la necesidad de hacerlo cuando se alteren las circunstancias o cambie el propio pensamiento al respecto, es claro que el significado del principio de igualdad en la aplicación de la Ley va a ofrecer un sentido muy diferente del correspondiente al principio de igualdad ante la Ley; mientras este último es de carácter material y pretende garantizar la identidad de trato de los iguales, aquél es predominantemente formal. Lo que el principio de igualdad en la aplicación de la Ley exige no es tanto que la Ley reciba siempre la misma interpretación a efectos de que los sujetos a los que se aplique resulten siempre idénticamente afectados, sino que no se emitan pronunciamientos arbitrarios por incurrir en desigualdad no justificada en un cambio de criterio que pueda reconocerse como tal, es decir, como solución genérica conscientemente diferenciada de la que anteriormente se venía manteniendo y no como respuesta individualizada al concreto supuesto planteado (S. 63/1984). Basta, pues, que exista dicho cambio de criterio para que la Sentencia, que sigue estableciendo un pronunciamiento desigual, no incurra en inconstitucionalidad.</w:t>
      </w:r>
    </w:p>
    <w:p w:rsidR="001C705E" w:rsidRDefault="001C705E" w:rsidP="001C705E">
      <w:pPr>
        <w:pStyle w:val="TextoNormal"/>
      </w:pPr>
      <w:r>
        <w:t xml:space="preserve">Si ello es así, parece que no siempre será exigencia constitucional que la resolución judicial fundamente debidamente la modificación. En primer lugar, es claro que la solidez o debilidad de las razones que motivan el cambio de criterio no puede ser enjuiciada por este Tribunal, pues el contenido de la interpretación y la argumentación jurídica que la sostiene, salvo que verse sobre la Constitución, ha de admitirse como presupuesto inatacable, </w:t>
      </w:r>
      <w:r>
        <w:lastRenderedPageBreak/>
        <w:t>conduciendo a la aceptación del nuevo criterio del mismo modo que se aceptaría el anterior o cualquier criterio futuro.</w:t>
      </w:r>
    </w:p>
    <w:p w:rsidR="001C705E" w:rsidRDefault="001C705E" w:rsidP="001C705E">
      <w:pPr>
        <w:pStyle w:val="TextoNormal"/>
      </w:pPr>
      <w:r>
        <w:t>Pero, en segundo lugar, no parece que sea necesario siquiera en todos los casos, que la justificación del cambio de criterio se exprese formalmente, pues lo trascendente para evitar la vulneración del principio de igualdad es la existencia del cambio mismo y no su exteriorización. No es dudoso, afirman las Sentencias 63 y 64/1984, de 21 de mayo, que la estricta aplicación de la Constitución exige que el cambio de criterio aparezca suficientemente motivado mediante la expresa referencia al criterio anterior y la aportación de las razones que justifican el apartamiento de los precedentes, pues ello constituye una garantía tanto de la evitación de la arbitrariedad como de la promoción de la seguridad jurídica que exige que los ciudadanos estén razonablemente seguros acerca de la correcta interpretación de la legalidad y puedan ajustar a ella su comportamiento. No obstante, como siguen diciendo las mencionadas Sentencias, no siempre que falte la motivación expresa del cambio de criterio ha de entenderse sin más quebrado el principio de igualdad en la aplicación de la Ley. Puede haber casos en los que de la propia lógica interna de la resolución, o de datos externos a ella como podría ser la innovación de la jurisprudencia del órgano jurisdiccional superior del mismo orden en el que esté inserto el juzgador del caso, pueda inferirse con certeza, o, al menos con relativa seguridad, que el cambio objetivamente perceptible es consciente, y que de él queda excluida tanto la arbitrariedad como la inadvertencia. Bien entendido que, como lo naturalmente exigible es la motivación expresa, la tácita sólo podrá admitirse cuando se dé respecto a ella ese alto grado de certeza antes evocado.</w:t>
      </w:r>
    </w:p>
    <w:p w:rsidR="001C705E" w:rsidRDefault="001C705E" w:rsidP="001C705E">
      <w:pPr>
        <w:pStyle w:val="TextoNormal"/>
      </w:pPr>
    </w:p>
    <w:p w:rsidR="001C705E" w:rsidRDefault="001C705E" w:rsidP="001C705E">
      <w:pPr>
        <w:pStyle w:val="TextoNormal"/>
      </w:pPr>
      <w:r w:rsidRPr="001C705E">
        <w:rPr>
          <w:rStyle w:val="NumeroAFNegritaCaracter"/>
        </w:rPr>
        <w:t>3</w:t>
      </w:r>
      <w:r>
        <w:t>. La cuestión se reduce, por tanto, a determinar si en el presente caso es posible deducir la existencia del cambio de criterio judicial. Así lo estima el Ministerio Fiscal, derivándolo tanto de la aportación por las partes al proceso de resoluciones judiciales que contenían las dos líneas jurisprudenciales enfrentadas (incluida la sostenida con anterioridad por el propio Magistrado), como del análisis de las resoluciones mismas que demostrarían no una contradicción jurisprudencial sino una evolución y profundización interpretativa.</w:t>
      </w:r>
    </w:p>
    <w:p w:rsidR="001C705E" w:rsidRDefault="001C705E" w:rsidP="001C705E">
      <w:pPr>
        <w:pStyle w:val="TextoNormal"/>
      </w:pPr>
      <w:r>
        <w:t>Ninguna de estas razones parece convincente. No lo es la prueba aportada, pues como se demuestra con la comparación de las actas de los procesos, la alegación de la jurisprudencia dictada por las Magistraturas 2, 3 y 5 de Madrid, ya fue introducida en el proceso que culminó con la Sentencia de 17 de noviembre de 1983, y entonces no motivó la postura del Magistrado de «estimar más acertada la tesis mantenida por otras Magistraturas, unificando así la jurisprudencia de órganos jurisdiccionales del mismo rango» que cree encontrar el Fiscal en la Sentencia recurrida. De esta forma, si la única argumentación que podría explicar en el proceso concreto el cambio de criterio, el carácter no acertado de la propia línea, deducible de la postura adoptada por otros Magistrados, no es nueva, sino que ya estuvo presente y no fue tomada en consideración en un caso anterior, no existe dato objetivo alguno que permita pensar en una consciente modificación del criterio judicial por razones no fiscalizables pero atendibles. Tanto más si se piensa en la imposibilidad de recurrir a la jurisprudencia del Tribunal Central que en las escasas ocasiones en que abordó el tema se mostró acorde con el primitivo criterio del Magistrado (Sentencia del TCT de 15 de diciembre de 1981, art. 7.466 y de 1 de marzo de 1983, art. 1.685).</w:t>
      </w:r>
    </w:p>
    <w:p w:rsidR="001C705E" w:rsidRDefault="001C705E" w:rsidP="001C705E">
      <w:pPr>
        <w:pStyle w:val="TextoNormal"/>
      </w:pPr>
      <w:r>
        <w:t>Del análisis comparativo de las resoluciones no puede deducirse otra cosa, por fin, que la propia contradicción. Alegar, como hace el Fiscal, que no existe contradicción sino profundización del análisis, responde tan sólo a una bien intencionada consideración que no se justifica en dato objetivo alguno. Del mismo modo que no corresponde al Tribunal valorar la razonabilidad o justeza de las posiciones adoptadas o las modificaciones interpre</w:t>
      </w:r>
      <w:r>
        <w:lastRenderedPageBreak/>
        <w:t>tativas, tampoco le compete imaginar el sentido último de los pronunciamientos o investigar las razones implícitas de los mismos. Objetivamente considerado el tema, sólo cabe apreciar la existencia de un pronunciamiento diferente en un caso igual, sin que exista dato alguno que permita pensar en un cambio de criterio consciente.  Y si se parte, como dijimos al final del fundamento segundo, de la necesidad de que la que hemos llamado motivación tácita del cambio de criterio sea indudable, es claro que en el caso que nos ocupa no se dan ninguno de los elementos intrínsecos o extrínsecos al razonamiento judicial de los que aquélla pudiera inferirse. No siendo posible apreciar ni una inexistente motivación expresa del cambio de criterio ni otra tácita, para la que falta cualquier base, el cambio judicial de criterio no puede regularse como razonable, sino como arbitrario o inadvertido, supuestos ambos contrarios a la igualdad en la aplicación de la Ley.</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y en consecuencia:</w:t>
      </w:r>
    </w:p>
    <w:p w:rsidR="001C705E" w:rsidRDefault="001C705E" w:rsidP="001C705E">
      <w:pPr>
        <w:pStyle w:val="TextoNormal"/>
      </w:pPr>
      <w:r>
        <w:t>1.  Anular la Sentencia de la Magistratura de Trabajo número 20 de las de Madrid de 27 de febrero de 1984.</w:t>
      </w:r>
    </w:p>
    <w:p w:rsidR="001C705E" w:rsidRDefault="001C705E" w:rsidP="001C705E">
      <w:pPr>
        <w:pStyle w:val="TextoNormal"/>
      </w:pPr>
      <w:r>
        <w:t>2.  Retrotraer las actuaciones judiciales en los Autos 605/1983 hasta el momento anterior al de dictar Sentencia, para que por el Magistrado de Trabajo se pronuncie nueva Sentencia razonando, en su caso, su cambio de criterio.</w:t>
      </w:r>
    </w:p>
    <w:p w:rsidR="001C705E" w:rsidRDefault="001C705E" w:rsidP="001C705E">
      <w:pPr>
        <w:pStyle w:val="TextoNormal"/>
      </w:pPr>
      <w:r>
        <w:t>3.  Reconocer el derecho de los recurrentes a que la Ley les sea aplicada respetando el principio de igualdad.</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veintiocho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3" w:name="SENTENCIA_1985_50"/>
      <w:r>
        <w:lastRenderedPageBreak/>
        <w:t>SENTENCIA 50/1985, de 29 de marzo de 1985</w:t>
      </w:r>
    </w:p>
    <w:bookmarkEnd w:id="53"/>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94, de 19 de abril de 1985)</w:t>
      </w:r>
    </w:p>
    <w:p w:rsidR="001C705E" w:rsidRDefault="001C705E" w:rsidP="001C705E">
      <w:pPr>
        <w:pStyle w:val="TtuloBOE"/>
      </w:pPr>
    </w:p>
    <w:p w:rsidR="001C705E" w:rsidRDefault="001C705E" w:rsidP="001C705E">
      <w:pPr>
        <w:pStyle w:val="SntesisDescriptiva"/>
      </w:pPr>
      <w:r>
        <w:t>ECLI:ES:TC:1985:50</w:t>
      </w:r>
    </w:p>
    <w:p w:rsidR="001C705E" w:rsidRDefault="001C705E" w:rsidP="001C705E">
      <w:pPr>
        <w:pStyle w:val="SntesisDescriptiva"/>
      </w:pPr>
    </w:p>
    <w:p w:rsidR="001C705E" w:rsidRDefault="001C705E" w:rsidP="001C705E">
      <w:pPr>
        <w:pStyle w:val="SntesisDescriptiva"/>
      </w:pPr>
      <w:r>
        <w:t>Recurso de amparo 628/1984. Emplazamiento personal de quienes pueden comparecer como demandados en el proceso contencioso-administrativo.  Conocimiento oportuno del proceso por parte del recurrente</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emplazamiento personal, como distinto del edictal que con carácter general regula el art. 64 de la Ley de la Jurisdicción Contencioso-Administrativa, para llamar al proceso a los que, según la regla del art. 29.1 b), también de esta misma Ley, están legitimados como demandados por derivar a su favor derechos del propio acto, es una regla que este Tribunal ha inferido del artículo 24.1 de la C.E., desde la STC 63/1982, de 20 de octubre. </w:t>
      </w:r>
    </w:p>
    <w:p w:rsidR="001C705E" w:rsidRDefault="001C705E" w:rsidP="001C705E">
      <w:pPr>
        <w:pStyle w:val="Extracto"/>
      </w:pPr>
    </w:p>
    <w:p w:rsidR="001C705E" w:rsidRDefault="001C705E" w:rsidP="001C705E">
      <w:pPr>
        <w:pStyle w:val="Extracto"/>
      </w:pPr>
      <w:r>
        <w:t>2.</w:t>
      </w:r>
      <w:r>
        <w:tab/>
        <w:t xml:space="preserve">El emplazamiento es un acto ordenado a la defensa y, en definitiva, a la tutela judicial, de modo que si siguiera un proceso sin hacerse esta llamada al mismo o la modalidad de emplazamiento no sirviera a dar conocimiento cabal del proceso, y de su contenido, padecería el derecho de las personas a cuyo favor deriven derechos del propio acto. El emplazamiento edictal no cumple satisfactoriamente esas exigencias. </w:t>
      </w:r>
    </w:p>
    <w:p w:rsidR="001C705E" w:rsidRDefault="001C705E" w:rsidP="001C705E">
      <w:pPr>
        <w:pStyle w:val="Extracto"/>
      </w:pPr>
    </w:p>
    <w:p w:rsidR="001C705E" w:rsidRDefault="001C705E" w:rsidP="001C705E">
      <w:pPr>
        <w:pStyle w:val="Extracto"/>
      </w:pPr>
      <w:r>
        <w:t>3.</w:t>
      </w:r>
      <w:r>
        <w:tab/>
        <w:t xml:space="preserve">Siendo innegable la posición jurídica de titular de derechos y, por ende, de demandado, y conocido desde un principio esta cualidad y su identificación y domiciliación, debió efectuarse su emplazamiento personal sin entenderse suficiente el edictal. </w:t>
      </w:r>
    </w:p>
    <w:p w:rsidR="001C705E" w:rsidRDefault="001C705E" w:rsidP="001C705E">
      <w:pPr>
        <w:pStyle w:val="Extracto"/>
      </w:pPr>
    </w:p>
    <w:p w:rsidR="001C705E" w:rsidRDefault="001C705E" w:rsidP="001C705E">
      <w:pPr>
        <w:pStyle w:val="Extracto"/>
      </w:pPr>
      <w:r>
        <w:t>4.</w:t>
      </w:r>
      <w:r>
        <w:tab/>
        <w:t xml:space="preserve">La regla inferida del art. 24.1 de la C.E. no podrá servir torticeramente para romper la cosa juzgada generada por la Sentencia que puso fin al proceso. Con el designio de evitar tan torcido uso, debe extremarse la cautela para no dar paso a fáciles montajes de la nulidad. </w:t>
      </w:r>
    </w:p>
    <w:p w:rsidR="001C705E" w:rsidRDefault="001C705E" w:rsidP="001C705E">
      <w:pPr>
        <w:pStyle w:val="Extracto"/>
      </w:pPr>
    </w:p>
    <w:p w:rsidR="001C705E" w:rsidRDefault="001C705E" w:rsidP="001C705E">
      <w:pPr>
        <w:pStyle w:val="Extracto"/>
      </w:pPr>
      <w:r>
        <w:t>5.</w:t>
      </w:r>
      <w:r>
        <w:tab/>
        <w:t xml:space="preserve">Si bien la regla es que no puede residenciarse por lo general en sede constitucional «ex novo» una pretensión configurada por un derecho fundamental, pues a ello obedece la conceptuación del amparo como un medio subsidiario -en este sentido, el art. 44.1 c) de la LOTC, no abriéndose otras posibilidades impugnatorias o no siendo de las aludidas en el art. 44.1 a), también de la LOTC, rige la excepción explícita del art. 44.1 c), cuando dice que el planteamiento requiere que, una vez conocida la violación, hubiere lugar para ello.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 xml:space="preserve">La Sala Segunda del Tribunal Constitucional, compuesta por don Jerónimo Arozamena Sierra, Presidente, y don Francisco Rubio Llorente, don Luis Díez-Picazo y Ponce de </w:t>
      </w:r>
      <w:r>
        <w:lastRenderedPageBreak/>
        <w:t>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promovido por la Entidad «Alcampo, Sociedad Anónima», representada por el Procurador don Alejandro González Salinas y dirigido por el Abogado don Jesús González Pérez, contra la Sentencia de 8 de febrero de 1982 de la Sala de lo Contencioso-Administrativo de la Audiencia Territorial de Oviedo, confirmada por el Tribunal Supremo (Sala Cuarta) de 29 de marzo de 1984; habiendo comparecido en este proceso de amparo el Ministerio Fiscal y don Francisco Alvarez Cascos, representado por el Procurador don Francisco de las Alas Pumariño y Miranda y bajo la dirección de Letrado. Siendo Ponente el Presidente de la Sala, don Jerónimo Arozamena Sierra.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Procurador don Alejandro González Salinas, en nombre de «Alcampo, Sociedad Anónima», interpuso el 8 de agosto de 1984 recurso de amparo que dijo dirigir contra la Sentencia del Tribunal Supremo (Sala Cuarta) de 29 de marzo de 1984, que confirmó la Sentencia pronunciada por la Audiencia Territorial de Oviedo, Sala de lo Contencioso-Administrativo, de 8 de febrero de 1982, que en el proceso promovido por don Francisco Alvarez Cascos Fernández contra el acto del Ayuntamiento de Gijón que el 22 de diciembre de 1980 otorgó a «Alcampo, Sociedad Anónima», licencia de obra para la construcción de un centro comercial que anuló la Audiencia. El recurrente solicitó la nulidad de la Sentencia de la Sala Cuarta del Tribunal Supremo y de la Sentencia de la Sala de Oviedo y se ordene retrotraer las actuaciones al momento en que debió emplazarse a «Alcampo, Sociedad Anónima». Los hechos en que funda la demanda de amparo son los siguientes: </w:t>
      </w:r>
    </w:p>
    <w:p w:rsidR="001C705E" w:rsidRDefault="001C705E" w:rsidP="001C705E">
      <w:pPr>
        <w:pStyle w:val="TextoNormal"/>
      </w:pPr>
      <w:r>
        <w:t xml:space="preserve">a) La Comisión Municipal Permanente del Ayuntamiento de Gijón, en sesión de 22 de diciembre de 1980, otorgó a «Alcampo, Sociedad Anónima», licencia municipal para la construcción de un centro comercial. Votó en contra un Concejal y, además, contra la decisión municipal interpuso recurso de reposición y, desestimado este recurso, interpuso el contencioso-administrativo ante la Sala de Oviedo. </w:t>
      </w:r>
    </w:p>
    <w:p w:rsidR="001C705E" w:rsidRDefault="001C705E" w:rsidP="001C705E">
      <w:pPr>
        <w:pStyle w:val="TextoNormal"/>
      </w:pPr>
      <w:r>
        <w:t xml:space="preserve">b) En el proceso contencioso-administrativo, iniciado el 20 de febrero de 1981, no fue emplazada personalmente «Alcampo, Sociedad Anónima», y concluyó por Sentencia estimatoria de fecha 8 de febrero de 1982, que fue recurrida por el Ayuntamiento de Gijón, sin que a «Alcampo, Sociedad Anónima», se le notificara la Sentencia y conociera tampoco la interposición de la apelación. </w:t>
      </w:r>
    </w:p>
    <w:p w:rsidR="001C705E" w:rsidRDefault="001C705E" w:rsidP="001C705E">
      <w:pPr>
        <w:pStyle w:val="TextoNormal"/>
      </w:pPr>
      <w:r>
        <w:t xml:space="preserve">c) El Tribunal Supremo pronunció Sentencia de 29 de marzo de 1984, en un proceso en el que fueron partes el Ayuntamiento de Gijón, como apelante, y, como apelado, don Francisco Alvarez Cascos Fernández. La existencia de esta Sentencia fue comunicada por </w:t>
      </w:r>
      <w:r>
        <w:lastRenderedPageBreak/>
        <w:t xml:space="preserve">primera vez a la Sociedad recurrente por el Ayuntamiento de Gijón, el 26 de julio de 1984, y obtenida copia el día 1 de agosto siguiente, facilitada por el Ayuntamiento de Gijón. </w:t>
      </w:r>
    </w:p>
    <w:p w:rsidR="001C705E" w:rsidRDefault="001C705E" w:rsidP="001C705E">
      <w:pPr>
        <w:pStyle w:val="TextoNormal"/>
      </w:pPr>
      <w:r>
        <w:t>Como fundamentos jurídico-materiales invoca el recurrente el art. 24.1 de la Constitución y menciona la jurisprudencia del Tribunal Constitucional sobre el requisito del emplazamiento en el contencioso-administrativo (Sentencias de 31 de marzo de 1981, 20 de octubre de 1982, 23 de marzo de 1983, 31 de mayo de 1983, 18 de noviembre de 1983, 14 de marzo de 1984, 2 de mayo de 1984), afirmando que se ha vulnerado el derecho que proclama el art. 24.1 citado.</w:t>
      </w:r>
    </w:p>
    <w:p w:rsidR="001C705E" w:rsidRDefault="001C705E" w:rsidP="001C705E">
      <w:pPr>
        <w:pStyle w:val="TextoNormal"/>
      </w:pPr>
    </w:p>
    <w:p w:rsidR="001C705E" w:rsidRDefault="001C705E" w:rsidP="001C705E">
      <w:pPr>
        <w:pStyle w:val="TextoNormal"/>
      </w:pPr>
      <w:r w:rsidRPr="001C705E">
        <w:rPr>
          <w:rStyle w:val="NumeroAFNegritaCaracter"/>
        </w:rPr>
        <w:t>2</w:t>
      </w:r>
      <w:r>
        <w:t>. Por providencia de 3 de octubre de 1984, se admitió a trámite el recurso de amparo, dándose cumplimiento a lo que dispone el art. 51 de la Ley Orgánica de este Tribunal. Para oponerse al recurso compareció don Francisco Alvarez Cascos, representado por el Procurador don Francisco de las Alas Pumariño, no haciéndolo el Ayuntamiento de Gijón. En el trámite de alegaciones, «Alcampo, Sociedad Anónima», alegó que, dada la claridad de los hechos y la existencia de múltiples Sentencias de este Tribunal que resuelven supuestos idénticos y otorgan el amparo solicitado, estimó que no era necesario añadir más a lo alegado.</w:t>
      </w:r>
    </w:p>
    <w:p w:rsidR="001C705E" w:rsidRDefault="001C705E" w:rsidP="001C705E">
      <w:pPr>
        <w:pStyle w:val="TextoNormal"/>
      </w:pPr>
    </w:p>
    <w:p w:rsidR="001C705E" w:rsidRDefault="001C705E" w:rsidP="001C705E">
      <w:pPr>
        <w:pStyle w:val="TextoNormal"/>
      </w:pPr>
      <w:r w:rsidRPr="001C705E">
        <w:rPr>
          <w:rStyle w:val="NumeroAFNegritaCaracter"/>
        </w:rPr>
        <w:t>3</w:t>
      </w:r>
      <w:r>
        <w:t>. El Ministerio Fiscal, después de hacer una exposición de los hechos, sostuvo que «Alcampo, Sociedad Anónima», beficiaria del acto impugnado ante la Sala de Oviedo, tenía la consideración de parte demandada con arreglo a lo establecido en el art. 29.1 b) de la Ley de la Jurisdicción Contencioso-Administrativa y que es doctrina del Tribunal Constitucional que no basta en estos casos el emplazamiento edictal que se contempla en el art. 64 de aquella Ley, sino que se hace preciso el emplazamiento directo y personal, pues así se ha manifestado desde la inicial Sentencia 9/1981, hasta la última 105/1984, siendo de reseñar que la Sentencia 117/1983 se contrajo a cuestión de sustancial semejanza con la presente: indefensión, por no haber sido convocados personalmente el titular de una licencia de obra con el resultado de estimar el amparo solicitado.</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Procurador y defensor de don Francisco Alvarez Cascos se opuso al otorgamiento del amparo, alegando lo siguiente: </w:t>
      </w:r>
    </w:p>
    <w:p w:rsidR="001C705E" w:rsidRDefault="001C705E" w:rsidP="001C705E">
      <w:pPr>
        <w:pStyle w:val="TextoNormal"/>
      </w:pPr>
      <w:r>
        <w:t xml:space="preserve">A) El Ayuntamiento de Gijón no podía conceder licencia para construir un centro comercial en suelo rústico, ya que se incumplieron los trámites para ello, como se reconoce en la Sentencia de la Sala de Oviedo, confirmada por el Tribunal Supremo. Las Sentencias son ajustadas a derecho y no aprecian causa alguna para dejar sin efecto el fallo. </w:t>
      </w:r>
    </w:p>
    <w:p w:rsidR="001C705E" w:rsidRDefault="001C705E" w:rsidP="001C705E">
      <w:pPr>
        <w:pStyle w:val="TextoNormal"/>
      </w:pPr>
      <w:r>
        <w:t>B) No se ha violado derecho fundamental alguno y tampoco se cumple lo dispuesto en el art. 44.1 de la LOTC, en cuanto la violación de derecho o libertad sea imputable de modo inmediato a una acción u omisión del órgano judicial, y a la invocación del derecho fundamental; nada de lo cual, dice, se ha cumplido en este caso.</w:t>
      </w:r>
    </w:p>
    <w:p w:rsidR="001C705E" w:rsidRDefault="001C705E" w:rsidP="001C705E">
      <w:pPr>
        <w:pStyle w:val="TextoNormal"/>
      </w:pPr>
    </w:p>
    <w:p w:rsidR="001C705E" w:rsidRDefault="001C705E" w:rsidP="001C705E">
      <w:pPr>
        <w:pStyle w:val="TextoNormal"/>
      </w:pPr>
      <w:r w:rsidRPr="001C705E">
        <w:rPr>
          <w:rStyle w:val="NumeroAFNegritaCaracter"/>
        </w:rPr>
        <w:t>5</w:t>
      </w:r>
      <w:r>
        <w:t>. Por providencia de 9 de enero del año actual, se señaló para la deliberación y votación de este recurso el día 27 de marzo de 1985.</w:t>
      </w:r>
    </w:p>
    <w:p w:rsidR="001C705E" w:rsidRDefault="001C705E" w:rsidP="001C705E">
      <w:pPr>
        <w:pStyle w:val="TextoNormal"/>
      </w:pPr>
    </w:p>
    <w:p w:rsidR="001C705E" w:rsidRDefault="001C705E" w:rsidP="001C705E">
      <w:pPr>
        <w:pStyle w:val="TextoNormalNegritaCentrado"/>
        <w:keepNext/>
      </w:pPr>
      <w:r>
        <w:lastRenderedPageBreak/>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emplazamiento personal, como distinto del edictal que, con carácter general, regula el art. 64 de la Ley de la Jurisdicción Contencioso-Administrativa, para llamar al proceso a los que, según la regla del art. 29.1. b), también de esta misma Ley, están legitimados como demandados por derivar a su favor derechos del propio acto, es una regla que este Tribunal ha inferido del art. 24.1 de la Constitución, desde, sobre todo, la Sentencia de 20 de octubre de 1982 («Boletín Oficial del Estado» de 17 de noviembre), a la que han seguido otras cuya mención precisa no es necesaria.  Las consideraciones que se hacen en esta interpretación del régimen del emplazamiento secundum constitutionem descansan en que tal acto de comunicación es una notificación y, a la vez, una intimación para que el favorecido por el acto impugnado pueda, conociendo la existencia del proceso, disponer la defensa de sus derechos y, por tanto, hacer posible la tutela judicial efectiva que, como derecho subjetivo de naturaleza reaccional o instrumental, proclama el mencionado art. 24.1, no sólo para los que puedan adoptar la posición actora en el proceso, sino, además, para los demandados.  Ese derecho se quebraría si el proceso pudiera seguirse sin que los favorecidos por el acto impugnado tuvieran conocimiento de la existencia del proceso y se vieran privados realmente de desplegar los medios legales suficientes para su defensa. El emplazamiento es un acto ordenado a esa defensa y, en definitiva, a la tutela judicial, de modo que si siguiera un proceso sin hacerse esta llamada al mismo o la modalidad de emplazamiento no sirviera a dar conocimiento cabal del proceso, y de su contenido, padecería el derecho de las personas a cuyo favor deriven derechos del propio acto.  El emplazamiento edictal -que es el efectuado en el proceso antecedente- no cumple satisfactoriamente esas exigencias, pues, de un lado, no puede gravarse la posición de los particulares con la carga de conocer lo que publican al respecto los periódicos oficiales, y, por otro lado, podría seguirse que los titulares de derechos se vieran privados de éstos sin haberle dado oportunidad de disponer su defensa. Siendo, como es en el presente caso, innegable la posición jurídica de titular de derechos y, por ende, de demandado, y conocido desde un principio esta cualidad y su identificación y domiciliación, debió efectuarse su emplazamiento personal sin entenderse suficiente el edictal.</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Ni la sospecha de que el ahora demandante de amparo conociera la existencia del proceso ni el dato de que la Administración asumiera en ese proceso la defensa del acto impugnado, son razones para concluir en este caso en sentido diferente al postulado por aquél. Cierto que la regla inferida del artículo 24.1 no podrá servir torticeramente para romper la cosa juzgada generada por la Sentencia que puso fin al proceso y que, con el designio de evitar tan torcido uso, debe extremarse la cautela para no dar paso a fáciles montajes de la nulidad. Pero nada abona en el presente caso -nada se ha aducido fundadamente- que «Alcampo, Sociedad Anónima», conociera el proceso y aun que conociera la impugnación previa en vía administrativa, pues tampoco en ésta, contra lo que previene el art. 117.3 de la Ley de Procedimiento Administrativo y es regla común en los recursos, se le dio audiencia. Desde el otro anunciado punto de la defensa asumida por la Administración, no priva al demandado de la instrumentación que estime debe poner en juego para la defensa de sus propios derechos. Es, por otra parte, ajeno a este proceso de amparo y a la articulación que el demandante ha puesto en acción para demandar que se le dé ocasión de defender ante los Tribunales lo que considera es un derecho derivado de la licencia municipal, cuanto se argumenta por el que fue actor en el proceso antecedente en orden a la </w:t>
      </w:r>
      <w:r>
        <w:lastRenderedPageBreak/>
        <w:t>corrección jurídica de la tesis de la ilegalidad de la licencia. No es esto lo que se debate aquí -no podría hacerse desde la afirmación constitucional del art. 117.3- pues lo cuestionado es si «Alcampo, Sociedad Anónima», fue llamada al proceso o si, conociéndolo, pudo aprestarse a defender la licencia.</w:t>
      </w:r>
    </w:p>
    <w:p w:rsidR="001C705E" w:rsidRDefault="001C705E" w:rsidP="001C705E">
      <w:pPr>
        <w:pStyle w:val="TextoNormal"/>
      </w:pPr>
    </w:p>
    <w:p w:rsidR="001C705E" w:rsidRDefault="001C705E" w:rsidP="001C705E">
      <w:pPr>
        <w:pStyle w:val="TextoNormal"/>
      </w:pPr>
      <w:r w:rsidRPr="001C705E">
        <w:rPr>
          <w:rStyle w:val="NumeroAFNegritaCaracter"/>
        </w:rPr>
        <w:t>3</w:t>
      </w:r>
      <w:r>
        <w:t>. Digamos, por último, que en este caso, aunque de la literalidad del art.  64 de la Ley de la Jurisdicción Contencioso-Administrativa no se deriva la exigencia del emplazamiento personal, aunque no lo impide, la interpretación del régimen de emplazamiento desde la exigencia del derecho a la tutela judicial, que el precepto constitucional califica por la nota de la «efectividad», acentuándose así el carácter obligado de interpretar las normas en el sentido más favorable a la tutela del derecho, impone -como hemos dicho en la doctrina aludida ut supra- el emplazamiento personal. Por otro lado, y con esto damos contestación a otro de los argumentos opuestos por la defensa del impugnante de la licencia, si bien la regla es que no puede residenciarse por lo general en sede constitucional ex novo una pretensión configurada por un derecho fundamental, pues a ello obedece la conceptuación del amparo como un medio subsidiario -en este sentido, el art. 44.1. c) de la LOTC- y, por esto, debe potenciarse toda solución que conduzca al planteamiento primero ante los Tribunales ordinarios de la pretendida vulneración de los derechos fundamentales, en este caso no abriéndose otras posibilidades impugnatorias o no siendo de las aludidas en el art.  44.1 a), también de la LOTC, rige la excepción explítica del art. 44.1 c), cuando dice que el planteamiento requiere que, una vez conocida la violación, hubiere lugar para ello.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solicitado por la Entidad «Alcampo, Sociedad Anónima», y en su virtud:</w:t>
      </w:r>
    </w:p>
    <w:p w:rsidR="001C705E" w:rsidRDefault="001C705E" w:rsidP="001C705E">
      <w:pPr>
        <w:pStyle w:val="TextoNormal"/>
      </w:pPr>
      <w:r>
        <w:t>1.° Reconocer el derecho a la tutela judicial efectiva del demandante y, en consecuencia, el derecho a ser emplazado en el proceso contencioso-administrativo promovido por la Entidad «Alcampo, Sociedad Anónima», ante la Sala de lo Contencioso-Administrativo de la Audiencia Territorial de Oviedo.</w:t>
      </w:r>
    </w:p>
    <w:p w:rsidR="001C705E" w:rsidRDefault="001C705E" w:rsidP="001C705E">
      <w:pPr>
        <w:pStyle w:val="TextoNormal"/>
      </w:pPr>
      <w:r>
        <w:t>2.° Declarar la nulidad de la Sentencia de 8 de febrero de 1982, pronunciada por la indicada Sala, en el proceso contencioso-administrativo por concesión de licencia para construcción de un centro comercial, y de todas las actuaciones posteriores.</w:t>
      </w:r>
    </w:p>
    <w:p w:rsidR="001C705E" w:rsidRDefault="001C705E" w:rsidP="001C705E">
      <w:pPr>
        <w:pStyle w:val="TextoNormal"/>
      </w:pPr>
      <w:r>
        <w:t>3.° Retrotraer las actuaciones de indicado proceso al momento inmediato posterior al de interposición del recurso.</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veintinueve de marzo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4" w:name="SENTENCIA_1985_51"/>
      <w:r>
        <w:lastRenderedPageBreak/>
        <w:t>SENTENCIA 51/1985, de 10 de abril de 1985</w:t>
      </w:r>
    </w:p>
    <w:bookmarkEnd w:id="54"/>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119, de 18 de mayo de 1985)</w:t>
      </w:r>
    </w:p>
    <w:p w:rsidR="001C705E" w:rsidRDefault="001C705E" w:rsidP="001C705E">
      <w:pPr>
        <w:pStyle w:val="TtuloBOE"/>
      </w:pPr>
    </w:p>
    <w:p w:rsidR="001C705E" w:rsidRDefault="001C705E" w:rsidP="001C705E">
      <w:pPr>
        <w:pStyle w:val="SntesisDescriptiva"/>
      </w:pPr>
      <w:r>
        <w:t>ECLI:ES:TC:1985:51</w:t>
      </w:r>
    </w:p>
    <w:p w:rsidR="001C705E" w:rsidRDefault="001C705E" w:rsidP="001C705E">
      <w:pPr>
        <w:pStyle w:val="SntesisDescriptiva"/>
      </w:pPr>
    </w:p>
    <w:p w:rsidR="001C705E" w:rsidRDefault="001C705E" w:rsidP="001C705E">
      <w:pPr>
        <w:pStyle w:val="SntesisDescriptiva"/>
      </w:pPr>
      <w:r>
        <w:t>Recurso de amparo 781/1983. Interpuesto por el Senador don Miguel Castells contra Sentencia de la Sala Segunda del Tribunal Supremo en causa seguida contra el recurrente en amparo por el delito de injurias al Gobierno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Por mor de lo dispuesto en el art. 14.5 del Pacto Internacional de Derechos Civiles y Políticos, el derecho al doble grado de jurisdicción en materia penal es una de la garantías a que la Constitución se refiere al emplear la cláusula «todas», como reconoció la STC 76/1982, de 14 de diciembre. Esta afirmación genérica ha sido matizada por este Tribunal en la Sentencia citada y, con anterioridad, en la STC 42/1982, de 5 de julio, al puntualizar que el art. 14.2 del Pacto Internacional, aunque es Derecho interno, no es bastante para crear para sí mismo recursos inexistentes. </w:t>
      </w:r>
    </w:p>
    <w:p w:rsidR="001C705E" w:rsidRDefault="001C705E" w:rsidP="001C705E">
      <w:pPr>
        <w:pStyle w:val="Extracto"/>
      </w:pPr>
    </w:p>
    <w:p w:rsidR="001C705E" w:rsidRDefault="001C705E" w:rsidP="001C705E">
      <w:pPr>
        <w:pStyle w:val="Extracto"/>
      </w:pPr>
      <w:r>
        <w:t>2.</w:t>
      </w:r>
      <w:r>
        <w:tab/>
        <w:t xml:space="preserve">La necesidad de que en las causas contra Diputados y Senadores sea competente la Sala de lo Penal del Tribunal Supremo, que es el «órgano jurisdiccional superior en todos los órdenes, salvo lo dispuesto en materia de garantías constitucionales» (art. 123.1 de la C.E.), está impuesta por el art. 71.3 de la C.E. Esas particulares garantías que acompañan a Senadores y Diputados disculpan la falta de un segundo grado jurisdiccional. </w:t>
      </w:r>
    </w:p>
    <w:p w:rsidR="001C705E" w:rsidRDefault="001C705E" w:rsidP="001C705E">
      <w:pPr>
        <w:pStyle w:val="Extracto"/>
      </w:pPr>
    </w:p>
    <w:p w:rsidR="001C705E" w:rsidRDefault="001C705E" w:rsidP="001C705E">
      <w:pPr>
        <w:pStyle w:val="Extracto"/>
      </w:pPr>
      <w:r>
        <w:t>3.</w:t>
      </w:r>
      <w:r>
        <w:tab/>
        <w:t xml:space="preserve">La pretendida violación del derecho a un proceso sin dilaciones indebidas no tiene lugar, sin más, siempre que el proceso tenga una duración anormal y, en cualquier caso, carece de sentido aducirla cuando el proceso ya ha finalizado. </w:t>
      </w:r>
    </w:p>
    <w:p w:rsidR="001C705E" w:rsidRDefault="001C705E" w:rsidP="001C705E">
      <w:pPr>
        <w:pStyle w:val="Extracto"/>
      </w:pPr>
    </w:p>
    <w:p w:rsidR="001C705E" w:rsidRDefault="001C705E" w:rsidP="001C705E">
      <w:pPr>
        <w:pStyle w:val="Extracto"/>
      </w:pPr>
      <w:r>
        <w:t>4.</w:t>
      </w:r>
      <w:r>
        <w:tab/>
        <w:t xml:space="preserve">La supuesta violación del derecho de igualdad ante la Ley no se produce cuando la Ley es infringida o indebidamente aplicada. En este sentido se ha pronunciado este Tribunal (STC 43/1982, de 6 de julio; Auto 218/1982, de 16 de junio; Auto 77/1983, de 23 de febrero, entre otros). Toda falta debe acarrear la sanción correspondiente, y si esto no ocurre en algunos casos, lo reprochable no es que se sancione al posterior culpable, sino que no se hubiera sancionado a los que lo fueron antes. </w:t>
      </w:r>
    </w:p>
    <w:p w:rsidR="001C705E" w:rsidRDefault="001C705E" w:rsidP="001C705E">
      <w:pPr>
        <w:pStyle w:val="Extracto"/>
      </w:pPr>
    </w:p>
    <w:p w:rsidR="001C705E" w:rsidRDefault="001C705E" w:rsidP="001C705E">
      <w:pPr>
        <w:pStyle w:val="Extracto"/>
      </w:pPr>
      <w:r>
        <w:t>5.</w:t>
      </w:r>
      <w:r>
        <w:tab/>
        <w:t xml:space="preserve">El art. 71.1 de la C.E. dispone que «los Diputados y Senadores gozarán de inviolabilidad por las opiniones manifestadas en el ejercicio de sus funciones», garantizando así la «freedom of speech» de los parlamentarios, genéricamente reconocida en los diferentes sistemas consitucionales democráticos. </w:t>
      </w:r>
    </w:p>
    <w:p w:rsidR="001C705E" w:rsidRDefault="001C705E" w:rsidP="001C705E">
      <w:pPr>
        <w:pStyle w:val="Extracto"/>
      </w:pPr>
    </w:p>
    <w:p w:rsidR="001C705E" w:rsidRDefault="001C705E" w:rsidP="001C705E">
      <w:pPr>
        <w:pStyle w:val="Extracto"/>
      </w:pPr>
      <w:r>
        <w:lastRenderedPageBreak/>
        <w:t>6.</w:t>
      </w:r>
      <w:r>
        <w:tab/>
        <w:t xml:space="preserve">Esta garantía de los parlamentarios no decae por la extinción del mandato ( arts. 10 y 21, respectivamente, del Reglamento del Congreso de los Diputados y del Reglamento del Senado). </w:t>
      </w:r>
    </w:p>
    <w:p w:rsidR="001C705E" w:rsidRDefault="001C705E" w:rsidP="001C705E">
      <w:pPr>
        <w:pStyle w:val="Extracto"/>
      </w:pPr>
    </w:p>
    <w:p w:rsidR="001C705E" w:rsidRDefault="001C705E" w:rsidP="001C705E">
      <w:pPr>
        <w:pStyle w:val="Extracto"/>
      </w:pPr>
      <w:r>
        <w:t>7.</w:t>
      </w:r>
      <w:r>
        <w:tab/>
        <w:t xml:space="preserve">La garantía no ampara cualesquiera actuaciones de los parlamentarios y sí sólo sus declaraciones de juicio o de voluntad («opiniones», según el art. 71.1 de la C.E.). </w:t>
      </w:r>
    </w:p>
    <w:p w:rsidR="001C705E" w:rsidRDefault="001C705E" w:rsidP="001C705E">
      <w:pPr>
        <w:pStyle w:val="Extracto"/>
      </w:pPr>
    </w:p>
    <w:p w:rsidR="001C705E" w:rsidRDefault="001C705E" w:rsidP="001C705E">
      <w:pPr>
        <w:pStyle w:val="Extracto"/>
      </w:pPr>
      <w:r>
        <w:t>8.</w:t>
      </w:r>
      <w:r>
        <w:tab/>
        <w:t xml:space="preserve">El nexo entre inviolabilidad y ejercicio de funciones propias a la condición de parlamentario está claramente expuesto por el propio art. 71.1 de la C.E. Las «funciones» debieran identificarse en las que son propias del Diputado o Senador en tanto que sujetos portadores del órgano parlamentario, cuya autonomía, en definitiva, es la protegida a través de esta garantía individual. El Diputado o Senador ejercitaría, pues, sus funciones sólo en la medida en que participase en actos parlamentarios y en el seno de cualesquiera de las articulaciones orgánicas de las Cortes Generales. </w:t>
      </w:r>
    </w:p>
    <w:p w:rsidR="001C705E" w:rsidRDefault="001C705E" w:rsidP="001C705E">
      <w:pPr>
        <w:pStyle w:val="Extracto"/>
      </w:pPr>
    </w:p>
    <w:p w:rsidR="001C705E" w:rsidRDefault="001C705E" w:rsidP="001C705E">
      <w:pPr>
        <w:pStyle w:val="Extracto"/>
      </w:pPr>
      <w:r>
        <w:t>9.</w:t>
      </w:r>
      <w:r>
        <w:tab/>
        <w:t xml:space="preserve">El sentido del art. 67.3 de la Norma fundamental es el de vincular el reconocimiento de lo que llama «privilegios» parlamentarios al funcionamiento regular de las asambleas y de sus órganos. </w:t>
      </w:r>
    </w:p>
    <w:p w:rsidR="001C705E" w:rsidRDefault="001C705E" w:rsidP="001C705E">
      <w:pPr>
        <w:pStyle w:val="Extracto"/>
      </w:pPr>
    </w:p>
    <w:p w:rsidR="001C705E" w:rsidRDefault="001C705E" w:rsidP="001C705E">
      <w:pPr>
        <w:pStyle w:val="Extracto"/>
      </w:pPr>
      <w:r>
        <w:t>10.</w:t>
      </w:r>
      <w:r>
        <w:tab/>
        <w:t xml:space="preserve">Desde una interpretación finalista, las prerrogativas parlamentarias han de ser interpretadas estrictamente para no devenir privilegios que puedan lesionar derechos fundamentales de terceros (en este caso, por ejemplo, los reconocidos por el artículo 24.1 de la C.E.). La prerrogativas parlamentarias son «sustracciones al Derecho común conectadas a una «función», y sólo en tanto esta función jurídica se ejerza, pueden considerarse vigentes. </w:t>
      </w:r>
    </w:p>
    <w:p w:rsidR="001C705E" w:rsidRDefault="001C705E" w:rsidP="001C705E">
      <w:pPr>
        <w:pStyle w:val="Extracto"/>
      </w:pPr>
    </w:p>
    <w:p w:rsidR="001C705E" w:rsidRDefault="001C705E" w:rsidP="001C705E">
      <w:pPr>
        <w:pStyle w:val="Extracto"/>
      </w:pPr>
      <w:r>
        <w:t>11.</w:t>
      </w:r>
      <w:r>
        <w:tab/>
        <w:t xml:space="preserve">La prerrogativa de la inviolabilidad puede amparar también los actos «exteriores» a la vida de las Cámaras, que no sean sino reproducción literal de un acto parlamentario. </w:t>
      </w:r>
    </w:p>
    <w:p w:rsidR="001C705E" w:rsidRDefault="001C705E" w:rsidP="001C705E">
      <w:pPr>
        <w:pStyle w:val="Extracto"/>
      </w:pPr>
    </w:p>
    <w:p w:rsidR="001C705E" w:rsidRDefault="001C705E" w:rsidP="001C705E">
      <w:pPr>
        <w:pStyle w:val="Extracto"/>
      </w:pPr>
      <w:r>
        <w:t>12.</w:t>
      </w:r>
      <w:r>
        <w:tab/>
        <w:t xml:space="preserve">La cuestión de si la retroactividad de la Ley penal más favorable está reconocida en la Constitución, fue ya resuelta en las SSTC 8/1981, de 30 de marzo, y 15/1981, de 7 de mayo, en el sentido de considerarla impuesta a partir de una interpretación «a contrario» del art. 9.3. La primera Sentencia de las citadas alude incluso a la posibilidad de invocarla en amparo, en algún caso, «merced a una interpretación conjunta de los arts. 9.3 y 17.1 de la C.E.». </w:t>
      </w:r>
    </w:p>
    <w:p w:rsidR="001C705E" w:rsidRDefault="001C705E" w:rsidP="001C705E">
      <w:pPr>
        <w:pStyle w:val="Extracto"/>
      </w:pPr>
    </w:p>
    <w:p w:rsidR="001C705E" w:rsidRDefault="001C705E" w:rsidP="001C705E">
      <w:pPr>
        <w:pStyle w:val="Extracto"/>
      </w:pPr>
      <w:r>
        <w:t>13.</w:t>
      </w:r>
      <w:r>
        <w:tab/>
        <w:t xml:space="preserve">Es el órgano judicial a quien corresponde realizar la subsunción de los hechos en el tipo delictivo correspondiente. A ello ha de añadirse que la adjetivación de calumnia o de injuria en el marco de los arts. 161 y 162 del Código Penal es irrelevante. </w:t>
      </w:r>
    </w:p>
    <w:p w:rsidR="001C705E" w:rsidRDefault="001C705E" w:rsidP="001C705E">
      <w:pPr>
        <w:pStyle w:val="Extracto"/>
      </w:pPr>
    </w:p>
    <w:p w:rsidR="001C705E" w:rsidRDefault="001C705E" w:rsidP="001C705E">
      <w:pPr>
        <w:pStyle w:val="Extracto"/>
      </w:pPr>
      <w:r>
        <w:t>14.</w:t>
      </w:r>
      <w:r>
        <w:tab/>
        <w:t xml:space="preserve">La Sentencia que pronuncia este Tribunal ha de resolver las vulneraciones constitucionales denunciadas en la demanda, en la que queda acotada la pretensión sin que pueda dotarse a ésta de un fundamento que no haya sido suficientemente </w:t>
      </w:r>
      <w:r>
        <w:lastRenderedPageBreak/>
        <w:t xml:space="preserve">debatido por haber sido extemporáneamente aportado (STC 73/1983, de 2 de diciembre, F.J. 5). </w:t>
      </w:r>
    </w:p>
    <w:p w:rsidR="001C705E" w:rsidRDefault="001C705E" w:rsidP="001C705E">
      <w:pPr>
        <w:pStyle w:val="Extracto"/>
      </w:pPr>
    </w:p>
    <w:p w:rsidR="001C705E" w:rsidRDefault="001C705E" w:rsidP="001C705E">
      <w:pPr>
        <w:pStyle w:val="Extracto"/>
      </w:pPr>
      <w:r>
        <w:t>15.</w:t>
      </w:r>
      <w:r>
        <w:tab/>
        <w:t xml:space="preserve">El derecho de todos «a utilizar los medios de prueba pertinentes para su defensa» (art. 24.2 de la C.E.), como todos los derechos fundamentales establecidos entre los arts. 14 y 29, presenta una doble línea de proyección de su eficacia, pues es un parámetro para fijar la legitimidad constitucional de las Leyes y es un derecho (y una norma) directamente ejercitable (aplicable) por el particular. </w:t>
      </w:r>
    </w:p>
    <w:p w:rsidR="001C705E" w:rsidRDefault="001C705E" w:rsidP="001C705E">
      <w:pPr>
        <w:pStyle w:val="Extracto"/>
      </w:pPr>
    </w:p>
    <w:p w:rsidR="001C705E" w:rsidRDefault="001C705E" w:rsidP="001C705E">
      <w:pPr>
        <w:pStyle w:val="Extracto"/>
      </w:pPr>
      <w:r>
        <w:t>16.</w:t>
      </w:r>
      <w:r>
        <w:tab/>
        <w:t xml:space="preserve">Las líneas que hasta ahora ha seguido la jurisprudencia o doctrina de este Tribunal recaída en la materia del derecho constitucional a las pruebas, marcan una relación muy estrecha entre negativa de las pruebas e indefensión. La relación entre derecho a las pruebas e indefensión marca el momento de máxima tensión de la eventual lesión del derecho. </w:t>
      </w:r>
    </w:p>
    <w:p w:rsidR="001C705E" w:rsidRDefault="001C705E" w:rsidP="001C705E">
      <w:pPr>
        <w:pStyle w:val="Extracto"/>
      </w:pPr>
    </w:p>
    <w:p w:rsidR="001C705E" w:rsidRDefault="001C705E" w:rsidP="001C705E">
      <w:pPr>
        <w:pStyle w:val="Extracto"/>
      </w:pPr>
      <w:r>
        <w:t>17.</w:t>
      </w:r>
      <w:r>
        <w:tab/>
        <w:t xml:space="preserve">El art. 24 de la C.E. no supone un desapoderamiento de la potestad que corresponde a los Jueces y Tribunales ordinarios para pronunciarse sobre la pertinencia de las pruebas propuestas siendo procedente únicamente el examen de tal extremo por el Tribunal Constitucional en los supuestos de falta total de fundamento o de absoluta incongruencia en la motivación del rechazo del medio que haya sido propuesto o cuando la motivación haya sido arbitraria o irrazonable. </w:t>
      </w:r>
    </w:p>
    <w:p w:rsidR="001C705E" w:rsidRDefault="001C705E" w:rsidP="001C705E">
      <w:pPr>
        <w:pStyle w:val="Extracto"/>
      </w:pPr>
    </w:p>
    <w:p w:rsidR="001C705E" w:rsidRDefault="001C705E" w:rsidP="001C705E">
      <w:pPr>
        <w:pStyle w:val="Extracto"/>
      </w:pPr>
      <w:r>
        <w:t>18.</w:t>
      </w:r>
      <w:r>
        <w:tab/>
        <w:t xml:space="preserve">La pertinencia de las pruebas es la relación que las mismas guardan con lo que es objeto del juicio y con lo que constituye «thema decidendi» para el Tribunal y expresa la capacidad de los medios utilizados para formar la definitiva convicción del Tribunal. Así entendida, es distinta de su eventual relevancia, que consiste en el juicio de necesidad o de utilidad de las mismas. </w:t>
      </w:r>
    </w:p>
    <w:p w:rsidR="001C705E" w:rsidRDefault="001C705E" w:rsidP="001C705E">
      <w:pPr>
        <w:pStyle w:val="Extracto"/>
      </w:pPr>
    </w:p>
    <w:p w:rsidR="001C705E" w:rsidRDefault="001C705E" w:rsidP="001C705E">
      <w:pPr>
        <w:pStyle w:val="Extracto"/>
      </w:pPr>
      <w:r>
        <w:t>19.</w:t>
      </w:r>
      <w:r>
        <w:tab/>
        <w:t xml:space="preserve">Se encuentran entre los elementos caracterizadores del juicio sobre la pertinencia, el que el objeto de la prueba han de ser hechos y no normas jurídicas o elementos de Derecho; el que ha de tratarse de hechos que hayan sido previamente alegados y que estén, por consiguiente, previamente aportados al proceso, y que no se trate de hechos exonerados de prueba como pueden estarlo los hechos establecidos en virtud de una presunción legal. </w:t>
      </w:r>
    </w:p>
    <w:p w:rsidR="001C705E" w:rsidRDefault="001C705E" w:rsidP="001C705E">
      <w:pPr>
        <w:pStyle w:val="Extracto"/>
      </w:pPr>
    </w:p>
    <w:p w:rsidR="001C705E" w:rsidRDefault="001C705E" w:rsidP="001C705E">
      <w:pPr>
        <w:pStyle w:val="Extracto"/>
      </w:pPr>
      <w:r>
        <w:t>20.</w:t>
      </w:r>
      <w:r>
        <w:tab/>
        <w:t xml:space="preserve">La irregularidad en la anticipación del juicio sobre una cuestión de fondo sólo entraña violación del derecho constitucional a servirse de las pruebas pertinentes, especialmente en casos que se deciden en única instancia, si se produce la lesión en derecho sustantivo que en el proceso se cuestione. </w:t>
      </w:r>
    </w:p>
    <w:p w:rsidR="001C705E" w:rsidRDefault="001C705E" w:rsidP="001C705E">
      <w:pPr>
        <w:pStyle w:val="Extracto"/>
      </w:pPr>
    </w:p>
    <w:p w:rsidR="001C705E" w:rsidRDefault="001C705E" w:rsidP="001C705E">
      <w:pPr>
        <w:pStyle w:val="Extracto"/>
      </w:pPr>
      <w:r>
        <w:t>21.</w:t>
      </w:r>
      <w:r>
        <w:tab/>
        <w:t xml:space="preserve">La limitación del derecho consagrado por el art. 24.2 a servirse de las pruebas pertinentes para su defensa como un derecho constitucional, no justifica su sacrificio a intereses indudablemente dignos de su tutela, pero de rango subordinado, como pueden ser la economía del proceso, la mayor celeridad de éste o la eficacia en la administración de justicia. </w:t>
      </w:r>
    </w:p>
    <w:p w:rsidR="001C705E" w:rsidRDefault="001C705E" w:rsidP="001C705E">
      <w:pPr>
        <w:pStyle w:val="Extracto"/>
      </w:pPr>
    </w:p>
    <w:p w:rsidR="001C705E" w:rsidRDefault="001C705E" w:rsidP="001C705E">
      <w:pPr>
        <w:pStyle w:val="Extracto"/>
      </w:pPr>
      <w:r>
        <w:lastRenderedPageBreak/>
        <w:t>22.</w:t>
      </w:r>
      <w:r>
        <w:tab/>
        <w:t xml:space="preserve">El delito previsto en el art. 161 del Código Penal ha de ser considerado en su relación con el derecho de libertad de expresión consagrado por el art. 20 de la C.E. </w:t>
      </w:r>
    </w:p>
    <w:p w:rsidR="001C705E" w:rsidRDefault="001C705E" w:rsidP="001C705E">
      <w:pPr>
        <w:pStyle w:val="Extracto"/>
      </w:pPr>
    </w:p>
    <w:p w:rsidR="001C705E" w:rsidRDefault="001C705E" w:rsidP="001C705E">
      <w:pPr>
        <w:pStyle w:val="Extracto"/>
      </w:pPr>
      <w:r>
        <w:t>23.</w:t>
      </w:r>
      <w:r>
        <w:tab/>
        <w:t xml:space="preserve">La legislación de carácter penal constituye una vía idónea para la regulación del ejercicio de los derechos fundamentales por el legislador, de conformidad con lo dispuesto en el art. 53 de la C.E., y es constitucionalmente legítima, en tanto se respete el contenido esencial del derecho. </w:t>
      </w:r>
    </w:p>
    <w:p w:rsidR="001C705E" w:rsidRDefault="001C705E" w:rsidP="001C705E">
      <w:pPr>
        <w:pStyle w:val="Extracto"/>
      </w:pPr>
    </w:p>
    <w:p w:rsidR="001C705E" w:rsidRDefault="001C705E" w:rsidP="001C705E">
      <w:pPr>
        <w:pStyle w:val="Extracto"/>
      </w:pPr>
      <w:r>
        <w:t>24.</w:t>
      </w:r>
      <w:r>
        <w:tab/>
        <w:t xml:space="preserve">En la libertad de expresión e información, una y otra línea del derecho -las noticias y las opiniones- encuentran un límite indiscutible en la seguridad exterior e interior del Estado, que puede ponerse en riesgo cuando se produce una destrucción del prestigio de las instituciones democráticas, en las que las fuerzas políticas del país se deben reconocer y que expresan no sólo el interés singular de algunos miembros de la comunidad nacional, sino el interés de la colectividad entera, en la medida en que estas instituciones son expresión de la solidaridad de la nación y ofender su prestigio significa incumplir el deber de solidaridad política. Tales violaciones de deberes pueden ser sancionadas con normas penales. </w:t>
      </w:r>
    </w:p>
    <w:p w:rsidR="001C705E" w:rsidRDefault="001C705E" w:rsidP="001C705E">
      <w:pPr>
        <w:pStyle w:val="Extracto"/>
      </w:pPr>
    </w:p>
    <w:p w:rsidR="001C705E" w:rsidRDefault="001C705E" w:rsidP="001C705E">
      <w:pPr>
        <w:pStyle w:val="Extracto"/>
      </w:pPr>
      <w:r>
        <w:t>25.</w:t>
      </w:r>
      <w:r>
        <w:tab/>
        <w:t xml:space="preserve">La existencia o inexistencia de «exceptio veritatis» y la aproximación o el alejamiento del delito del art. 161 respecto de los delitos de injurias a funcionarios públicos es una cuestión de mera legalidad en la que este Tribunal no puede introducirse como tampoco puede revisar la apreciación sobre la concurrencia del «animus iniuriandi» y los demás elementos del supuesto de hecho.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781/1983, promovido por don Miguel Castells Arteche, representado por la Procuradora de los Tribunales doña Esther Rodríguez Pérez, y bajo la dirección del Abogado don Enrique Villa Sánchez, contra la Sentencia dictada por la Sala Segunda del Tribunal Supremo en 31 de octubre de 1983, en causa seguida contra el actual solicitante del amparo por el delito de injurias al Gobierno. Ha comparecido en el asunto el Ministerio Fiscal y ha sido Ponente el Magistrado don Luis Díez-Picazo, quien expresa el parecer de la Sala.</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Con fecha 3 de julio de 1979 el Ministerio Fiscal formuló una querella contra el entonces Senador don Miguel Castells Arteche, por la supuesta comisión de un delito de injurias al Gobierno, prevenido en el art. 161 del Código Penal. Según la opinión del Fiscal, dicho delito se habría cometido en un artículo escrito por el señor Castells, titulado «Insultante impunidad», publicado en la «Revista Punto y Hora de Euskalherria», en el número correspondiente a la semana del 14 al 21 de junio de 1979, cuyo tenor literal es el siguiente: </w:t>
      </w:r>
    </w:p>
    <w:p w:rsidR="001C705E" w:rsidRDefault="001C705E" w:rsidP="001C705E">
      <w:pPr>
        <w:pStyle w:val="TextoNormal"/>
      </w:pPr>
      <w:r>
        <w:t xml:space="preserve">«Dentro de poco, cuando lleguen los Sanfermines, se cumplirá el año de los asesinatos de Germán Rodríguez en Iruña y Joseba Barandiarán en Donosti. Los organismos oficiales no han identificado a los autores. Ni siquiera han reconocido las organizaciones a que pertenecen. Tampoco han identificado a quienes mataron, entre el 12 y el 15 de mayo de 1977, en Rentería, a Gregorio Marichalar Ayestarán, de sesenta y tres años, y a Rafael Gómez Jáuregui, de setenta y ocho; en Iruña, a José Luis Cano, y en Ortuella a Manuel Fuentes Mesa; el 14 de mayo, también de 1977, a José Luis Aristizábal, en San Sebastián, y por esas fechas, y en la misma ciudad, a Isidro Eusperregui Aldekoa, septuagenario; a comienzos de junio del mismo año, a Javier Núñez Fernández, en Bilbao; a Francisco Aznar Clemente, Pedro María Martínez Ocio, Romualdo Barroso Chaparro, Juan José Castillo y Bienvenido Pereda Moral, el 3 de marzo de 1976, en Gasteiz, y en el mismo año, el 7 de marzo, en Basauri, a Vicente Antón Ferrero; el 9 de mayo, en Montejurra, a Aniano Jiménez y Ricardo Pellejero; el mes de junio, a Alberto Romero Soliño, en Eibar; el de septiembre a Jesús María Zabala, en Fuenterrabía; en noviembre, a Santiago Navas y José Javier Nuén, en Santesteban, y el 10 de julio, a Normi Menchaka, en Santurce; a José Emilio Fernández Pérez, de dieciséis años, y a Felipe Carro Flores, de quince, el 24 de julio, en Apatomasterio, y el 25 de julio, en Sestao, respectivamente, el año 1978. Hablo sólo de muertos, y no agoto, ni muchísimo menos, la relación. Ni uno solo, repito: Ni uno solo de los asesinatos que comprende la lista interminable de asesinatos fascistas en Euskadi ha tenido una mínima aclaración oficial. ¿Se identificará a los individuos que asesinaron a Emilia Larrea, Roberto Aramburu, Josemari Iturrioz, Agurtzane Arregui, Argala, José Ramón Ansa y Gladys del Estal, que son los más recientes? Y al hablar de los más recientes hay que señalar la fecha -9 de junio de 1979-, porque mañana habrá más. Y quedan los cientos de casos -porque son cientos- en los que unos señores entran empuñando pistolas en bares de pueblos y barrios (Amorebieta, Durango, Eguía, Loyola, etc.), o van simplemente por la calle hiriendo y atropellando indiscriminadamente a la gente; las voladuras de los locales populares (Punto y Hora, Bordatxo, bar Alay, bar Santi, Askatasuna, etc.), o de turismos, los atentados cuyos supervivientes quedan con lesiones permanentes, etc. </w:t>
      </w:r>
    </w:p>
    <w:p w:rsidR="001C705E" w:rsidRDefault="001C705E" w:rsidP="001C705E">
      <w:pPr>
        <w:pStyle w:val="TextoNormal"/>
      </w:pPr>
      <w:r>
        <w:t xml:space="preserve">Los autores de estos crímenes se desenvuelven y siguen ocupando sus puestos y cargos con absoluta impunidad. No se difunden órdenes de busca y captura. No se recoge y publica la descripción física de los autores, ni se barajan listas de sospechosos, con salida en la prensa, ni hay foto robot, ni mucho menos ofrecimiento público de recompensa, ni detenciones, controles o registros domiciliarios, ni se llama públicamente a la colaboración ciudadana, como en otros supuestos, ni se admite, significativamente, la colaboración. No se establecen conexiones, ni hay comunicado oficial en la prensa con imputaciones tajantes y anatemas, como en otros supuestos. </w:t>
      </w:r>
    </w:p>
    <w:p w:rsidR="001C705E" w:rsidRDefault="001C705E" w:rsidP="001C705E">
      <w:pPr>
        <w:pStyle w:val="TextoNormal"/>
      </w:pPr>
      <w:r>
        <w:lastRenderedPageBreak/>
        <w:t xml:space="preserve">La derecha en el poder tiene los medios (policía, tribunales y cárceles) para descubrir y castigar a los autores de tanto crimen. Pero no hay cuidado: La derecha no se va a descubrir a sí misma. </w:t>
      </w:r>
    </w:p>
    <w:p w:rsidR="001C705E" w:rsidRDefault="001C705E" w:rsidP="001C705E">
      <w:pPr>
        <w:pStyle w:val="TextoNormal"/>
      </w:pPr>
      <w:r>
        <w:t xml:space="preserve">¿Organizaciones de extrema derecha? Nadie creía en Euskadi, antes de fallecido Franco, en la posibilidad de que pudiera estar detenido o condenado por asociación ilícita ni un solo militar, y menos un dirigente de la Triple A, del Batallón Vasco-Español, del Batallón Guezalaga, de ATE, del Comando Adolfo Hitler, del Comando Francisco Franco, del Comando Mussolini, de Orden Nuevo, Omega, del Movimiento Social Español, Acción Nacional Española o Guerrilleros de Cristo Rey. Nadie tampoco puede creerlo en la actualidad. </w:t>
      </w:r>
    </w:p>
    <w:p w:rsidR="001C705E" w:rsidRDefault="001C705E" w:rsidP="001C705E">
      <w:pPr>
        <w:pStyle w:val="TextoNormal"/>
      </w:pPr>
      <w:r>
        <w:t xml:space="preserve">¿Presos de "la ETA"? Por las cárceles han pasado centenares. ¿Sospechosos de "la ETA"? Por la comisaría han pasado miles. ¿Simpatizantes? Para qué seguir contando... Pero dirigentes o militantes de las Triples AS, ni uno. </w:t>
      </w:r>
    </w:p>
    <w:p w:rsidR="001C705E" w:rsidRDefault="001C705E" w:rsidP="001C705E">
      <w:pPr>
        <w:pStyle w:val="TextoNormal"/>
      </w:pPr>
      <w:r>
        <w:t xml:space="preserve">Los encargados antes del orden y de perseguir los delitos son los mismos de ahora. Y aquí en Euskadi nada ha variado en cuestión de impunidad y en cuestión de responsabilidad. </w:t>
      </w:r>
    </w:p>
    <w:p w:rsidR="001C705E" w:rsidRDefault="001C705E" w:rsidP="001C705E">
      <w:pPr>
        <w:pStyle w:val="TextoNormal"/>
      </w:pPr>
      <w:r>
        <w:t xml:space="preserve">El período de Ibáñez Freire como Director general de la Guardia Civil, bajo Fraga como Ministro del Interior, coincidió también con otra fase de gran proliferación en Euskadi de las acciones llamadas de extrema derecha. Vuelven la proliferación y la coincidencia. La escalada de los incontrolados suele acompañar en Euskadi a la escalada de las fuerzas policiales de represión. </w:t>
      </w:r>
    </w:p>
    <w:p w:rsidR="001C705E" w:rsidRDefault="001C705E" w:rsidP="001C705E">
      <w:pPr>
        <w:pStyle w:val="TextoNormal"/>
      </w:pPr>
      <w:r>
        <w:t xml:space="preserve">Estos comandos, por llamarles de alguna forma, se mueven en Euskadi como el pez en el agua, en medio de una población que les es absolutamente hostil. Resulta demasiado inexplicable, para no estar a la vista, la explicación. Disponen de información exacta, más detallada, en muchos casos, para los atentados que cometen, que la que tienen a su disposición las gentes del país. Cuentan con amplios ficheros que se mantienen al día. Disponen de material bélico y fondos abundantes. Disponen de material y fondos sin limitación y de una impunidad absoluta. Dado el tiempo y condiciones en que vienen operando, puede decirse que tienen garantizada de antemano la impunidad legal. No sirve de nada que prohíban verlo. </w:t>
      </w:r>
    </w:p>
    <w:p w:rsidR="001C705E" w:rsidRDefault="001C705E" w:rsidP="001C705E">
      <w:pPr>
        <w:pStyle w:val="TextoNormal"/>
      </w:pPr>
      <w:r>
        <w:t xml:space="preserve">Y esto cuenta para el pueblo. Y pesa más en Euskadi que todos los preautonómicos, consensos democráticos y zaranjadas vacías o de formulación abstracta, porque tiene una presencia diaria y una realidad física y tangible. Sinceramente, no creo en la existencia de las asociaciones fascistas, cuyas siglas he señalado antes, fuera y al margen del aparato del Estado. O sea, que no creo en su existencia real. Pese a la proliferación de siglas, son siempre los mismos. </w:t>
      </w:r>
    </w:p>
    <w:p w:rsidR="001C705E" w:rsidRDefault="001C705E" w:rsidP="001C705E">
      <w:pPr>
        <w:pStyle w:val="TextoNormal"/>
      </w:pPr>
      <w:r>
        <w:t xml:space="preserve">Detrás de estas acciones sólo puede estar el Gobierno, el Partido del Gobierno y sus efectivos. Sabemos que van a utilizar, cada vez más, como instrumento político la caza expeditiva y la eliminación física del disidente vasco. ­Allá ellos con su falta de visión política! Pero para el próximo que caiga entre nosotros, hay que señalar a los responsables, desde ahora y con la máxima publicidad.» </w:t>
      </w:r>
    </w:p>
    <w:p w:rsidR="001C705E" w:rsidRDefault="001C705E" w:rsidP="001C705E">
      <w:pPr>
        <w:pStyle w:val="TextoNormal"/>
      </w:pPr>
      <w:r>
        <w:t>El Tribunal Supremo solicitó el suplicatorio para procesar al señor Castels y, una vez obtenido, dictó Auto de procesamiento contra él. Tras una serie de incidencias, que no son del caso, el Ministerio Fiscal formuló el escrito de calificación provisional y proposición de prueba, trámite que asimismo evacuó la defensa del Senador señor Castells, tan pronto como hubo recibido la causa. En el escrito del procesado se decía, con respecto al artículo objeto del proceso, lo siguiente: Que los hechos relatados en el mismo eran ciertos; que se probaría la existencia de datos suficientes para que el querellado estuviera obligado a de</w:t>
      </w:r>
      <w:r>
        <w:lastRenderedPageBreak/>
        <w:t xml:space="preserve">nunciar públicamente aquellos hechos; que el artículo en cuestión no contenía afirmaciones de carácter personal, sino que en él se manifestaba una opinión pública, cuya notoriedad se probaba con testimonios publicados repetidamente y difundidos con amplitud. Por otra parte, se añadía que la prueba que se proponía iba dirigida a demostrar: a) La realidad de lo imputado; b) La intención del querellado al redactar el artículo objeto de la acusación; c) La existencia de datos objetivos que, por ser públicos y notorios, privan de carácter injurioso el contenido del trabajo; d) La práctica parlamentaria en la materia. </w:t>
      </w:r>
    </w:p>
    <w:p w:rsidR="001C705E" w:rsidRDefault="001C705E" w:rsidP="001C705E">
      <w:pPr>
        <w:pStyle w:val="TextoNormal"/>
      </w:pPr>
      <w:r>
        <w:t xml:space="preserve">A continuación se articulaban los diversos medios de prueba de los que intentaba valerse la defensa del señor Castells: </w:t>
      </w:r>
    </w:p>
    <w:p w:rsidR="001C705E" w:rsidRDefault="001C705E" w:rsidP="001C705E">
      <w:pPr>
        <w:pStyle w:val="TextoNormal"/>
      </w:pPr>
      <w:r>
        <w:t xml:space="preserve">I. Interrogatorio del procesado. </w:t>
      </w:r>
    </w:p>
    <w:p w:rsidR="001C705E" w:rsidRDefault="001C705E" w:rsidP="001C705E">
      <w:pPr>
        <w:pStyle w:val="TextoNormal"/>
      </w:pPr>
      <w:r>
        <w:t xml:space="preserve">II. Documental, consistente en: </w:t>
      </w:r>
    </w:p>
    <w:p w:rsidR="001C705E" w:rsidRDefault="001C705E" w:rsidP="001C705E">
      <w:pPr>
        <w:pStyle w:val="TextoNormal"/>
      </w:pPr>
      <w:r>
        <w:t xml:space="preserve">1.° La totalidad de los folios sumariales. </w:t>
      </w:r>
    </w:p>
    <w:p w:rsidR="001C705E" w:rsidRDefault="001C705E" w:rsidP="001C705E">
      <w:pPr>
        <w:pStyle w:val="TextoNormal"/>
      </w:pPr>
      <w:r>
        <w:t xml:space="preserve">2.° Documentos presentados por el procesado en la indagatoria. </w:t>
      </w:r>
    </w:p>
    <w:p w:rsidR="001C705E" w:rsidRDefault="001C705E" w:rsidP="001C705E">
      <w:pPr>
        <w:pStyle w:val="TextoNormal"/>
      </w:pPr>
      <w:r>
        <w:t xml:space="preserve">3.° Documentos que se acompañan para su unión en las actuaciones, que comprenden: </w:t>
      </w:r>
    </w:p>
    <w:p w:rsidR="001C705E" w:rsidRDefault="001C705E" w:rsidP="001C705E">
      <w:pPr>
        <w:pStyle w:val="TextoNormal"/>
      </w:pPr>
      <w:r>
        <w:t xml:space="preserve">a) Sendos dictámenes de Catedráticos de Derecho Penal; b) Dosier de prensa en el que se recogen hechos y declaraciones similares a los del artículo de Autos, anteriores y posteriores a éste; c) Libros publicados por distintas editoriales que inciden en el tema; d) Un dosier elaborado por el señor Castells para su remisión a los Organismos internacionales que procede, y otro confeccionado por el «Grupo del Comité por Libertad de Expresión». </w:t>
      </w:r>
    </w:p>
    <w:p w:rsidR="001C705E" w:rsidRDefault="001C705E" w:rsidP="001C705E">
      <w:pPr>
        <w:pStyle w:val="TextoNormal"/>
      </w:pPr>
      <w:r>
        <w:t xml:space="preserve">4.° Que se oficiara a diversos Gobiernos Civiles, a la Dirección de la Seguridad del Estado y a la Dirección General de la Guardia Civil, para que remitieran certificación o informe sobre si fueron identificadas y puestas a disposición judicial las personas que participaron en las muertes relacionadas en el artículo de Autos, y las que, perteneciendo a cualquier organización ultraderechista, hubieran participado en agresiones a terceras personas, así como relación de los atentados violentos cometidos en el País Vasco y reivindicados o imputados a una de aquellas organizaciones. </w:t>
      </w:r>
    </w:p>
    <w:p w:rsidR="001C705E" w:rsidRDefault="001C705E" w:rsidP="001C705E">
      <w:pPr>
        <w:pStyle w:val="TextoNormal"/>
      </w:pPr>
      <w:r>
        <w:t xml:space="preserve">5.° Que se librara despacho a diferentes Juzgados de Instrucción, Audiencias Provinciales y Audiencia Nacional para que expidieran testimonio literal sobre diversas diligencias previas que en ellos se seguían y sobre cualquier Sentencia en la que hubieran resultado condenados miembros de las organizaciones ultraderechistas que se mencionaban. </w:t>
      </w:r>
    </w:p>
    <w:p w:rsidR="001C705E" w:rsidRDefault="001C705E" w:rsidP="001C705E">
      <w:pPr>
        <w:pStyle w:val="TextoNormal"/>
      </w:pPr>
      <w:r>
        <w:t xml:space="preserve">6.° Que se oficiara al Gobierno Vasco para que expidiera certificación o testimonio literales del expediente, informe y resolución de la Comisión de Investigación del Consejo General Vasco y del Consejo General en relación con la actuación de los llamados «incontrolados», en determinadas fechas, así como de cualquier expediente, resolución o documento que obrara en sus archivos sobre la actuación violenta de la extrema derecha en las Vascongadas. </w:t>
      </w:r>
    </w:p>
    <w:p w:rsidR="001C705E" w:rsidRDefault="001C705E" w:rsidP="001C705E">
      <w:pPr>
        <w:pStyle w:val="TextoNormal"/>
      </w:pPr>
      <w:r>
        <w:t xml:space="preserve">7.° Que se oficiara al Ministerio del Interior, a la Inspección de la Policía Nacional y a la Comisaría del Cuerpo Superior de Policía de San Sebastián, para que remitieran certificación o testimonio literales sobre el expediente seguido con motivo de las actuaciones de «incontrolados» o de miembros de las fuerzas de orden público determinados días en San Sebastián. </w:t>
      </w:r>
    </w:p>
    <w:p w:rsidR="001C705E" w:rsidRDefault="001C705E" w:rsidP="001C705E">
      <w:pPr>
        <w:pStyle w:val="TextoNormal"/>
      </w:pPr>
      <w:r>
        <w:t>III. Testifical de un total de 52 testigos, entre los que figuran políticos, periodistas y funcionarios de policía españoles y parlamentarios de distintos países europeos.</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Sala Segunda del Tribunal Supremo acordó, por Auto de 19 de mayo de 1982, admitir únicamente los apartados I y II, núms. 1.° y 2.°, rechazando los restantes medios de prueba, por entender que iban dirigidos a demostrar la veracidad de las imputaciones vertidas en el repetido artículo cuando la exceptio veritatis no es admisible en procesos </w:t>
      </w:r>
      <w:r>
        <w:lastRenderedPageBreak/>
        <w:t xml:space="preserve">por delitos de injurias al Gobierno, razonando el Tribunal Supremo que «la cuestión la resuelve la Ley» (art. 461 del Código Penal citado) cuando los sujetos de las imputaciones sean funcionarios públicos por hechos que atañen precisamente al ejercicio de su oficio o cargo, con lo cual no hay duda de que nuestro primer texto punitivo rinde tributo a la defensa de la causa pública, poniéndola por encima del honor del imputado (principio del interés preponderante); pero el problema se complica cuando a la condición de funcionario público se superpone la de autoridad, tornándose la imputación en elemento integrante de un delito de desacato del que son sujetos pasivos la «Autoridad, sus agentes y demás funcionarios públicos», puesto que la injuria se mienta en los arts. 240 y siguientes del Código Penal, que describen tales delitos de desacato, en cuya tesitura la doctrina se halla dividida en cuanto a la admisión o no de la excepción de verdad, puesto que si prima facie se trata de injuria relacionada con la función pública, a la que se refiere el art. 461 del Código Penal, lo que abonaría por la admisión de la exceptio, por otra parte se arguye en tal plano doctrinal que en el desacato ya no se trata de una simple ofensa al honor, bien jurídico personal, sino de un ataque al principio de autoridad, bien jurídico comunitario, de tal modo que no se está tan sólo ante delitos contra el honor cualificados por la condición del sujeto pasivo, sino ante delicta sui generis, dualidad interpretativa que ha trascendido a la jurisprudencia de esta Sala, en la que son mayoría los fallos que deniegan la excepcio veritatis en el desacato (Sentencias de 19 de febrero de 1885, 24 de abril de 1892, 19 de febrero de 1895, 12 de julio de 1904, 14 de septiembre de 1934 y 23 de octubre de 1944, entre otras), aunque en algún fallo aislado se ha mantenido lo contrario, con más o menos amplitud (Sentencias de 18 de abril de 1934 y 9 de mayo de 1969). «Que una última y reciente interpretación doctrinal trata de resolver el anterior dualismo, entendiendo que el delito de desacato es dirigido contra «un Ministro o una Autoridad» (art. 240), en tanto que las ofensas comunes a «la autoridad pública, corporaciones o clases determinadas del Estado» (art. 467, párrafo tercero) tienen un sentido genérico que excluye el desacato propiamente dicho, el cual exige que ofenda a determinada autoridad; interpretación que, como se ve, deja al margen los «delitos contra los altos Organismos de la Nación», entre los que se encuadra el art. 161 del Código Penal, con la consecuencia de que si bien en los dos primeros supuestos (funcionarios revestidos o no de autoridad y corporaciones en general) puede jugar la exceptio veritatis, tal defensa procesal no podrá darse contra las instituciones en que encarnan los poderes del Estado (legislativo, ejecutivo y judicial), que por formar la entraña del mismo gozan de una protección jurídico-penal especial y más intensa, pues de otro modo se daría la paradoja, puesta de relieve por un ilustre penalista de nuestros días, de que la acción de desacato a un determinado funcionario judicial será penalmente mucho más desvaliosa que la dirigida al pleno del Tribunal Supremo.» </w:t>
      </w:r>
    </w:p>
    <w:p w:rsidR="001C705E" w:rsidRDefault="001C705E" w:rsidP="001C705E">
      <w:pPr>
        <w:pStyle w:val="TextoNormal"/>
      </w:pPr>
      <w:r>
        <w:t>«Que justamente la reforma penal iniciada en este punto por Ley 3/1967, de 8 de abril, continuada por la Ley 20/1978, paralela a la de reforma política y culminada por la Constitución Española de 27 de diciembre de 1978 (a la que se acopla el Proyecto del Código Penal de 1980, así como el de reforma parcial de este año, ambos pendientes de debate en las Cortes), trata en la sección segunda del capítulo primero, título II, del referido Código punitivo de los "delitos cometidos contra los altos organismos de la Nación", englobando así bajo el nomem de "altos Organismos", que no meras "corporaciones" mentadas en el art. 467, párrafo tercero del Código, tanto a las Cortes en sus dos ramas del Congreso de los Diputados y del Senado (art. 66.1 de la Constitución), poder legislativo en suma; la institución de la Regencia, colegiada o no (art. 59 de la Constitución); gobierno (y no sólo Consejo de Ministros en la redacción anterior), esto es, Poder ejecutivo (art. 97 de la Constitución) y Tribunal Supremo de Justicia (al que habrán de agregarse en su día el Tri</w:t>
      </w:r>
      <w:r>
        <w:lastRenderedPageBreak/>
        <w:t xml:space="preserve">bunal Constitucional y el Consejo General del Poder Judicial, también con rango constitucional reconocido en los artículos 117, 122 y 159 de la Constitución), consagrándose así, finalmente, la tutela del Poder Judicial como tal; reformas sucesivas que han venido a llenar el vacío de protección de las más altas instituciones estatales que, como ya se ha visto, había echado en falta la doctrina; con la consecuencia, fácil de deducir, de que tales organismos o Poderes, en cuanto tales, escapan a la exceptio veritatis del art. 461, referida a funcionarios públicos revestidos o no de autoridad y a corporaciones (art. 467, tercero) que aún cuando incluyan las de derecho público, no alcanzan a comprender, como es sabido, a las instituciones (poderes) integrantes del Estado, cuya cobertura penal queda así alzaprimada, sin perjuicio de que los miembros de tales poderes estatales puedan ser incriminados (con la consiguiente posibilidad de exceptio en la materia que nos ocupa) una vez superada la protección procesal que, precisamente como integrantes de tales poderes, les es acordada (inmunidad parlamentaria de Diputados y Senadores, fuero especial de los Ministros, querella de antejuicio para Jueces y Magistrados); garantías todas ellas que tratan de conjugar el derecho de los ciudadanos a perseguir los delitos, cualquiera que sea el que los cometa, con el normal funcionamiento de dichos poderes públicos.» </w:t>
      </w:r>
    </w:p>
    <w:p w:rsidR="001C705E" w:rsidRDefault="001C705E" w:rsidP="001C705E">
      <w:pPr>
        <w:pStyle w:val="TextoNormal"/>
      </w:pPr>
      <w:r>
        <w:t xml:space="preserve">«Que como consecuencia de todo lo expuesto y tratándose de dilucidar en esta causa la Comisión o no de un delito de injurias graves al Gobierno, incluido en el art. 161 del Código Penal, resulta ya patente que la prueba aducida por el procesado en pos de demostrar la verdad de sus imputaciones por vía de excepción, no es admisible en este proceso, sin perjuicio de que el acusado pueda ejercitar las acciones que estime oportunas, en el proceso correspondiente.» </w:t>
      </w:r>
    </w:p>
    <w:p w:rsidR="001C705E" w:rsidRDefault="001C705E" w:rsidP="001C705E">
      <w:pPr>
        <w:pStyle w:val="TextoNormal"/>
      </w:pPr>
      <w:r>
        <w:t xml:space="preserve">Contra dicha resolución se interpuso recurso de súplica por el señor Castells, argumentando que la exceptio veritatis es admisible con respecto al delito del que venía acusado y que, de todos modos, no toda la prueba no admitida se dirigía a la demostración de la veracidad de las imputaciones, pues parte de ella estaba dirigida a la probanza del ánimo e intencionalidad del recurrente, de la existencia de datos objetivos abundantes y notorios, anteriores y posteriores a su denuncia, que la privaban de su carácter de injuria y de cuál es la práctica parlamentaria universalmente admitida en la materia. </w:t>
      </w:r>
    </w:p>
    <w:p w:rsidR="001C705E" w:rsidRDefault="001C705E" w:rsidP="001C705E">
      <w:pPr>
        <w:pStyle w:val="TextoNormal"/>
      </w:pPr>
      <w:r>
        <w:t>El recurso fue desestimado por Auto del Tribunal Supremo de 16 de junio de 1982, en el que se afirma que la denegación de las referidas pruebas no prejuzga nada respecto de la existencia o no del animus iniuruandi.</w:t>
      </w:r>
    </w:p>
    <w:p w:rsidR="001C705E" w:rsidRDefault="001C705E" w:rsidP="001C705E">
      <w:pPr>
        <w:pStyle w:val="TextoNormal"/>
      </w:pPr>
    </w:p>
    <w:p w:rsidR="001C705E" w:rsidRDefault="001C705E" w:rsidP="001C705E">
      <w:pPr>
        <w:pStyle w:val="TextoNormal"/>
      </w:pPr>
      <w:r w:rsidRPr="001C705E">
        <w:rPr>
          <w:rStyle w:val="NumeroAFNegritaCaracter"/>
        </w:rPr>
        <w:t>3</w:t>
      </w:r>
      <w:r>
        <w:t>. Las citadas resoluciones del Tribunal Supremo fueron impugnadas en amparo, siendo inadmitido el recurso por Auto de este Tribunal núm. 340, de 10 de noviembre de 1982, en el que se entendía, en primer término, que la denunciada violación del derecho a la defensa y del derecho a utilizar todos los medios de prueba pertinentes para la misma, habría de ser enjuiciada, en todo caso, a la vista de la totalidad del proceso y, por ello, tras el fallo, y que la decisión de la Sala Segunda del Tribunal Supremo y el razonamiento que a ella conducía no podían ser considerados contrarios a la Constitución, y que este Tribunal no podía hacer juicio alguno sobre los hechos que dieron origen al proceso penal, para resolver si tales hechos configuraban uno u otro tipo delictivo y si, en consecuencia, resultaba o no lícito para el acusado alegar en su defensa la exceptio veritatis.</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Celebrada la vista oral, en 31 de octubre de 1983, se dictó Sentencia, por la que se condenó al señor Castells, como autor de un delito de injurias no graves al Gobierno, previsto y penado en los arts. 161 y 162 del Código Penal, a la pena de un año de prisión menor y accesorias, acordándose el pase de la Sentencia al Ministerio Fiscal a efectos de </w:t>
      </w:r>
      <w:r>
        <w:lastRenderedPageBreak/>
        <w:t xml:space="preserve">condena condicional. El Tribunal Supremo consideró que en el artículo redactado por el señor Castells concurrían los elementos objetivo, subjetivo y circunstancial que integran el delito de injurias: el objetivo derivado de diversas expresiones que se incluyen que en sí son afrentosas y racionalmente graves; el subjetivo o animus injuriandi, pues frente a los argumentos esgrimidos por la defensa del procesado para negar su existencia, es de aducir que la crítica, el control y la fiscalización de las actuaciones de los poderes del Estado que le competían como Senador tienen unos canales precisados en el Reglamento del Senado que no fueron los que empleó, por lo que los hechos que se denuncian en el artículo se salen ostensiblemente de las funciones que, como Senador, le correspondían; por otra parte, entiende que cuando las críticas políticas rebasan el ánimo de censura y los límites legalmente establecidos y se utilizan epítetos en si mismos denigrantes, se convierten en antijurídicas, aun cuando, en este caso, el animus criticandi degrade al injuriandi en su intensidad y malicia; asimismo, se destaca en la Sentencia el carácter no absoluto, sino limitado, del derecho a la libertad de expresión, así como la presencia de circunstancias que permiten ponderar la intencionalidad injuriosa. </w:t>
      </w:r>
    </w:p>
    <w:p w:rsidR="001C705E" w:rsidRDefault="001C705E" w:rsidP="001C705E">
      <w:pPr>
        <w:pStyle w:val="TextoNormal"/>
      </w:pPr>
      <w:r>
        <w:t>Por último, y respecto de la alegación de la exceptio veritatis, como medio de defensa en injurias contra el Gobierno, el Tribunal Supremo dio por reproducidos los razonamientos del Auto de 19 de mayo de 1982, insistiendo en que ha de referirse la injuria a un funcionario o autoridad determinada en el ejercicio de su cargo y que tal defensa procesal no puede darse contra las instituciones que encarnan los poderes del Estado.</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El 22 de noviembre de 1983, la Procuradora doña Esther Rodríguez Pérez, en nombre y representación de don Miguel Castells Arteche, presentó ante el Tribunal demandante de amparo, frente a la anterior resolución, en la que denuncia las siguientes violaciones: </w:t>
      </w:r>
    </w:p>
    <w:p w:rsidR="001C705E" w:rsidRDefault="001C705E" w:rsidP="001C705E">
      <w:pPr>
        <w:pStyle w:val="TextoNormal"/>
      </w:pPr>
      <w:r>
        <w:t xml:space="preserve">a) Violación del derecho a un proceso con todas las garantías y violación del derecho a la tutela judicial efectiva, reconocidos en el art. 24.1 y 2 de la C.E., en cuanto que al fallar el Tribunal Supremo en instancia única se viola el derecho al doble grado de jurisdicción. </w:t>
      </w:r>
    </w:p>
    <w:p w:rsidR="001C705E" w:rsidRDefault="001C705E" w:rsidP="001C705E">
      <w:pPr>
        <w:pStyle w:val="TextoNormal"/>
      </w:pPr>
      <w:r>
        <w:t xml:space="preserve">b) Violación del derecho a un proceso sin dilaciones indebidas (art. 24.2 de la Constitución Española), en cuanto se tardó cuatro años y cuatro meses en tramitar el proceso. </w:t>
      </w:r>
    </w:p>
    <w:p w:rsidR="001C705E" w:rsidRDefault="001C705E" w:rsidP="001C705E">
      <w:pPr>
        <w:pStyle w:val="TextoNormal"/>
      </w:pPr>
      <w:r>
        <w:t xml:space="preserve">c) Violación del derecho del acusado a utilizar los medios de prueba pertinentes para su defensa, recogido en el art. 24.2 de la Constitución Española, ocasionando además la indefensión del núm. 1 de dicho art. 24, al rechazarse la prueba narrada en los antecedentes, con lo que no ha tenido la plena oportunidad de probar su inocencia, ni de desvirtuar la acusación formulada contra él. La mayor parte de las pruebas solicitadas eran ajenas a la exceptio veritatis y estaban encaminadas a mostrar las circunstancias, el contexto en el que se produjeron las declaraciones escritas del señor Castells, su intencionalidad al formularlas y la práctica general parlamentaria en la materia. </w:t>
      </w:r>
    </w:p>
    <w:p w:rsidR="001C705E" w:rsidRDefault="001C705E" w:rsidP="001C705E">
      <w:pPr>
        <w:pStyle w:val="TextoNormal"/>
      </w:pPr>
      <w:r>
        <w:t xml:space="preserve">d) Violación del derecho a la presunción de inocencia, a un proceso con todas las garantías, a utilizar las pruebas pertinentes y a no ser reducido a situación de indefensión (art. 24.1 y 2 de la Constitución Española), al no permitir la Sala Segunda del Tribunal Supremo la posibilidad de probar la verdad de lo imputado. </w:t>
      </w:r>
    </w:p>
    <w:p w:rsidR="001C705E" w:rsidRDefault="001C705E" w:rsidP="001C705E">
      <w:pPr>
        <w:pStyle w:val="TextoNormal"/>
      </w:pPr>
      <w:r>
        <w:t xml:space="preserve">e) Violación del art. 14, por sí sólo y en relación con el 20, ambos de la Constitución Española, por cuanto manifestaciones semejantes se efectúan por otras personas sin que tenga lugar persecución judicial alguna. </w:t>
      </w:r>
    </w:p>
    <w:p w:rsidR="001C705E" w:rsidRDefault="001C705E" w:rsidP="001C705E">
      <w:pPr>
        <w:pStyle w:val="TextoNormal"/>
      </w:pPr>
      <w:r>
        <w:t xml:space="preserve">f) Violación del art. 23 de la Constitución Española, en tanto que se constriñe la función senatorial. </w:t>
      </w:r>
    </w:p>
    <w:p w:rsidR="001C705E" w:rsidRDefault="001C705E" w:rsidP="001C705E">
      <w:pPr>
        <w:pStyle w:val="TextoNormal"/>
      </w:pPr>
      <w:r>
        <w:t xml:space="preserve">g) Violación del derecho a la retroactividad de las normas más favorables (arts. 25.1 y 17.1 de la Constitución Española), dado que la reforma del Código Penal introducida por </w:t>
      </w:r>
      <w:r>
        <w:lastRenderedPageBreak/>
        <w:t xml:space="preserve">la Ley Orgánica 8/1983, recoge, junto al concepto de injuria, el de calumnia, más favorable al recurrente en cuanto, conceptualmente, admite la exceptio veritatis. </w:t>
      </w:r>
    </w:p>
    <w:p w:rsidR="001C705E" w:rsidRDefault="001C705E" w:rsidP="001C705E">
      <w:pPr>
        <w:pStyle w:val="TextoNormal"/>
      </w:pPr>
      <w:r>
        <w:t>Por todo lo cual, solicita la nulidad de la Sentencia impugnada, suplicando se suspenda, entre tanto, su ejecución e interesando, para su momento, el recibimiento a prueba.</w:t>
      </w:r>
    </w:p>
    <w:p w:rsidR="001C705E" w:rsidRDefault="001C705E" w:rsidP="001C705E">
      <w:pPr>
        <w:pStyle w:val="TextoNormal"/>
      </w:pPr>
    </w:p>
    <w:p w:rsidR="001C705E" w:rsidRDefault="001C705E" w:rsidP="001C705E">
      <w:pPr>
        <w:pStyle w:val="TextoNormal"/>
      </w:pPr>
      <w:r w:rsidRPr="001C705E">
        <w:rPr>
          <w:rStyle w:val="NumeroAFNegritaCaracter"/>
        </w:rPr>
        <w:t>6</w:t>
      </w:r>
      <w:r>
        <w:t>. Admitida a trámite la demanda, se recabaron las actuaciones y se acordó por la Sección dar vista de las actuaciones por plazo común de veinte días al recurrente y al Ministerio Fiscal para que pudieran hacer las alegaciones que estimasen pertinentes, así como abrir la oportuna pieza separada de suspensión, en la que, tras oír al demandante y al Ministerio Fiscal, se decretó por la Sala la suspensión de la Sentencia, a que se refiere este recurso, en los pronunciamientos relativos a las penas accesorias.</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El Ministerio Fiscal, en escrito de 22 de marzo, entiende que procede dictar Sentencia denegando el amparo, aduciendo en este sentido las siguientes razones: </w:t>
      </w:r>
    </w:p>
    <w:p w:rsidR="001C705E" w:rsidRDefault="001C705E" w:rsidP="001C705E">
      <w:pPr>
        <w:pStyle w:val="TextoNormal"/>
      </w:pPr>
      <w:r>
        <w:t xml:space="preserve">a) Porque no se ha verificado la infracción del art. 24 de la Constitución Española al no poder someterse el fallo a la consideración de un Tribunal superior, ya que el derecho al doble grado de instancia, que está consagrado en el art. 14.5 del Pacto Internacional de Derechos Civiles y Políticos con la matización «conforme a lo prescrito en la Ley», no se reconoce expresamente en la Constitución Española, según ha precisado este Tribunal en Sentencias de 19 de julio y 20 de diciembre de 1982 y 25 de enero de 1983; no obstante, ello se compensa, en el presente caso, con la atribución del conocimiento de las causas penales seguidas contra determinadas personas -concretamente, contra los Senadores- a la Sala Segunda del Tribunal Supremo, que «es el órgano jurisdiccional superior en todos los órdenes» (art. 123.1 de la Constitución Española). </w:t>
      </w:r>
    </w:p>
    <w:p w:rsidR="001C705E" w:rsidRDefault="001C705E" w:rsidP="001C705E">
      <w:pPr>
        <w:pStyle w:val="TextoNormal"/>
      </w:pPr>
      <w:r>
        <w:t xml:space="preserve">b) Porque la invocación del derecho a un proceso sin dilaciones indebidas no cabe efectuarla en amparo sin haberlas puesto previamente de relieve ante el Juez o Tribunal y porque los retrasos que ha sufrido el proceso penal han tenido su origen en las especiales características de la inculpación del recurrente, por su condición de Senador, en su propio comportamiento procesal y en las dificultades que las autoridades encontraron para localizar al querellado conjuntamente con él, de suerte que no pueden adjetivarse de indebidos. </w:t>
      </w:r>
    </w:p>
    <w:p w:rsidR="001C705E" w:rsidRDefault="001C705E" w:rsidP="001C705E">
      <w:pPr>
        <w:pStyle w:val="TextoNormal"/>
      </w:pPr>
      <w:r>
        <w:t xml:space="preserve">c) En cuanto al derecho a utilizar los medios pertinentes para la defensa del acusado, estima que no ha resultado lesionado, dado que el Tribunal Supremo al desestimar parte de la prueba propuesta, lo hizo de forma ampliamente razonada, con lo que ejercitó una facultad que le incumbia, maxime tratándose de una prueba que, en buena medida, se enderezaba a demostrar la veracidad de las imputaciones contenidas en el escrito injurioso, cuando la exceptio veritatis es inoperante en el delito de injurias al Gobierno -criterio de estricta legalidad ordinaria-, por lo que ha de ser calificada de incongruente y de nula influencia en el fallo. Por otra parte, en cuanto que también se orientaba a poner de relieve el contexto social y político en que tuvo lugar la denuncia publicada, el Ministerio Fiscal destaca que aquél pudo ser perfectamente apreciado por el Tribunal, a la vista de los documentos que presentó el demandante al tiempo de prestar declaración indagatoria, por lo que la nueva aportación resultaba superflua. Y, en referencia a la abundante prueba testifical, en especial a las treinta personalidades extranjeras, concluye afirmando que no es decisiva para el fallo de la Sentencia del Tribunal Supremo, pues las prácticas parlamentarias no tienen que ser forzosamente universalizadas. </w:t>
      </w:r>
    </w:p>
    <w:p w:rsidR="001C705E" w:rsidRDefault="001C705E" w:rsidP="001C705E">
      <w:pPr>
        <w:pStyle w:val="TextoNormal"/>
      </w:pPr>
      <w:r>
        <w:t xml:space="preserve">d) La supuesta vulneración del principio de igualdad, tampoco considera el Fiscal que se haya producido, pues la igualdad consagrada en el art. 14 de la Constitución Española es la igualdad en y ante la Ley, no contra la Ley. </w:t>
      </w:r>
    </w:p>
    <w:p w:rsidR="001C705E" w:rsidRDefault="001C705E" w:rsidP="001C705E">
      <w:pPr>
        <w:pStyle w:val="TextoNormal"/>
      </w:pPr>
      <w:r>
        <w:lastRenderedPageBreak/>
        <w:t xml:space="preserve">e) Frágil le parece al Fiscal el fundamento de la invocada violación del art. 23 de la Constitución, porque en dicha invocación o se confunde el derecho a participar en los asuntos públicos o se reconduce la queja actual a la que se centraba en la supuesta violación del art. 14, ya descartado. Destaca a continuación que la afirmación del demandante, segun la cual el art. 71 de la Constitución Española no limita la función publica del parlamentario al ámbito del hemiciclo, encierra un sofisma, puesto que lo que limita es su inviolabilidad en el ejercicio de sus funciones propias definidas en los Reglamentos de las Cámaras respectivas, al margen de las cuales podrá, como cualquier otro ciudadano, formular las críticas y censuras a la acción del Gobierno que tenga por conveniente, sin olvidar que la libertad de expresión tiene unos topes expresamente fijados en el art. 24.4 de la Constitución Española. </w:t>
      </w:r>
    </w:p>
    <w:p w:rsidR="001C705E" w:rsidRDefault="001C705E" w:rsidP="001C705E">
      <w:pPr>
        <w:pStyle w:val="TextoNormal"/>
      </w:pPr>
      <w:r>
        <w:t>f) Sostiene, por ultimo, el Fiscal la inexistencia de la pretendida violación del derecho a la retroactividad favorable, habida cuenta de que tal derecho no se especifica en la Constitución Española y que en su art. 9.3, además de solo garantizar la irretroactividad de las disposiciones sancionadoras no favorables, no puede ser invocado en amparo, no estando tampoco incluido aquel derecho en el principio de legalidad reconocido en el art. 25.1. De igual modo, señala que el art. 17 de la Constitución Española no ha sido traido a colación con acierto, pues en él no se garantiza la seguridad jurídica, sino la personal; y, finalmente, dice que la modificación introducida por la Ley orgánica 81/983 carece de influencia en la resolución combatida, porque no pasa de ser una injustificada conjetura suponer que, aplicando el artículo 161. 1 del Código Penal en su actual redacción, la condena se hubiese producido por calumnia y no por injuria, con la consecuencia de que entonces hubiera debido surtir efecto la exceptio veritatis.</w:t>
      </w:r>
    </w:p>
    <w:p w:rsidR="001C705E" w:rsidRDefault="001C705E" w:rsidP="001C705E">
      <w:pPr>
        <w:pStyle w:val="TextoNormal"/>
      </w:pPr>
    </w:p>
    <w:p w:rsidR="001C705E" w:rsidRDefault="001C705E" w:rsidP="001C705E">
      <w:pPr>
        <w:pStyle w:val="TextoNormal"/>
      </w:pPr>
      <w:r w:rsidRPr="001C705E">
        <w:rPr>
          <w:rStyle w:val="NumeroAFNegritaCaracter"/>
        </w:rPr>
        <w:t>8</w:t>
      </w:r>
      <w:r>
        <w:t>. La representación del demandante, en su escrito de 30 de marzo, junto a la ratificación de la demanda, incorpora un nuevo fundamento de derecho concretado en la violación del art. 25.1 de la Constitución Española y del 15.1 del Pacto Internacional de Derechos Civiles y Políticos (como norma que interpreta al primero) y del art. 17.1 en relación con el 9.3 de la Constitución Española, por cuanto la sentencia recurrida impone en su fallo una pena de entidad más grave que la prevista, en la fecha de la vista y fallo, en el precepto legal que aplica. Asimismo invoca violación del art. 17.1 en relación con el 25 de la Constitución Española y del 23.1 de la Declaración Universal de los Derechos Humanos (norma que lo interpreta), debido a que la sentencia del Tribunal Supremo impone la pena accesoria, no amparada en el precepto legal, de «suspensión de... profesión u oficio durante el tiempo de la condena», con lo que lesiona el derecho a la libertad y seguridad de los que forman parte el derecho al trabajo y a la libre elección del trabajo propio, pues el art. 42, parrafo 2.°, en relación con el 41, párrafo 2.°, ambos del Codigo Penal, según la reforma vigente en la fecha de la vista y fallo, determina que la pena de suspensión de profesión u oficio, cuando tenga carácter accesorio, sólo se impondrá si la profesión o el oficio hubiesen tenido relación directa con el delito cometido, debiendo determinarse explícitamente en la sentencia, siendo asi que no se hizo y que la profesión del demandante es la de Abogado, mientras que el hecho perseguido viene constituido por el contenido de un artículo, por lo que no media relación alguna entre una y otro. De esta forma la sentencia impone una pena no prevista por la ley vigente al tiempo de dictarse. El recurrente finaliza su escrito interesando se soliciten de la Sala Segunda del Tribunal Supremo los documentos que se relatan en el primer otrosi de la demanda, subsidiariamente que se le requiera para su aportacion y que se reciban los autos a prueba.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9</w:t>
      </w:r>
      <w:r>
        <w:t>. La Sección acordó oír por plazo de tres dias al Ministerio Fiscal, quien se opuso al recibimiento a prueba solicitado por el demandante, y requerir a éste para que concretara los hechos que pretendía probar, así como los medios de prueba de que intentaba valerse, lo que efectuó, mediante escrito de 22 de mayo, en el que se indicaba. a) que pretendía probar el contenido de los medios de prueba propuestos en el escrito de calificación provisional, inadmitidos por el Tribunal Supremo, para lo cual proponía la práctica de la totalidad de dichos medios probatorios; b) que pretendía probar que la declaración motivo de la condena habia sido efectuada antes por otras personas sin que fueran objeto de persecución judicial, proponiendo los mismos medios de prueba; c) que pretendía probar la verdad de los hechos imputados en el artículo de autos, con idénticos medios probatorios.</w:t>
      </w:r>
    </w:p>
    <w:p w:rsidR="001C705E" w:rsidRDefault="001C705E" w:rsidP="001C705E">
      <w:pPr>
        <w:pStyle w:val="TextoNormal"/>
      </w:pPr>
    </w:p>
    <w:p w:rsidR="001C705E" w:rsidRDefault="001C705E" w:rsidP="001C705E">
      <w:pPr>
        <w:pStyle w:val="TextoNormal"/>
      </w:pPr>
      <w:r w:rsidRPr="001C705E">
        <w:rPr>
          <w:rStyle w:val="NumeroAFNegritaCaracter"/>
        </w:rPr>
        <w:t>10</w:t>
      </w:r>
      <w:r>
        <w:t xml:space="preserve">. El 13 de junio, la Seccion acordó recibir a prueba el presente proceso por plazo de treinta días para que el demandante y el Ministerio Fiscal propusieran las que estimasen oportunas y practicar las que declarasen pertinentes. </w:t>
      </w:r>
    </w:p>
    <w:p w:rsidR="001C705E" w:rsidRDefault="001C705E" w:rsidP="001C705E">
      <w:pPr>
        <w:pStyle w:val="TextoNormal"/>
      </w:pPr>
      <w:r>
        <w:t>El Ministerio Fiscal, en escrito de 4 de julio, manifestó que no interesaba la proposición de prueba y reiteró sus reparos a la que pretendía practicar el demandante. Este, en escrito de 11 de julio completado con otro de 12 del mismo mes, propuso los medios ya incluidos en su escrito de calificación, acompañando como nuevos documentos diversas hojas de periódicos y revistas.</w:t>
      </w:r>
    </w:p>
    <w:p w:rsidR="001C705E" w:rsidRDefault="001C705E" w:rsidP="001C705E">
      <w:pPr>
        <w:pStyle w:val="TextoNormal"/>
      </w:pPr>
    </w:p>
    <w:p w:rsidR="001C705E" w:rsidRDefault="001C705E" w:rsidP="001C705E">
      <w:pPr>
        <w:pStyle w:val="TextoNormal"/>
      </w:pPr>
      <w:r w:rsidRPr="001C705E">
        <w:rPr>
          <w:rStyle w:val="NumeroAFNegritaCaracter"/>
        </w:rPr>
        <w:t>11</w:t>
      </w:r>
      <w:r>
        <w:t>. La Sala Segunda de este Tribunal resolvió en Auto de 20 de julio admitir la prueba documental adjuntada por la Procuradora doña Esther Rodríguez Pérez al escrito de proposición de prueba y la prueba documental comprendida en el apartado I, a), del mencinado escrito, y rechazar el resto de la prueba propuesta.</w:t>
      </w:r>
    </w:p>
    <w:p w:rsidR="001C705E" w:rsidRDefault="001C705E" w:rsidP="001C705E">
      <w:pPr>
        <w:pStyle w:val="TextoNormal"/>
      </w:pPr>
    </w:p>
    <w:p w:rsidR="001C705E" w:rsidRDefault="001C705E" w:rsidP="001C705E">
      <w:pPr>
        <w:pStyle w:val="TextoNormal"/>
      </w:pPr>
      <w:r w:rsidRPr="001C705E">
        <w:rPr>
          <w:rStyle w:val="NumeroAFNegritaCaracter"/>
        </w:rPr>
        <w:t>12</w:t>
      </w:r>
      <w:r>
        <w:t xml:space="preserve">. Contra el anterior Auto se interpuso por la representación del ser;or Castells recurso de súplica, mediante escrito de 28 de julio, en el que insiste en las argumentaciones ya expuestas, en orden a probar que el proceso se desarrolló y la Sentencia se dictó, violando los derechos fundamentales que la demanda señala. </w:t>
      </w:r>
    </w:p>
    <w:p w:rsidR="001C705E" w:rsidRDefault="001C705E" w:rsidP="001C705E">
      <w:pPr>
        <w:pStyle w:val="TextoNormal"/>
      </w:pPr>
      <w:r>
        <w:t>Evacuado el trámite de alegaciones por el demandante -en el que reproduce las efectuadas en el escrito de recurso de súplica-, y por el Ministerio Fiscal -que considera insuficientes las razones expresadas en el escrito de interposición del recurso para desvirtuar los fundamentos en que se apoyó la Sala para dictar la resolución que se quiere impugnar, la Sala -por medio de Auto de 12 de septiembre- desestimó el recurso de súplica deducido por don Miguel Castells.</w:t>
      </w:r>
    </w:p>
    <w:p w:rsidR="001C705E" w:rsidRDefault="001C705E" w:rsidP="001C705E">
      <w:pPr>
        <w:pStyle w:val="TextoNormal"/>
      </w:pPr>
    </w:p>
    <w:p w:rsidR="001C705E" w:rsidRDefault="001C705E" w:rsidP="001C705E">
      <w:pPr>
        <w:pStyle w:val="TextoNormal"/>
      </w:pPr>
      <w:r w:rsidRPr="001C705E">
        <w:rPr>
          <w:rStyle w:val="NumeroAFNegritaCaracter"/>
        </w:rPr>
        <w:t>13</w:t>
      </w:r>
      <w:r>
        <w:t xml:space="preserve">. Con anterioridad, el 24 de abril de 1984, el Procurador don José Manuel Dorremochea Aramburu, en nombre y representación del Ilustre Colegio Provincial de Abogados de San Sebastián, presentó un escrito en este Tribunal, en el que aduciendo, en base a lo establecido en el art. 47.1 de la Ley Organica del Tribunal Constitucional, ostentar un interés legítimo, solicitó se le tuviera por parte coadyuvante del demandante, en el recurso de amparo irlterpuesto por éste. </w:t>
      </w:r>
    </w:p>
    <w:p w:rsidR="001C705E" w:rsidRDefault="001C705E" w:rsidP="001C705E">
      <w:pPr>
        <w:pStyle w:val="TextoNormal"/>
      </w:pPr>
      <w:r>
        <w:t>Al respecto, la Sección acordó, tras oir al Ministerio Fiscal, que se mostró en desacuerdo con la referida petición, desestimar la pretensión del lustre Colegio de Abogados de San Sebastián, en atención a que la figura del coadyuvante del demandante queda circunscrita a los supuestos previstos en el art. 46.2 de la Ley Orgánica de este Tribunal.</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14</w:t>
      </w:r>
      <w:r>
        <w:t xml:space="preserve">. Por providencia de 30 de enero pasado acordó oír por plazo común de cinco días al Ministerio Fiscal y al demandante acerca de la prueba presentada por éste con su escrito de 11 de julio de 1984 y de los documentos remitidos por la Sala Segunda del Tribunal Supremo recabados por oficio de 20 del mismo mes y año. </w:t>
      </w:r>
    </w:p>
    <w:p w:rsidR="001C705E" w:rsidRDefault="001C705E" w:rsidP="001C705E">
      <w:pPr>
        <w:pStyle w:val="TextoNormal"/>
      </w:pPr>
      <w:r>
        <w:t xml:space="preserve">El demandante alegó que, sin pretender que en esta vía constitucional procedamos a un nuevo enjuicimiento de los hechos, los documentos remitidos por la Sala Segunda del Tribunal Supremo, que le fueron inadmitidos, sí pudieron ser valorados relacionados con el resto de la prueba, documental y testifical, para determinar el alcance del artículo, la situación denunciada, la intención del autor, ajena a la injuria, y todo ello encaminado a determinar la veracidad de las imputaciones efectuadas. </w:t>
      </w:r>
    </w:p>
    <w:p w:rsidR="001C705E" w:rsidRDefault="001C705E" w:rsidP="001C705E">
      <w:pPr>
        <w:pStyle w:val="TextoNormal"/>
      </w:pPr>
      <w:r>
        <w:t>El Ministerio Fiscal ha expuesto que, en definitiva, el demandante trata de abundar en favor de la aplicación de la exceptio veritatis, tema de legalidad penal; siendo la prueba que se examina algo que el Tribunal Supremo valoró.</w:t>
      </w:r>
    </w:p>
    <w:p w:rsidR="001C705E" w:rsidRDefault="001C705E" w:rsidP="001C705E">
      <w:pPr>
        <w:pStyle w:val="TextoNormal"/>
      </w:pPr>
    </w:p>
    <w:p w:rsidR="001C705E" w:rsidRDefault="001C705E" w:rsidP="001C705E">
      <w:pPr>
        <w:pStyle w:val="TextoNormal"/>
      </w:pPr>
      <w:r w:rsidRPr="001C705E">
        <w:rPr>
          <w:rStyle w:val="NumeroAFNegritaCaracter"/>
        </w:rPr>
        <w:t>15</w:t>
      </w:r>
      <w:r>
        <w:t>. Por providencia de 27 de febrero pasado se señaló para deliberación y votación del recurso el día 13 de mano siguiente, quedando concluida el día 27 del mismo mes.</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recurso de amparo constitucional, que consagra el art. 161 de la Constitución y que reconoce y regula la Ley Orgánica de este Tribunal en su art. 2 y en los arts. 41 y siguientes, tiene por objeto establecer si se ha producido la vulneración de alguno de los derechos y libertades reconocidos en los arts. 14 a 29 y párrafo 2.° del art. 30 de la Consitución, del modo o en la medida pretendida por las personas u órganos legitimados para interponer dicho recurso de acuerdo con el art. 46 de la Ley Orgánica de este Tribunal.  Quiere ello decir que todos los problemas que no guardan directa relación con las susodichas vulneraciones de derechos constitucionales tienen necesariamente que quedar al margen del recurso de amparo. Asimismo, es preciso puntualizar desde ahora que cuando la violación de derechos constitucionales se imputan de manera inmediata y directa a actos u omisiones de órganos judiciales, como en este caso ocurre, los poderes de este Tribunal presentan algunas señaladas limitaciones, porque no le corresponde modificar los hechos que hayan sido declarados probados, ni la apreciación de las pruebas, ni las calificaciones jurídicas que no trasciendan del ámbito de la simple legalidad al de los derechos constitucionales puestos en juego.  Aun cuando todo ello pueda resultar manifiesto, conviene precisarlo en estos momentos para dejar en claro cuáles son las coordenadas dentro de las que nos podemos mover en relación con los agravios que don Miguel Castells Arteche esgrime.</w:t>
      </w:r>
    </w:p>
    <w:p w:rsidR="001C705E" w:rsidRDefault="001C705E" w:rsidP="001C705E">
      <w:pPr>
        <w:pStyle w:val="TextoNormal"/>
      </w:pPr>
    </w:p>
    <w:p w:rsidR="001C705E" w:rsidRDefault="001C705E" w:rsidP="001C705E">
      <w:pPr>
        <w:pStyle w:val="TextoNormal"/>
      </w:pPr>
      <w:r w:rsidRPr="001C705E">
        <w:rPr>
          <w:rStyle w:val="NumeroAFNegritaCaracter"/>
        </w:rPr>
        <w:t>2</w:t>
      </w:r>
      <w:r>
        <w:t>. El recurso del señor Castells se articula a través de una serie de «motivos», que se estructuran separadamente, aunque no se pueda ocultar la estrecha conexión que entre ellos se produce. Son los siguientes: 1.° Que se ha vulnerado el derecho a un proceso con todas las garantías reconocidas en el num. 2.° del art. 24 de la Constitución, así como el derecho a obtener la tutela efectiva de los Jueces y Tribunales recogida en el núm. 1.° del art.  24 de la propia Constitución, por cuanto la Sentencia de la Sala Segunda del Tribunal Supremo niega al solicitante del amparo el derecho que toda persona declarada culpable de un delito tiene a que el fallo condenatorio y la pena impuesta sean sometidos a un Tri</w:t>
      </w:r>
      <w:r>
        <w:lastRenderedPageBreak/>
        <w:t>bunal superior. 2.° Que se vulnera el derecho a un proceso sin dilaciones indebidas reconocido en el número 2.° del art. 24 de la Constitución. 3.° Que se viola el derecho del acusado a utilizar los medios pertinentes para su defensa, reconocido en el art. 24.2 de la Constitución, ocasionándole además la indefensión de que habla el número 1.° de dicho art. 24, por el hecho de que, como consecuencia de la denegación de medios probatorios, el acusado no ha tenido la plena oportunidad de probar su inocencia, ni de desvirtuar con los mismos la acusación.  4.° Que se vulnera el derecho del recurrente en amparo a la presunción de inocencia, al proceso con todas las garantías, a utilizar las pruebas pertinentes y a no ser reducido a la situación de indefensión, reconocidos en los apartados 1.° y 2.° del art.  24 de la Constitución, produciéndose tal vulneración al no permitir la Sala Segunda del Tribunal Supremo al actual solicitante del amparo la posibilidad de probar la veracidad de las imputaciones por él realizadas. 5.° Que se viola el derecho del solicitante del amparo a la igualdad ante la ley, reconocido en el art. 14 de la Constitución, y produciéndose esta violación de manera directa en relación con dicho artículo y en relación con el derecho reconocido en el art. 23 de la Constitución, entendido como derecho a participar en los asuntos públicos, derecho que la Sentencia recurrida lesiona al constreñir la función senatorial de control, fiscalización y crítica. 6.° Que se violan los derechos reconocidos en los arts. 17 y 25 de la Constitución en la medida en que se desconoce el derecho del acusado a la retroactividad mas favorable.</w:t>
      </w:r>
    </w:p>
    <w:p w:rsidR="001C705E" w:rsidRDefault="001C705E" w:rsidP="001C705E">
      <w:pPr>
        <w:pStyle w:val="TextoNormal"/>
      </w:pPr>
      <w:r>
        <w:t>A los antedichos motivos de amparo, el solicitante de éste ha añadido en su escrito de alegaciones una nueva violación por él sentida en los derechos que le reconocen los arts. 17 y 25 de la Constitución, en cuanto se le impone, en su opinión, una pena de entidad más grave que la prevista y una pena accesoria no amparada en un precepto legal.</w:t>
      </w:r>
    </w:p>
    <w:p w:rsidR="001C705E" w:rsidRDefault="001C705E" w:rsidP="001C705E">
      <w:pPr>
        <w:pStyle w:val="TextoNormal"/>
      </w:pPr>
      <w:r>
        <w:t>Estos son, pues, resumidamente expuestos, los temas a cuyo examen deberemos cenirnos en los siguientes fundamentos de esta Sentencia, para dilucidar si existen las vulneraciones de derechos constitucionales alegadas, o alguna de ellas, y si el amparo por ende tiene que estimarse, o si las susodichas vulneraciones no tienen existencia jurídica y el amparo ha de rechazarse.</w:t>
      </w:r>
    </w:p>
    <w:p w:rsidR="001C705E" w:rsidRDefault="001C705E" w:rsidP="001C705E">
      <w:pPr>
        <w:pStyle w:val="TextoNormal"/>
      </w:pPr>
    </w:p>
    <w:p w:rsidR="001C705E" w:rsidRDefault="001C705E" w:rsidP="001C705E">
      <w:pPr>
        <w:pStyle w:val="TextoNormal"/>
      </w:pPr>
      <w:r w:rsidRPr="001C705E">
        <w:rPr>
          <w:rStyle w:val="NumeroAFNegritaCaracter"/>
        </w:rPr>
        <w:t>3</w:t>
      </w:r>
      <w:r>
        <w:t>. En el primero de los motivos del recurso alega el recurrente que, en virtud del carácter firme y definitivo de la Sentencia del Tribunal Supremo que impugna, se le ha hurtado el derecho a que el fallo condenatorio sea sometido al conocimiento de un Tribunal superior, resultando así vulnerado el derecho reconocido en el art. 24 de la Constitución, pues si bien el derecho a una tutela judicial efectiva y a un proceso con garantías no supone por sí solo el derecho a una doble instancia, que no se halla expresamente reconocido en el art. 24 de la Constitución, desde el momento en que este precepto, en su párrafo 2.°, proclama el derecho a un proceso «con todas las garantías» y que el art. 10.2 del texto fundamental establece que «las normas relativas a los derechos fundamentales y a las libertades que la Constitución establece se interpretarán de conformidad con la Declaración Universal de Derechos Humanos y los tratados y acuerdos internacionales sobre las mismas materias ratificadas por España», parece claro que, por mor de lo dispuesto en el art.  14, núm. 5, del Pacto Internacional de Derechos Civiles y Políticos ratificados por España, el derecho al doble grado de jurisdicción en materia penal es una de las garantías a que la Constitución se refiere al emplear la cláusula «todas», como reconoció este Tribunal en su Sentencia 76/1983, de 14 de diciembre.</w:t>
      </w:r>
    </w:p>
    <w:p w:rsidR="001C705E" w:rsidRDefault="001C705E" w:rsidP="001C705E">
      <w:pPr>
        <w:pStyle w:val="TextoNormal"/>
      </w:pPr>
      <w:r>
        <w:t xml:space="preserve">Sin embargo, esta afirmación genérica ha sido matizada por este Tribunal en la Sentencia citada y, con anterioridad, en la Setencia 42/1982, de 5 de julio, al puntualizar que el art. 14.2 del Pacto Internacional, aunque es derecho interno, no es bastante para crear por </w:t>
      </w:r>
      <w:r>
        <w:lastRenderedPageBreak/>
        <w:t>sí mismo recursos inexistentes.  Y, en el presente caso, sucede que, contra la Sentencia pronunciada por el Tribunal Supremo, no cabe recurso de casación, por prohibirlo explícitamente el art.  847 de la Ley de Enjuiciamiento Criminal.  Y hay que añadir que si en el presente caso ha ocurrido así, ha sido porque el solicitante del amparo ha utilizado el fuero privilegiado, que sin duda como Senador le correspondía, y ha sido juzgado por el más alto Tribunal de la Nación, que es el dato que impide la revisión de su sentencia.</w:t>
      </w:r>
    </w:p>
    <w:p w:rsidR="001C705E" w:rsidRDefault="001C705E" w:rsidP="001C705E">
      <w:pPr>
        <w:pStyle w:val="TextoNormal"/>
      </w:pPr>
      <w:r>
        <w:t>Además, es de tener en cuenta que, en supuestos como el que nos ocupa, la necesidad de que en las causas contra Diputados y Senadores sea competente la Sala de lo Penal del Tribunal Supremo, que es el «órgano jurisdiccional superior en todos los órdenes, salvo lo dispuesto en materia de garantías constitucionales» (art. 123.1 de la Constitución), está impuesta por el art.  71.3 de la Constitución. Determinadas personas gozan, ex Constitutione, en atención a su cargo, de una especial protección que contrarresta la imposibilidad de acudir a una instancia superior, pudiendo afirmarse que esas particulares garantias que acompanan a Senadores y Diputados disculpan la falta de un segundo grado jurisdiccional, por ellas mismas y porque el órgano encargado de conocer en las causas en que puedan hallarse implicados es el superior en la vía judicial ordinaria.</w:t>
      </w:r>
    </w:p>
    <w:p w:rsidR="001C705E" w:rsidRDefault="001C705E" w:rsidP="001C705E">
      <w:pPr>
        <w:pStyle w:val="TextoNormal"/>
      </w:pPr>
    </w:p>
    <w:p w:rsidR="001C705E" w:rsidRDefault="001C705E" w:rsidP="001C705E">
      <w:pPr>
        <w:pStyle w:val="TextoNormal"/>
      </w:pPr>
      <w:r w:rsidRPr="001C705E">
        <w:rPr>
          <w:rStyle w:val="NumeroAFNegritaCaracter"/>
        </w:rPr>
        <w:t>4</w:t>
      </w:r>
      <w:r>
        <w:t>. No puede estimarse en este caso la pretendida violación del derecho del solicitante del amparo a un proceso sin dilaciones indebidas, que estima producida por el transcurso de un período de cuatro años y cuatro meses, entre la publicación del artículo motivo de la causa seguida contra él, y la sentencia no tiene lugar, sin más siempre que el proceso tenga una duración anormal y que, en cualquier caso, carece de sentido aducirla cuando el proceso ya ha finalizado.</w:t>
      </w:r>
    </w:p>
    <w:p w:rsidR="001C705E" w:rsidRDefault="001C705E" w:rsidP="001C705E">
      <w:pPr>
        <w:pStyle w:val="TextoNormal"/>
      </w:pPr>
      <w:r>
        <w:t>Este Tribunal ha señalado, por una parte, que es preciso, antes de entablar el amparo haber invocado ante el Juez o Tribunal la dilación indebida, cosa que aquí no ha ocurrido; y, por otra parte, que el retraso puede constituir en la sucesión de recursos producidos en un mismo proceso, como ha ocurrido en este caso.</w:t>
      </w:r>
    </w:p>
    <w:p w:rsidR="001C705E" w:rsidRDefault="001C705E" w:rsidP="001C705E">
      <w:pPr>
        <w:pStyle w:val="TextoNormal"/>
      </w:pPr>
      <w:r>
        <w:t>A todo ello se ha de añadir que, como recuerda el Ministerio Fiscal, la mayor parte de las dilaciones sufridas por el proceso penal de que trae causa este recurso han tenido su origen en las especiales garantías legales de que estaba rodeada la inculpación del recurrente, y en su propio comportamiento procesal.</w:t>
      </w:r>
    </w:p>
    <w:p w:rsidR="001C705E" w:rsidRDefault="001C705E" w:rsidP="001C705E">
      <w:pPr>
        <w:pStyle w:val="TextoNormal"/>
      </w:pPr>
    </w:p>
    <w:p w:rsidR="001C705E" w:rsidRDefault="001C705E" w:rsidP="001C705E">
      <w:pPr>
        <w:pStyle w:val="TextoNormal"/>
      </w:pPr>
      <w:r w:rsidRPr="001C705E">
        <w:rPr>
          <w:rStyle w:val="NumeroAFNegritaCaracter"/>
        </w:rPr>
        <w:t>5</w:t>
      </w:r>
      <w:r>
        <w:t>. La supuesta violacion del derecho de igualdad ante la Ley no es tampoco estimable, pues el dereeho reconoeido en el art. 14 del texto constitucional es, justamente, el de igualdad ante la Ley y no se produce cuando la Ley es infringida o indebidamente aplicada. En este sentido se ha pronunciado este Tribunal (Sentencia 43/1982, de 6 de julio; Auto 218/1982, de 16 de junio; Auto 77/1983, de 23 de febrero, entre otros), poniendo de relieve que, de aceptarse la tesis contraria, se llegaría inexorablemente a que quedasen impunes cualesquiera conductas ilícitas, por la somera razón de que otros culpables de hechos análogos no hubieran sido uncionados, lo que, a todas luces, es inadmisible, pues, desde el punto de vista jurídico, toda falta debe acarrear la sanción correspondiente, y si esto no ocurre en algunos casos, lo reprochable no es que se sancione al posterior culpable, sino que no se hubiera sancionado a los que lo fueron antes. Que no se dispense idéntico tratamiento punitivo a todos los que incurren en el mismo comportamiento delietivo, podrá reputarse injusto, hasta ser considerado portador de una suerte de «desigualdad», pero tales impresiones no guardan el menor parentesco con el derecho fundamental proclamado en el art.  14 de la Constitución. Esa «desigualdad» está meridianamente desconeetada de la discriminación constitucionalmente prohibida.</w:t>
      </w:r>
    </w:p>
    <w:p w:rsidR="001C705E" w:rsidRDefault="001C705E" w:rsidP="001C705E">
      <w:pPr>
        <w:pStyle w:val="TextoNormal"/>
      </w:pPr>
    </w:p>
    <w:p w:rsidR="001C705E" w:rsidRDefault="001C705E" w:rsidP="001C705E">
      <w:pPr>
        <w:pStyle w:val="TextoNormal"/>
      </w:pPr>
      <w:r w:rsidRPr="001C705E">
        <w:rPr>
          <w:rStyle w:val="NumeroAFNegritaCaracter"/>
        </w:rPr>
        <w:t>6</w:t>
      </w:r>
      <w:r>
        <w:t>. El demandante denuncia la infracción de los derechos reconocidos en el art.  23 de la Constitución y consistentes; a) En acceder en condiciones de igualdad a las funciones públicas, lo que supone el derecho a ejercitar la actividad en la «res pública» en condiciones de igualdad, que se ha visto quebrado por la Sentencia del Tribunal Supremo por cuanto a parlamentarios y a ciudadanos en general se les permite efectuar críticas y declaraciones, que sólo motivan la apertura de un proceso y posterior condena contra su autor cuando éste es el Senador Castells, y b) en participar en los asuntos públicos, directamente o por medio de representantes, derecho que lesionaba la Sentencia recurrida al constreñir la función senatorial de control, fiscalización y crítica a los canales estrictos de los arts. 149, 160 y 70 y siguientes del Reglamento del Senado, cuando el art. 71 de la Constitución no limita la función pública de parlamentario al ámbito del hemiciclo y la amplitud del art. 23 es clara.</w:t>
      </w:r>
    </w:p>
    <w:p w:rsidR="001C705E" w:rsidRDefault="001C705E" w:rsidP="001C705E">
      <w:pPr>
        <w:pStyle w:val="TextoNormal"/>
      </w:pPr>
      <w:r>
        <w:t>El Fiscal, en su informe, frente a la argumentación del demandante, sostiene que el art. 71. 1 de la Constitución no limita la función o funciones públicas de los parlamentarios, sino su inviolabilidad por las opiniones manifestadas en el ejercicio de sus funciones; funciones que vienen definidas en los Reglamentos de las Cámaras respectivas. Con tal reglamentacion no se pone límites a la actividad pública de los miembros del Senado, sino que se precisa cuáles de sus actividades constituyen sus funciones y resultan cubiertas por la garantía de la inviolabilidad. Al margen de ellas podrán los Senadores formular las críticas a la acción del Gobierno que tengan por conveniente, como cualquier ciudadano, pero sin gozar de la protección del art. 71.1, sino solo de la genérica libertad que reconoce el art. 20 de la Constitución.</w:t>
      </w:r>
    </w:p>
    <w:p w:rsidR="001C705E" w:rsidRDefault="001C705E" w:rsidP="001C705E">
      <w:pPr>
        <w:pStyle w:val="TextoNormal"/>
      </w:pPr>
      <w:r>
        <w:t>La opinión del Fiscal posee indudable coherencia y deja abierto un interrogante, que se puede formular así: El ejercicio de la función senatorial o parlamentaria en general ¿se circunscribe a la actividad oficial o, por el contrario, puede el representante parlamentario ejercitar la funcion que le ha sido conferida por cualquier cauce abierto a los demás ciudadanos, sin perder por ello su función el carácter que le corresponda por razón de la materia y objeto de la actividad, continuando, por ende, cubierto por la inviolabilidad?</w:t>
      </w:r>
    </w:p>
    <w:p w:rsidR="001C705E" w:rsidRDefault="001C705E" w:rsidP="001C705E">
      <w:pPr>
        <w:pStyle w:val="TextoNormal"/>
      </w:pPr>
      <w:r>
        <w:t>El art. 71.1 de la Constitución dispone que «los Diputados y Senadores gozarán de inviolabilidad por las opiniones manifestadas en el ejercicio de sus funciones», garantizando así la freedom of speech de los parlamentarios, genericamente reconocida en los diferentes sistemas constitucionales democráticos. Al margen ahora la discutida naturaleza, en el ámbito penal, de esta prerrogativa (causa de inimputabilidad para algunos, eximente de antijuridicidad desde otra perspectiva), es claro que la misma se orienta a la preservación de un ámbito cualificado de libertad en la crítica y en la decisión sin el cual el ejercicio de las funciones parlamentarias podría resultar mediatizado y frustrado, por ello el proceso de libre formación de voluntad del órgano.</w:t>
      </w:r>
    </w:p>
    <w:p w:rsidR="001C705E" w:rsidRDefault="001C705E" w:rsidP="001C705E">
      <w:pPr>
        <w:pStyle w:val="TextoNormal"/>
      </w:pPr>
      <w:r>
        <w:t xml:space="preserve">Esta garantía de los parlamentarios no decae por la extinción del mandato (arts. 10 y 21, respectivamente, del Reglamento del Congreso de los Diputados y del Reglamento del Senado), pero sí requiere de una correcta delimitación material y funcional.  Respecto de la primera, parece evidente que la garantía no ampara cualesquiera actuaciones de los parlamentarios y si sólo sus declaraciones de juicio o de voluntad («opiniones», según el art. 71.1 de nuestra Constitución). En cuanto a la concreción funcional del ámbito de la prerrogativa, sin embargo, podrían presentarse, de principio, algunas dudas y, en especial, la relativa a si la inviolabilidad cubre toda la actuación de «relevancia política» del parlamentario o si, más estrictamente, la protección dispensada por esta garantía no alcanza sino a la conducta de su titular en tanto que miembro del órgano colegiado, cesando, por </w:t>
      </w:r>
      <w:r>
        <w:lastRenderedPageBreak/>
        <w:t>lo tanto, cuando el sujeto desplegase ya su conducta -incluso con trascendencia «política»- al margen de las funciones parlamentarias.</w:t>
      </w:r>
    </w:p>
    <w:p w:rsidR="001C705E" w:rsidRDefault="001C705E" w:rsidP="001C705E">
      <w:pPr>
        <w:pStyle w:val="TextoNormal"/>
      </w:pPr>
      <w:r>
        <w:t>Con alguna excepción muy singular, la comprensión más estricta de la prerrogativa es unanimemente compartida por la doctrina española, siendo también la dominante en la literatura extranjera. En el Derecho español, por las razones y con las precisiones que a continuación se apuntan, ésta parece ser, ciertamente, la interpretación más correcta.</w:t>
      </w:r>
    </w:p>
    <w:p w:rsidR="001C705E" w:rsidRDefault="001C705E" w:rsidP="001C705E">
      <w:pPr>
        <w:pStyle w:val="TextoNormal"/>
      </w:pPr>
      <w:r>
        <w:t>El nexo entre inviolabilidad y ejercicio de funciones propias a la condición de parlamentario está claramente expuesto por el propio art. 71. 1 de la Constitución. A no ser que la expresión «funciones» que recoge esta norma se entendiera en un sentido inespecífico (de corte sociológico y no jurídico), las mismas debieran identificarse en las que son propias del Diputado o Senador en tanto que sujetos portadores del órgano parlamentario, cuya autonomía, en definitiva, es la protegida a través de esta garantia individual. El Diputado o Senador ejercitaria, pues, sus funciones sólo en la medida en que participase en actos parlamentarios y en el seno de cualesquiera de las articulaciones orgánicas de las Cortes Generales. Que esto es asi lo confirman los Reglamentos de las Cámaras, y especificamente el Reglamento del Senado (el del Congreso -art. 10- se limita a reiterar, por lo que aqui importa, la fórmula constitucional). Así, el art. 21 del Reglamento del Senado señala ya que la inviolabilidad garantizará sólo «las opiniones manifestadas en actos parlamentarios» y los «votos emitidos en el ejercicio de su cargo».</w:t>
      </w:r>
    </w:p>
    <w:p w:rsidR="001C705E" w:rsidRDefault="001C705E" w:rsidP="001C705E">
      <w:pPr>
        <w:pStyle w:val="TextoNormal"/>
      </w:pPr>
      <w:r>
        <w:t>De otra parte, y como confirmación constitucional de esta interpretación, ha de tenerse en cuenta lo dispuesto por el art. 67.3 de la norma fundamental, de acuerdo con el cual «las reuniones de parlamentarios que se celebren sin convocatoria reglamentaria no vincularán a las Cámaras, y no podrán ejercer sus funciones ni ostentar sus privilegios». Es cierto que este precepto no se limita a contemplar, en su ultimo inciso, la prerrogativa que se considera (se refiere también, por ejemplo, a la proteccion penal de las asambleas y a la inmunidad de la sede parlamentaria), pero es también patente que su sentido es el de vincular el reconocimiento de lo que llama «privilegios» parlamentarios al funcionamiento regular de las asambleas y de sus órganos.  Refuerza esta tesis el hecho de que la inviolabilidad por las opiniones vertidas se vea necesariamente contrapesada por la sujecion a la disciplina parlamentaria.</w:t>
      </w:r>
    </w:p>
    <w:p w:rsidR="001C705E" w:rsidRDefault="001C705E" w:rsidP="001C705E">
      <w:pPr>
        <w:pStyle w:val="TextoNormal"/>
      </w:pPr>
      <w:r>
        <w:t>Lo anterior, con todo, derivaría sólo de un examen literal y sistemático de algunas disposiciones constitucionales y reglamentarias. Más alla de esto, y desde una interpretación finalista de la garantía que se considera, la interpretacion no puede ser muy distinta. Las prerrogativas parlamentarias han de ser interpretadas estrictamente para no devenir privilegios que puedan lesionar derechos fundamentales de terceros (en este caso, por ejemplo, los reconocidos por el art. 24.1 de la Constitución). Tal entendimiento estricto debe hacerse a partir de una comprensión del sentido de la prerrogativa misma y de los fines que ésta procura. Desde este enfoque, como se ha señalado doctrinalmente, las prerrogativas parlamentarias son «sustracciones al Derecho común conectadas a una función», y sólo en tanto esta función jurídica se ejerza, pueden considerarse vigentes. Salvando todas las diferencias, hay que reiterar lo que dijo ya este Tribunal en su Sentencia 61/1982, de 13 de octubre (fundamento jurídico 5.°) sobre la institución del «antejuicio», cuando precisó que la legitimidad de la garantía se ha de reconocer, en la medida en la que su estructura la haga adecuada a su objetivo «sin que en ningún caso pueda ser desvirtuada para convenirla en origen de privilegio».</w:t>
      </w:r>
    </w:p>
    <w:p w:rsidR="001C705E" w:rsidRDefault="001C705E" w:rsidP="001C705E">
      <w:pPr>
        <w:pStyle w:val="TextoNormal"/>
      </w:pPr>
      <w:r>
        <w:t>El interés, a cuyo servicio se encuentra establecida la inviolabilidad es el de la protección de la libre discusión y decisión parlamentarias (en este sentido, Sentencia de la Corte Constitucional italiana de 27 de marzo de 1975, núm. 81), decayendo tal protección cuan</w:t>
      </w:r>
      <w:r>
        <w:lastRenderedPageBreak/>
        <w:t>do los actos hayan sido realizados por su autor en calidad de ciudadano (de «político» incluso), fuera del ejercicio de competencias y funciones que le pudieran corresponder como parlamentario.  Así, las funciones relevantes para el art.  71.1 de la Constitución no son indiferenciadamente todas las realizadas por quien sea parlamentario, sino aquellas imputables a quien, siéndolo, actúa jurídicamente como tal.</w:t>
      </w:r>
    </w:p>
    <w:p w:rsidR="001C705E" w:rsidRDefault="001C705E" w:rsidP="001C705E">
      <w:pPr>
        <w:pStyle w:val="TextoNormal"/>
      </w:pPr>
      <w:r>
        <w:t>Con carácter general, ésta debe ser la interpretación del ambito funcional en que se proyecta la garantía de la inviolabilidad. Un entendimiento estricto que, por lo demás, no impide las necesarias matizaciones, reconociendo (como se ha hecho alguna vez en la experiencia parlamentaria extranjera) que la prerrogativa puede amparar, también, los actos «exteriores» a la vida de las Camaras, que no sean sino reproducción literal de un acto parlamentario.</w:t>
      </w:r>
    </w:p>
    <w:p w:rsidR="001C705E" w:rsidRDefault="001C705E" w:rsidP="001C705E">
      <w:pPr>
        <w:pStyle w:val="TextoNormal"/>
      </w:pPr>
    </w:p>
    <w:p w:rsidR="001C705E" w:rsidRDefault="001C705E" w:rsidP="001C705E">
      <w:pPr>
        <w:pStyle w:val="TextoNormal"/>
      </w:pPr>
      <w:r w:rsidRPr="001C705E">
        <w:rPr>
          <w:rStyle w:val="NumeroAFNegritaCaracter"/>
        </w:rPr>
        <w:t>7</w:t>
      </w:r>
      <w:r>
        <w:t>. La violacion del derecho a la retroactividad de la norma más favorable ha tenido lugar, según el demandante, porque el art. 161.1 del Código Penal, tras la reforma de que fue objeto por la Ley orgánica 8/1983, recoge el concepto «calumnia», junto al de injuria y, sin embargo, el Tribunal Supremo, en el juicio de autos, hizo caso omiso de dicha modificación y continuó aplicando la figura de injuria y con ella la interdicción de la exceptio veritatis, cuando, de haber aceptado el nuevo concepto, favorable al recurrente, el resultado necesariamente hubiera sido otro. Es verdad que la cuestión de si la retroactividad de la Ley penal más favorable está reconocida en la Constitución, fue resuelta por este Tribunal, en sus Sentencias 8/1981, de 30 de marzo, y 15/1981, de 7 de mayo, en el sentido de considerarla impuesta a partir de una interpretación «a contrario» del art. 9.3. La primera Sentencia de las citadas alude incluso a la posibilidad de invocarla en amparo, en algún caso, «merced a una interpretación conjunta de los arts. 9.3 y 17.1 de la Constitución».</w:t>
      </w:r>
    </w:p>
    <w:p w:rsidR="001C705E" w:rsidRDefault="001C705E" w:rsidP="001C705E">
      <w:pPr>
        <w:pStyle w:val="TextoNormal"/>
      </w:pPr>
      <w:r>
        <w:t>Sin embargo, el razonamiento del solicitante del amparo no puede ser acogido.  Pretende desplazar la calificación jurídica que el Tribunal Supremo efectuó de los hechos en beneficio de la que él propone, cuando es al órgano judicial a quien corresponde realizar la subsunción de los hechos en el tipo delictivo correspondiente. A ello ha de añadirse que la adjetivación de calumnia o de injuria, en el marco de los arts. 161 y 162 del Código Penal, es irrelevante en cuanto que las penas con las que conminan los citados artículos son idénticas tanlo si la conducta enjuiciada se tilda de calumnia como de injuria.</w:t>
      </w:r>
    </w:p>
    <w:p w:rsidR="001C705E" w:rsidRDefault="001C705E" w:rsidP="001C705E">
      <w:pPr>
        <w:pStyle w:val="TextoNormal"/>
      </w:pPr>
      <w:r>
        <w:t>Además, es incierto que de haber sido condenado el recunrente como autor de un delito de calumnias hubiera obtenido un trato más ventajoso, concretado en una automática apreciación de la llamada exceptio veritatis; en primer lugar, porque no se advierte ninguna razón que induzca a pensar que el Tribunal Supremo habría admitido, en tal supuesto, la repetida excepción, cuando no lo hizo pudiendo hacerlo, a raíz de la interpretación que verificó del art. 161 del Código Penal; y en segundo lugar, porque en las injurias opera también la exceptio veritatis, cuando se trata de imputaciones dirigidas contra funcionarios públicos sobre hechos concernientes al ejercicio de su cargo (art. 461 del Código Penal). Por ello, no se percibe el beneficio que para éste habría reportado que en la Sentencia condenatoria se hablara de calumnia y no de injuria. Incluso cabe destacar que la condena se impuso a tenor del art. 162, que conlleva una pena más benigna que el 161, y en él no se menciona la calumnia, aunque una interpretación teleológica de ambos preceptos debería conducir a la conclusión de que la minoración de la pena del repetido art. 162 abarca todos los supuestos contenidos en el 161.</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El recurrente, al evacuar el trámite de alegaciones en su escrito de 30 de marzo de 1984, añadió un nuevo fundamento de derecho a los ya formulados en la demanda, en el </w:t>
      </w:r>
      <w:r>
        <w:lastRenderedPageBreak/>
        <w:t>que este Tribunal no debe entrar, dado que la Sentencia que pronuncie ha de resolver las vulneraciones constitucionales denunciadas en la demanda, en la que queda acotada la pretensión, sin que pueda dotarse a esta de un fundamento que no haya sido suficientemente debatido por haber sido extemporaneamente aponado (Sentencia 73/1982, de 2 de diciembre, f. 5).</w:t>
      </w:r>
    </w:p>
    <w:p w:rsidR="001C705E" w:rsidRDefault="001C705E" w:rsidP="001C705E">
      <w:pPr>
        <w:pStyle w:val="TextoNormal"/>
      </w:pPr>
    </w:p>
    <w:p w:rsidR="001C705E" w:rsidRDefault="001C705E" w:rsidP="001C705E">
      <w:pPr>
        <w:pStyle w:val="TextoNormal"/>
      </w:pPr>
      <w:r w:rsidRPr="001C705E">
        <w:rPr>
          <w:rStyle w:val="NumeroAFNegritaCaracter"/>
        </w:rPr>
        <w:t>9</w:t>
      </w:r>
      <w:r>
        <w:t>. Desbrozado el camino en los fundamentos jurídicos anteriores, puede penetrarse ya en lo que constituye el núcleo central de las violaciones constitucionales esgrimidas por don Miguel Castells Arteche frente a la Sala Segunda del Tribunal Supremo de Justicia que le ha condenado. Se trata de la vulneración o preservación de su derecho a la utilización de los medios de prueba pertinentes a su defensa y de la utilización, en su defensa, frente a la acusación de que ha sido objeto de la llamada exceptio veritatis en relación con el tipo de delito que fue objeto de acusación y de condena.</w:t>
      </w:r>
    </w:p>
    <w:p w:rsidR="001C705E" w:rsidRDefault="001C705E" w:rsidP="001C705E">
      <w:pPr>
        <w:pStyle w:val="TextoNormal"/>
      </w:pPr>
      <w:r>
        <w:t>El apartado 2 del art. 24 de la Constitución, al enumerar los que grosso modo pueden denominarse derechos constitucionales de contenido procesal, menciona de manera concreta el derecho de todos «a utilizar los medios de prueba pertinentes para su defensa». Como todos los derechos fundamentales establecidos entre los arts. 14 y 29 presenta éste una doble línea de proyección de su eficacia, pues es un parámetro para fijar la legitimidad constitucional de las Leyes y es un derecho (y una norma) directamente ejercitable (aplicable) por el particular. Cuando existe una intermediación legal, la regla del art. 24. 2 de la Constitución puede servir para determinar la legitimidad constitucional de los requisitos de tiempo y de forma de la proposición de las pruebas o el ámbito objetivo de éstas (todos los medios pensables, etc.). El problema es más difícil de resolver cuando la intermediación legal no existe o la intermediación legal repite prácticamente la fórmula de la Constitución, que es lo que ocurre en el caso del proceso penal donde el art. 659 de la Ley de Enjuiciamiento Criminal se limita a decir que devuelta que sea la causa por el momento, el tribunal examinará las pruebas propuestas, e inmediatamente dictará auto admitiendo las que considere pertinentes y rechazando las demás.</w:t>
      </w:r>
    </w:p>
    <w:p w:rsidR="001C705E" w:rsidRDefault="001C705E" w:rsidP="001C705E">
      <w:pPr>
        <w:pStyle w:val="TextoNormal"/>
      </w:pPr>
      <w:r>
        <w:t>El problema se centra, pues, obviamente en el concepto de «pertinencia». Y así centrado, pueden abrirse interrogantes diversos: ¿Pertinencia en el sentido del art. 659 de la Ley de Enjuiciamiento Criminal -es decir, en el plano de la legalidad- es lo mismo que en el art. 24 de la Constitución -en el plano de la constitucionalidad-? ¿Es objetiva rtinencia o se introduce en ella un elemento valorativo? ¿Es igual la expresión del art. 24 de la Constitución («ser pertinentes») que la del art. 659 de la Ley de Enjuiciamiento Criminal («considerarse pertinentes»)?</w:t>
      </w:r>
    </w:p>
    <w:p w:rsidR="001C705E" w:rsidRDefault="001C705E" w:rsidP="001C705E">
      <w:pPr>
        <w:pStyle w:val="TextoNormal"/>
      </w:pPr>
      <w:r>
        <w:t>El concepto jurídico de «pertinencia», y su opuesto, el de impertinencia, pueden hacer prima facie referencia a diferentes materias. Por ejemplo: Se propone prueba sobre una cuestión que no es de hecho, sino jurídica; se propone prueba sobre hechos que no necesitan de ella, porque son notorios y hay que tenerlos por probados; se propone prueba sobre hechos que no guardan relación ninguna con el proceso, porque ni siquiera han sido objeto de alegación. El problema es más difícil cuando concierne a la relación entre el medio de prueba propuesta y el hecho que se pretende demostrar con el debate procesal y la cuestión que en el proceso debe ser decidida. En este último punto se presentan notorias dificultades que se acrecientan cuando la proposición de prueba está sometida a preclusión y se tiene que anticipar respecto de las alegaciones.</w:t>
      </w:r>
    </w:p>
    <w:p w:rsidR="001C705E" w:rsidRDefault="001C705E" w:rsidP="001C705E">
      <w:pPr>
        <w:pStyle w:val="TextoNormal"/>
      </w:pPr>
      <w:r>
        <w:t xml:space="preserve">La jurisprudencia o doctrina de este Tribunal recaída en la materia del derecho constitucional a las pruebas es numerosa y convendría aludir a ella.  Las líneas que hasta ahora ha seguido marcan una relación muy estrecha entre negativa de las pruebas e indefensión. </w:t>
      </w:r>
      <w:r>
        <w:lastRenderedPageBreak/>
        <w:t>La Sentencia de 7 de diciembre de 1983 (Sala Segunda) dice que se puede sostener un amparo frente a la negativa de prueba, cuando ésta haya provocado indefensión, porque la falta de realización de la prueba por su relación con los hechos pudo alterar la Sentencia en favor del recurrente. La relación entre derecho a las pruebas e indefensión marca el momento de máxima tensión de la eventual lesión del derecho. La jurisprudencia del Tribunal permite un amplio poder de valoración de los jueces a quo en la decisión sobre la pertinencia, exigiendo que la decisión sea razonable o que se encuentre razonada. Así, en la Sentencia de 11 de mayo de 1983 (Sala Segunda) se dice que el art. 24.2 de la Constitución permite que un órgano judicial pueda en uso de su libertad razonable negarse a admitir un medio de prueba propuesto por el enjuiciado sin que por ello y sin más se lesione su derecho constitucional, que no obliga a que todo Juez deba admitir todos los medios de prueba que cada parte entienda pertinentes a su defensa, sino los que el juzgador valore libremente de manera razonada.</w:t>
      </w:r>
    </w:p>
    <w:p w:rsidR="001C705E" w:rsidRDefault="001C705E" w:rsidP="001C705E">
      <w:pPr>
        <w:pStyle w:val="TextoNormal"/>
      </w:pPr>
      <w:r>
        <w:t>Una doctrina semejante a la anterior ha sido sostenida en la Sentencia de 7 de mayo de 1984 (Sala Primera): La denegación de una prueba concreta no constituye base suficiente para fundamentar la demanda de amparo, pues el art.  24.2 de la Constitución exige que sea pertinente y la declaración de su pertinencia o impertinencia corresponde, según el art. 659 de la Ley de Enjuiciamiento Criminal, a los tribunales penales en juicio de legalidad. En el mismo o en parecido sentido el Auto de 11 de julio de 1984 (Sala Primera): El art. 24 no supone un desapoderamiento de la potestad que corresponde a los Jueces y tribunales ordinarios para pronunciarse sobre la pertinencia de las pruebas propuestas siendo procedente únicamente el examen de tal extremo por el Tribunal Constitucional en los supuestos de falta total de fundamento o de absoluta incongruencia en la motivación del rechazo del medio que haya sido propuesto o cuando tal motivación haya sido arbitraria o irrazonable.</w:t>
      </w:r>
    </w:p>
    <w:p w:rsidR="001C705E" w:rsidRDefault="001C705E" w:rsidP="001C705E">
      <w:pPr>
        <w:pStyle w:val="TextoNormal"/>
      </w:pPr>
      <w:r>
        <w:t>De todo lo que llevamos hasta aquí dicho, se puede extraer la conclusión de que la pertinencia de las pruebas es la relación que las mismas guardan con lo que es objeto del juicio y con lo que constituye thema decidendi para el Tribunal y expresa la capacidad de los medios utilizados para formar la definitiva convicción del Tribunal. Así entendida la pertinencia de las pruebas es distinta de su eventual relevancia, que consiste en el juicio de necesidad o de utilidad de las mismas. Entendida la idea de pertinencia del modo que queda explicado -relación entre los hechos probados y el thema decidendi surge de inmediato la cuestión de los elementos caracterizadores del juicio sobre la pertinencia. Se encuentran entre ellos, en una primera línea de dificultad menor, el que el objeto de la prueba han de ser hechos y no normas jurídicas o elementos de derecho; el que ha de tratarse de hechos que hayan sido previamente alegados y que estén, por consiguiente, previamente aportados al proceso, y que no se trate de hechos exonerados de prueba como pueden estarlo los hechos establecidos en virtud de una presunción legal.</w:t>
      </w:r>
    </w:p>
    <w:p w:rsidR="001C705E" w:rsidRDefault="001C705E" w:rsidP="001C705E">
      <w:pPr>
        <w:pStyle w:val="TextoNormal"/>
      </w:pPr>
      <w:r>
        <w:t>La pertinencia entendida como constatación de la relación de los medios de prueba propuestos con el thema decidendi, presupone la configuración de este último, que debe realizarse mediante las operaciones de alegación llevadas a cabo por las partes. En él no debe intervenir el Tribunal, a menos que se trate de datos que sean manifiestos o notorios, porque, en otro caso, el juicio sobre la pertinencia anticipa, aunque sea parcialmente, el juicio de fondo, respecto del cual introduce una apreciación preventiva. Sin embargo, este hecho por sí sólo no es suficiente para establecer una violación de los derechos constitucionales, si los demás medios de defensa no resultan lesionados, aunque sea aconsejable que los Tribunales lo eviten y, por ello, si bien en el caso presente, es posible que al llevar a cabo el juicio sobre la pertinencia de las pruebas no debiera haberse anticipado la opi</w:t>
      </w:r>
      <w:r>
        <w:lastRenderedPageBreak/>
        <w:t>nión del Tribunal sobre la exceptio veritatis, la irregularidad en la anticipación del juicio sobre una cuestión de fondo sólo entraña violación del derecho constitucional a servirse de las pruebas pertinentes, especialmente en casos como el presente, que se deciden en única instancia si se produce la lesión en derecho sustantivo que en el proceso se cuestione.</w:t>
      </w:r>
    </w:p>
    <w:p w:rsidR="001C705E" w:rsidRDefault="001C705E" w:rsidP="001C705E">
      <w:pPr>
        <w:pStyle w:val="TextoNormal"/>
      </w:pPr>
      <w:r>
        <w:t>Por último, debemos señalar -para dejar cerrado este punto- que la limitación del derecho consagrado por el art. 24.2 de la Constitución, al servirse de las pruebas pertinentes para su defensa como un derecho constitucional, no justifica su sacrificio a intereses indudablemente dignos de su tutela, pero de rango subordinado, como pueden ser la economía del proceso, la mayor celeridad de éste o la eficacia en la Administración de la Justicia. Es exclusivamente el juicio sobre la pertinencia lo que debe ser medido y en el que, como hemos dicho muchas veces, ha de considerarse válida la decisión adoptada por los Jueces a quo en tanto no se ofrezcan razones suficientes para destruirla en el proceso de amparo.</w:t>
      </w:r>
    </w:p>
    <w:p w:rsidR="001C705E" w:rsidRDefault="001C705E" w:rsidP="001C705E">
      <w:pPr>
        <w:pStyle w:val="TextoNormal"/>
      </w:pPr>
    </w:p>
    <w:p w:rsidR="001C705E" w:rsidRDefault="001C705E" w:rsidP="001C705E">
      <w:pPr>
        <w:pStyle w:val="TextoNormal"/>
      </w:pPr>
      <w:r w:rsidRPr="001C705E">
        <w:rPr>
          <w:rStyle w:val="NumeroAFNegritaCaracter"/>
        </w:rPr>
        <w:t>10</w:t>
      </w:r>
      <w:r>
        <w:t>. El tipo delictivo comprendido en el art. 161 del Código Penal y escuetamente definido como injuria al Gobierno ha sido criticado por algún sector de la doctrina penalista en atención a la fecha de su introducción en nuestro Código Penal, con su actual redacción, que sustituía a la anterior en que se mencionaban únicamente las injurias a los Ministros constituidos en Consejo como un medio de limitación de la libertad de expresión y por el carácter escueto y escasamente diferenciado, que exige la remisión a preceptos penales establecidos en otros títulos del mismo Código, aunque con la finalidad de sancionar otro tipo de conductas y protege otro tipo de bienes jurídicos.</w:t>
      </w:r>
    </w:p>
    <w:p w:rsidR="001C705E" w:rsidRDefault="001C705E" w:rsidP="001C705E">
      <w:pPr>
        <w:pStyle w:val="TextoNormal"/>
      </w:pPr>
      <w:r>
        <w:t>Mas cualquiera que sea la opinión que se sustente sobre ello, es claro que el delito previsto en el art. 161 del Código Penal ha de ser considerado en su relación con el derecho de libertad de expresión consagrado por el art. 20 de la Constitución, en la medida en que este art. viabiliza la libertad de información de hechos o de noticias, la libertad de la crítica política y la libertad de difusión ideológica. En este sentido hay que admitir que la legislación de carácter penal constituye una vía idónea para la regulación del ejercicio de los derechos fundamentales por el legislador, de conformidad con lo dispuesto en el art. 53 de la Constitución, y que es constitucionalmente legítima, por consiguiente, en tanto se respete el contenido esencial del derecho, que en nuestro caso es el de libertad de expresión e información. En este derecho no es lícito involucrar lo que es libertad de información de hechos y de noticias y lo que es objeto de crítica política y de la difusión ideológica. Una y otra línea del derecho -las noticias y las opiniones- encuentran un límite indiscutible en la seguridad exterior e interior del Estado, que puede ponerse en riesgo cuando se produce una destrucción del prestigio de las instituciones democráticas, en las que las fuerzas políticas del país se deben reconocer y que expresan no sólo el interés singular de algunos miembros de la comunidad nacional, sino el interés de la colectividad entera, en la medida en que estas instituciones son expresión de la solidaridad de la Nación y ofender su prestigio significa incumplir el deber de solidaridad política. Desde esta perspectiva parece claro que tales violaciones de deberes pueden ser sancionados con normas penales, dentro de los precisos límites que al efecto se introduzcan en tales normas o en las que por vía de una interpretación estimatoria se realizan las normas vigentes.</w:t>
      </w:r>
    </w:p>
    <w:p w:rsidR="001C705E" w:rsidRDefault="001C705E" w:rsidP="001C705E">
      <w:pPr>
        <w:pStyle w:val="TextoNormal"/>
      </w:pPr>
      <w:r>
        <w:t xml:space="preserve">Acotado en estos términos el problema, si se admite que la Sentencia de la Sala Segunda del Tribunal Supremo interpreta el art. 161 del Código Penal dentro de lo que puede considerarse contenido esencial del derecho consagrado por el art. 20 de la Constitución, resulta claro que la existencia o inexistencia de exceptio veritatis en la materia y la aproximación o el alejamiento del delito del art. 161 respecto de los delitos de injurias a funcionarios públicos, pasa a ser una cuestión de mera legalidad en la que este Tribunal no </w:t>
      </w:r>
      <w:r>
        <w:lastRenderedPageBreak/>
        <w:t>puede introducirse como tampoco puede revisar la apreciación sobre la concurrencia del animus injuriandi y los demás elementos del supuesto de hecho, porque ello es competencia exclusiva de los órganos jurisdiccionales del Poder Judicial y, en este caso, del Tribunal Supremo de Justicia.</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 por don Miguel Castells Arteche.</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diez de abril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5" w:name="SENTENCIA_1985_52"/>
      <w:r>
        <w:lastRenderedPageBreak/>
        <w:t>SENTENCIA 52/1985, de 11 de abril de 1985</w:t>
      </w:r>
    </w:p>
    <w:bookmarkEnd w:id="55"/>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119, de 18 de mayo de 1985)</w:t>
      </w:r>
    </w:p>
    <w:p w:rsidR="001C705E" w:rsidRDefault="001C705E" w:rsidP="001C705E">
      <w:pPr>
        <w:pStyle w:val="TtuloBOE"/>
      </w:pPr>
    </w:p>
    <w:p w:rsidR="001C705E" w:rsidRDefault="001C705E" w:rsidP="001C705E">
      <w:pPr>
        <w:pStyle w:val="SntesisDescriptiva"/>
      </w:pPr>
      <w:r>
        <w:t>ECLI:ES:TC:1985:52</w:t>
      </w:r>
    </w:p>
    <w:p w:rsidR="001C705E" w:rsidRDefault="001C705E" w:rsidP="001C705E">
      <w:pPr>
        <w:pStyle w:val="SntesisDescriptiva"/>
      </w:pPr>
    </w:p>
    <w:p w:rsidR="001C705E" w:rsidRDefault="001C705E" w:rsidP="001C705E">
      <w:pPr>
        <w:pStyle w:val="SntesisDescriptiva"/>
      </w:pPr>
      <w:r>
        <w:t>Recurso de amparo 467/1983. Derecho a interponer recurso de casación ante la jurisdicción militar contra Sentencias condenatorias de los Consejos de Guerra por los condenados con independencia de la duración de la pena de privación de libertad impuesta</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Resulta dudosa la condición de recurso de la queja a que se refiere el CJM, y, por otra parte, incluso reconociéndole esa condición, ello no significa que fuera preceptiva su elevación previa al recurso de amparo. </w:t>
      </w:r>
    </w:p>
    <w:p w:rsidR="001C705E" w:rsidRDefault="001C705E" w:rsidP="001C705E">
      <w:pPr>
        <w:pStyle w:val="Extracto"/>
      </w:pPr>
    </w:p>
    <w:p w:rsidR="001C705E" w:rsidRDefault="001C705E" w:rsidP="001C705E">
      <w:pPr>
        <w:pStyle w:val="Extracto"/>
      </w:pPr>
      <w:r>
        <w:t>2.</w:t>
      </w:r>
      <w:r>
        <w:tab/>
        <w:t xml:space="preserve">En la STC 27/1985, de 26 de febrero, se ha declarado parcialmente inconstitucional el art. 13.1 de la Ley Orgánica 9/1980, de reforma del CJM, por lo que contra las Sentencias de los Consejos de Guerra pueden ahora interponerse recursos de casación ante la justicia militar por el Ministerio Fiscal Jurídico-Militar y por quienes hubieran sido condenados en la Sentencia, independientemente de la duración de la pena de privación de libertad que se hubiese impuesto.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467/1983, promovido por don Carlos Almestó Alcubillas, representado por el Procurador don Natalio García Rivas y bajo la dirección del Abogado don Francisco Alonso Díaz, respecto de la Sentencia dictada en Consejo de Guerra del Juzgado Militar Eventual de Oviedo, relativa a tráfico de estupefacientes, y en el que ha comparecido el Ministerio Fiscal, siendo Ponente el Magistrado don Antonio Truyol Serra, quien expresa el parecer de la Sala.</w:t>
      </w:r>
    </w:p>
    <w:p w:rsidR="001C705E" w:rsidRDefault="001C705E" w:rsidP="001C705E">
      <w:pPr>
        <w:pStyle w:val="TextoNormal"/>
      </w:pPr>
    </w:p>
    <w:p w:rsidR="001C705E" w:rsidRDefault="001C705E" w:rsidP="001C705E">
      <w:pPr>
        <w:pStyle w:val="TextoNormalNegritaCentrado"/>
        <w:keepNext/>
      </w:pPr>
      <w:r>
        <w:lastRenderedPageBreak/>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5 de julio de 1983 tuvo entrada en este Tribunal demanda de amparo presentada en el Juzgado de Guardia el 30 de junio anterior, deducida por el Letrado don Francisco Alonso Díaz, defensor de oficio de don Carlos Almestó Alcubillas, de cuyo escrito y documentos aportados se desprenden los siguientes hechos: </w:t>
      </w:r>
    </w:p>
    <w:p w:rsidR="001C705E" w:rsidRDefault="001C705E" w:rsidP="001C705E">
      <w:pPr>
        <w:pStyle w:val="TextoNormal"/>
      </w:pPr>
      <w:r>
        <w:t xml:space="preserve">a) Contra el recurrente se siguió la causa 15/1982, de la Capitanía General de la VII Región Militar, en la que el 18 de octubre de 1982 fueron entregados los autos para calificar a su defensor, quien el 25 del mismo mes formuló escrito proponiendo la declinatoria de jurisdicción, al abrigo del art. 455 del Código de Justicia Militar (CJM), que fue desestimada el 19 de noviembre del mismo año, tanto por haberse planteado fuera de plazo cuanto por razones de fondo, al entender la Jurisdicción Militar que el delito era de los que afectaban al régimen y servicio de las Fuerzas Armadas. </w:t>
      </w:r>
    </w:p>
    <w:p w:rsidR="001C705E" w:rsidRDefault="001C705E" w:rsidP="001C705E">
      <w:pPr>
        <w:pStyle w:val="TextoNormal"/>
      </w:pPr>
      <w:r>
        <w:t xml:space="preserve">b) Evacuado escrito de calificación absolutorio por la defensa, en el que se reproducía la cuestión de competencia planteada, el 10 de marzo de 1983 se dictó Sentencia por el Consejo de Guerra, en la que se condena al demandante, en concepto de inductor de un delito contra la salud pública, del art. 344 del Código Penal, a la pena de seis meses y un día de prisión menor, accesorias y multa de 20.000 pesetas. </w:t>
      </w:r>
    </w:p>
    <w:p w:rsidR="001C705E" w:rsidRDefault="001C705E" w:rsidP="001C705E">
      <w:pPr>
        <w:pStyle w:val="TextoNormal"/>
      </w:pPr>
      <w:r>
        <w:t xml:space="preserve">Los hechos que sirven de base a tal condena consisten en que el recurrente, hallándose ingresado en el hospital militar, solicitó de otro, también procesado y condenado en la misma Sentencia, le trajese marihuana, siendo este último sorprendido cuando intentaba pasarle 200 miligramos de dicha sustancia en un paquete de cigarrillos. </w:t>
      </w:r>
    </w:p>
    <w:p w:rsidR="001C705E" w:rsidRDefault="001C705E" w:rsidP="001C705E">
      <w:pPr>
        <w:pStyle w:val="TextoNormal"/>
      </w:pPr>
      <w:r>
        <w:t xml:space="preserve">c) Frente a la citada Sentencia se efectuaron por la defensa del demandante, en forma de escrito que califica de recurso, las manifestaciones a que hace referencia el artículo 797 del CJM, insistiendo en la incompetencia de jurisdicción y en la inexistencia de delito. No obstante, se notificó en 9 de junio la firmeza dada por la Autoridad judicial de la Región a la Sentencia recaída y la concesión al hoy recurrente de la remisión condicional de la pena. </w:t>
      </w:r>
    </w:p>
    <w:p w:rsidR="001C705E" w:rsidRDefault="001C705E" w:rsidP="001C705E">
      <w:pPr>
        <w:pStyle w:val="TextoNormal"/>
      </w:pPr>
      <w:r>
        <w:t>d) El demandante entiende que se ha conculcado en primer lugar el derecho a una tutela efectiva reconocida por el art. 24.1 de la Constitución (C.E.), al haberse negado la posibilidad de que la Sentencia que le condena sea revisada por un órgano jurisdiccional superior. Se ha violado en segundo lugar, a su juicio, su derecho al Juez ordinario predeterminado por la Ley, contenido en el núm. 2 del citado art. 24, al ser juzgado por la jurisdicción militar, mermándose sus posibilidades de defensa, y condenándosele, en fin, por unos hechos que no son constitutivos de delito y por lo que nunca hubiera sido condenado en la jurisdicción penal ordinaria, pues en el consumo de drogas el Tribunal Supremo ha sido uniforme en el sentido de no considerarlo incurso en el art. 344 del CP. Por ello solicita la anulación de la resolución que da firmeza a la citada Sentencia de 10 de marzo de 1983, que no pudo ser revisada en una segunda instancia; la anulación de todo lo actuado en procedimiento ante la jurisdicción militar, y que entrando este Tribunal en el fondo del asunto, declare su libre absolución por no se delictivos los hechos que se le imputan, ya que, en definitiva, ha quedado así vulnerado el art. 25 de la C.E., o bien, subsidiariamente, que se remitan las actuaciones a Juez competente, que ha de ser el de Instrucción de Oviedo o la Audiencia Provincial, según el momento a que se retrotraigan las actuaciones.</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Por providencia de 28 de septiembre de 1983, la Sección Tercera acordó conceder un plazo de diez días al Abogado señor Alonso Díaz para que acreditara la representación que invocaba, y, por otra de 26 de octubre, dirigir un escrito al Decano del Ilustre Colegio </w:t>
      </w:r>
      <w:r>
        <w:lastRenderedPageBreak/>
        <w:t xml:space="preserve">de Procuradores, para que se procediera al nombramiento del que por turno correspondiera representar al solicitante de amparo; procediendo el 16 de noviembre a tener por designado al primero y como Procurador a don Natalio García Rivas, y a fijarles plazo para que formalizaran la demanda, que presentaron el 5 de diciembre, reproduciendo sustancialmente las argumentaciones efectuadas en el primer escrito. </w:t>
      </w:r>
    </w:p>
    <w:p w:rsidR="001C705E" w:rsidRDefault="001C705E" w:rsidP="001C705E">
      <w:pPr>
        <w:pStyle w:val="TextoNormal"/>
      </w:pPr>
      <w:r>
        <w:t>Las peticiones se resumen como sigue: 1.ª) declarar la nulidad de la resolución que da firmeza a la Sentencia de 10 de marzo de 1983, porque vulnera el derecho constitucional de tutela efectiva al no permitir que como se intentó mediante el correspondiente recurso la misma fuera revisada por una instancia superior, mandando que se retrotraigan las actuaciones al momento en que debió tramitarse aquél, «y todo ello para el supuesto de que no fueran procedentes los otros pronunciamientos que se interesan a continuación y que si son acogidos volverían éste innecesario»; 2.ª) declarar la nulidad de todo lo actuado en el procedimiento ante la jurisdicción militar, por entender que, de acuerdo con el derecho constitucional a Juez ordinario, los hechos no son competencia de dicha jurisdicción, mandando que se retrotraigan las actuaciones al momento en que aquélla se debió inhibir a favor de la ordinaria y 3.ª) declarar la libre absolución del recurrente «porque, una vez entrado a conocer del fondo del asunto, se estime que los hechos que se le imputan y por los que viene condenado no son constitutivos de delito alguno, y al no considerarlo así se ha vulnerado el principio constitucional de legalidad penal entendido como el derecho a no ser condenado por acciones que, al momento de producirse, no constituyen delito, cuyo precepto, contenido en el art. 25.1 de la Constitución, habría que poner en relación con el 344 del CP a la sazón vigente, así como con la doctrina jurisprudencial aplicable a ambos».</w:t>
      </w:r>
    </w:p>
    <w:p w:rsidR="001C705E" w:rsidRDefault="001C705E" w:rsidP="001C705E">
      <w:pPr>
        <w:pStyle w:val="TextoNormal"/>
      </w:pPr>
    </w:p>
    <w:p w:rsidR="001C705E" w:rsidRDefault="001C705E" w:rsidP="001C705E">
      <w:pPr>
        <w:pStyle w:val="TextoNormal"/>
      </w:pPr>
      <w:r w:rsidRPr="001C705E">
        <w:rPr>
          <w:rStyle w:val="NumeroAFNegritaCaracter"/>
        </w:rPr>
        <w:t>3</w:t>
      </w:r>
      <w:r>
        <w:t>. Admitida a trámite la demanda, por providencia de 11 de enero de 1984 se recabaron las actuaciones y, con fecha 8 de febrero, fueron emplazadas las partes, dándose vista al Ministerio Fiscal y al recurrente para que en el plazo de veinte días pudieran presentar las alegaciones que estimasen procedentes.</w:t>
      </w:r>
    </w:p>
    <w:p w:rsidR="001C705E" w:rsidRDefault="001C705E" w:rsidP="001C705E">
      <w:pPr>
        <w:pStyle w:val="TextoNormal"/>
      </w:pPr>
    </w:p>
    <w:p w:rsidR="001C705E" w:rsidRDefault="001C705E" w:rsidP="001C705E">
      <w:pPr>
        <w:pStyle w:val="TextoNormal"/>
      </w:pPr>
      <w:r w:rsidRPr="001C705E">
        <w:rPr>
          <w:rStyle w:val="NumeroAFNegritaCaracter"/>
        </w:rPr>
        <w:t>4</w:t>
      </w:r>
      <w:r>
        <w:t>. El demandante, en su escrito de 31 de febrero de 1984, destaca el agotamiento de los recursos previos, y en cuanto a la invocación de los derechos fundamentales vulnerados, pone de relieve la imposibilidad material de invocar el relativo a la tutela efectiva, al serle notificada la firmeza de la Sentencia, y respecto de los otros dos señala que aunque no fueron invocados de manera expresa, es lo cierto que toda la defensa se articuló en torno a ellos, insistiendo, por lo demás, en sus anteriores alegaciones.</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Por su parte, el Ministerio Fiscal, en su escrito de 5 de marzo de 1984, aduce, en esencia, lo siguiente: </w:t>
      </w:r>
    </w:p>
    <w:p w:rsidR="001C705E" w:rsidRDefault="001C705E" w:rsidP="001C705E">
      <w:pPr>
        <w:pStyle w:val="TextoNormal"/>
      </w:pPr>
      <w:r>
        <w:t xml:space="preserve">a) En cuanto a la presunta vulneración del derecho a Juez ordinario predeterminado por la Ley, considera que ha transcurrido el plazo de caducidad establecido en el art. 44.2 de la LOTC, ya que el demandante debió acudir en amparo ante este Tribunal antes de que hubiera transcurrido el plazo de veinte días, a partir del Acuerdo que desestimó su excepción de falta de jurisdicción, ya que en dicho Acuerdo tuvo su origen directo o inmediato el supuesto agravio y no era posible contra el mismo el ejercicio de recurso alguno. </w:t>
      </w:r>
    </w:p>
    <w:p w:rsidR="001C705E" w:rsidRDefault="001C705E" w:rsidP="001C705E">
      <w:pPr>
        <w:pStyle w:val="TextoNormal"/>
      </w:pPr>
      <w:r>
        <w:t xml:space="preserve">b) Por lo que respecta al principio de legalidad, no entra en el tema de fondo, aun cuando estime que el comportamiento del demandante resulta atípico, por cuanto entiende que </w:t>
      </w:r>
      <w:r>
        <w:lastRenderedPageBreak/>
        <w:t xml:space="preserve">no se han agotado los recursos utilizables, pues se disponía del incidente de rectificación de la Sentencia (Ley Orgánica 8/1983). </w:t>
      </w:r>
    </w:p>
    <w:p w:rsidR="001C705E" w:rsidRDefault="001C705E" w:rsidP="001C705E">
      <w:pPr>
        <w:pStyle w:val="TextoNormal"/>
      </w:pPr>
      <w:r>
        <w:t xml:space="preserve">c) Por último, por lo que se refiere al derecho a obtener la tutela judicial efectiva, señala dos posibles soluciones: Bien, considerar que no se ha producido la denegación de la segunda instancia ni se han agotado previamente todos los recursos utilizables en la vía judicial, ya que no se elevó en queja ante la Sala de Justicia del Consejo Supremo de Justicia Militar, en virtud del art. 107.6 del CJM, la cuestión de la imposibilidad de obtener una revisión de la condena: bien estimando que la queja antes aducida no es asimilable a un verdadero recurso, y que el aquietamiento del demandante obedeció a la restricción que impone el art. 13.1 de la Ley Orgánica 8/1980, restricción que no permite la utilización de tal recurso a quien, como el actor, ha sido condenado a pena privativa de libertad inferior en su duración a los tres años, otorgar el amparo, en razón a la vulneración del derecho a una tutela judicial efectiva derivada de una regulación discriminatoria del recurso existente, en cuyo caso procedería elevar la cuestión al pleno, de acuerdo con el art. 55.2 de la LOTC, para que el mismo pudiera declarar la inconstitucionalidad del citado art. 13.1. Para tal declaración el Tribunal Constitucional contaría con el precedente de su Sentencia de 14 de diciembre de 1982, que declaró inconstitucional un inciso del art. 14 de la citada Ley Orgánica que guarda un evidente paralelismo con el art. 13.1. . </w:t>
      </w:r>
    </w:p>
    <w:p w:rsidR="001C705E" w:rsidRDefault="001C705E" w:rsidP="001C705E">
      <w:pPr>
        <w:pStyle w:val="TextoNormal"/>
      </w:pPr>
      <w:r>
        <w:t>Por todo ello, salvo acogida de esta última hipótesis, el Ministerio Fiscal propone la denegación del amparo.</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 4 de abril de 1984, la Sala acordó señalar para la deliberación y votación de este recurso el día 30 de mayo de 1984.</w:t>
      </w:r>
    </w:p>
    <w:p w:rsidR="001C705E" w:rsidRDefault="001C705E" w:rsidP="001C705E">
      <w:pPr>
        <w:pStyle w:val="TextoNormal"/>
      </w:pPr>
    </w:p>
    <w:p w:rsidR="001C705E" w:rsidRDefault="001C705E" w:rsidP="001C705E">
      <w:pPr>
        <w:pStyle w:val="TextoNormal"/>
      </w:pPr>
      <w:r w:rsidRPr="001C705E">
        <w:rPr>
          <w:rStyle w:val="NumeroAFNegritaCaracter"/>
        </w:rPr>
        <w:t>7</w:t>
      </w:r>
      <w:r>
        <w:t>. Con fecha 25 de abril, la Capitanía General de la VII Región Militar remitió testimonio del dictamen y del Decreto en los que, de conformidad con lo establecido en la disposición transitoria de la Ley Orgánica 8/1983, de 25 de junio, se acordó por la jurisdicción castrense modificar la pena del demandante, a quien ya se había otorgado el beneficio de la remisión condicional, quedando aquélla en un mes y un día de arresto mayor, y accesorias.</w:t>
      </w:r>
    </w:p>
    <w:p w:rsidR="001C705E" w:rsidRDefault="001C705E" w:rsidP="001C705E">
      <w:pPr>
        <w:pStyle w:val="TextoNormal"/>
      </w:pPr>
    </w:p>
    <w:p w:rsidR="001C705E" w:rsidRDefault="001C705E" w:rsidP="001C705E">
      <w:pPr>
        <w:pStyle w:val="TextoNormal"/>
      </w:pPr>
      <w:r w:rsidRPr="001C705E">
        <w:rPr>
          <w:rStyle w:val="NumeroAFNegritaCaracter"/>
        </w:rPr>
        <w:t>8</w:t>
      </w:r>
      <w:r>
        <w:t>. Mediante escrito de 3 de mayo, el demandante amplió ad cautelam el recurso de amparo promovido contra este nuevo pronunciamiento, por cuanto, a su juicio, al seguir la nueva resolución condenando al recurrente, bien que rebajándole la pena, persiste la conculcación de los derechos constitucionales contenidos en los artículos 24.1 y 2 y 25 de la Constitución.</w:t>
      </w:r>
    </w:p>
    <w:p w:rsidR="001C705E" w:rsidRDefault="001C705E" w:rsidP="001C705E">
      <w:pPr>
        <w:pStyle w:val="TextoNormal"/>
      </w:pPr>
    </w:p>
    <w:p w:rsidR="001C705E" w:rsidRDefault="001C705E" w:rsidP="001C705E">
      <w:pPr>
        <w:pStyle w:val="TextoNormal"/>
      </w:pPr>
      <w:r w:rsidRPr="001C705E">
        <w:rPr>
          <w:rStyle w:val="NumeroAFNegritaCaracter"/>
        </w:rPr>
        <w:t>9</w:t>
      </w:r>
      <w:r>
        <w:t>. La Sección, por providencia de 9 de mayo, acordó acusar recibo a la Capitanía General de la VII Región Militar de su comunicación y poner de manifiesto el escrito y documentación recibida a la parte demandante y al Ministerio Fiscal para que en el plazo de tres días aleguen lo que estimen procedente, manteniéndose el señalamiento acordado: providencia a la que contestó el Ministerio Fiscal con fecha 14 de mayo, diciendo que quedaba instruido del referido Decreto de Capitanía General.</w:t>
      </w:r>
    </w:p>
    <w:p w:rsidR="001C705E" w:rsidRDefault="001C705E" w:rsidP="001C705E">
      <w:pPr>
        <w:pStyle w:val="TextoNormal"/>
      </w:pPr>
    </w:p>
    <w:p w:rsidR="001C705E" w:rsidRDefault="001C705E" w:rsidP="001C705E">
      <w:pPr>
        <w:pStyle w:val="TextoNormal"/>
      </w:pPr>
      <w:r w:rsidRPr="001C705E">
        <w:rPr>
          <w:rStyle w:val="NumeroAFNegritaCaracter"/>
        </w:rPr>
        <w:t>10</w:t>
      </w:r>
      <w:r>
        <w:t>. En providencia de 18 de julio, la Sala acordó que el recurrente procediera a formalizar la demanda de ampliación del recurso, en los términos dispuestos en el artículo 49 y concordantes de la LOTC, en el plazo de veinte días.</w:t>
      </w:r>
    </w:p>
    <w:p w:rsidR="001C705E" w:rsidRDefault="001C705E" w:rsidP="001C705E">
      <w:pPr>
        <w:pStyle w:val="TextoNormal"/>
      </w:pPr>
    </w:p>
    <w:p w:rsidR="001C705E" w:rsidRDefault="001C705E" w:rsidP="001C705E">
      <w:pPr>
        <w:pStyle w:val="TextoNormal"/>
      </w:pPr>
      <w:r w:rsidRPr="001C705E">
        <w:rPr>
          <w:rStyle w:val="NumeroAFNegritaCaracter"/>
        </w:rPr>
        <w:t>11</w:t>
      </w:r>
      <w:r>
        <w:t>. El demandante, por medio de escrito registrado en este Tribunal el 22 de octubre de 1984, formalizó demanda de ampliación contra el Decreto Auditoriado de la Autoridad Militar de la VII Región Militar, estimando que quebrantaba los derechos a la tutela efectiva de Jueces y Tribunales y al Juez ordinario y el principio de legalidad penal, con reiteración de las consideraciones efectuadas en la demanda.</w:t>
      </w:r>
    </w:p>
    <w:p w:rsidR="001C705E" w:rsidRDefault="001C705E" w:rsidP="001C705E">
      <w:pPr>
        <w:pStyle w:val="TextoNormal"/>
      </w:pPr>
    </w:p>
    <w:p w:rsidR="001C705E" w:rsidRDefault="001C705E" w:rsidP="001C705E">
      <w:pPr>
        <w:pStyle w:val="TextoNormal"/>
      </w:pPr>
      <w:r w:rsidRPr="001C705E">
        <w:rPr>
          <w:rStyle w:val="NumeroAFNegritaCaracter"/>
        </w:rPr>
        <w:t>12</w:t>
      </w:r>
      <w:r>
        <w:t>. La Sección, mediante providencia de 28 de noviembre de 1984, puso de manifiesto al Ministerio Fiscal y a la parte actora que la ampliación de la demanda podría ser inadmisible por estar interpuesta extemporáneamente, otorgándoles un plazo de diez días para que pudieran formular alegaciones al respecto.</w:t>
      </w:r>
    </w:p>
    <w:p w:rsidR="001C705E" w:rsidRDefault="001C705E" w:rsidP="001C705E">
      <w:pPr>
        <w:pStyle w:val="TextoNormal"/>
      </w:pPr>
    </w:p>
    <w:p w:rsidR="001C705E" w:rsidRDefault="001C705E" w:rsidP="001C705E">
      <w:pPr>
        <w:pStyle w:val="TextoNormal"/>
      </w:pPr>
      <w:r w:rsidRPr="001C705E">
        <w:rPr>
          <w:rStyle w:val="NumeroAFNegritaCaracter"/>
        </w:rPr>
        <w:t>13</w:t>
      </w:r>
      <w:r>
        <w:t>. El Ministerio Fiscal, en su escrito de 10 de diciembre de 1984, señaló que, no constándole la fecha en que se presentó la ampliación de la demanda, por no figurar anotación del Registro General que la indicara, no le era posible pronunciarse sobre si se había interpuesto dentro del plazo de veinte días concedido. Por otra parte, apunta que, tal vez, el demandante debió hacer uso del mecanismo específico de impugnación previsto en la disposición transitoria de la Ley Orgánica 8/1983, en la que se dice que «las resoluciones que adoptaran la forma de auto serán susceptibles de recurso de apelación o casación», en los supuestos y términos que allí se señalan, y si bien es cierto que no se hace referencia a las resoluciones de la Autoridad judicial militar, desde el momento en que actúan bajo el imperio de tal norma, cabría pensar si la expresa remisión a posterior recurso de casación no es también aplicable al orden castrense, con derogación expresa de la limitación -por otra parte, sometida a juicio de inconstitucionalidad- que se contiene en el art. 13.1 de la Ley Orgánica 9/1980, de Reforma del Código de Justicia Militar. En tal supuesto debió el interesado hacer uso del mecanismo de impugnación específico, aun cuando lo que se ataca no es la nueva pena, sino la ratio misma de ella.</w:t>
      </w:r>
    </w:p>
    <w:p w:rsidR="001C705E" w:rsidRDefault="001C705E" w:rsidP="001C705E">
      <w:pPr>
        <w:pStyle w:val="TextoNormal"/>
      </w:pPr>
    </w:p>
    <w:p w:rsidR="001C705E" w:rsidRDefault="001C705E" w:rsidP="001C705E">
      <w:pPr>
        <w:pStyle w:val="TextoNormal"/>
      </w:pPr>
      <w:r w:rsidRPr="001C705E">
        <w:rPr>
          <w:rStyle w:val="NumeroAFNegritaCaracter"/>
        </w:rPr>
        <w:t>14</w:t>
      </w:r>
      <w:r>
        <w:t>. En nuevo escrito de 11 de diciembre de 1984, la representación del demandante manifestó que la providencia de 18 de julio le fue notificada el 30 del mismo mes y que el escrito de interposición de la ampliación de la demanda estaba fechado el 17 de agosto, por lo que, salvo que algún imponderable hubiera retrasado su presentación, se habría formalizado dentro del plazo otorgado.</w:t>
      </w:r>
    </w:p>
    <w:p w:rsidR="001C705E" w:rsidRDefault="001C705E" w:rsidP="001C705E">
      <w:pPr>
        <w:pStyle w:val="TextoNormal"/>
      </w:pPr>
    </w:p>
    <w:p w:rsidR="001C705E" w:rsidRDefault="001C705E" w:rsidP="001C705E">
      <w:pPr>
        <w:pStyle w:val="TextoNormal"/>
      </w:pPr>
      <w:r w:rsidRPr="001C705E">
        <w:rPr>
          <w:rStyle w:val="NumeroAFNegritaCaracter"/>
        </w:rPr>
        <w:t>15</w:t>
      </w:r>
      <w:r>
        <w:t>. El 23 de enero de 1985, la Sala acordó unir a las actuaciones las alegaciones presentadas por el recurrente y el Ministerio Fiscal, y señalar para deliberación y votación el día 23 de marzo de 1985, quedando concluida el día 27 del mismo mes.</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Ante todo y como cuestión previa, procede resolver la pretensión formulada por el actor consistente en que se amplíe el recurso inicial para dirigirlo también contra el Decreto del Capitán General de 4 de abril de 1984.  Pretensión que no puede ser acogida, por haber sido extemporáneamente presentada la demanda que la contenía, debido a que ésta fue registrada en este Tribunal el día 22 de octubre de 1984, y la providencia en la que se concedía al demandante un plazo de veinte días para formalizarla le fue notificada a éste el </w:t>
      </w:r>
      <w:r>
        <w:lastRenderedPageBreak/>
        <w:t>30 de julio del mismo año. Por consiguiente, no es necesario entrar a examinar las alegaciones efectuadas al respecto, que por otra parte coinciden sustancialmente con las manifestadas en el escrito de interposición de la demanda originaria, siendo, asimismo, idénticas las violaciones constitucionales invocadas.</w:t>
      </w:r>
    </w:p>
    <w:p w:rsidR="001C705E" w:rsidRDefault="001C705E" w:rsidP="001C705E">
      <w:pPr>
        <w:pStyle w:val="TextoNormal"/>
      </w:pPr>
    </w:p>
    <w:p w:rsidR="001C705E" w:rsidRDefault="001C705E" w:rsidP="001C705E">
      <w:pPr>
        <w:pStyle w:val="TextoNormal"/>
      </w:pPr>
      <w:r w:rsidRPr="001C705E">
        <w:rPr>
          <w:rStyle w:val="NumeroAFNegritaCaracter"/>
        </w:rPr>
        <w:t>2</w:t>
      </w:r>
      <w:r>
        <w:t>. Por una razón que más adelante se verá, hemos de prestar atención preferente a la violación del derecho a la tutela efectiva de Jueces y Tribunales protegido por el art. 24.1 de la C.E., imputada por el recurrente al Acuerdo de 15 de abril de 1983, por el que la autoridad judicial aprobó la Sentencia emanada del Consejo de Guerra, dotándola ipso facto de firmeza con arreglo al apartado primero del art. 797 del CJM.</w:t>
      </w:r>
    </w:p>
    <w:p w:rsidR="001C705E" w:rsidRDefault="001C705E" w:rsidP="001C705E">
      <w:pPr>
        <w:pStyle w:val="TextoNormal"/>
      </w:pPr>
      <w:r>
        <w:t>El Ministerio Fiscal considera que el problema aquí planteado es susceptible de dos soluciones distintas, según sendas posibles perspectivas. En primer lugar, el Fiscal señala que el Acuerdo de la Autoridad militar en cuestión no tenía carácter impeditivo de una segunda instancia, que, por otra parte, no se intentó, como tampoco lo tenía de recurso el escrito de la defensa del demandante dirigido al Capitán General, solicitando que disintiese de la Sentencia del Consejo de Guerra. Además, en cualquier caso, aun admitiendo que, una vez confirmada la Sentencia, el sistema de recursos articulado por el CJM. podía dejar al demandante, en principio, sin posibilidad de obtener una revisión de la condena, es lo cierto que, antes de acudir al Tribunal Constitucional, era preciso que se elevase queja ante la Sala de Justicia del Consejo Supremo de Justicia Militar (art. 107.6 del CJM). A este respecto cabe aducir, de un lado, que resulta dudosa la condición de recurso de la queja a que se refiere el CJM, y, por otra parte, que, incluso reconociéndole esa condición, ello no significa que fuera preceptiva su elevación previa al recurso de amparo, pues, como ya ha señalado este Tribunal, «los recursos utilizables dentro de la vía judicial» a que alude el art. 44.1 a) de la LOTC «son los recursos útiles para conseguir la revisión de la medida adoptada, como condición previa para la admisión del recurso», y «de ahí la práctica de este Tribunal de no cerrar la vía de amparo mediante un enfoque excesivamente formalista» (Sentencia 30/1982, de 1 de junio, de la Sala Segunda, en el asunto 104/1982, «Boletín Oficial del Estado» de 28 de junio, fundamento jurídico 2.°); no siendo aventurado imaginar que la interposición de la queja es de dudosa utilidad para alcanzar el fin propuesto.</w:t>
      </w:r>
    </w:p>
    <w:p w:rsidR="001C705E" w:rsidRDefault="001C705E" w:rsidP="001C705E">
      <w:pPr>
        <w:pStyle w:val="TextoNormal"/>
      </w:pPr>
      <w:r>
        <w:t>Por otra parte, en coincidencia con el segundo supuesto evocado por el Ministerio Fiscal, hay que tener en cuenta la limitación que al acceso a la casación fijaba el artículo 13.1 de la Ley Orgánica 9/1980, de reforma del CJM, ya que sólo la establecía para los casos de Sentencias condenatorias a penas superiores a tres años de privación de libertad en lo que atañe a la defensa de los condenados. En este sentido, la Sentencia de este Tribunal núm.  76/1982, de 14 de diciembre («Boletín Oficial del Estado» de 15 de enero de 1983), declaró la inconstitucionalidad del art. 14 de la referida Ley 9/1980 en un inciso similar al del 13.1, por su contradicción con el art. 24 de la C.E.</w:t>
      </w:r>
    </w:p>
    <w:p w:rsidR="001C705E" w:rsidRDefault="001C705E" w:rsidP="001C705E">
      <w:pPr>
        <w:pStyle w:val="TextoNormal"/>
      </w:pPr>
      <w:r>
        <w:t>Por todo ello se producía una desigualdad injustificada entre unas y otras hipótesis, que ha sido recientemente reparada por este Tribunal en Sentencia de 26 de febrero de 1985 (cuestión de inconstitucionalidad núm. 620/1984), que ha declarado parcialmente inconstitucional el art. 13.1 de la Ley Orgánica citada, por lo que contra las Sentencias de los Consejos de Guerra pueden ahora interponerse recursos de casación ante la justicia militar por el Ministerio Fiscal jurídico-militar y por quienes hubieran sido condenados en la Sentencia, independientemente de la duración de la pena de privación de libertad que se hubiese impuesto.</w:t>
      </w:r>
    </w:p>
    <w:p w:rsidR="001C705E" w:rsidRDefault="001C705E" w:rsidP="001C705E">
      <w:pPr>
        <w:pStyle w:val="TextoNormal"/>
      </w:pPr>
      <w:r>
        <w:t>En atención a lo dicho se llega a la incontestable conclusión de considerar resuelta la pretensión del recurso que versa sobre la infracción del art. 24.1 de la C.E., por la declara</w:t>
      </w:r>
      <w:r>
        <w:lastRenderedPageBreak/>
        <w:t>ción de inconstitucionalidad del inciso del art.  13.1 de la Ley 9/1980, que vedaba el acceso a la casación en unos casos, y, en consecuencia, procede conceder al recurrente el derecho a formular el recurso de casación ante la justicia militar contra la Sentencia que le condenó.</w:t>
      </w:r>
    </w:p>
    <w:p w:rsidR="001C705E" w:rsidRDefault="001C705E" w:rsidP="001C705E">
      <w:pPr>
        <w:pStyle w:val="TextoNormal"/>
      </w:pPr>
    </w:p>
    <w:p w:rsidR="001C705E" w:rsidRDefault="001C705E" w:rsidP="001C705E">
      <w:pPr>
        <w:pStyle w:val="TextoNormal"/>
      </w:pPr>
      <w:r w:rsidRPr="001C705E">
        <w:rPr>
          <w:rStyle w:val="NumeroAFNegritaCaracter"/>
        </w:rPr>
        <w:t>3</w:t>
      </w:r>
      <w:r>
        <w:t>. Al ser acogida esta pretensión del demandante, y habida cuenta del carácter subsidiario del recurso de amparo, se abre la posibilidad de que el contenido de las pretensiones centradas en la denunciada violación del derecho al Juez ordinario predeterminado por la Ley del art. 24.2 y del principio de legalidad penal del art. 25.1, ambos de la C.E., se suscite mediante el recurso de casación de que el recurrente dispone ante la justicia militar, para darle oportunidad a que se pronuncie sobre aquella pretendida violación, por lo que tal invocación no puede ser objeto en este momento de pronunciamiento alguno de este Tribunal.</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en parte el amparo solicitado por don Carlos Almestó Alcubillas, y en su virtud:</w:t>
      </w:r>
    </w:p>
    <w:p w:rsidR="001C705E" w:rsidRDefault="001C705E" w:rsidP="001C705E">
      <w:pPr>
        <w:pStyle w:val="TextoNormal"/>
      </w:pPr>
      <w:r>
        <w:t>Declarar el derecho del mismo a formular recurso de casación contra la Sentencia del Consejo de Guerra, que le condenó en la causa 15/1982 de la Capitanía General de la VII Región Militar.</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once de abril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6" w:name="SENTENCIA_1985_53"/>
      <w:r>
        <w:lastRenderedPageBreak/>
        <w:t>SENTENCIA 53/1985, de 11 de abril de 1985</w:t>
      </w:r>
    </w:p>
    <w:bookmarkEnd w:id="56"/>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119, de 18 de mayo de 1985)</w:t>
      </w:r>
    </w:p>
    <w:p w:rsidR="001C705E" w:rsidRDefault="001C705E" w:rsidP="001C705E">
      <w:pPr>
        <w:pStyle w:val="TtuloBOE"/>
      </w:pPr>
    </w:p>
    <w:p w:rsidR="001C705E" w:rsidRDefault="001C705E" w:rsidP="001C705E">
      <w:pPr>
        <w:pStyle w:val="SntesisDescriptiva"/>
      </w:pPr>
      <w:r>
        <w:t>ECLI:ES:TC:1985:53</w:t>
      </w:r>
    </w:p>
    <w:p w:rsidR="001C705E" w:rsidRDefault="001C705E" w:rsidP="001C705E">
      <w:pPr>
        <w:pStyle w:val="SntesisDescriptiva"/>
      </w:pPr>
    </w:p>
    <w:p w:rsidR="001C705E" w:rsidRDefault="001C705E" w:rsidP="001C705E">
      <w:pPr>
        <w:pStyle w:val="SntesisDescriptiva"/>
      </w:pPr>
      <w:r>
        <w:t>Recurso previo de inconstitucionalidad 800-1983. Promovido por 55 Diputados contra el texto definitivo del Proyecto de Ley Orgánica de reforma del art. 417 bis del Código Penal. Votos particulares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derecho a la vida, reconocido y garantizado en su doble significación física y moral por el art. 15 de la C.E. es la proyección de un valor superior del ordenamiento jurídico constitucional -la vida humana- y constituye el derecho fundamental esencial y troncal en cuanto es el supuesto ontológico sin el que los restantes derechos no tendrían existencia posible. </w:t>
      </w:r>
    </w:p>
    <w:p w:rsidR="001C705E" w:rsidRDefault="001C705E" w:rsidP="001C705E">
      <w:pPr>
        <w:pStyle w:val="Extracto"/>
      </w:pPr>
    </w:p>
    <w:p w:rsidR="001C705E" w:rsidRDefault="001C705E" w:rsidP="001C705E">
      <w:pPr>
        <w:pStyle w:val="Extracto"/>
      </w:pPr>
      <w:r>
        <w:t>2.</w:t>
      </w:r>
      <w:r>
        <w:tab/>
        <w:t xml:space="preserve">Indisolublemente relacionado con el derecho a la vida en su dimensión humana se encuentra el valor jurídico fundamental de la dignidad de la persona, reconocido en el art. 10 como germen o núcleo de unos derechos «que le son inherentes». </w:t>
      </w:r>
    </w:p>
    <w:p w:rsidR="001C705E" w:rsidRDefault="001C705E" w:rsidP="001C705E">
      <w:pPr>
        <w:pStyle w:val="Extracto"/>
      </w:pPr>
    </w:p>
    <w:p w:rsidR="001C705E" w:rsidRDefault="001C705E" w:rsidP="001C705E">
      <w:pPr>
        <w:pStyle w:val="Extracto"/>
      </w:pPr>
      <w:r>
        <w:t>3.</w:t>
      </w:r>
      <w:r>
        <w:tab/>
        <w:t xml:space="preserve">Los derechos fundamentales no incluyen solamente derechos subjetivos de defensa de los individuos frente al Estado y garantías institucionales, sino también deberes positivos por parte de éste (véanse al respecto arts. 9.2, 17.4, 18.1 y 4; 20.3 y 27 de la Constitución). </w:t>
      </w:r>
    </w:p>
    <w:p w:rsidR="001C705E" w:rsidRDefault="001C705E" w:rsidP="001C705E">
      <w:pPr>
        <w:pStyle w:val="Extracto"/>
      </w:pPr>
    </w:p>
    <w:p w:rsidR="001C705E" w:rsidRDefault="001C705E" w:rsidP="001C705E">
      <w:pPr>
        <w:pStyle w:val="Extracto"/>
      </w:pPr>
      <w:r>
        <w:t>4.</w:t>
      </w:r>
      <w:r>
        <w:tab/>
        <w:t xml:space="preserve">Los derechos fundamentales son los componentes estructurales básicos, tanto del conjunto del orden jurídico objetivo como de cada una de las ramas que lo integran, en razón de que son la expresión jurídica de un sistema de valores que, por decisión del constituyente, ha de informar el conjunto de la organización jurídica y política; son, como dice el art. 10 de la C.E., el «fundamento del orden jurídico y de la paz social». </w:t>
      </w:r>
    </w:p>
    <w:p w:rsidR="001C705E" w:rsidRDefault="001C705E" w:rsidP="001C705E">
      <w:pPr>
        <w:pStyle w:val="Extracto"/>
      </w:pPr>
    </w:p>
    <w:p w:rsidR="001C705E" w:rsidRDefault="001C705E" w:rsidP="001C705E">
      <w:pPr>
        <w:pStyle w:val="Extracto"/>
      </w:pPr>
      <w:r>
        <w:t>5.</w:t>
      </w:r>
      <w:r>
        <w:tab/>
        <w:t xml:space="preserve">De la obligación del sometimiento de todos los poderes a la Constitución no solamente se deduce la obligación negativa del Estado de no lesionar la esfera individual o institucional protegida por los derechos fundamentales, sino también la obligación positiva de contribuir a la efectividad de tales derechos, y de los valores que representan, aun cuando no exista una pretensión subjetiva por parte del ciudadano. Ello obliga especialmente al legislador, quien recibe de los derechos fundamentales «los impulsos y líneas directivas», obligación que adquiere especial relevancia allí donde un derecho o valor fundamental quedaría vacío de no establecerse los supuestos para su defensa. </w:t>
      </w:r>
    </w:p>
    <w:p w:rsidR="001C705E" w:rsidRDefault="001C705E" w:rsidP="001C705E">
      <w:pPr>
        <w:pStyle w:val="Extracto"/>
      </w:pPr>
    </w:p>
    <w:p w:rsidR="001C705E" w:rsidRDefault="001C705E" w:rsidP="001C705E">
      <w:pPr>
        <w:pStyle w:val="Extracto"/>
      </w:pPr>
      <w:r>
        <w:t>6.</w:t>
      </w:r>
      <w:r>
        <w:tab/>
        <w:t>La vida es un concepto indeterminado. Desde el punto de vista de la cuestión planteada se precisa: a) Que la vida humana es un devenir, un proceso que co</w:t>
      </w:r>
      <w:r>
        <w:lastRenderedPageBreak/>
        <w:t xml:space="preserve">mienza con la gestación, en el curso de la cual una realidad biológica va tomando corpórea y sensitivamente configuración humana. b) Que la gestación ha generado un «tertium» existencialmente distinto de la madre. c) Que, dentro de los cambios cualitativos en el desarrollo del proceso vital, tiene particular relevancia el nacimiento. Y previamente al nacimiento tiene especial trascendencia el momento a partir del cual al «nasciturus» es ya susceptible de vida independiente de la madre. </w:t>
      </w:r>
    </w:p>
    <w:p w:rsidR="001C705E" w:rsidRDefault="001C705E" w:rsidP="001C705E">
      <w:pPr>
        <w:pStyle w:val="Extracto"/>
      </w:pPr>
    </w:p>
    <w:p w:rsidR="001C705E" w:rsidRDefault="001C705E" w:rsidP="001C705E">
      <w:pPr>
        <w:pStyle w:val="Extracto"/>
      </w:pPr>
      <w:r>
        <w:t>7.</w:t>
      </w:r>
      <w:r>
        <w:tab/>
        <w:t xml:space="preserve">Los argumentos aducidos no pueden estimarse para fundamentar la tesis de que al «nasciturus» corresponda también la titularidad del derecho a la vida, pero en todo caso, y ello es lo decisivo para la cuestión objeto del presente recurso, la vida del «nasciturus» es un bien jurídico constitucionalmente protegido por el art. 15 de nuestra Norma fundamental. </w:t>
      </w:r>
    </w:p>
    <w:p w:rsidR="001C705E" w:rsidRDefault="001C705E" w:rsidP="001C705E">
      <w:pPr>
        <w:pStyle w:val="Extracto"/>
      </w:pPr>
    </w:p>
    <w:p w:rsidR="001C705E" w:rsidRDefault="001C705E" w:rsidP="001C705E">
      <w:pPr>
        <w:pStyle w:val="Extracto"/>
      </w:pPr>
      <w:r>
        <w:t>8.</w:t>
      </w:r>
      <w:r>
        <w:tab/>
        <w:t xml:space="preserve">La protección que la Constitución dispensa al «nasciturus» implica para el Estado dos obligaciones: La de abstenerse de interrumpir o de obstaculizar el proceso natural de gestación, y la de establecer un sistema legal para la defensa de la vida que suponga una protección efectiva de la misma y que, dado el carácter fundamental de la vida, incluya también, como última garantía, las normas penales. Ello no significa que dicha protección haya de revestir carácter absoluto; pues, como sucede en relación con todos los bienes y derechos constitucionalmente reconocidos, en determinados supuestos puede y aun debe estar sujeta a limitaciones. </w:t>
      </w:r>
    </w:p>
    <w:p w:rsidR="001C705E" w:rsidRDefault="001C705E" w:rsidP="001C705E">
      <w:pPr>
        <w:pStyle w:val="Extracto"/>
      </w:pPr>
    </w:p>
    <w:p w:rsidR="001C705E" w:rsidRDefault="001C705E" w:rsidP="001C705E">
      <w:pPr>
        <w:pStyle w:val="Extracto"/>
      </w:pPr>
      <w:r>
        <w:t>9.</w:t>
      </w:r>
      <w:r>
        <w:tab/>
        <w:t xml:space="preserve">La dignidad de la persona se halla íntimamente vinculada con el libre desarrollo de la personalidad (art. 10) y los derechos a la integridad física y moral (art. 15), a la libertad de ideas y creencias (art. 16), al honor, a la intimidad personal y familiar y a la propia imagen (art. 18.1). Es un valor espiritual y moral inherente a la persona, que se manifiesta singularmente en la autodeterminación consciente y responsable de la propia vida y que lleva consigo la pretensión al respeto por parte de los demás. Cuando el intérprete constitucional trata de concretar este principio no puede ignorar el hecho obvio de la especificidad de la condición femenina y la concreción de los mencionados derechos en el ámbito de la maternidad. </w:t>
      </w:r>
    </w:p>
    <w:p w:rsidR="001C705E" w:rsidRDefault="001C705E" w:rsidP="001C705E">
      <w:pPr>
        <w:pStyle w:val="Extracto"/>
      </w:pPr>
    </w:p>
    <w:p w:rsidR="001C705E" w:rsidRDefault="001C705E" w:rsidP="001C705E">
      <w:pPr>
        <w:pStyle w:val="Extracto"/>
      </w:pPr>
      <w:r>
        <w:t>10.</w:t>
      </w:r>
      <w:r>
        <w:tab/>
        <w:t xml:space="preserve">Las causas de exención de la responsabilidad establecidas en el art. 8 del Código Penal también pueden regir -en principio y con los límites que les son inherentes- respecto del delito de aborto (arts. 411 y ss. del Código Penal). </w:t>
      </w:r>
    </w:p>
    <w:p w:rsidR="001C705E" w:rsidRDefault="001C705E" w:rsidP="001C705E">
      <w:pPr>
        <w:pStyle w:val="Extracto"/>
      </w:pPr>
    </w:p>
    <w:p w:rsidR="001C705E" w:rsidRDefault="001C705E" w:rsidP="001C705E">
      <w:pPr>
        <w:pStyle w:val="Extracto"/>
      </w:pPr>
      <w:r>
        <w:t>11.</w:t>
      </w:r>
      <w:r>
        <w:tab/>
        <w:t xml:space="preserve">La respuesta a la cuestión de si le está constitucionalmente permitido al legislador utilizar una técnica mediante la cual excluya la punibilidad en forma específica para ciertos delitos ha de ser afirmativa. El legislador puede tomar en consideración situaciones características de conflicto que afectan de una manera específica a un ámbito determinado de prohibiciones penales. Tal es el caso de los supuestos en los cuales la vida del «nasciturus» como bien constitucionalmente protegido, entra en colisión con derechos relativos a valores constitucionales de muy relevante significación, como la vida y la dignidad de la mujer. </w:t>
      </w:r>
    </w:p>
    <w:p w:rsidR="001C705E" w:rsidRDefault="001C705E" w:rsidP="001C705E">
      <w:pPr>
        <w:pStyle w:val="Extracto"/>
      </w:pPr>
    </w:p>
    <w:p w:rsidR="001C705E" w:rsidRDefault="001C705E" w:rsidP="001C705E">
      <w:pPr>
        <w:pStyle w:val="Extracto"/>
      </w:pPr>
      <w:r>
        <w:lastRenderedPageBreak/>
        <w:t>12.</w:t>
      </w:r>
      <w:r>
        <w:tab/>
        <w:t xml:space="preserve">Se trata de graves conflictos de características singulares, que no pueden contemplarse tan sólo desde la perspectiva de los derechos de la mujer o desde la protección de la vida del «nasciturus». Ni ésta puede prevalecer incondicionalmente frente a aquellos, ni los derechos de la mujer pueden tener primacía absoluta sobre la vida del «nasciturus». </w:t>
      </w:r>
    </w:p>
    <w:p w:rsidR="001C705E" w:rsidRDefault="001C705E" w:rsidP="001C705E">
      <w:pPr>
        <w:pStyle w:val="Extracto"/>
      </w:pPr>
    </w:p>
    <w:p w:rsidR="001C705E" w:rsidRDefault="001C705E" w:rsidP="001C705E">
      <w:pPr>
        <w:pStyle w:val="Extracto"/>
      </w:pPr>
      <w:r>
        <w:t>13.</w:t>
      </w:r>
      <w:r>
        <w:tab/>
        <w:t xml:space="preserve">El intérprete constitucional se ve obligado a ponderar los bienes y derechos en función del supuesto planteado, tratando de armonizarlos si ello es posible o, en caso contrario, precisando las condiciones y requisitos en que podría admitirse la prevalencia de uno de ellos. </w:t>
      </w:r>
    </w:p>
    <w:p w:rsidR="001C705E" w:rsidRDefault="001C705E" w:rsidP="001C705E">
      <w:pPr>
        <w:pStyle w:val="Extracto"/>
      </w:pPr>
    </w:p>
    <w:p w:rsidR="001C705E" w:rsidRDefault="001C705E" w:rsidP="001C705E">
      <w:pPr>
        <w:pStyle w:val="Extracto"/>
      </w:pPr>
      <w:r>
        <w:t>14.</w:t>
      </w:r>
      <w:r>
        <w:tab/>
        <w:t xml:space="preserve">El legislador, que ha de tener siempre presente la razonable exigibilidad de una conducta y la proporcionalidad de la pena en caso de incumplimiento, puede también renunciar a la sanción penal de una conducta que objetivamente pudiera representar una carga insoportable, sin perjuicio de que, en su caso, siga subsistiendo el deber de protección del Estado respecto del bien jurídico en otros ámbitos. </w:t>
      </w:r>
    </w:p>
    <w:p w:rsidR="001C705E" w:rsidRDefault="001C705E" w:rsidP="001C705E">
      <w:pPr>
        <w:pStyle w:val="Extracto"/>
      </w:pPr>
    </w:p>
    <w:p w:rsidR="001C705E" w:rsidRDefault="001C705E" w:rsidP="001C705E">
      <w:pPr>
        <w:pStyle w:val="Extracto"/>
      </w:pPr>
      <w:r>
        <w:t>15.</w:t>
      </w:r>
      <w:r>
        <w:tab/>
        <w:t xml:space="preserve">El término «necesario» -que se utiliza en el núm. 1 del art. 417 bis del Código Penal en la redacción del Proyecto- sólo puede interpretarse en el sentido de que se produce una colisión entre la vida del «nasciturus» y la vida o salud de la embarazada que no puede solucionarse de ninguna otra forma. En relación con el supuesto de grave peligro para la salud, el término «grave» expresa con claridad la idea de que ha de tratarse de un peligro de disminución importante de la salud y con permanencia en el tiempo. El término salud se refiere a la salud física o psíquica. </w:t>
      </w:r>
    </w:p>
    <w:p w:rsidR="001C705E" w:rsidRDefault="001C705E" w:rsidP="001C705E">
      <w:pPr>
        <w:pStyle w:val="Extracto"/>
      </w:pPr>
    </w:p>
    <w:p w:rsidR="001C705E" w:rsidRDefault="001C705E" w:rsidP="001C705E">
      <w:pPr>
        <w:pStyle w:val="Extracto"/>
      </w:pPr>
      <w:r>
        <w:t>16.</w:t>
      </w:r>
      <w:r>
        <w:tab/>
        <w:t xml:space="preserve">En cuanto al núm. 3 del artículo, el término «probable», expresa la idea de razonable presunción de verdad, y responde a la presumible prudencia de los dictámenes médicos. El término «grave» expresa, de un lado, la importancia y profundidad de la tara y, de otro, su permanencia en el tiempo. </w:t>
      </w:r>
    </w:p>
    <w:p w:rsidR="001C705E" w:rsidRDefault="001C705E" w:rsidP="001C705E">
      <w:pPr>
        <w:pStyle w:val="Extracto"/>
      </w:pPr>
    </w:p>
    <w:p w:rsidR="001C705E" w:rsidRDefault="001C705E" w:rsidP="001C705E">
      <w:pPr>
        <w:pStyle w:val="Extracto"/>
      </w:pPr>
      <w:r>
        <w:t>17.</w:t>
      </w:r>
      <w:r>
        <w:tab/>
        <w:t xml:space="preserve">En cuanto a la indicación de «grave peligro» para la vida de la embarazada, si la vida del «nasciturus» se protegiera incondicionalmente, se protegería más a la vida del no nacido que a la vida del nacido, y se penalizaría a la mujer por defender su derecho a la vida; por consiguiente, resulta constitucional la prevalencia de la vida de la madre. </w:t>
      </w:r>
    </w:p>
    <w:p w:rsidR="001C705E" w:rsidRDefault="001C705E" w:rsidP="001C705E">
      <w:pPr>
        <w:pStyle w:val="Extracto"/>
      </w:pPr>
    </w:p>
    <w:p w:rsidR="001C705E" w:rsidRDefault="001C705E" w:rsidP="001C705E">
      <w:pPr>
        <w:pStyle w:val="Extracto"/>
      </w:pPr>
      <w:r>
        <w:t>18.</w:t>
      </w:r>
      <w:r>
        <w:tab/>
        <w:t xml:space="preserve">En cuanto al supuesto de «grave peligro» para la salud de la embarazada, la prevalencia de la salud de la madre tampoco resulta inconstitucional, teniendo en cuenta que la exigencia del sacrificio importante y duradero de su salud bajo la conminación de una sanción penal puede estimarse inadecuada. </w:t>
      </w:r>
    </w:p>
    <w:p w:rsidR="001C705E" w:rsidRDefault="001C705E" w:rsidP="001C705E">
      <w:pPr>
        <w:pStyle w:val="Extracto"/>
      </w:pPr>
    </w:p>
    <w:p w:rsidR="001C705E" w:rsidRDefault="001C705E" w:rsidP="001C705E">
      <w:pPr>
        <w:pStyle w:val="Extracto"/>
      </w:pPr>
      <w:r>
        <w:t>19.</w:t>
      </w:r>
      <w:r>
        <w:tab/>
        <w:t xml:space="preserve">En cuanto a la indicación de que el embarazo sea consecuencia de un delito de violación y siempre que el aborto se practique dentro de las doce primeras semanas, basta considerar que la gestación ha tenido su origen en la comisión de un acto no sólo contrario a la voluntad de la mujer, sino realizado venciendo su resistencia por la violencia, lesionando en grado máximo su dignidad personal y el </w:t>
      </w:r>
      <w:r>
        <w:lastRenderedPageBreak/>
        <w:t xml:space="preserve">libre desarrollo de su personalidad, y vulnerando gravemente el derecho de la mujer a su integridad física y moral, al honor, a la propia imagen y a la intimidad personal. Obligarla a soportar las consecuencias de un acto de tal naturaleza es manifiestamente inexigible, por lo que la mencionada indicación no puede estimarse contraria a la Constitución. </w:t>
      </w:r>
    </w:p>
    <w:p w:rsidR="001C705E" w:rsidRDefault="001C705E" w:rsidP="001C705E">
      <w:pPr>
        <w:pStyle w:val="Extracto"/>
      </w:pPr>
    </w:p>
    <w:p w:rsidR="001C705E" w:rsidRDefault="001C705E" w:rsidP="001C705E">
      <w:pPr>
        <w:pStyle w:val="Extracto"/>
      </w:pPr>
      <w:r>
        <w:t>20.</w:t>
      </w:r>
      <w:r>
        <w:tab/>
        <w:t xml:space="preserve">El núm. 3 del artículo contiene la indicación relativa a la probable existencia de graves taras físicas o psíquicas en el feto. El fundamento de este supuesto se encuentra en la consideración de que el recurso a la sanción penal entrañaría la imposición de una conducta que excede de la que normalmente es exigible a la madre y a la familia. La afirmación anterior tiene en cuenta la situación excepcional en que se encuentran los padres, y especialmente la madre, agravada en muchos casos por la insuficiencia de prestaciones estatales y sociales. Sobre esta base, este supuesto no es inconstitucional. En relación con él y desde la perspectiva constitucional ha de ponerse de manifiesto la conexión que existe entre el desarrollo del art. 49 de la Constitución -incluido en el capítulo III, «De los principios rectores de la política social y económica», del Título I, «De los derechos y deberes fundamentales»- y la protección de la vida del «nasciturus» comprendida en el art. 15 de la Constitución. </w:t>
      </w:r>
    </w:p>
    <w:p w:rsidR="001C705E" w:rsidRDefault="001C705E" w:rsidP="001C705E">
      <w:pPr>
        <w:pStyle w:val="Extracto"/>
      </w:pPr>
    </w:p>
    <w:p w:rsidR="001C705E" w:rsidRDefault="001C705E" w:rsidP="001C705E">
      <w:pPr>
        <w:pStyle w:val="Extracto"/>
      </w:pPr>
      <w:r>
        <w:t>21.</w:t>
      </w:r>
      <w:r>
        <w:tab/>
        <w:t xml:space="preserve">Una vez establecida la constitucionalidad de tales supuestos, es necesario examinar si la regulación contenida en el art. 417 bis del Código Penal, en la redacción dada por el Proyecto, garantiza suficientemente el resultado de la ponderación de los bienes y derechos en conflicto realizada por el legislador, de forma tal que la desprotección del «nasciturus» no se produzca fuera de las situaciones previstas ni se desprotejan los derechos a la vida y a la integridad física de la mujer, evitando que el sacrificio del «nasciturus», en su caso, comporte innecesariamente el de otros derechos constitucionalmente protegidos. Y ello porque el Estado tiene la obligación de garantizar la vida, incluida la del «nasciturus», mediante un sistema legal que suponga una protección efectiva de la misma, lo que exige, en la medida de lo posible, que se establezcan las garantías necesarias para que la eficacia de dicho sistema no disminuya más allá de lo que exige la finalidad del nuevo precepto. </w:t>
      </w:r>
    </w:p>
    <w:p w:rsidR="001C705E" w:rsidRDefault="001C705E" w:rsidP="001C705E">
      <w:pPr>
        <w:pStyle w:val="Extracto"/>
      </w:pPr>
    </w:p>
    <w:p w:rsidR="001C705E" w:rsidRDefault="001C705E" w:rsidP="001C705E">
      <w:pPr>
        <w:pStyle w:val="Extracto"/>
      </w:pPr>
      <w:r>
        <w:t>22.</w:t>
      </w:r>
      <w:r>
        <w:tab/>
        <w:t xml:space="preserve">Por lo que se refiere al aborto terapéutico, este Tribunal estima que la requerida intervención de un Médico para practicar la interrupción del embarazo, sin que se prevea dictamen médico alguno, resulta insuficiente. La protección del «nasciturus» exige que, de forma análoga a lo previsto en el caso del aborto eugenésico, la comprobación de la existencia del supuesto de hecho se realice con carácter general por un Médico de la especialidad correspondiente. </w:t>
      </w:r>
    </w:p>
    <w:p w:rsidR="001C705E" w:rsidRDefault="001C705E" w:rsidP="001C705E">
      <w:pPr>
        <w:pStyle w:val="Extracto"/>
      </w:pPr>
    </w:p>
    <w:p w:rsidR="001C705E" w:rsidRDefault="001C705E" w:rsidP="001C705E">
      <w:pPr>
        <w:pStyle w:val="Extracto"/>
      </w:pPr>
      <w:r>
        <w:t>23.</w:t>
      </w:r>
      <w:r>
        <w:tab/>
        <w:t xml:space="preserve">En el caso del aborto terapéutico y eugenésico, la comprobación del supuesto de hecho ha de producirse necesariamente con anterioridad a la realización del aborto y, dado que de llevarse a cabo se ocasionaría un resultado irreversible, el Estado no puede desinteresarse ni de dicha comprobación ni de la realización del aborto. </w:t>
      </w:r>
    </w:p>
    <w:p w:rsidR="001C705E" w:rsidRDefault="001C705E" w:rsidP="001C705E">
      <w:pPr>
        <w:pStyle w:val="Extracto"/>
      </w:pPr>
    </w:p>
    <w:p w:rsidR="001C705E" w:rsidRDefault="001C705E" w:rsidP="001C705E">
      <w:pPr>
        <w:pStyle w:val="Extracto"/>
      </w:pPr>
      <w:r>
        <w:lastRenderedPageBreak/>
        <w:t>24.</w:t>
      </w:r>
      <w:r>
        <w:tab/>
        <w:t xml:space="preserve">El legislador debería prever que la comprobación del supuesto de hecho en los casos de aborto terapéutico y eugenésico, así como la realización del aborto, se lleve a cabo en centros sanitarios públicos o privados, autorizados al efecto, o adoptar cualquier otra solución que estime oportuna dentro del marco constitucional </w:t>
      </w:r>
    </w:p>
    <w:p w:rsidR="001C705E" w:rsidRDefault="001C705E" w:rsidP="001C705E">
      <w:pPr>
        <w:pStyle w:val="Extracto"/>
      </w:pPr>
    </w:p>
    <w:p w:rsidR="001C705E" w:rsidRDefault="001C705E" w:rsidP="001C705E">
      <w:pPr>
        <w:pStyle w:val="Extracto"/>
      </w:pPr>
      <w:r>
        <w:t>25.</w:t>
      </w:r>
      <w:r>
        <w:tab/>
        <w:t xml:space="preserve">Las exigencias constitucionales no quedarían incumplidas si el legislador decidiera excluir a la embarazada de entre los sujetos penalmente responsables en caso de incumplimiento de los requisitos mencionados en el párrafo anterior. </w:t>
      </w:r>
    </w:p>
    <w:p w:rsidR="001C705E" w:rsidRDefault="001C705E" w:rsidP="001C705E">
      <w:pPr>
        <w:pStyle w:val="Extracto"/>
      </w:pPr>
    </w:p>
    <w:p w:rsidR="001C705E" w:rsidRDefault="001C705E" w:rsidP="001C705E">
      <w:pPr>
        <w:pStyle w:val="Extracto"/>
      </w:pPr>
      <w:r>
        <w:t>26.</w:t>
      </w:r>
      <w:r>
        <w:tab/>
        <w:t xml:space="preserve">En el caso del aborto ético, la denuncia previa es suficiente para dar por cumplida la exigencia constitucional respecto a la comprobación del supuesto del hecho (delito de violación del artículo 429 del Código Penal). </w:t>
      </w:r>
    </w:p>
    <w:p w:rsidR="001C705E" w:rsidRDefault="001C705E" w:rsidP="001C705E">
      <w:pPr>
        <w:pStyle w:val="Extracto"/>
      </w:pPr>
    </w:p>
    <w:p w:rsidR="001C705E" w:rsidRDefault="001C705E" w:rsidP="001C705E">
      <w:pPr>
        <w:pStyle w:val="Extracto"/>
      </w:pPr>
      <w:r>
        <w:t>27.</w:t>
      </w:r>
      <w:r>
        <w:tab/>
        <w:t xml:space="preserve">El legislador puede adoptar cualquier solución dentro del marco constitucional, pues no es misión de este Tribunal sustituir la acción del legislador, pero sí lo es, de acuerdo con el art. 79.4 b) de la LOTC, indicar las modificaciones que a su juicio -y sin excluir otras posibles- permitieran la prosecución de la tramitación del Proyecto por el órgano competente. </w:t>
      </w:r>
    </w:p>
    <w:p w:rsidR="001C705E" w:rsidRDefault="001C705E" w:rsidP="001C705E">
      <w:pPr>
        <w:pStyle w:val="Extracto"/>
      </w:pPr>
    </w:p>
    <w:p w:rsidR="001C705E" w:rsidRDefault="001C705E" w:rsidP="001C705E">
      <w:pPr>
        <w:pStyle w:val="Extracto"/>
      </w:pPr>
      <w:r>
        <w:t>28.</w:t>
      </w:r>
      <w:r>
        <w:tab/>
        <w:t xml:space="preserve">El Tribunal entiende que la solución del legislador relativa al consentimiento en los supuestos previstos en los núms. 1 y 3 del art. 417 bis del Código Penal, en la redacción dada por el Proyecto, no es inconstitucional, dado que la peculiar relación entre la embarazada y el «nasciturus» hace que la decisión afecte primordialmente a aquélla.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previo de inconstitucionalidad núm. 800/1983, interpuesto por don José María Ruiz Gallardón, comisionado por 54 Diputados de las Cortes Generales, contra el texto definitivo del Proyecto de Ley Orgánica de reforma del art. 417 bis del Código Penal. Ha comparecido el Abogado del Estado, en representación del Gobierno de la Nación, y han sido Ponentes para este acto los Magistrados doña Gloria Begué Cantón y don Rafael Gómez-Ferrer Morant, quienes expresan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Con fecha 2 de diciembre de 1983, don José María Ruiz Gallardón, Abogado, comisionado a los fines de interposición del presente recurso por 54 Diputados que se indican en el escrito, interpone ante este Tribunal Constitucional recurso previo de inconstitucionalidad contra el «Proyecto de Ley Orgánica de Reforma del art. 417 bis del Código Penal», según el texto definitivo aprobado por el Senado en la sesión plenaria celebrada el día 30 de noviembre de 1983, por infracción de los arts. 1.1, 9.3, 10.2, 15, 39.2 y 4, 49 y 53.1 y 3 de la Constitución. Los recurrentes solicitan se declare la inconstitucionalidad del referido proyecto en su totalidad y, con carácter subsidiario, la inconstitucionalidad parcial de las circunstancias b) y c) del artículo en cuestión y, en todo caso, se dicte una sentencia interpretativa y aclaratoria de las ambigüedades constitucionales denunciadas. </w:t>
      </w:r>
    </w:p>
    <w:p w:rsidR="001C705E" w:rsidRDefault="001C705E" w:rsidP="001C705E">
      <w:pPr>
        <w:pStyle w:val="TextoNormal"/>
      </w:pPr>
      <w:r>
        <w:t xml:space="preserve">El recurso se basa en los siguientes motivos: </w:t>
      </w:r>
    </w:p>
    <w:p w:rsidR="001C705E" w:rsidRDefault="001C705E" w:rsidP="001C705E">
      <w:pPr>
        <w:pStyle w:val="TextoNormal"/>
      </w:pPr>
      <w:r>
        <w:t xml:space="preserve">A) El primer motivo se centra en la interpretación del art. 15 de la Constitución, el cual declara que «todos tienen derecho a la vida y a la integridad física y moral». </w:t>
      </w:r>
    </w:p>
    <w:p w:rsidR="001C705E" w:rsidRDefault="001C705E" w:rsidP="001C705E">
      <w:pPr>
        <w:pStyle w:val="TextoNormal"/>
      </w:pPr>
      <w:r>
        <w:t xml:space="preserve">El Proyecto impugnado -declaran los recurrentes- viene a eliminar normas penales que sirven de protección al derecho a la vida, lo que plantea el problema de si son o no necesarias normas penales para proteger dicho derecho. Es ésta una cuestión que entienden debe resolverse afirmativamente: el respeto a la vida humana precisa de normas penales, debiendo tipificarse las conductas que atenten contra ella. </w:t>
      </w:r>
    </w:p>
    <w:p w:rsidR="001C705E" w:rsidRDefault="001C705E" w:rsidP="001C705E">
      <w:pPr>
        <w:pStyle w:val="TextoNormal"/>
      </w:pPr>
      <w:r>
        <w:t xml:space="preserve">A juicio de los recurrentes, el reconocimiento del derecho de «todos» a la vida se extiende también a los concebidos y no nacidos, conclusión a la que llegan a través de una interpretación literal y sistemática del mencionado precepto. </w:t>
      </w:r>
    </w:p>
    <w:p w:rsidR="001C705E" w:rsidRDefault="001C705E" w:rsidP="001C705E">
      <w:pPr>
        <w:pStyle w:val="TextoNormal"/>
      </w:pPr>
      <w:r>
        <w:t xml:space="preserve">En tal sentido, invocan la Sentencia del Tribunal Constitucional alemán de 25 de febrero de 1975, la cual, en su opinión, dejó bien claro que, según los conocimientos biológicos y fisiológicos actuales, existe vida humana, en el sentido de existencia histórica de un individuo humano, desde los catorce días después de la concepción; por ello, la protección no puede limitarse al hombre ya nacido, ni al nasciturus susceptible de vida independiente. El derecho a la vida está garantizado a todo el que vive; entre las diferentes etapas de la vida previa al nacimiento, y entre nacidos y no nacidos, no puede establecerse diferencia alguna en este contexto. «Todos» significa «toda vida», o bien «todo individuo humano que posea vida»; por consiguiente, comprende también al ser humano que todavía no ha nacido. </w:t>
      </w:r>
    </w:p>
    <w:p w:rsidR="001C705E" w:rsidRDefault="001C705E" w:rsidP="001C705E">
      <w:pPr>
        <w:pStyle w:val="TextoNormal"/>
      </w:pPr>
      <w:r>
        <w:t xml:space="preserve">Por otra parte, a juicio de los recurrentes, el hecho de que el término «todos» aparezca como sujeto de otros derechos en la Constitución que sólo son predicables de la persona ya nacida, no puede aducirse para negar por ello que dicho término en el contexto del art. 15 deba entenderse en idéntico sentido. Que el concebido no tenga los derechos que se proclaman en otros preceptos, pensados para el nacido, no implica que no tenga derecho a vivir, y, por supuesto, si se le priva de la vida nunca podrá tener tales derechos; pero, además, el argumento no resulta válido si se considera que tampoco todos, absolutamente todos los nacidos, tienen la totalidad de los derechos mencionados. En definitiva, concluyen que de la interpretación sistemática del art. 15 de la Constitución en relación con otros preceptos de la misma, «se deduce un espíritu que pone en la dignidad humana el acento fundamental, y viola dicho espíritu el considerar que todo el sistema de protección y reconocimiento al articulado no alcanza al ser vivo aún no nacido». </w:t>
      </w:r>
    </w:p>
    <w:p w:rsidR="001C705E" w:rsidRDefault="001C705E" w:rsidP="001C705E">
      <w:pPr>
        <w:pStyle w:val="TextoNormal"/>
      </w:pPr>
      <w:r>
        <w:lastRenderedPageBreak/>
        <w:t xml:space="preserve">Una vez analizado el art. 15 de la Constitución, partiendo «del sentido propio de las palabras» y de una interpretación sistemática, pasan los recurrentes a considerar los antecedentes históricos, de los que, en su opinión, se desprende que la protección a la vida abarca desde el momento mismo de la concepción. Sostienen, en efecto, que la tradición legislativa española, con la única excepción de la Ley Catalana de Aborto en la Segunda República, ha estimado que todos tienen derecho a la vida desde el momento de la concepción, penalizándose el aborto en todos los Códigos Penales. Y ello -añaden- se manifiesta especialmente en el campo del Derecho Civil, en el que la tradición jurídica ha articulado un sistema de protección al nasciturus. </w:t>
      </w:r>
    </w:p>
    <w:p w:rsidR="001C705E" w:rsidRDefault="001C705E" w:rsidP="001C705E">
      <w:pPr>
        <w:pStyle w:val="TextoNormal"/>
      </w:pPr>
      <w:r>
        <w:t xml:space="preserve">A continuación examinan los recurrentes el proceso de elaboración del art. 15 en el Parlamento. A su entender, de las enmiendas presentadas en su día, del informe de la Ponencia y de la discusión parlamentaria se deduce claramente lo siguiente: 1. Que la finalidad perseguida por la enmienda consistente en sustituir el término «personas» por el de «todos» era evitar la interpretación de que, con el primero, se pudiera considerar por el legislador que sólo son personas quienes reúnan los requisitos del art. 30 del Código Civil y, en consecuencia, entender que los no nacidos no son personas, por lo que el aborto voluntario no quedaría impedido por la Constitución. 2. Que el objetivo específico que proponía la enmienda solicitando la introducción del término «todos» era que con él se entendieran incluidos los no nacidos, quedando así protegidos por el derecho fundamental a la vida y quedando vedada al legislador ordinario la posibilidad de despenalizar el aborto voluntario. 3. Que los Grupos Parlamentarios que apoyaron la enmienda y votaron a su favor lo hicieron conscientes de la finalidad y objetivo que se pretendía, y ratificaron que el apoyo por ellos prestado a la misma se debía a que entendían que con la redacción propuesta quedaba más claro que el derecho a la vida se refería también a los no nacidos. 4. Que la enmienda fue sometida a votación y aprobada por mayoría, lo que supone que el significado incorporado al precepto fue el pretendido por el enmendante, sin que el hecho de que no hubiera existido consenso en todas las fuerzas políticas reste valor alguno a aquel significado. </w:t>
      </w:r>
    </w:p>
    <w:p w:rsidR="001C705E" w:rsidRDefault="001C705E" w:rsidP="001C705E">
      <w:pPr>
        <w:pStyle w:val="TextoNormal"/>
      </w:pPr>
      <w:r>
        <w:t xml:space="preserve">Finalmente, los recurrentes apelan, para la interpretación del art. 15 en cuestión, a la realidad social del momento en que ha de ser aplicado dicho precepto, realidad que, a su parecer, resulta de una serie de documentos que aportan o dicen aportarán en un momento ulterior al recurso. </w:t>
      </w:r>
    </w:p>
    <w:p w:rsidR="001C705E" w:rsidRDefault="001C705E" w:rsidP="001C705E">
      <w:pPr>
        <w:pStyle w:val="TextoNormal"/>
      </w:pPr>
      <w:r>
        <w:t xml:space="preserve">B) El segundo motivo del recurso se apoya en la presunta vulneración del art. 1 de la Constitución. Después de examinar los variados aspectos que según la doctrina integran el concepto de Estado Social, consagrado en el mencionado articulo, manifiestan los recurrentes que tal Estado no se compagina con actuaciones negadoras y supresoras de la vida de los no nacidos, pues, frente a la preocupación que demuestra por la defensa de los demás derechos fundamentales, niega la protección al más primario y fundamental de todos, que es el derecho a la vida de los todavía no nacidos. </w:t>
      </w:r>
    </w:p>
    <w:p w:rsidR="001C705E" w:rsidRDefault="001C705E" w:rsidP="001C705E">
      <w:pPr>
        <w:pStyle w:val="TextoNormal"/>
      </w:pPr>
      <w:r>
        <w:t xml:space="preserve">C) Como tercer motivo de inconstitucionalidad, alegan los recurrentes la violación del art. 10.2 de la Constitución, el cual, en relación con el 96.1, prescribe que las normas relativas a los derechos fundamentales han de interpretarse de conformidad con la Declaración Universal de Derechos Humanos y los acuerdos y tratados internacionales sobre esas materias ratificados por España. A tal respecto citan, en primer lugar, el artículo 3 de la Declaración Universal de los Derechos Humanos de 10 de diciembre de 1948, el art. 2 del Convenio Europeo para la protección de los Derechos Humanos Libertades Fundamentales de 4 de noviembre de 1950, y el art. 6.1 del Pacto Internacional de Derechos Civiles y Políticos de 16 de diciembre de 1966. </w:t>
      </w:r>
    </w:p>
    <w:p w:rsidR="001C705E" w:rsidRDefault="001C705E" w:rsidP="001C705E">
      <w:pPr>
        <w:pStyle w:val="TextoNormal"/>
      </w:pPr>
      <w:r>
        <w:lastRenderedPageBreak/>
        <w:t xml:space="preserve">Manifiestan los recurrentes que estos tres textos reconocen el derecho de «todos» a la vida en términos muy similares al texto constitucional español, pero que, si se tiene en cuenta que cuando se aprobaron los dos primeros el aborto no se hallaba legalizado «en ninguno de los bloques políticos», puede suponerse que el derecho a la vida se entendió aplicable al ser humano desde el momento de la concepción. Bien es cierto -reconocen- que ha habido Tribunales constitucionales europeos que han interpretado el art. 2 del Convenio Europeo en sentido negativo a la protección de la vida del nasciturus, como el Tribunal Constitucional austríaco en su Sentencia de 11 de octubre de 1974. Pero en sentido contrario puede citarse la Sentencia del Tribunal Constitucional Federal Alemán de 25 de febrero de 1975, en el cual se admite que el derecho a la vida proclamado en el art. 2 de la Ley Fundamental de Bonn se extiende a la vida del embrión, en tanto que «interés jurídico independiente», añadiéndose que, según los conocimientos biológicos y fisiológicos establecidos, la vida humana existe al menos desde el decimocuarto día siguiente a la concepción, y que el desarrollo que se opera después es continuo, sin que se pueda establecer ni división precisa, ni distinción exacta. Por lo que se refiere al Pacto Internacional de Derechos Civiles y Políticos de 1966, estiman los recurrentes que permite llegar por otras vías a la conclusión de que el feto debe ser considerado como bien jurídico protegible, como se infiere de su artículo 6.5 en el que, a propósito de la pena de muerte, se prohíbe su ejecución sobre la mujer embarazada. </w:t>
      </w:r>
    </w:p>
    <w:p w:rsidR="001C705E" w:rsidRDefault="001C705E" w:rsidP="001C705E">
      <w:pPr>
        <w:pStyle w:val="TextoNormal"/>
      </w:pPr>
      <w:r>
        <w:t xml:space="preserve">Citan además los recurrentes el Acta Final de Helsinki de 1 de agosto de 1975, que prescribe el respeto de los derechos humanos y las libertades fundamentales «de todos»; la Carta de San José de Costa Rica (aunque no ha sido ratificada por España), en cuyo artículo 4 se declara que el derecho a la vida existe a partir de la concepción; y la Declaración Internacional de Derechos del Niño de 20 de noviembre de 1959, en cuyo preámbulo se reconoce la protección jurídica del niño antes y después de su nacimiento. </w:t>
      </w:r>
    </w:p>
    <w:p w:rsidR="001C705E" w:rsidRDefault="001C705E" w:rsidP="001C705E">
      <w:pPr>
        <w:pStyle w:val="TextoNormal"/>
      </w:pPr>
      <w:r>
        <w:t xml:space="preserve">De todo ello concluyen que hay que interpretar el derecho a la vida reconocido en la Constitución Española como abarcando a los concebidos y no nacidos, con lo que el Proyecto impugnado vulneraría el art. 10.2 de la Constitución. </w:t>
      </w:r>
    </w:p>
    <w:p w:rsidR="001C705E" w:rsidRDefault="001C705E" w:rsidP="001C705E">
      <w:pPr>
        <w:pStyle w:val="TextoNormal"/>
      </w:pPr>
      <w:r>
        <w:t xml:space="preserve">D) El cuarto motivo del recurso se basa en que, a juicio de los recurrentes, el Proyecto impugnado viola el art. 39 de la Constitución en sus apartados 2 y 4. El apartado 2, que impone a los poderes públicos el deber de asegurar «la protección integral de los hijos iguales ante la Ley, con independencia de su filiación», quedaría vulnerado al impedirse en el Proyecto la intervención del padre para otorgar el consentimiento del aborto. Y ello por tres razones: Porque la falta del consentimiento del padre impide al hijo no nacido ser integralmente protegido, frente a la protección paterna acordada por el Código Civil a los ya nacidos; porque ello supone la creación de una desigualdad entre hijos nacidos y no nacidos; y porque la ausencia de exigencia de consentimiento rompe inconstitucionalmente todo el sistema de derecho civil basado en la igualdad de los cónyuges. También consideran los recurrentes vulnerado por el Proyecto el número 4 del art. 39, en cuanto dispone que «los niños gozarán de la protección prevista en los acuerdos internacionales que velan por sus derechos». No se trata -precisan- de que tales Acuerdos sirvan para interpretar las normas reguladoras de los derechos fundamentales, como el art. 10.2 de la Constitución prescribe, sino de que la protección en ellos articulada sobre los derechos del niño sea establecida y articulada en el ordenamiento español. </w:t>
      </w:r>
    </w:p>
    <w:p w:rsidR="001C705E" w:rsidRDefault="001C705E" w:rsidP="001C705E">
      <w:pPr>
        <w:pStyle w:val="TextoNormal"/>
      </w:pPr>
      <w:r>
        <w:t xml:space="preserve">E) Los recurrentes señalan como quinto motivo de inconstitucionalidad la vulneración del art. 53 de la Constitución. </w:t>
      </w:r>
    </w:p>
    <w:p w:rsidR="001C705E" w:rsidRDefault="001C705E" w:rsidP="001C705E">
      <w:pPr>
        <w:pStyle w:val="TextoNormal"/>
      </w:pPr>
      <w:r>
        <w:lastRenderedPageBreak/>
        <w:t xml:space="preserve">Por ser -dicen- el derecho de «todos» a la vida, que abarca también a los no nacidos, un derecho fundamental, su régimen de protección y garantías se desenvuelve en tres sentidos: </w:t>
      </w:r>
    </w:p>
    <w:p w:rsidR="001C705E" w:rsidRDefault="001C705E" w:rsidP="001C705E">
      <w:pPr>
        <w:pStyle w:val="TextoNormal"/>
      </w:pPr>
      <w:r>
        <w:t xml:space="preserve">a) En primer lugar, el derecho a la vida vincula a todos los poderes públicos, vinculación que se traduce en una obligación para éstos de proteger la vida misma y que no puede ser enervada por la voluntad de la madre, del mismo modo que el derecho no puede quedar al arbitrio del legislador ordinario. </w:t>
      </w:r>
    </w:p>
    <w:p w:rsidR="001C705E" w:rsidRDefault="001C705E" w:rsidP="001C705E">
      <w:pPr>
        <w:pStyle w:val="TextoNormal"/>
      </w:pPr>
      <w:r>
        <w:t xml:space="preserve">b) Una segunda modalidad de garantía del derecho fundamental a la vida lo constituye la reserva expresa de Ley Orgánica. En virtud de dicha reserva el derecho fundamental a la vida sólo puede regularse por Ley Orgánica, regulación que no puede alterar o vulnerar el contenido esencial del derecho en cuestión. Acudiendo a la interpretación que el Tribunal Constitucional ha hecho sobre el contenido esencial de los derechos fundamentales, entienden los recurrentes que el Proyecto de Ley Orgánica que se impugna no regula un derecho fundamental respetando se contenido esencial, sino que suprime un derecho fundamental -el derecho a la vida del nasciturus- ignorando su contenido esencial, pues en este derecho no existe contenido accidental. Invocan también la Sentencia del Tribunal Constitucional de la República Federal Alemana de 25 de febrero de 1975, en la que se manifiesta que las normas relativas a los derechos fundamentales, además de contener derechos subjetivos de defensa frente al Estado, encarnan un «orden objetivo de valores» que orienta e impulsa a la legislación, a la Administración y a la Jurisprudencia. En cuanto al tema concreto de si el Estado está obligado por la Constitución a proteger la vida del nasciturus, el Tribunal Constitucional alemán declara que tal obligación puede derivarse del «contenido objetivo jurídico de las normas de los derechos fundamentales». Los recurrentes estiman que esta doctrina del orden objetivo de valores es aplicable al ordenamiento constitucional español por diversas razones: 1.ª porque, habiendo sido admitida sin apenas discusión en todo lo que se refiere a los derechos fundamentales de naturaleza social o de participación, no tiene por qué quedar limitada a tales derechos, ya que supondría un contrasentido su admisión para derechos fundamentales que pudieran denominarse colectivos y su negación para derechos fundamentales personales; 2.ª porque dentro de los aspectos que concurren en el derecho fundamental a la vida se encuentran dos que están directamente relacionados con un orden objetivo de valores: La existencia de vida en el nasciturus, y el carácter de valor absoluto de esa vida; 3.ª porque con carácter general se admite que el no nacido es titular de derechos patrimoniales, sucesorios o hereditarios que, aunque ciertamente condicionados, no dejan de ser derechos cuya posibilidad de ejercicio se suprimiría radicalmente suprimiendo la vida de su titular en ciernes. </w:t>
      </w:r>
    </w:p>
    <w:p w:rsidR="001C705E" w:rsidRDefault="001C705E" w:rsidP="001C705E">
      <w:pPr>
        <w:pStyle w:val="TextoNormal"/>
      </w:pPr>
      <w:r>
        <w:t xml:space="preserve">c) La tercera modalidad de tutela constitucional del derecho fundamental a la vida la constituye la garantía jurisdiccional, a través de diversas vías: Recurso de inconstitucionalidad, procedimiento especial de protección, recurso de amparo. La diferencia del derecho en cuestión respecto de otros derechos fundamentales estriba en dos peculiaridades: La imposibilidad de restitución del bien de la vida, una vez suprimida ésta, y la imposibilidad de que el sujeto del derecho pueda ejercer por sí mismo los medios de tutela jurisdiccional que la Constitución le otorga. </w:t>
      </w:r>
    </w:p>
    <w:p w:rsidR="001C705E" w:rsidRDefault="001C705E" w:rsidP="001C705E">
      <w:pPr>
        <w:pStyle w:val="TextoNormal"/>
      </w:pPr>
      <w:r>
        <w:t xml:space="preserve">Todo este sistema de garantías -concluyen los recurrentes- se ve infringido por el Proyecto impugnado, vulnerándose, pues, lo dispuesto en el art. 53 de la Constitución. </w:t>
      </w:r>
    </w:p>
    <w:p w:rsidR="001C705E" w:rsidRDefault="001C705E" w:rsidP="001C705E">
      <w:pPr>
        <w:pStyle w:val="TextoNormal"/>
      </w:pPr>
      <w:r>
        <w:t xml:space="preserve">F) Bajo la rúbrica de motivo sexto de inconstitucionalidad, proceden los recurrentes a analizar concretamente las «indicaciones» contempladas en el proyectado art. 417 bis del Código Penal, declarando que si hasta el momento han sometido al proyecto de Ley Orgánica impugnado a un juicio global de inconstitucionalidad, en la posterior argumentación </w:t>
      </w:r>
      <w:r>
        <w:lastRenderedPageBreak/>
        <w:t xml:space="preserve">examinarán cada una de tales indicaciones con el fin de determinar hasta qué punto se acentúa, directa o indirectamente, esa inconstitucionalidad. </w:t>
      </w:r>
    </w:p>
    <w:p w:rsidR="001C705E" w:rsidRDefault="001C705E" w:rsidP="001C705E">
      <w:pPr>
        <w:pStyle w:val="TextoNormal"/>
      </w:pPr>
      <w:r>
        <w:t xml:space="preserve">1. Supuesto del llamado «aborto terapéutico». En el caso de conflicto entre la vida de la madre y la del nasciturus, que en ello radica el aborto terapéutico en sentido estricto, estiman los recurrentes que no es necesaria esa indicación, pues cabe dentro de la eximente general de estado de necesidad. Por otra parte, recuerdan que, según los técnicos en la materia, los casos de este tipo son cada vez menos frecuentes, prácticamente casi inexistentes. A continuación consideran la inclusión, en este primer supuesto de aborto terapéutico, del conflicto entre la vida del nasciturus y la salud de la madre. A su juicio, la despenalización del aborto en tal caso es inconstitucional al dar prevalencia al bien jurídico de menor entidad, además de serlo por no exigir que no haya otro medio para preservar la salud de la madre, por no fijar el requisito de un examen pericial judicializado y por no tener en cuenta el consentimiento del padre. Por otra parte, dado el amplio significado que la Organización Mundial de la Salud atribuye al término «salud», que define como el estado perfecto de bienestar físico, mental y social, y no sólo como ausencia de enfermedad, advierten los recurrentes la ambigüedad de esta indicación en el Proyecto, que ha sido denunciada en el informe del Consejo General de Colegios Oficiales de Médicos, así como en el de la Real Academia de Ciencias Morales y Políticas. También manifiestan que no puede aceptarse la idea de que, una vez que el legislador ha ponderado y jerarquizado los bienes jurídicos en conflicto, debe pronunciarse en favor de la vida, la salud, la libertad y la intimidad de la madre, porque se trata de bienes que constituyen el contenido objetivo de derechos fundamentales, mientras que la vida del nasciturus es meramente un bien jurídico derivado de la dignidad humana, por lo que no es objeto de una protección directa. Estiman los recurrentes que la vida, existente desde el momento de la concepción, es algo más que un bien jurídico; es un valor absoluto que no puede ser objeto de limitación, pues ello supone la eliminación y negación, también absoluta del valor mismo. En su opinión, de la Constitución no se deduce que la vida sea un bien jurídico, sino un derecho fundamental atribuible a todos, y al calificarlo de mero bien jurídico se degrada y rebaja de rango el derecho a la vida, sin que esta degradación encuentre apoyo constitucional alguno. A lo anterior añaden que el art. 39.2 de la Constitución podrían servir también para justificar la protección de la vida del nasciturus interpretando la expresión «protección integra» como comprensiva del derecho a la vida de la madre y el derecho a la vida del concebido y no nacido. Pero no debe entenderse por ello que la protección del derecho a la vida de éste pueda venir solamente de la protección de otros derecho fundamentales de la madre -a la integridad corporal, a la salud, a la libertad o a la intimidad-, pues se trata de derechos de distinta naturaleza. </w:t>
      </w:r>
    </w:p>
    <w:p w:rsidR="001C705E" w:rsidRDefault="001C705E" w:rsidP="001C705E">
      <w:pPr>
        <w:pStyle w:val="TextoNormal"/>
      </w:pPr>
      <w:r>
        <w:t xml:space="preserve">Resumiendo: En caso de conflicto entre dos vidas, supuesto hoy día casi inexistente, la práctica y la doctrina judicial han venido resolviendo el problema mediante la aplicación de las causas de justificación; y en caso de conflicto con la salud, la libertad o la intimidad, debe ceder aquel de los derechos que sea limitable, pues la alternativa es la supresión absoluta de uno de los derechos en conflicto. Aún precisan, finalmente, los recurrentes que, en el supuesto de que la protección del derecho a la vida del no nacido sólo pudiera fundamentarse en los derechos de la madre, es cierto que con esta protección se excluirían los ataques del Estado o de terceros, vedándose así la constitucionalidad del aborto no voluntario o impuesto, pero no ocurriría lo mismo con los provenientes de la madre, cuando lo cierto, a juicio de los recurrentes, es que no puede encontrarse fundamento constitucional que permita a la madre atentar voluntariamente contra la vida del nasciturus, pues, por una parte, sus derechos fundamentales, en cuanto limitables y regulables, deben ceder </w:t>
      </w:r>
      <w:r>
        <w:lastRenderedPageBreak/>
        <w:t>frente al derecho absoluto a la vida del ser en gestación, y, por otra parte, si el único mecanismo constitucional de proteger la vida al no nacido fuere por mediación de la madre, ésta se constituiría en depositaria de unos derechos de naturaleza constitucional de los que no podría disponer.</w:t>
      </w:r>
    </w:p>
    <w:p w:rsidR="001C705E" w:rsidRDefault="001C705E" w:rsidP="001C705E">
      <w:pPr>
        <w:pStyle w:val="TextoNormal"/>
      </w:pPr>
    </w:p>
    <w:p w:rsidR="001C705E" w:rsidRDefault="001C705E" w:rsidP="001C705E">
      <w:pPr>
        <w:pStyle w:val="TextoNormal"/>
      </w:pPr>
      <w:r w:rsidRPr="001C705E">
        <w:rPr>
          <w:rStyle w:val="NumeroAFNegritaCaracter"/>
        </w:rPr>
        <w:t>2</w:t>
      </w:r>
      <w:r>
        <w:t>. Supuesto del llamado «aborto ético», esto es, despenalización del aborto cuando el embarazo sea consecuencia de un hecho constitutivo de delito de violación del art. 419 del Código Penal, siempre que el aborto se practique dentro de las doce primeras semanas de gestación y que el mencionado hecho hubiera sido denunciado. A propósito de este supuesto, citan los recurrentes un informe de la Real Academia de Ciencias Morales y Políticas, así como algunas opiniones referentes al tema, para terminar afirmando que la denominada indicación ética viola el art. 15 de la Constitución al hacer prevalecer el derecho al honor sobre el derecho a la vida, y viola también el art. 39.2 de la misma al desproteger a uno de los hijos con independencia de su filiación.</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Supuesto del llamado «aborto eugenésico», o sea, despenalización del aborto cuando sea probable que el feto habrá de nacer con graves taras físicas o psíquicas, siempre que se cumplan determinadas circunstancias de tiempo y de diagnóstico pericial. También en este aspecto citan los recurrentes los informes a que han hecho anteriormente referencia, así como una de las conclusiones del Consejo General del Colegio de Médicos y el informe de la Real Academia de Medicina, para concluir que la indicación en cuestión vulnera el art. 15 de la Constitución, y también el 49 de la misma, que ordena a los poderes públicos llevar a cabo una política de previsión y tratamiento de los disminuidos físicos, sensoriales y psíquicos. </w:t>
      </w:r>
    </w:p>
    <w:p w:rsidR="001C705E" w:rsidRDefault="001C705E" w:rsidP="001C705E">
      <w:pPr>
        <w:pStyle w:val="TextoNormal"/>
      </w:pPr>
      <w:r>
        <w:t xml:space="preserve">G) Como motivo séptimo de inconstitucionalidad, alegan los recurrentes que las ambigüedades constitucionales que el proyectado art. 417 bis del Código Penal contiene y su redacción, según la técnica de los tipos penales abiertos, suponen la violación del principio de seguridad jurídica reconocido en el art. 9.3 de la Constitución. También señalan que el proyecto se ha limitado a despenalizar el aborto, pero sin incluir previsión alguna sobre las consecuencias que la modificación por él introducida origina en otros campos jurídicos, como el civil, el laboral, el administrativo, el procesal o el de la seguridad social. </w:t>
      </w:r>
    </w:p>
    <w:p w:rsidR="001C705E" w:rsidRDefault="001C705E" w:rsidP="001C705E">
      <w:pPr>
        <w:pStyle w:val="TextoNormal"/>
      </w:pPr>
      <w:r>
        <w:t xml:space="preserve">Los recurrentes puntualizan las siguientes «circunstancias» o deficiencias del Proyecto: </w:t>
      </w:r>
    </w:p>
    <w:p w:rsidR="001C705E" w:rsidRDefault="001C705E" w:rsidP="001C705E">
      <w:pPr>
        <w:pStyle w:val="TextoNormal"/>
      </w:pPr>
      <w:r>
        <w:t xml:space="preserve">1.ª No se explicita en él cómo debe entenderse la «gravedad» del peligro para la vida o la salud de la madre. </w:t>
      </w:r>
    </w:p>
    <w:p w:rsidR="001C705E" w:rsidRDefault="001C705E" w:rsidP="001C705E">
      <w:pPr>
        <w:pStyle w:val="TextoNormal"/>
      </w:pPr>
      <w:r>
        <w:t xml:space="preserve">2.ª No se concretan cuestiones fundamentales relativas al supuesto de «violación». </w:t>
      </w:r>
    </w:p>
    <w:p w:rsidR="001C705E" w:rsidRDefault="001C705E" w:rsidP="001C705E">
      <w:pPr>
        <w:pStyle w:val="TextoNormal"/>
      </w:pPr>
      <w:r>
        <w:t xml:space="preserve">3.ª No se precisa qué ha de entenderse por «probabilidad» y otros aspectos relativos al aborto eugenésico. </w:t>
      </w:r>
    </w:p>
    <w:p w:rsidR="001C705E" w:rsidRDefault="001C705E" w:rsidP="001C705E">
      <w:pPr>
        <w:pStyle w:val="TextoNormal"/>
      </w:pPr>
      <w:r>
        <w:t xml:space="preserve">4.ª No se prevé un procedimiento administrativo que garantice que se han cumplido los requisitos señalados por la Ley, vulnerándose con ello posiblemente el artículo 103 de la Constitución y el 40 de la Ley de Procedimiento Administrativo. </w:t>
      </w:r>
    </w:p>
    <w:p w:rsidR="001C705E" w:rsidRDefault="001C705E" w:rsidP="001C705E">
      <w:pPr>
        <w:pStyle w:val="TextoNormal"/>
      </w:pPr>
      <w:r>
        <w:t xml:space="preserve">5.ª Se atribuye al Médico el ejercicio de tareas o funciones publicas o cuasijudiciales, pero no se prevé la abstención u objeción de conciencia del mismo. </w:t>
      </w:r>
    </w:p>
    <w:p w:rsidR="001C705E" w:rsidRDefault="001C705E" w:rsidP="001C705E">
      <w:pPr>
        <w:pStyle w:val="TextoNormal"/>
      </w:pPr>
      <w:r>
        <w:t xml:space="preserve">6.ª No se prevé el procedimiento para la prestación del consentimiento por parte de la menor de edad o sometida a tutela. </w:t>
      </w:r>
    </w:p>
    <w:p w:rsidR="001C705E" w:rsidRDefault="001C705E" w:rsidP="001C705E">
      <w:pPr>
        <w:pStyle w:val="TextoNormal"/>
      </w:pPr>
      <w:r>
        <w:t>7.ª No se prevé el consentimiento del padre, con lo que se le impide ejercitar la defensa del nasciturus en el caso de que fuere contrario al aborto, y, en general, cumplir su deber de prestar asistencia a su hijo, de acuerdo con lo establecido en el art. 39.3 de la Constitu</w:t>
      </w:r>
      <w:r>
        <w:lastRenderedPageBreak/>
        <w:t xml:space="preserve">ción; tampoco se tienen en cuenta las consecuencias del reformado artículo 154 del Código Civil, que atribuye conjuntamente la patria potestad a ambos padres. </w:t>
      </w:r>
    </w:p>
    <w:p w:rsidR="001C705E" w:rsidRDefault="001C705E" w:rsidP="001C705E">
      <w:pPr>
        <w:pStyle w:val="TextoNormal"/>
      </w:pPr>
      <w:r>
        <w:t xml:space="preserve">8.ª No se prevé la presencia del Ministerio Fiscal, cuya misión es promover la acción de la justicia en defensa de la legalidad, de los derechos de los ciudadanos y del interés público. </w:t>
      </w:r>
    </w:p>
    <w:p w:rsidR="001C705E" w:rsidRDefault="001C705E" w:rsidP="001C705E">
      <w:pPr>
        <w:pStyle w:val="TextoNormal"/>
      </w:pPr>
      <w:r>
        <w:t xml:space="preserve">9.ª No se determina la posibilidad y grado de cobertura del aborto por la Seguridad Social. </w:t>
      </w:r>
    </w:p>
    <w:p w:rsidR="001C705E" w:rsidRDefault="001C705E" w:rsidP="001C705E">
      <w:pPr>
        <w:pStyle w:val="TextoNormal"/>
      </w:pPr>
      <w:r>
        <w:t xml:space="preserve">10.ª No se siguen los criterios ni se guardan las cautelas previstas en la Ley 30/1979, de 27 de octubre, sobre extracción y trasplante de órganos. </w:t>
      </w:r>
    </w:p>
    <w:p w:rsidR="001C705E" w:rsidRDefault="001C705E" w:rsidP="001C705E">
      <w:pPr>
        <w:pStyle w:val="TextoNormal"/>
      </w:pPr>
      <w:r>
        <w:t xml:space="preserve">Todo lo expuesto justifica, a juicio de los recurrentes, la impugnación del Proyecto por vulneración del principio de seguridad jurídica contenido en el art. 9.3 de la Constitución, y les lleva a interesar una sentencia interpretativa para la hipótesis de que se estimare constitucional el Proyecto impugnado. </w:t>
      </w:r>
    </w:p>
    <w:p w:rsidR="001C705E" w:rsidRDefault="001C705E" w:rsidP="001C705E">
      <w:pPr>
        <w:pStyle w:val="TextoNormal"/>
      </w:pPr>
      <w:r>
        <w:t xml:space="preserve">2. En virtud de lo dispuesto por providencia de 14 de diciembre de 1983, dictada según lo establecido en las normas complementarias aprobadas por el Pleno de este Tribunal Constitucional el 14 de julio de 1982, los recurrentes, a través de su Comisionado, señor Ruiz Gallardón, completan la impugnación, haciendo las siguientes consideraciones: </w:t>
      </w:r>
    </w:p>
    <w:p w:rsidR="001C705E" w:rsidRDefault="001C705E" w:rsidP="001C705E">
      <w:pPr>
        <w:pStyle w:val="TextoNormal"/>
      </w:pPr>
      <w:r>
        <w:t xml:space="preserve">A) Como «ampliación del motivo primero de inconstitucionalidad en relación con el motivo sexto, recuerdan, en primer término, que en su escrito de interposición del recurso previo de inconstitucionalidad sostenían, como motivo primero de impugnación, que el proyectado art. 417 bis del Código Penal viola el art. 15 de la Constitución, haciendo luego, en el motivo sexto del recurso, aplicación concreta de la inconstitucionalidad a las tres indicaciones contenidas en el Proyecto, es decir, al conflicto entre la vida del no nacido y la vida o la salud de la madre, a la indicación ética y a la eugenésica. Estas dos últimas indicaciones contrarían específicamente, a su juicio, los arts. 39 y 49 de la Constitución, respectivamente, pero, además, estiman que la totalidad del Proyecto y cada una de las indicaciones son contrarias al art. 15 de la misma, ya que la expresión «todos tienen derecho a la vida», contenida en este precepto constitucional, protege por igual a los no nacidos y a los nacidos, por cuanto la vida comienza desde el momento mismo de la concepción. </w:t>
      </w:r>
    </w:p>
    <w:p w:rsidR="001C705E" w:rsidRDefault="001C705E" w:rsidP="001C705E">
      <w:pPr>
        <w:pStyle w:val="TextoNormal"/>
      </w:pPr>
      <w:r>
        <w:t xml:space="preserve">Para fundamentar esta afirmación, y a efectos de completar los razonamientos expuestos en el escrito de interposición del recurso, proceden los recurrentes, como entonces anunciaron, a interpretar el art. 15 «conforme a la realidad social del tiempo en que ha de ser aplicada la norma», criterio hermenéutico que, aunque polémico, consideran de especial importancia en el presente caso por cuanto la exposición de motivos que en su día acompañaba el Proyecto de Reforma urgente y parcial del Código Penal, en que se inserta el art. 417 bis impugnado, aludía precisamente en relación a este articulo a la «necesidad de adecuar la legislación penal en materia de aborto a la actual realidad sociológica del país». La realidad social del tiempo en que ha de ser aplicada la norma constituye, a juicio de los recurrentes, uno de los más importantes argumentos en contra del Proyecto. </w:t>
      </w:r>
    </w:p>
    <w:p w:rsidR="001C705E" w:rsidRDefault="001C705E" w:rsidP="001C705E">
      <w:pPr>
        <w:pStyle w:val="TextoNormal"/>
      </w:pPr>
      <w:r>
        <w:t xml:space="preserve">Con el fin de probar el aserto anterior, señalan, en primer lugar, que los avances científicos y técnicos, puestos de manifiesto en los documentos que aportan -una declaración de la Real Academia Nacional de Medicina en Defensa de la Vida Humana, una declaración del Consejo General de Colegios Oficiales de Médicos de España, una declaración de la Asociación Ginecológica de España y otra del Consejo General de Colegios Oficiales de Farmacéuticos-, permiten llegar a la conclusión de que la vida de un ser humano se inicia en el primer instante de la concepción. Luego pasan a considerar los valores éticos subyacentes a las normas jurídicas, y a este respecto invocan la declaración de la Real Academia </w:t>
      </w:r>
      <w:r>
        <w:lastRenderedPageBreak/>
        <w:t xml:space="preserve">de Ciencias Morales y Políticas, que se acompaña también a través de un documento, y las manifestaciones hechas en torno al tema por la Conferencia Episcopal Española, la Asociación Musulmana en España, la Iglesia Anglicana en España, y la Iglesia Ortodoxa Griega en España, al adherirse expresamente al manifiesto de la Unión de Movimientos en Favor del Prenacido. En tercer lugar, consideran la posible incidencia del Proyecto en la problemática sociológica y de política criminal relativa al aborto, y expresan su opinión de que el Proyecto en cuestión na va a acabar en absoluto con el aborto clandestino y que la despenalización no viene a resolver un problema grave de política criminal, porque la estadística judicial sobre delitos de aborto en España es insignificante, mientras que el establecimiento de normas despenalizadoras del aborto en los términos propiciados por el Proyecto puede originar un incremento considerable de ellos. Igualmente señalan los problemas prácticos que podrían derivarse de la aprobación del Proyecto, que podría suponer legalizar en la práctica cualquier tipo de aborto, así como la extensión del fenómeno que la legislación del aborto genera. Finalmente, añaden que no puede soslayarse la realidad internacional, que muestra una tendencia a reconsiderar el problema en los países que en su día legalizaron el aborto, advirtiéndose una fuerte corriente contraria a los propósitos despenalizadores del mismo. En este sentido aportan una lista de Asociaciones Pro Vita europeas y norteamericanas, así como algunas de otros continentes. </w:t>
      </w:r>
    </w:p>
    <w:p w:rsidR="001C705E" w:rsidRDefault="001C705E" w:rsidP="001C705E">
      <w:pPr>
        <w:pStyle w:val="TextoNormal"/>
      </w:pPr>
      <w:r>
        <w:t xml:space="preserve">De todo lo anteriormente expuesto -manifiestan los recurrentes- se deduce, de una parte, que es científicamente indiscutible que la vida humana comienza en el instante de la fecundación, y de otra, que la realidad social española, como la tendencia progresiva en el ámbito comparado, fuerza a interpretar el art. 15 de la Constitución en el sentido de que el término «todos» incluye y protege al concebido y no nacido, y, consecuentemente, a concluir que el art. 417 bis del Proyecto, al permitir la destrucción del ser concebido mediante la legalización del aborto en determinados supuestos, que por su ambigüedad incluso dejan relativizado el tipo penal, es probadamente inconstitucional. </w:t>
      </w:r>
    </w:p>
    <w:p w:rsidR="001C705E" w:rsidRDefault="001C705E" w:rsidP="001C705E">
      <w:pPr>
        <w:pStyle w:val="TextoNormal"/>
      </w:pPr>
      <w:r>
        <w:t xml:space="preserve">B) A continuación llevan a cabo los recurrentes la «ampliación del motivo segundo de inconstitucionalidad en relación con el motivo primero y el motivo sexto, apartado primero». El motivo segundo -recuerdan- denunciaba la violación del art. 1 de la Constitución, por entender que el Proyecto es contrario a los principios y criterios que informan el estado social. Pues bien, ahora, como ampliación de dicho motivo, quieren hacer resaltar que, a su juicio, con dicho Proyecto se infringen también los principios y criterios que informan el Estado de Derecho reconocido en el propio artículo 1 de la Constitución, pues entienden que vulneran el principio esencial de la separación de poderes, por cuanto implica una invasión de las funciones y competencias del órgano de la justicia constitucional y una invasión de las competencias del orden judicial penal ordinario. </w:t>
      </w:r>
    </w:p>
    <w:p w:rsidR="001C705E" w:rsidRDefault="001C705E" w:rsidP="001C705E">
      <w:pPr>
        <w:pStyle w:val="TextoNormal"/>
      </w:pPr>
      <w:r>
        <w:t>Por lo que al primer punto respecta, estiman que el legislador ordinario ha interpretado el art. 15 de la Constitución de forma distinta de la que se deduce de su proceso de elaboración constitucional, y ha realizado, por otra parte, una mera interpretación, asumiendo así competencias hermenéuticas que la Ley Orgánica del Tribunal Constitucional atribuye a éste, e infringiendo la doctrina constitucional emanada de la Sentencia de este Tribunal de 5 de agosto de 1983. En segundo lugar, entiende que el legislador ordinario ha venido a asumir las competencias que desempeñaba la jurisdicción penal ordinaria, especialmente en lo que se refiere a la circunstancia primera del art. 417 bis, y recuerdan que el Tribunal Supremo ha enjuiciado en diversas ocasiones los supuestos de delito de aborto, dando lugar a una jurisprudencia contenida en las Sentencias que se mencionan a continuación. Con la regulación del primer supuesto de despenalización del aborto contenido en el Proyecto -precisan- el legislador sustrae el ejercicio de la potestad jurisdiccional a los Juzga</w:t>
      </w:r>
      <w:r>
        <w:lastRenderedPageBreak/>
        <w:t xml:space="preserve">dos y Tribunales, a quienes corresponde exclusivamente en todo tipo de procesos, conforme al párrafo tercero del art. 117 de la Constitución, cuando lo adecuado seria fijar con alcance general las eximentes y dejar, en buena técnica, que su concurrencia sobre cada tipo fuera un enjuiciamiento propio del caso concreto. Pero una anomalía más grave constitucionalmente -señalan- se produce al transferir al Médico la responsabilidad de apreciar la concurrencia de dicha causa de exención de responsabilidad, siendo así que dicha apreciación es inexcusable competencia jurisdiccional. </w:t>
      </w:r>
    </w:p>
    <w:p w:rsidR="001C705E" w:rsidRDefault="001C705E" w:rsidP="001C705E">
      <w:pPr>
        <w:pStyle w:val="TextoNormal"/>
      </w:pPr>
      <w:r>
        <w:t xml:space="preserve">En definitiva, concluyen que tanto al ejercitar el legislador competencias interpretativas que sólo corresponden al Tribunal Constitucional, y además en sentido contrario al querido por el constituyente, como por haber sustraído al orden judicial penal sus competencias de calificación y enjuiciamiento jurídico, resulta infringido el principio de separación de poderes, elemento esencial del Estado de Derecho, y, en consecuencia, violado el art. 1 de la Constitución por conexión con el art. 1 de la LOTC; y asimismo resultan vulnerados los principios de legalidad y seguridad jurídica (art. 9.3 de la Constitución) en relación con los de necesidad e intangibilidad de las competencias de los Juzgados y Tribunales, consagrados en el art. 117.3 de la Constitución. </w:t>
      </w:r>
    </w:p>
    <w:p w:rsidR="001C705E" w:rsidRDefault="001C705E" w:rsidP="001C705E">
      <w:pPr>
        <w:pStyle w:val="TextoNormal"/>
      </w:pPr>
      <w:r>
        <w:t xml:space="preserve">C) Como «ampliación del motivo sexto de inconstitucionalidad en relación con el motivo primero», proceden los recursos, en primer término, a analizar la cuestión de si resulta aplicable, como pretende el Proyecto en su exposición de motivos, la doctrina o el principio de no exigibilidad de otra conducta, al modo en que se utilizó en la Sentencia del Tribunal Constitucional alemán de 25 de febrero de 1975. Tras analizar esta Sentencia llegan a la conclusión de que los supuestos que pudieran estar allí comprendidos quedan cubiertos en nuestro Derecho a través de la eximente de estado de necesidad, ya que ésta se perfila aquí con una extensión desconocida en el Derecho comparado. En nuestro país -precisan- el hecho de que exista el delito de aborto tipificado en el Código Penal no significa que toda mujer abortista sea castigada, pues la no exigibilidad actúa a través de la eximente de estado de necesidad, y así ni un solo caso de condena se ha dado en la jurisprudencia española por las causas que pretende recoger la indicación primera. Es cierto, añaden, que la doctrina penal más moderna ha venido a incorporar la no exigibilidad de otra conducta como elemento negativo de la culpabilidad, pero entienden que la misma despliega su eficacia en el ámbito subjetivo, es decir, respecto de una persona concreta en una situación concreta: La concurrencia o la ausencia de culpabilidad no se determina en virtud de una ley, caracterizada por la generalidad abstracta, sino en virtud de una Sentencia que enjuicia el caso concreto. Finalmente, tras efectuar este examen desde el punto de vista de la culpabilidad, pasan a contemplar la cuestión desde la perspectiva de la antijuridicidad, para concluir que, si se parte de que el derecho a la vida existe desde el momento mismo de la concepción, resulta, como corolario jurídico, el deber de todos de abstenerse de acciones contrarias a tal derecho, deber que es exigible por el Estado, a través de la pena, frente a cualquiera y por encima de cualquier otro bien jurídico que no está subordinado. </w:t>
      </w:r>
    </w:p>
    <w:p w:rsidR="001C705E" w:rsidRDefault="001C705E" w:rsidP="001C705E">
      <w:pPr>
        <w:pStyle w:val="TextoNormal"/>
      </w:pPr>
      <w:r>
        <w:t>D) Por último, bajo el epígrafe de «ampliación del motivo séptimo de la inconstitucionalidad», los recurrentes manifiestan que a las ambigüedades denunciadas en el escrito inicial, que entrañan una violación del principio de la seguridad jurídica reconocido en el art. 9.3 de la Constitución, debe añadirse una nueva ambigüedad, el peligro que el aborto implica para la vida y la salud de la madre, lo que, a su juicio, entraña una vulneración del art. 43 de la Constitución. En efecto -señalan- en el supuesto de que una peligrosa situación clínica de la madre, previa al embarazo, pudiera verse potenciada a causa de la gestación concomitante hasta el punto de poner en peligro su vida, confirmándose así la excep</w:t>
      </w:r>
      <w:r>
        <w:lastRenderedPageBreak/>
        <w:t xml:space="preserve">cional circunstancia clínica a que alude la Ley, no puede olvidarse que el acto abortivo, en sí mismo, incorpora a la salud ya precaria de la madre un innegable nuevo riesgo que puede acabar con su vida. </w:t>
      </w:r>
    </w:p>
    <w:p w:rsidR="001C705E" w:rsidRDefault="001C705E" w:rsidP="001C705E">
      <w:pPr>
        <w:pStyle w:val="TextoNormal"/>
      </w:pPr>
      <w:r>
        <w:t xml:space="preserve">3. Por escrito de 10 de febrero de 1984, el Abogado del Estado, en nombre del Gobierno, se opone al recurso previo de inconstitucionalidad haciendo las siguientes alegaciones: </w:t>
      </w:r>
    </w:p>
    <w:p w:rsidR="001C705E" w:rsidRDefault="001C705E" w:rsidP="001C705E">
      <w:pPr>
        <w:pStyle w:val="TextoNormal"/>
      </w:pPr>
      <w:r>
        <w:t xml:space="preserve">A) Por lo que se refiere al «primer motivo de inconstitucionalidad» alegado por los recurrentes, considera que, con independencia de posibles discusiones de tipo valorativo, es necesario analizar el alcance del precepto impugnado, que se limita a despenalizar ciertos supuestos de aborto con carácter excepcional, manteniendo la penalización en los demás casos, lo que supone que la vida en gestación sigue considerándose un bien jurídico protegible. </w:t>
      </w:r>
    </w:p>
    <w:p w:rsidR="001C705E" w:rsidRDefault="001C705E" w:rsidP="001C705E">
      <w:pPr>
        <w:pStyle w:val="TextoNormal"/>
      </w:pPr>
      <w:r>
        <w:t xml:space="preserve">Los recurrentes sostienen que tales supuestos deberían hallarse penados, entendiendo que la falta de previsión penal entraña la infracción de una serie de preceptos de la Constitución. En el fondo de su postura late la tesis de la necesidad incondicionada y absoluta de utilizar normas penales para proteger esos derechos, lo que les fuerza a una interpretación del art. 15 de la Constitución. Esto es: tal necesidad no se presenta en la demanda como una consecuencia exegética deducida del análisis de la Constitución, sino más bien como un prius condicionante de la interpretación misma. Pero, a juicio del Abogado del Estado, la exigencia incondicional de una ratio penal, sin matizaciones ni distingos, no puede ser compartida ni contradicha en un escrito procesal que debe discurrir por el cauce de la reflexión jurídica; se trata, en definitiva, de materia de política criminal y no es jurídicamente debatible. </w:t>
      </w:r>
    </w:p>
    <w:p w:rsidR="001C705E" w:rsidRDefault="001C705E" w:rsidP="001C705E">
      <w:pPr>
        <w:pStyle w:val="TextoNormal"/>
      </w:pPr>
      <w:r>
        <w:t xml:space="preserve">Ahora bien, si la necesidad de penar el aborto, como única y no última ratio, representa una cuestión metajurídica, la pregunta de si la Constitución impone precisamente este deber constituye una cuestión jurídica. Lo que hay que plantearse no es si es necesaria una norma penal, sino si la Constitución, en este caso, la impone. La respuesta es negativa: No existe en el Derecho español, ni en ordenamiento jurídico alguno, una absoluta y fatal correspondencia entre infracción jurídica y sanción penal, y sobre todo, no hay en el texto constitucional el más leve indicio de que así haya de ser. Por otra parte, de acuerdo con la concepción constitucional clásica, los derechos se afirman frente al Estado, son límites a la acción del poder político; tal es el sentido -señala el Abogado del Estado- del art. 53 de la Constitución, según el cual «los derechos y libertades reconocidos en el capítulo segundo del presente título vinculan a todos los poderes públicos». Bien es cierto que con ello -añade- no quiere negarse la concepción de la Constitución como un todo y la influencia indirecta que los preceptos reguladores de los derechos fundamentales pueda tener en la interpretación de los restantes preceptos legales; pero lo que se pretende es afirmar la imposibilidad de inferir la necesidad de una norma penal como única solución o alternativa legítima para la tutela de un bien jurídico. La solución de concebir los derechos fundamentales como derechos ejercitables frente al Estado ha llevado a casi todas las legislaciones de nuestro entorno cultural a rechazar que del derecho a la vida pueda inferirse una obligación positiva del Estado para implantar mecanismos coercitivos de signo penal en todo caso; así lo ha entendido -precisa el Abogado del Estado- el Tribunal Constitucional austriaco y, en forma implícita, el Tribunal Supremo de los Estados Unidos y la Corte Constitucional italiana. Unica excepción es la Sentencia del Tribunal Constitucional de la República Federal Alemana de 25 de febrero de 1975, que -admitiendo la legalidad constitucional de la llamada solución de indicaciones indicaciones- ha seguido el camino de juzgar la cuestión planteada en función de unos juicios de valor, pero sus planteamientos han sido </w:t>
      </w:r>
      <w:r>
        <w:lastRenderedPageBreak/>
        <w:t xml:space="preserve">muy controvertidos por la doctrina. Por lo demás, recuerda el Abogado del Estado que los propios recurrentes, aun dentro de la línea de los juicios de valor, se ven forzados a criticar la Sentencia alemana, por declarar ésta inexigible la continuidad del embarazo en las cuatro indicaciones cuya constitucionalidad deja a salvo, precediendo a dicha consideración la declaración de que la fijación de las penas compete al legislador, que la pena nunca puede ser un fin en sí misma, y que el legislador debe hacer un uso prudente y cuidadoso de las sanciones penales al no ser éstas sino el último extremo recurso posible para el cumplimiento de los fines de la política legislativa. </w:t>
      </w:r>
    </w:p>
    <w:p w:rsidR="001C705E" w:rsidRDefault="001C705E" w:rsidP="001C705E">
      <w:pPr>
        <w:pStyle w:val="TextoNormal"/>
      </w:pPr>
      <w:r>
        <w:t xml:space="preserve">Pasa después el Abogado del Estado a considerar la interpretación de la palabra «todos» dentro del art. 15 de la Constitución, para concluir que desde el sentido de las palabras, al reconocerse a «todos» la titularidad de un derecho, sólo podrán incluirse en el término aquellos a quienes el Derecho reconoce como sujetos aptos para ostentar titularidades jurídicas. El problema, pues, se remite al sector del ordenamiento, que precisa quiénes pueden ser titulares de derechos. Por otra parte -añade-, el resto del art. 15 sólo es aplicable a las «personas». </w:t>
      </w:r>
    </w:p>
    <w:p w:rsidR="001C705E" w:rsidRDefault="001C705E" w:rsidP="001C705E">
      <w:pPr>
        <w:pStyle w:val="TextoNormal"/>
      </w:pPr>
      <w:r>
        <w:t xml:space="preserve">En cuanto a la interpretación sistemática aducida también por los recurrentes, que quieren poner de relieve, por ejemplo, la contradicción existente entre las medidas de protección propias del estado social (art. 1 de la Constitución) y el contenido del precepto impugnado, el Abogado del Estado se remite a sus alegaciones posteriores sobre otros motivos de inconstitucionalidad, aunque pone de manifiesto que la razón sistemática se divide con cierta arbitrariedad, haciendo servir a unos preceptos para unos efectos y no para otros. Por otra parte, indica que en la Constitución las prohibiciones, cuando existen, aparecen en forma precisa y concreta: así la prohibición de la pena de muerte (art. 15), la de los Tribunales de Honor (art. 26), la de imponerse por la Administración Civil sanciones privativas de libertad (art. 25.3) y, particularmente, la expresa mención de sanciones penales y administrativas para proteger un derecho, que realiza el art. 45.3 en relación con el medio ambiente. Por lo tanto, la omisión de protección penal será constitucionalmente ilegítima cuando así viniere expresamente contemplado en la Constitución. Y así, en la jurisprudencia del Tribunal Supremo norteamericano, la posibilidad de prohibir el aborto se ha examinado siempre como una posibilidad de los estados miembros de perseguir penalmente, o no perseguir, tal conducta, pero nunca como la obligación de castigar con sanción penal, inexistente incluso en el ámbito en que se entiende que existe vida humana protegible como bien superior de la libertad de la madre (veintiocho semanas de gestación). En definitiva, no se prevé la obligatoriedad de una persecución penal en el caso que nos ocupa; sólo su posibilidad, ejercible o no. </w:t>
      </w:r>
    </w:p>
    <w:p w:rsidR="001C705E" w:rsidRDefault="001C705E" w:rsidP="001C705E">
      <w:pPr>
        <w:pStyle w:val="TextoNormal"/>
      </w:pPr>
      <w:r>
        <w:t xml:space="preserve">Los recurrentes hacían referencia también a los antecedentes históricos bajo la invocación del art. 3 del Código Civil, que menciona a los mismos como elemento auxiliar de la interpretación jurídica. El Abogado del Estado los divide en dos grupos: de un lado, las normas sancionadoras del aborto contenidas en los diversos Códigos Penales; de otro, el conjunto de preceptos que implican una protección al nasciturus. A su juicio, ambos son irrelevantes. La tradición legislativa relativa al primer grupo no puede constituirse en medio interpretativo cuando precisamente lo que persigue el proyecto impugnado es una innovación legislativa que rompe con el pasado. Y las normas civiles protectoras de los derechos del nasciturus suponen simplemente la atribución de derechos in fieri, pendientes en cuanto a su eficacia del hecho posterior e incierto del nacimiento, de tal modo que sólo a partir del instante en que se produce tal condición se perfecciona el derecho. </w:t>
      </w:r>
    </w:p>
    <w:p w:rsidR="001C705E" w:rsidRDefault="001C705E" w:rsidP="001C705E">
      <w:pPr>
        <w:pStyle w:val="TextoNormal"/>
      </w:pPr>
      <w:r>
        <w:t xml:space="preserve">Una especial consideración merecen al Abogado del Estado los antecedentes legislativos en la elaboración de la Constitución, de los que hace una detallada referencia para </w:t>
      </w:r>
      <w:r>
        <w:lastRenderedPageBreak/>
        <w:t xml:space="preserve">concluir que con la fórmula adoptada finalmente en el art. 15 no se decidió ni a favor ni en contra del aborto. La fórmula «todos» constaba antes del debate parlamentario en el anteproyecto, y tal redacción no suscitó la oposición ni enmienda alguna de ningún grupo parlamentario, incluidos los defensores del aborto. Luego la ponencia introdujo el término «persona», como consecuencia de una enmienda justificada en una «mayor corrección técnica», y, por otra parte, se presentó una enmienda -la 776- que incluía explícitamente al nasciturus, enmienda que no fue discutida ni incluso aludida en el debate en la Comisión, pero que demuestra que había parlamentarios que no estimaban que el término «todos» supusiera la interdicción constitucional del aborto. Por último, es en el Pleno del Congreso cuando un Diputado propone la vuelta a la vieja fórmula «todos tienen derecho a la vida» con una intención muy concreta: la de hacer posible que la protección jurídica se extendiera al nasciturus y con ello asegurar, a su entender, que cualquier forma de aborto no fuera posible en el futuro. Sin embargo, concluye el Abogado del Estado que, aunque la enmienda se aprobó por mayoría, se reconoció por los diversos grupos que con ello no quedaba zanjada la cuestión del aborto. En ningún momento -constata- hubo realmente un debate sobre el aborto; el propio Diputado de UCD, que explicó el voto de su grupo, decisivo para que se aprobara la enmienda del grupo de Alianza Popular, explicó que «ninguna de las dos fórmulas que aquí están en cuestión es una forma abortista», con lo que evidenció la desconexión entre la cuestión del aborto y la alternativa terminológica que se sometía a votación. </w:t>
      </w:r>
    </w:p>
    <w:p w:rsidR="001C705E" w:rsidRDefault="001C705E" w:rsidP="001C705E">
      <w:pPr>
        <w:pStyle w:val="TextoNormal"/>
      </w:pPr>
      <w:r>
        <w:t xml:space="preserve">Por último, el Abogado del Estado, tras considerar la tesis de los recurrentes según la cual «la realidad social del momento en que ha de ser aplicado el art. 15 de la Constitución» exige interpretar éste como referido al no nacido, concluye que tal afirmación se apoya en una serie de escritos de algunas Corporaciones, Colegios e instituciones privadas, esto es, se trata de un reflejo de la existencia de muchas opiniones sobre el tema, por lo que dicho criterio hermenéutico no resulta decisivo. </w:t>
      </w:r>
    </w:p>
    <w:p w:rsidR="001C705E" w:rsidRDefault="001C705E" w:rsidP="001C705E">
      <w:pPr>
        <w:pStyle w:val="TextoNormal"/>
      </w:pPr>
      <w:r>
        <w:t xml:space="preserve">B) En el motivo segundo del recurso previo de inconstitucionalidad los recurrentes estiman conculcado por el Proyecto en cuestión el art. 1 de la Constitución, según el cual España se constituye en un Estado social, y ello por entender que existe una contradicción entre la preocupación por la defensa de los derechos fundamentales propia del Estado social y la falta de protección al más primario y fundamental de todos, que entraña el art. 417 bis del Proyecto. </w:t>
      </w:r>
    </w:p>
    <w:p w:rsidR="001C705E" w:rsidRDefault="001C705E" w:rsidP="001C705E">
      <w:pPr>
        <w:pStyle w:val="TextoNormal"/>
      </w:pPr>
      <w:r>
        <w:t xml:space="preserve">Señala el Abogado del Estado que el significado, función y alcance de la cláusula del Estado social es difícil de reconducir a una definición sintética. Su significado originario suele vincularse, de un lado, al reconocimiento de ciertos derechos típicos, diferenciados de los clásicos derechos de libertad (de los que en nuestra Constitución hay amplio testimonio en la lista de derechos fundamentales), y de otro, a la enunciación de ciertos principios con significación principalmente programática (que en nuestra Constitución aparecen fundamentalmente relacionados en el capítulo tercero bajo la rúbrica de principios rectores de la política social y económica). No cabe ocultar -añade- que en la jurisprudencia constitucional alemana la cláusula del estado social ha pasado de ser una cláusula puramente habilitante a ser una cláusula vinculante, pero tal conceptuación se ha efectuado con enormes cautelas y consignando fuertes límites, que impiden entender existente un deber del Estado ante cualquier necesidad o ante cualquier medida que pueda entenderse que favorece a algún derecho o principio directivo, aun constitucionalmente proclamado, porque se llegaría a destruir el propio estado de derecho, y el ordenamiento jurídico quedaría anulado si cada ciudadano pudiera exigir del Estado una determinada prestación invocando un principio rector de la política social que hubiera de favorecer sus intereses. Por otra </w:t>
      </w:r>
      <w:r>
        <w:lastRenderedPageBreak/>
        <w:t xml:space="preserve">parte -señala- en la demanda no se tiene en cuenta para nada la posición de la madre embarazada, ni se valoran en ninguna medida los derechos de la misma. En cualquier caso -añade-, lo cierto es que la cláusula del estado social deja inevitablemente abiertas todas las soluciones al legislador, de tal forma que sólo prohíbe una política unívoca y tendencialmente antisocial. En definitiva: no se duda de que la vida en gestación es un objetivo protegible, pero la determinación de los medios y de los límites en su aplicación debe ser dominio del legislador. Recuerda finalmente el Abogado del Estado que este Tribunal Constitucional ha interpretado la cláusula del estado social como un instrumento de aseguramiento real de los derechos existentes y reconocidos, sin hacer surgir para el Estado deberes que no tengan una expresa configuración positiva. </w:t>
      </w:r>
    </w:p>
    <w:p w:rsidR="001C705E" w:rsidRDefault="001C705E" w:rsidP="001C705E">
      <w:pPr>
        <w:pStyle w:val="TextoNormal"/>
      </w:pPr>
      <w:r>
        <w:t xml:space="preserve">Examina luego el Abogado del Estado la tesis de los demandantes de que el Proyecto impugnado viola también el principio del estado de derecho, proclamado asimismo en el art. 1 de la Constitución y, en concreto, la teoría de la división de poderes al invadir las funciones jurisdiccionales, tanto del Tribunal Constitucional como del orden judicial penal ordinario. </w:t>
      </w:r>
    </w:p>
    <w:p w:rsidR="001C705E" w:rsidRDefault="001C705E" w:rsidP="001C705E">
      <w:pPr>
        <w:pStyle w:val="TextoNormal"/>
      </w:pPr>
      <w:r>
        <w:t xml:space="preserve">En cuanto al primer extremo, se basa la demanda no tanto en que el legislador ordinario haya interpretado mal el art. 15 de la Constitución como en el hecho de que lo haya interpretado, entendiendo que la mera interpretación corresponde al Tribunal Constitucional, de modo que el legislador ha asumido competencias que la Ley orgánica del mismo (LOTC) atribuye a este Tribunal. Para el Abogado del Estado este planteamiento no es aceptable, pues la norma cuestionada -dice- no pretende interpretar el art. 15 de la Constitución, sino establecer unos supuestos de exención de responsabilidad penal. Y en cualquier caso, la objeción de la demanda, en los términos en que está formulada, impediría la promulgación de cualquier norma jurídica, por cuanto siempre y ante cualquier mandato cabría inferir idéntica objeción. </w:t>
      </w:r>
    </w:p>
    <w:p w:rsidR="001C705E" w:rsidRDefault="001C705E" w:rsidP="001C705E">
      <w:pPr>
        <w:pStyle w:val="TextoNormal"/>
      </w:pPr>
      <w:r>
        <w:t xml:space="preserve">En segundo lugar manifiesta el Abogado del Estado que no encuentra la menor justificación al reproche de que el legislador ha invadido las competencias del orden judicial penal. Es difícil, a su juicio, admitir la hipótesis abstracta de que el legislador invada competencias judiciales, si no es por la vía de privar a los órganos del poder judicial de las funciones constitucionalmente reservadas a ellos, atribuyéndoselas a otros con distinta incardinación constitucional. Tal cosa no sucede en el proyecto impugnado, que no realiza ninguna operación de sustracción, sino que se limita a introducir una nueva regulación sustantiva en la legislación penal, lo que entra dentro de sus atribuciones, ya que el llamado a definir las infracciones punibles es el legislador, según resulta de los arts. 62.2 y 25 de la Constitución. La función de los Jueces consiste en aplicar la Ley, «juzgando y haciendo ejecutar lo juzgado», por lo que no puede decirse que se viole el art. 117 de la norma fundamental por el hecho de sustraer determinados supuestos de la lista de hechos tipificados como punibles. Y ello es así, por cuanto la competencia del juzgador desde el punto de vista de sus poderes procesales no se reduce por efecto de una destipificación penal: En todo caso, el juicio sobre si un hecho debe o no conceptuarse como infracción punible queda reservado al juzgador, que no está sujeto a otro límite que el del imperio de la Ley. Añade finalmente el Abogado del Estado que tampoco aparece justificada la afirmación de que la exigencia de un dictamen facultativo previo implique sustraer poderes al Juez. Tal intervención -precisa- se preceptúa como un elemento más de la norma que excluye la sanción en ciertos casos de aborto, como medida de garantía y de certeza del presupuesto de hecho del precepto, lo que sucede en la regulación positiva de la mayor parte de los países de nuestro entorno. </w:t>
      </w:r>
    </w:p>
    <w:p w:rsidR="001C705E" w:rsidRDefault="001C705E" w:rsidP="001C705E">
      <w:pPr>
        <w:pStyle w:val="TextoNormal"/>
      </w:pPr>
      <w:r>
        <w:lastRenderedPageBreak/>
        <w:t xml:space="preserve">C) Entra a continuación el Abogado del Estado a analizar el motivo tercero de inconstitucionalidad alegado por los recurrentes, en el que se denuncia la violación del art. 10.2 de la Constitución, en relación con el 96.1 de la misma. Para el Abogado del Estado, ateniéndonos a los Convenios ratificados por España, si se tiene en cuenta su letra y la práctica interpretativa por los países signatarios, se llega a una conclusión contraria a la que pretenden los demandantes, pues en todos se da una inequívoca identificación entre el derecho a la vida y su titularidad por la persona humana. Del análisis de esos textos internacionales -«Declaración de Derechos humanos» de 1948, «Convenio Europeo para la Protección de los Derechos Humanos y Libertades Fundamentales» de 1950 y «Pacto Internacional de Derechos Civiles y Políticos» de 1966 (omitido, por cierto -dice-, en la relación contenida en la demanda)- se desprende que la interpretación de los recurrentes carece de justificación. Pero existe, además, un hecho capital y es que ninguno de los Tratados referidos en la demanda ha sido interpretado por ningún país signatario, ni por ningún Organismo supranacional, en el sentido de estimar atentatorio al texto de aquéllos la despenalización del aborto. Y si en algunas decisiones de Tribunales extranjeros se hace referencia a los Acuerdos y Tratados internacionales como posible obstáculo a la Ley de despenalización del aborto, tal hipótesis ha sido expresamente desestimada. Al respecto cita el Abogado del Estado la Sentencia del Tribunal Constitucional austriaco de 11 de octubre de 1974, en la que se razona que «si la regulación del art. 2 de la Convención de Derechos Humanos no se refiere al embrión, la no punibilidad de la interrupción del embarazo no puede ser contraria a dicho precepto», y la decisión del Consejo Constitucional francés, ante el que se invocó el art. 2 del Tratado de Roma y que rechazó el argumento, destacando sobre todo la compatibilidad de la Ley impugnada con el art. 2 de la Declaración de los Derechos del Hombre y del Ciudadano. También cita al Tribunal de Estrasburgo, el cual ha declarado en uno de sus informes que «nada prueba que las partes signatarias de la Convención hubieran querido comprometerse por tal o cual solución debatida... que no hubiera sido objeto de debates públicos al tiempo de la elaboración de la Convención», y añade que más significativo es aún el que, en un caso en que se postulaba frente al Gobierno alemán la no punibilidad del aborto, la defensa procesal de dicho Gobierno alegara que «no parecía que el art. 2 de la Convención fuera aplicable a la vida en formación». En definitiva, concluye el Abogado del Estado que ni de los textos internacionales, ni de su proyección aplicativa, cabe inferir un criterio interpretativo de los tratados internacionales como excluyente de la posibilidad de despenalizar el aborto. Más aún: En la época en que España suscribió estos tratados, las soluciones legislativas de la mayor parte de los Estados signatarios excluían la penalidad del aborto en términos incluso menos restrictivos que los que recoge hoy el proyecto impugnado, con lo que difícilmente podría verse en el acto de suscripción y ratificación un entendimiento de su significado, diverso del aceptado y aplicado en la mayoría de los países signatarios. </w:t>
      </w:r>
    </w:p>
    <w:p w:rsidR="001C705E" w:rsidRDefault="001C705E" w:rsidP="001C705E">
      <w:pPr>
        <w:pStyle w:val="TextoNormal"/>
      </w:pPr>
      <w:r>
        <w:t xml:space="preserve">D) Examina luego el Abogado del Estado el motivo de inconstitucionalidad denunciado por los recurrentes en el apartado cuarto de su escrito, en el que sostienen que el Proyecto impugnado vulnera el art. 39.2 y 4 de la Constitución. </w:t>
      </w:r>
    </w:p>
    <w:p w:rsidR="001C705E" w:rsidRDefault="001C705E" w:rsidP="001C705E">
      <w:pPr>
        <w:pStyle w:val="TextoNormal"/>
      </w:pPr>
      <w:r>
        <w:t>Señala el Abogado del Estado que la argumentación de este motivo discurre por un doble cauce: En cuanto el Proyecto impide al padre su intervención para otorgar el consentimiento del aborto, y en cuanto genera desigualdades respecto de los hijos nacidos. En su opinión, toda esta argumentación parte de considerar las expresiones «hijos» o «niños» como comprensivas del concebido y no nacido, añade que la protección de los hijos (o niños, puesto que el precepto en el conjunto de sus apartados está obviamente contemplando a los hijos menores) a que se refiere el art. 39 de la Constitución se encuentra in</w:t>
      </w:r>
      <w:r>
        <w:lastRenderedPageBreak/>
        <w:t xml:space="preserve">discutiblemente ligada a la noción de persona. Por otra parte, la demanda apunta a la igualdad de derechos y deberes del marido y de la mujer según el Código Civil, aunque de ello no infiere ninguna lesión del art. 14 de la Constitución. Estima el Abogado del Estado que, pese a no haberse argumentado nada en tal sentido, debe destacarse el total olvido que en la demanda se hace de la distinta posición de la mujer embarazada y del varón progenitor. La simple consideración de los supuestos de despenalización del aborto contemplados en la norma impugnada evidencia -dice- la improcedencia de cualquier forma de consentimiento del varón. En el caso de aborto por indicación terapéutica, el conflicto de derechos se sitúa exclusivamente entre el futuro de la concepción y la madre; en el caso de indicación ética, no se comprende que hayan de prolongarse las consecuencias del delito, agravando la situación de la embarazada al requerir el consentimiento del propio violador; finalmente, en el tercer supuesto de despenalización, el compromiso del padre, de soportar los cuidados y gastos del nasciturus, no eliminaría la aflicción o penosidad del hecho para la madre. En definitiva -concluye el Abogado del Estado-, si la posibilidad del aborto en determinados casos se basa en la no exigibilidad de otra conducta por parte de la madre, pese al sacrificio que ello supone del bien jurídico que es la vida en formación, con mayor razón prevalecerá aquella no exigibilidad frente a los eventuales derechos del padre, que sólo asumirían, en su caso, un significado instrumental y supeditado a dicho bien jurídico. </w:t>
      </w:r>
    </w:p>
    <w:p w:rsidR="001C705E" w:rsidRDefault="001C705E" w:rsidP="001C705E">
      <w:pPr>
        <w:pStyle w:val="TextoNormal"/>
      </w:pPr>
      <w:r>
        <w:t xml:space="preserve">E) y F) Como quinto motivo de inconstitucionalidad señalaban los recurrentes la vulneración del art. 53 de la Constitución, en cuanto a las garantías del derecho fundamental a la vida. Luego, bajo la rúbrica de «motivo sexto», procedían a analizar las «indicaciones» contempladas en el proyectado art. 417 bis del Código Civil. El Abogado del Estado contesta en forma global a ambos apartados. </w:t>
      </w:r>
    </w:p>
    <w:p w:rsidR="001C705E" w:rsidRDefault="001C705E" w:rsidP="001C705E">
      <w:pPr>
        <w:pStyle w:val="TextoNormal"/>
      </w:pPr>
      <w:r>
        <w:t xml:space="preserve">Señala, en primer lugar, que la demanda, en el tratamiento impugnatorio del precepto en cuestión, parte de unas premisas generales que merecen unas consideraciones previas: </w:t>
      </w:r>
    </w:p>
    <w:p w:rsidR="001C705E" w:rsidRDefault="001C705E" w:rsidP="001C705E">
      <w:pPr>
        <w:pStyle w:val="TextoNormal"/>
      </w:pPr>
      <w:r>
        <w:t xml:space="preserve">1.ª Equiparación absoluta del feto con la persona nacida, que no tiene fundamento alguno en la Constitución y, a mayor abundamiento, tampoco en el texto penal vigente ni en la larga serie de los que le han precedido, pues la misma diferenciación del tipo penal respecto del homicidio y el infanticidio hacen innecesarias meyores demostraciones. </w:t>
      </w:r>
    </w:p>
    <w:p w:rsidR="001C705E" w:rsidRDefault="001C705E" w:rsidP="001C705E">
      <w:pPr>
        <w:pStyle w:val="TextoNormal"/>
      </w:pPr>
      <w:r>
        <w:t xml:space="preserve">2.ª Desatención absoluta de los derechos de la madre ante la situación del embarazo, cuando esta situación viene caracterizada precisamente por una confluencia de derechos tan intensa que no encuentra parangón en ningún otro supuesto contemplado en el ordenamiento. El derecho a la vida de la madre, al desarrollo de su personalidad, a la salud, al honor, a su intimidad, etc., son aspectos que no pueden dejarse de lado so pena de asumir una visión parcial y, por ende, inexacta del problema. De todos ellos, merece una especial consideración el derecho a la intimidad. También la demanda parece rechazar la existencia de conflicto entre bienes jurídicos, afirmando que la vida constituye un valor absoluto, no susceptible de limitación y ante el que deben ceder todos los demás derechos por presuponer todos y cada uno de ellos el derecho a la vida. Esta argumentación -señala el Abogado del Estado-, que sólo se sostiene sobre la base de una total equiparación entre el feto y la persona nacida, olvida además que no existen derechos ilimitados -el propio derecho a la vida cede legítimamente ante la propia defensa de la persona y de los bienes-, que todo derecho puede entrar en conflicto con otros derechos e intereses, y que la valoración de estos intereses y el señalamiento de los correspondientes límites es tarea primordial del legislador. </w:t>
      </w:r>
    </w:p>
    <w:p w:rsidR="001C705E" w:rsidRDefault="001C705E" w:rsidP="001C705E">
      <w:pPr>
        <w:pStyle w:val="TextoNormal"/>
      </w:pPr>
      <w:r>
        <w:t>3.ª Remisión de las funciones de tipificación penal a los Tribunales. En esencia parece sostenerse en la demanda que los supuestos de despenalización del aborto podían muy bien incluirse en los casos de exención de responsabilidad criminal por estado de necesi</w:t>
      </w:r>
      <w:r>
        <w:lastRenderedPageBreak/>
        <w:t xml:space="preserve">dad. Pero la Ley -manifiesta el Abogado del Estado- no puede renunciar a regular la vida social con sus características de generalidad y abstracción, y menos aún en una disciplina para la que el principio de legalidad constituye un instrumento de su propio ser. La culpabilidad como elemento conceptual de la propia noción de delito no puede ser extraña al legislador, ni puede dejar de ser por tanto una categoría jurídica, porque una definición jurídica del acto violatorio tiene que basarse exclusivamente en la noción de norma jurídica, y ésta, y sólo ésta, es la llamada a definir la culpabilidad a los efectos de integrar el tipo, y si el Juez declara la culpabilidad, estará inevitablemente aplicando la norma. Que la norma penal defina la culpabilidad de una u otra forma, o incluya el mandato en la parte general de un texto o en la regulación concreta de una figura penal, es algo que compete exclusivamente al legislador. Por ello, bajo la apariencia de una actitud «judicialista» se esconde en la demanda un puro y simple rechazo de la norma. </w:t>
      </w:r>
    </w:p>
    <w:p w:rsidR="001C705E" w:rsidRDefault="001C705E" w:rsidP="001C705E">
      <w:pPr>
        <w:pStyle w:val="TextoNormal"/>
      </w:pPr>
      <w:r>
        <w:t xml:space="preserve">4.ª Rechazo de la norma por los riesgos potenciales de su propio incumplimiento. En algunos pasajes de la demanda -recuerda el Abogado del Estado- se expresa el temor de que la despenalización de los casos de aborto contenidos en el art. 417 bis del Código Penal constituyan un portillo abierto al aborto libre. Esta argumentación discurre, a su juicio, por cauces ajenos al objeto del presente proceso, que no tiene por misión -dice- asumir la responsabilidad de los resultados de la Ley, sino enjuiciar los enunciados de ésta bajo la perspectiva del texto constitucional. </w:t>
      </w:r>
    </w:p>
    <w:p w:rsidR="001C705E" w:rsidRDefault="001C705E" w:rsidP="001C705E">
      <w:pPr>
        <w:pStyle w:val="TextoNormal"/>
      </w:pPr>
      <w:r>
        <w:t xml:space="preserve">Hechas estas consideraciones previas, pasa el Abogado del Estado a examinar la impugnación concreta del precepto en cuestión, y a este respecto recuerda que el proyectado art. 417 bis del Código Penal exime de penalidad al aborto si se practica por un Médico con el consentimiento de la mujer cuando concurra alguna de las circunstancias que se expresan a continuación. </w:t>
      </w:r>
    </w:p>
    <w:p w:rsidR="001C705E" w:rsidRDefault="001C705E" w:rsidP="001C705E">
      <w:pPr>
        <w:pStyle w:val="TextoNormal"/>
      </w:pPr>
      <w:r>
        <w:t xml:space="preserve">Para el caso de conflicto entre la vida de la madre y la del nasciturus, dentro de la «indicación terapéutica», los recurrentes señalan, en primer término, que cabe la eximente de estado de necesidad, razonamiento -dice el Abogado del Estado- que, de ser congruente consigo mismo, debiera haber hecho prescindir de la impugnación; a continuación alegan que la exención comprende «casos excepcionales cada vez menos frecuentes» y que hoy existen medios para lograr salvar la vida de la madre y la del hijo, razonamiento que, a juicio del Abogado del Estado, no excluye la razón de ser del precepto, y menos aún demuestra su inconstitucionalidad, puesto que el que la norma haya de tener una aplicación más o menos frecuente no elimina el problema en los casos en que aparezca. En cuanto al caso de conflicto con la salud, el Abogado del Estado se remite a las consideraciones que hizo anteriormente. Por otra parte, señala la conveniencia de traer a colación, dentro de un marco valorativo, la doctrina de la «conducta no exigible» que, como los propios demandantes reconocen, es sostenida por la doctrina más moderna como causa de exención de responsabilidad. El legislador -dice- tiene derecho a valorar qué conductas merecen castigo y cuáles no, en su función ordenadora de la convivencia. Además -añade-, ni siquiera la demanda contiene una afirmación contraria al espíritu de la Ley, esto es, que aun en caso de grave peligro para la salud de la madre la interrupción del embarazo deba dar lugar a sanciones para ésta. En definitiva -concluye- las divergencias de los recurrentes con la Ley en este punto vienen a quedar reducidas a una modesta diferenciación de matiz técnico, que no se justifica en un recurso de inconstitucionalidad. </w:t>
      </w:r>
    </w:p>
    <w:p w:rsidR="001C705E" w:rsidRDefault="001C705E" w:rsidP="001C705E">
      <w:pPr>
        <w:pStyle w:val="TextoNormal"/>
      </w:pPr>
      <w:r>
        <w:t>Por lo que se refiere a la «indicación ética», recuerda el Abogado del Estado que la demanda se limita también a formular reservas de tipo técnico, si se prescinde del juicio moral y de las medidas que podrían coadyuvar a evitar el aborto en tales casos. El argumento -dice- va más dirigido contra el potencial abuso de la Ley que contra la Ley misma, argu</w:t>
      </w:r>
      <w:r>
        <w:lastRenderedPageBreak/>
        <w:t xml:space="preserve">mento que no resulta atendible si se tiene en cuenta que en el caso de que la denuncia de violación se revelare falsa, o a través de cualquier confabulación se hiciere abuso de la norma, existiría un delito independiente, además de cesar el supuesto de no punibilidad previsto en el proyecto. Finalmente, el Abogado del Estado pone de manifiesto que para los demandantes la indicación ética entraña una violación del art. 15 de la Constitución al hacer prevalecer -dicen- el derecho al honor sobre el derecho a la vida; a lo que contraargumenta que no es la consideración del derecho al honor de la madre la única motivación que está en la raíz de la indicación. Es sobre todo la inexigibilidad de otra conducta, pues forzar a la mujer embarazada por consecuencia de un delito, a vivir perpetuamente vinculada a un hecho indeseado e indeseable es exigir más de lo que es esperable de la conducta humana normal. </w:t>
      </w:r>
    </w:p>
    <w:p w:rsidR="001C705E" w:rsidRDefault="001C705E" w:rsidP="001C705E">
      <w:pPr>
        <w:pStyle w:val="TextoNormal"/>
      </w:pPr>
      <w:r>
        <w:t xml:space="preserve">En cuanto a la «indicación eugenésica», los recurrentes denuncian como vulnerado el art. 49 de la Constitución, precepto -señala el Abogado del Estado- que se refiere en todo caso a la acción asistencial del Estado y que no está pensando en los concebidos y sobre todo no contempla los graves conflictos de derechos que surgen en los casos comprendidos en el proyectado art. 417 bis del Código Penal. La indicación eugenésica -añade- tiene una evidente conexión con el supuesto del art. 417 bis primero; se trata de no exigir a quien psicológicamente no pueda soportarlo, un embarazo cuyo fruto -con la certeza que ofrecen las modernas técnicas- haya de presentar graves taras físicas o psíquicas. </w:t>
      </w:r>
    </w:p>
    <w:p w:rsidR="001C705E" w:rsidRDefault="001C705E" w:rsidP="001C705E">
      <w:pPr>
        <w:pStyle w:val="TextoNormal"/>
      </w:pPr>
      <w:r>
        <w:t xml:space="preserve">Una vez concluido el examen de los supuestos de no punibilidad del aborto, señala el Abogado del Estado que, por otra parte, estos planteamientos no constituyen ninguna originalidad novedosa de doctrina penalista, sino que tienen su plasmación positiva en la vigente legislación penal. En efecto, una consideración del art. 414 del Código Penal vigente muestra que el aborto llamado honoris causa ha merecido un tratamiento singular en todas las Leyes penales, sujetándose a la más leve de las penas privativas de libertad. Por consiguiente, si para la protección del derecho al honor se minimiza la pena hasta ese grado, mal se puede reprochar la destipificación del delito cuando entran en consideración otros derechos confluentes que revelan un conflicto más grave. </w:t>
      </w:r>
    </w:p>
    <w:p w:rsidR="001C705E" w:rsidRDefault="001C705E" w:rsidP="001C705E">
      <w:pPr>
        <w:pStyle w:val="TextoNormal"/>
      </w:pPr>
      <w:r>
        <w:t xml:space="preserve">G) Por último, considera el Abogado del Estado el motivo séptimo del recurso, en el que se alude a supuestas «ambigüedades constitucionales» del proyectado art. 417 bis del Código Penal, que se estima violan el principio de seguridad jurídica reconocido en el art. 9.3 de la Constitución, sobre todo porque el proyecto no contiene previsión alguna sobre las consecuencias que la modificación por él introducida supone en otros campos jurídicos. </w:t>
      </w:r>
    </w:p>
    <w:p w:rsidR="001C705E" w:rsidRDefault="001C705E" w:rsidP="001C705E">
      <w:pPr>
        <w:pStyle w:val="TextoNormal"/>
      </w:pPr>
      <w:r>
        <w:t xml:space="preserve">Señala al respecto, en primer lugar, que, en su opinión, las observaciones formuladas atienden a problemas más o menos teóricos de integración o interpretación jurídica, bien de la propia norma, bien de ésta en su relación con otros preceptos del ordenamiento jurídico, pero no tienen que ver con el principio de seguridad jurídica, al no discutirse su legalidad formal o su certeza material. Por otra parte -añade-, la demanda se resuelve en un enunciado casuístico de «circunstancias», pero no funda en ellas ninguna objeción directa de inconstitucionalidad, sino que recaba del Tribunal Constitucional una sentencia interpretativa, petición que, como ha recordado ya este Tribunal, resulta de improcedente planteamiento por las partes. No obstante, el Abogado del Estado pasa a comentar así las mencionadas «circunstancias»: </w:t>
      </w:r>
    </w:p>
    <w:p w:rsidR="001C705E" w:rsidRDefault="001C705E" w:rsidP="001C705E">
      <w:pPr>
        <w:pStyle w:val="TextoNormal"/>
      </w:pPr>
      <w:r>
        <w:t xml:space="preserve">1.ª Por lo que se refiere a la «expresión peligro grave para la salud», el concepto de salud es un término empleado en la Constitución, como el objeto de un derecho protegible, y la aplicación o interpretación del concepto está confiada a los órganos encargados de juzgar sobre el derecho, en su caso. </w:t>
      </w:r>
    </w:p>
    <w:p w:rsidR="001C705E" w:rsidRDefault="001C705E" w:rsidP="001C705E">
      <w:pPr>
        <w:pStyle w:val="TextoNormal"/>
      </w:pPr>
      <w:r>
        <w:lastRenderedPageBreak/>
        <w:t xml:space="preserve">2.ª En cuanto a la violación, el delito habrá de ser denunciado, y al Juez le compete perseguirlo si llega a demostrarse su existencia, o, en caso contrario, proceder por simulación de delito contra la persona que hubiere fingido su comisión. </w:t>
      </w:r>
    </w:p>
    <w:p w:rsidR="001C705E" w:rsidRDefault="001C705E" w:rsidP="001C705E">
      <w:pPr>
        <w:pStyle w:val="TextoNormal"/>
      </w:pPr>
      <w:r>
        <w:t xml:space="preserve">3.ª No es objetable la norma porque su presupuesto de hecho constituya un juicio de probabilidad. </w:t>
      </w:r>
    </w:p>
    <w:p w:rsidR="001C705E" w:rsidRDefault="001C705E" w:rsidP="001C705E">
      <w:pPr>
        <w:pStyle w:val="TextoNormal"/>
      </w:pPr>
      <w:r>
        <w:t xml:space="preserve">4.ª La práctica médica no exige la secuencia de ningún proceso administrativo. </w:t>
      </w:r>
    </w:p>
    <w:p w:rsidR="001C705E" w:rsidRDefault="001C705E" w:rsidP="001C705E">
      <w:pPr>
        <w:pStyle w:val="TextoNormal"/>
      </w:pPr>
      <w:r>
        <w:t xml:space="preserve">5.ª No se desprende del proyecto obligación específica para los facultativos, por lo que resulta ocioso preguntarse sobre la objeción de conciencia. </w:t>
      </w:r>
    </w:p>
    <w:p w:rsidR="001C705E" w:rsidRDefault="001C705E" w:rsidP="001C705E">
      <w:pPr>
        <w:pStyle w:val="TextoNormal"/>
      </w:pPr>
      <w:r>
        <w:t xml:space="preserve">6.ª Se trata de una cuestión de derecho civil, que no es misión del Código Penal resolver. </w:t>
      </w:r>
    </w:p>
    <w:p w:rsidR="001C705E" w:rsidRDefault="001C705E" w:rsidP="001C705E">
      <w:pPr>
        <w:pStyle w:val="TextoNormal"/>
      </w:pPr>
      <w:r>
        <w:t xml:space="preserve">7.ª Ya fue objeto de consideración esta objeción, como motivo sustancioso de impugnación. </w:t>
      </w:r>
    </w:p>
    <w:p w:rsidR="001C705E" w:rsidRDefault="001C705E" w:rsidP="001C705E">
      <w:pPr>
        <w:pStyle w:val="TextoNormal"/>
      </w:pPr>
      <w:r>
        <w:t xml:space="preserve">8.ª No se señala por qué la intervención del Ministerio Fiscal ha de ser preceptiva. </w:t>
      </w:r>
    </w:p>
    <w:p w:rsidR="001C705E" w:rsidRDefault="001C705E" w:rsidP="001C705E">
      <w:pPr>
        <w:pStyle w:val="TextoNormal"/>
      </w:pPr>
      <w:r>
        <w:t xml:space="preserve">9.ª El régimen de la Seguridad Social respecto al aborto es cuestión ajena al recurso. </w:t>
      </w:r>
    </w:p>
    <w:p w:rsidR="001C705E" w:rsidRDefault="001C705E" w:rsidP="001C705E">
      <w:pPr>
        <w:pStyle w:val="TextoNormal"/>
      </w:pPr>
      <w:r>
        <w:t xml:space="preserve">10.ª La Ley 30/1979, de 27 de octubre, sobre extracción y trasplante de órganos, no puede erigirse en parámetro de validez del proyecto impugnado. </w:t>
      </w:r>
    </w:p>
    <w:p w:rsidR="001C705E" w:rsidRDefault="001C705E" w:rsidP="001C705E">
      <w:pPr>
        <w:pStyle w:val="TextoNormal"/>
      </w:pPr>
      <w:r>
        <w:t>11.ª Finalmente, en cuanto a la circunstancia invocada en el motivo cuarto del escrito de ampliación, esto es, «el peligro que implica el aborto para la vida y la salud de la madre», no puede negarse que este riesgo es el que la norma trata de conjurar en la primera de las indicaciones, y en otro caso no seria distinto del de cualquier persona ante una intervención quirúrgica.</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Habiéndose recibido del Congreso de los Diputados los Diarios de Sesiones del Pleno del mismo correspondientes a la segunda legislatura, así como el diario de «Sesiones de la Comisión de Justicia Interior», todo ello referido al proyecto impugnado, y del Ministerio de Justicia el expediente de elaboración del anteproyecto de la Ley orgánica de reforma urgente y parcial del Código Penal, en el que se incluía el art. 417 bis, este Tribunal Constitucional, por providencia de 22 de febrero de 1984, dispone la habilitación de un plazo común de diez días para que toda esta documentación pueda ser conocida por las partes y puedan alegar con relación a ella y dentro del indicado plazo lo que estimaren conveniente a su derecho. </w:t>
      </w:r>
    </w:p>
    <w:p w:rsidR="001C705E" w:rsidRDefault="001C705E" w:rsidP="001C705E">
      <w:pPr>
        <w:pStyle w:val="TextoNormal"/>
      </w:pPr>
      <w:r>
        <w:t xml:space="preserve">El señor Ruiz Gallardón, en la representación que le corresponde en el presente proceso, formula en el indicado plazo sus alegaciones, en escrito de 7 de marzo de 1984, dirigidas a los siguientes puntos: </w:t>
      </w:r>
    </w:p>
    <w:p w:rsidR="001C705E" w:rsidRDefault="001C705E" w:rsidP="001C705E">
      <w:pPr>
        <w:pStyle w:val="TextoNormal"/>
      </w:pPr>
      <w:r>
        <w:t xml:space="preserve">A) El expediente remitido es, a su juicio, incompleto. </w:t>
      </w:r>
    </w:p>
    <w:p w:rsidR="001C705E" w:rsidRDefault="001C705E" w:rsidP="001C705E">
      <w:pPr>
        <w:pStyle w:val="TextoNormal"/>
      </w:pPr>
      <w:r>
        <w:t xml:space="preserve">B) El Ministerio de Justicia ha remitido una inabarcable documentación que considera improcedente, integrada por cuatro gruesos volúmenes conteniendo información sobre el ordenamiento jurídico español en la materia, sobre la doctrina, la jurisprudencia y el derecho comparado, así como los datos sociológicos e información de prensa; documentación toda ella posterior a febrero de 1983, por lo que no pudo ser tenida en cuenta por el Ministerio para la elaboración del anteproyecto. </w:t>
      </w:r>
    </w:p>
    <w:p w:rsidR="001C705E" w:rsidRDefault="001C705E" w:rsidP="001C705E">
      <w:pPr>
        <w:pStyle w:val="TextoNormal"/>
      </w:pPr>
      <w:r>
        <w:t xml:space="preserve">C) La documentación es, en su opinión, presuntamente parcial. Al mismo tiempo hace una proposición de prueba que califica de documental, pública y privada, así como una proposición de prueba pericial. </w:t>
      </w:r>
    </w:p>
    <w:p w:rsidR="001C705E" w:rsidRDefault="001C705E" w:rsidP="001C705E">
      <w:pPr>
        <w:pStyle w:val="TextoNormal"/>
      </w:pPr>
      <w:r>
        <w:t>Por su parte, el Abogado del Estado, en el plazo de alegaciones, manifiesta que a la vista de la documentación recibida del Congreso de los Diputados y del Ministerio de Justicia poco se podría añadir a las alegaciones formuladas en su momento: Los debates parlamentarios revelan una evidente discrepancia política sobre el contenido del proyecto de refor</w:t>
      </w:r>
      <w:r>
        <w:lastRenderedPageBreak/>
        <w:t>ma; un análisis de las criticas al mismo evidencian no tanto el propósito o la convicción sobre la necesidad de someter a penas aflictivas a quienes incidan en los tipos que se despenalizan, cuanto el derecho de operar con diferentes técnicas de exención de responsabilidad para estos mismos supuestos. A juicio del Abogado del Estado, si desde el punto de vista político técnico la cuestión presenta gran interés, desde el punto de vista de la constitucionalidad del proyecto ofrece escasa utilidad. Por otra parte, añade que los estudios tenidos en cuenta para la valoración del anteproyecto muestran una cuidadosa consideración de los distintos aspectos que inciden en las cuestiones contempladas, y que estos estudios y trabajos no tienen otra significación que la de elementos de reflexión y análisis previos a una decisión legislativa, cuya conformidad a la Constitución ya ha razonado en su momento.</w:t>
      </w:r>
    </w:p>
    <w:p w:rsidR="001C705E" w:rsidRDefault="001C705E" w:rsidP="001C705E">
      <w:pPr>
        <w:pStyle w:val="TextoNormal"/>
      </w:pPr>
    </w:p>
    <w:p w:rsidR="001C705E" w:rsidRDefault="001C705E" w:rsidP="001C705E">
      <w:pPr>
        <w:pStyle w:val="TextoNormal"/>
      </w:pPr>
      <w:r w:rsidRPr="001C705E">
        <w:rPr>
          <w:rStyle w:val="NumeroAFNegritaCaracter"/>
        </w:rPr>
        <w:t>5</w:t>
      </w:r>
      <w:r>
        <w:t>. En relación con las peticiones formuladas por la parte recurrente sobre recibimiento y proposición de prueba, este Tribunal, después de dar traslado al Abogado del Estado del escrito y documentos aportados por plazo de cinco días, resuelve, por Auto de 9 de abril de 1984, admitir como prueba documental la constituida por los documentos aportados con el escrito de interposición del recurso, el de ampliación y el presentado el 7 de marzo último a que acaba de hacerse referencia en el anterior antecedente, y acuerda denegar el resto de las peticiones que sobre prueba y el contenido del expediente se hacían en el escrito presentado por el señor Ruiz Gallardón como comisionado de los recurrentes.</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 21 de marzo de 1985, el Pleno del Tribunal señaló para deliberación y votación de la presente sentencia el día 26 del mismo mes, plazo que se amplió por providencia del día 28 hasta el máximo permitido por el art. 34.2 de la LOTC.</w:t>
      </w:r>
    </w:p>
    <w:p w:rsidR="001C705E" w:rsidRDefault="001C705E" w:rsidP="001C705E">
      <w:pPr>
        <w:pStyle w:val="TextoNormal"/>
      </w:pPr>
    </w:p>
    <w:p w:rsidR="001C705E" w:rsidRDefault="001C705E" w:rsidP="001C705E">
      <w:pPr>
        <w:pStyle w:val="TextoNormal"/>
      </w:pPr>
      <w:r w:rsidRPr="001C705E">
        <w:rPr>
          <w:rStyle w:val="NumeroAFNegritaCaracter"/>
        </w:rPr>
        <w:t>7</w:t>
      </w:r>
      <w:r>
        <w:t>. En la sesión del Pleno de 11 de abril de 1985 se sometió a votación conjunta la ponencia formulada por el Ponente inicialmente nombrado, don Jerónimo Arozamena Sierra, y el texto alternativo redactado por los Magistrados doña Gloria Begué Cantón y don Rafael Gómez-Ferrer Morant. En dicha votación obtuvo mayoría el texto alternativo mencionado, en atención a lo cual el Ponente señor Arozamena solicitó del Presidente que le dispensara de la redacción de la sentencia. Por Decreto de la misma fecha, el Presidente accedió a lo solicitado y nombró Ponentes para dicho acto a los Magistrados señora Begué y señor Gómez-Ferrer.</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objeto del recurso que debe ser decidido por la presente sentencia es determinar la constitucionalidad o inconstitucionalidad del proyecto de Ley orgánica que introduce el art. 417 bis en el Código Penal, por el que se declara no punible el aborto en determinados supuestos. Se trata de un caso límite en el ámbito del Derecho; en primer lugar, porque el vínculo natural del nasciturus con la madre fundamenta una relación de especial naturaleza de la que no hay paralelo en ningún otro comportamiento social, y en segundo término, por tratarse de un tema en cuya consideración inciden con más profundidad que en ningún otro ideas, creencias y convicciones morales, culturales y sociales.  El Tribunal no puede menos de tener en cuenta, como una de las ideas subyacentes a su razonamiento, la peculiaridad de la relación entre la madre y el nasciturus a la que antes hemos hecho mención; </w:t>
      </w:r>
      <w:r>
        <w:lastRenderedPageBreak/>
        <w:t>pero ha de hacer abstracción de todo elemento o patrón de enjuiciamiento que no sea el estrictamente jurídico, ya que otra cosa seria contradictoria con la imparcialidad y objetividad de juicio inherente a la función jurisdiccional, que no puede atenerse a criterios y pautas, incluidas las propias convicciones, ajenos a los del análisis jurídico.</w:t>
      </w:r>
    </w:p>
    <w:p w:rsidR="001C705E" w:rsidRDefault="001C705E" w:rsidP="001C705E">
      <w:pPr>
        <w:pStyle w:val="TextoNormal"/>
      </w:pPr>
    </w:p>
    <w:p w:rsidR="001C705E" w:rsidRDefault="001C705E" w:rsidP="001C705E">
      <w:pPr>
        <w:pStyle w:val="TextoNormal"/>
      </w:pPr>
      <w:r w:rsidRPr="001C705E">
        <w:rPr>
          <w:rStyle w:val="NumeroAFNegritaCaracter"/>
        </w:rPr>
        <w:t>2</w:t>
      </w:r>
      <w:r>
        <w:t>. El proyecto de reforma del Código Penal al que hacemos referencia en el fundamento anterior dice así:</w:t>
      </w:r>
    </w:p>
    <w:p w:rsidR="001C705E" w:rsidRDefault="001C705E" w:rsidP="001C705E">
      <w:pPr>
        <w:pStyle w:val="TextoNormal"/>
      </w:pPr>
      <w:r>
        <w:t>«Artículo único.-El art. 417 bis del Código Penal queda redactado de la siguiente manera:</w:t>
      </w:r>
    </w:p>
    <w:p w:rsidR="001C705E" w:rsidRDefault="001C705E" w:rsidP="001C705E">
      <w:pPr>
        <w:pStyle w:val="TextoNormal"/>
      </w:pPr>
      <w:r>
        <w:t>El aborto no será punible si se practica por un Médico, con el consentimiento de la mujer, cuando concurran alguna de las circunstancias siguientes:</w:t>
      </w:r>
    </w:p>
    <w:p w:rsidR="001C705E" w:rsidRDefault="001C705E" w:rsidP="001C705E">
      <w:pPr>
        <w:pStyle w:val="TextoNormal"/>
      </w:pPr>
      <w:r>
        <w:t>1. Que sea necesario para evitar un grave peligro para la vida o la salud de la embarazada.</w:t>
      </w:r>
    </w:p>
    <w:p w:rsidR="001C705E" w:rsidRDefault="001C705E" w:rsidP="001C705E">
      <w:pPr>
        <w:pStyle w:val="TextoNormal"/>
      </w:pPr>
      <w:r>
        <w:t>2. Que el embarazo sea consecuencia de un hecho constitutivo del delito de violación del art. 429, siempre que el aborto se practique dentro de las doce primeras semanas de gestación y que el mencionado hecho hubiere sido denunciado.</w:t>
      </w:r>
    </w:p>
    <w:p w:rsidR="001C705E" w:rsidRDefault="001C705E" w:rsidP="001C705E">
      <w:pPr>
        <w:pStyle w:val="TextoNormal"/>
      </w:pPr>
    </w:p>
    <w:p w:rsidR="001C705E" w:rsidRDefault="001C705E" w:rsidP="001C705E">
      <w:pPr>
        <w:pStyle w:val="TextoNormal"/>
      </w:pPr>
      <w:r w:rsidRPr="001C705E">
        <w:rPr>
          <w:rStyle w:val="NumeroAFNegritaCaracter"/>
        </w:rPr>
        <w:t>3</w:t>
      </w:r>
      <w:r>
        <w:t>. Que sea probable que el feto habrá de nacer con graves taras físicas o psíquicas, siempre que el aborto se practique dentro de las veintidós primeras semanas de gestación y que el pronóstico desfavorable conste en un dictamen emitido por dos Médicos especialistas distintos del que intervenga a la embarazada.»</w:t>
      </w:r>
    </w:p>
    <w:p w:rsidR="001C705E" w:rsidRDefault="001C705E" w:rsidP="001C705E">
      <w:pPr>
        <w:pStyle w:val="TextoNormal"/>
      </w:pPr>
      <w:r>
        <w:t>Los recurrentes consideran este proyecto inconstitucional por estimar que vulnera los arts. 1.1, 9.3, 10.2, 15, 39.2 y 4, 49 y 51.1 y 3 de la Constitución. El Abogado del Estado, por su parte, considera que el Proyecto no es inconstitucional. Los razonamientos de ambas partes han quedado resumidos en los antecedentes primero, segundo y tercero de esta Sentencia, por lo que sería redundante hacerlo aquí.</w:t>
      </w:r>
    </w:p>
    <w:p w:rsidR="001C705E" w:rsidRDefault="001C705E" w:rsidP="001C705E">
      <w:pPr>
        <w:pStyle w:val="TextoNormal"/>
      </w:pPr>
      <w:r>
        <w:t>3. El problema nuclear en torno al cual giran las cuestiones planteadas en el presente recurso es el alcance de la protección constitucional del nasciturus, por lo que procede comenzar por hacer unas consideraciones generales sobre la trascendencia del reconocimiento del derecho a la vida dentro del ordenamiento constitucional, consideraciones que iremos precisando a medida que lo requiera el desarrollo de nuestra argumentación. Dicho derecho a la vida, reconocido y garantizado en su doble significación física y moral por el art. 15 de la Constitución, es la proyección de un valor superior del ordenamiento jurídico constitucional -la vida humana- y constituye el derecho fundamental esencial y troncal en cuanto es el supuesto ontológico sin el que los restantes derechos no tendrían existencia posible. Indisolublemente relacionado con el derecho a la vida en su dimensión humana se encuentra el valor jurídico fundamental de la dignidad de la persona, reconocido en el art. 10 como germen o núcleo de unos derechos «que le son inherentes». La relevancia y la significación superior de uno y otro valor y de los derechos que los encarnan se manifiesta en su colocación misma en el texto constitucional, ya que el art. 10 es situado a la cabeza del titulo destinado a tratar de los derechos y deberes fundamentales, y el art. 15 a la cabeza del capitulo donde se concretan estos derechos, lo que muestra que dentro del sistema constitucional son considerados como el punto de arranque, como el prius lógico y ontológico para la existencia y especificación de los demás derechos.</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Es también pertinente hacer, con carácter previo, algunas referencias al ámbito, significación y función de los derechos fundamentales en el constitucionalismo de nuestro </w:t>
      </w:r>
      <w:r>
        <w:lastRenderedPageBreak/>
        <w:t>tiempo inspirado en el Estado social de Derecho.  En este sentido, la doctrina ha puesto de manifiesto -en coherencia con los contenidos y estructuras de los ordenamientos positivos- que los derechos fundamentales no incluyen solamente derechos subjetivos de defensa de los individuos frente al Estado, y garantías institucionales, sino también deberes positivos por parte de éste (vide al respecto arts. 9.2; 17.4; 18.1 y 4; 20.3; 27 de la Constitución). Pero, además, los derechos fundamentales son los componentes estructurales básicos, tanto del conjunto del orden jurídico objetivo como de cada una de las ramas que lo integran, en razón de que son la expresión jurídica de un sistema de valores que, por decisión del constituyente, ha de informar el conjunto de la organización jurídica y política; son, en fin, como dice el art. 10 de la Constitución, el «fundamento del orden jurídico y de la paz social». De la significación y finalidades de estos derechos dentro del orden constitucional se desprende que la garantía de su vigencia no puede limitarse a la posibilidad del ejercicio de pretensiones por parte de los individuos, sino que ha de ser asumida también por el Estado.  Por consiguiente, de la obligación del sometimiento de todos los poderes a la Constitución no solamente se deduce la obligación negativa del Estado de no lesionar la esfera individual o institucional protegida por los derechos fundamentales, sino también la obligación positiva de contribuir a la efectividad de tales derechos, y de los valores que representan, aun cuando no exista una pretensión subjetiva por parte del ciudadano. Ello obliga especialmente al legislador, quien recibe de los derechos fundamentales «los impulsos y líneas directivas», obligación que adquiere especial relevancia allí donde un derecho o valor fundamental quedaría vacío de no establecerse los supuestos para su defensa.</w:t>
      </w:r>
    </w:p>
    <w:p w:rsidR="001C705E" w:rsidRDefault="001C705E" w:rsidP="001C705E">
      <w:pPr>
        <w:pStyle w:val="TextoNormal"/>
      </w:pPr>
    </w:p>
    <w:p w:rsidR="001C705E" w:rsidRDefault="001C705E" w:rsidP="001C705E">
      <w:pPr>
        <w:pStyle w:val="TextoNormal"/>
      </w:pPr>
      <w:r w:rsidRPr="001C705E">
        <w:rPr>
          <w:rStyle w:val="NumeroAFNegritaCaracter"/>
        </w:rPr>
        <w:t>5</w:t>
      </w:r>
      <w:r>
        <w:t>. El art. 15 de la Constitución establece que «todos tienen derecho a la vida». La vida es un concepto indeterminado sobre el que se han dado respuestas plurívocas no sólo en razón de las distintas perspectivas (genética, médica, teológica, etc.), sino también en virtud de los diversos criterios mantenidos por los especialistas dentro de cada uno de los puntos de vista considerados, y en cuya evaluación y discusión no podemos ni tenemos que entrar aquí. Sin embargo, no es posible resolver constitucionalmente el presente recurso sin partir de una noción de la vida que sirva de base para determinar el alcance del mencionado precepto. Desde el punto de vista de la cuestión planteada basta con precisar:</w:t>
      </w:r>
    </w:p>
    <w:p w:rsidR="001C705E" w:rsidRDefault="001C705E" w:rsidP="001C705E">
      <w:pPr>
        <w:pStyle w:val="TextoNormal"/>
      </w:pPr>
      <w:r>
        <w:t>a) Que la vida humana es un devenir, un proceso que comienza con la gestación, en el curso de la cual una realidad biológica va tomando corpórea y sensitivamente configuración humana, y que termina en la muerte; es un continuo sometido por efectos del tiempo a cambios cualitativos de naturaleza somática y psíquica que tienen un reflejo en el status jurídico público y privado del sujeto vital.</w:t>
      </w:r>
    </w:p>
    <w:p w:rsidR="001C705E" w:rsidRDefault="001C705E" w:rsidP="001C705E">
      <w:pPr>
        <w:pStyle w:val="TextoNormal"/>
      </w:pPr>
      <w:r>
        <w:t>b) Que la gestación ha generado un tertium existencialmente distinto de la madre, aunque alojado en el seno de ésta.</w:t>
      </w:r>
    </w:p>
    <w:p w:rsidR="001C705E" w:rsidRDefault="001C705E" w:rsidP="001C705E">
      <w:pPr>
        <w:pStyle w:val="TextoNormal"/>
      </w:pPr>
      <w:r>
        <w:t>c) Que dentro de los cambios cualitativos en el desarrollo del proceso vital y partiendo del supuesto de que la vida es una realidad desde el inicio de la gestación, tiene particular relevancia el nacimiento, ya que significa el paso de la vida albergada en el seno materno a la vida albergada en la sociedad, bien que con distintas especificaciones y modalidades a lo largo del curso vital. Y previamente al nacimiento tiene especial trascendencia el momento a partir del cual el nasciturus es ya susceptible de vida independiente de la madre, esto es, de adquirir plena individualidad humana.</w:t>
      </w:r>
    </w:p>
    <w:p w:rsidR="001C705E" w:rsidRDefault="001C705E" w:rsidP="001C705E">
      <w:pPr>
        <w:pStyle w:val="TextoNormal"/>
      </w:pPr>
      <w:r>
        <w:t xml:space="preserve">De las consideraciones anteriores se deduce que si la Constitución protege la vida con la relevancia a que antes se ha hecho mención, no puede desprotegerla en aquella etapa de su proceso que no sólo es condición para la vida independiente del claustro materno, sino que es también un momento del desarrollo de la vida misma; por lo que ha de concluirse </w:t>
      </w:r>
      <w:r>
        <w:lastRenderedPageBreak/>
        <w:t>que la vida del nasciturus, en cuanto éste encarna un valor fundamental -la vida humana- garantizado en el art. 15 de la Constitución, constituye un bien jurídico cuya protección encuentra en dicho precepto fundamento constitucional.</w:t>
      </w:r>
    </w:p>
    <w:p w:rsidR="001C705E" w:rsidRDefault="001C705E" w:rsidP="001C705E">
      <w:pPr>
        <w:pStyle w:val="TextoNormal"/>
      </w:pPr>
      <w:r>
        <w:t>Esta conclusión resulta también de los debates parlamentarios en torno a la elaboración del mencionado artículo del texto constitucional, cuya cercanía en el tiempo justifica su utilización como elemento interpretativo. En el Pleno del Congreso fue defendida una enmienda -aprobada por mayoría- que proponía utilizar el término «todos» en sustitución de la expresión «todas las personas» -introducida en el seno de la Comisión para modificar la primitiva redacción del precepto en el Anteproyecto por estimar que era «técnicamente más correcta»- con la finalidad de incluir al nasciturus y de evitar, por otra parte, que con la palabra «persona» se entendiera incorporado el concepto de la misma elaborado en otras disciplinas jurídicas específicas, como la civil y la penal, que, de otra forma, podría entenderse asumido por la Constitución.  La ambigüedad del término «todos» en la expresión «todos tienen derecho a la vida» no fue despejada, sin embargo, durante los debates por lo que se refiere a la extensión de la titularidad del derecho, pero en cualquier caso, como señaló el defensor de la enmienda, constituía una fórmula abierta que se estimaba suficiente para basar en ella la defensa del nasciturus. El precepto fue aprobado posteriormente en el Senado por 162 votos a favor, ninguno en contra y dos abstenciones. En definitiva, el sentido objetivo del debate parlamentario corrobora que el nasciturus está protegido por el art. 15 de la Constitución aun cuando no permite afirmar que sea titular del derecho fundamental.</w:t>
      </w:r>
    </w:p>
    <w:p w:rsidR="001C705E" w:rsidRDefault="001C705E" w:rsidP="001C705E">
      <w:pPr>
        <w:pStyle w:val="TextoNormal"/>
      </w:pPr>
    </w:p>
    <w:p w:rsidR="001C705E" w:rsidRDefault="001C705E" w:rsidP="001C705E">
      <w:pPr>
        <w:pStyle w:val="TextoNormal"/>
      </w:pPr>
      <w:r w:rsidRPr="001C705E">
        <w:rPr>
          <w:rStyle w:val="NumeroAFNegritaCaracter"/>
        </w:rPr>
        <w:t>6</w:t>
      </w:r>
      <w:r>
        <w:t>. Los recurrentes pretenden deducir tal titularidad, no sólo de los mencionados debates parlamentarios acerca de la inclusión del nasciturus en el término «todos» del art. 15, sino también de la interpretación sistemática de la Constitución, así como de los tratados y acuerdos internacionales ratificados por España, a que remite el art. 10.2 de la Constitución para la interpretación de las normas relativas a los derechos fundamentales y libertades en ella reconocidos. No existe, sin embargo, fundamento suficiente en apoyo de su tesis.</w:t>
      </w:r>
    </w:p>
    <w:p w:rsidR="001C705E" w:rsidRDefault="001C705E" w:rsidP="001C705E">
      <w:pPr>
        <w:pStyle w:val="TextoNormal"/>
      </w:pPr>
      <w:r>
        <w:t>Por lo que se refiere a la primera, los mismos recurrentes reconocen que la palabra «todos» utilizada en otros preceptos constitucionales (arts. 27, 28, 29, 35 y 47) hace referencia a los nacidos, como se deduce del contexto y del alcance del derecho que regulan, pero estiman que de ello no puede concluirse que ese mismo significado haya de atribuirse a dicho término en el art. 15.  La interpretación sistemática de éste ha de hacerse, a su juicio, en relación con otros preceptos constitucionales (arts.  1.1, 10, 14, 39 y 49). Pero los mismos términos generales en que esta argumentación se desarrolla y la misma vaguedad de la conclusión a que llegan los recurrentes la convierten en irrelevante, por lo que se refiere a la cuestión concreta planteada de la titularidad del derecho a la vida que pueda corresponder al nasciturus.</w:t>
      </w:r>
    </w:p>
    <w:p w:rsidR="001C705E" w:rsidRDefault="001C705E" w:rsidP="001C705E">
      <w:pPr>
        <w:pStyle w:val="TextoNormal"/>
      </w:pPr>
      <w:r>
        <w:t xml:space="preserve">En cuanto a la interpretación del art. 15, de conformidad con la Declaración Universal de Derechos Humanos y los tratados y acuerdos internacionales ratificados por España, lo cierto es que la versión auténtica francesa utiliza expresamente el término «persona» en el art. 6 del Pacto Internacional de Derechos civiles y políticos -al igual que lo hace la versión auténtica española- y en el art. 2 del Convenio Europeo para la protección de los derechos humanos y libertades fundamentales. Y si bien el Tribunal de Derechos Humanos no ha tenido ocasión de pronunciarse sobre este extremo, la Comisión Europea de Derechos Humanos, en su función relativa a la admisión de demandadas, si lo ha hecho en relación con el art. 2 del Convenio en el asunto 8416/1979, en su decisión de 13 de mayo de </w:t>
      </w:r>
      <w:r>
        <w:lastRenderedPageBreak/>
        <w:t>1980, poniendo de manifiesto por lo que se refiere a la expresión everyone o toute personne de los textos auténticos que, aun cuando no aparece definida en el Convenio, la utilización que de dicha expresión se hace en el mismo y el contexto dentro del cual se emplea en el mencionado art. 2 lleva a sostener que se refiere a las personas ya nacidas y no es aplicable al nasciturus (Ftos. jcos. 9 y 17); asimismo, al examinar el término «vida», la Comisión se planteó en qué sentido puede interpretarse el art. 2 en cuestión en relación con el feto, aunque no llegó a pronunciarse en términos precisos sobre tal extremo por estimar que no era necesario para decidir sobre el supuesto planteado (indicación médica para proteger la vida y la salud de la madre), limitándose a excluir, de las posibles interpretaciones, la de que el feto pudiera tener un «derecho a la vida» de carácter absoluto (Ftos. jcos. 17 a 23).</w:t>
      </w:r>
    </w:p>
    <w:p w:rsidR="001C705E" w:rsidRDefault="001C705E" w:rsidP="001C705E">
      <w:pPr>
        <w:pStyle w:val="TextoNormal"/>
      </w:pPr>
    </w:p>
    <w:p w:rsidR="001C705E" w:rsidRDefault="001C705E" w:rsidP="001C705E">
      <w:pPr>
        <w:pStyle w:val="TextoNormal"/>
      </w:pPr>
      <w:r w:rsidRPr="001C705E">
        <w:rPr>
          <w:rStyle w:val="NumeroAFNegritaCaracter"/>
        </w:rPr>
        <w:t>7</w:t>
      </w:r>
      <w:r>
        <w:t>. En definitiva, los argumentos aducidos por los recurrentes no pueden estimarse para fundamentar la tesis de que al nasciturus le corresponda también la titularidad del derecho a la vida, pero, en todo caso, y ello es lo decisivo para la cuestión objeto del presente recurso, debemos afirmar que la vida del nasciturus, de acuerdo con lo argumentado en los fundamentos jurídicos anteriores de esta sentencia, es un bien jurídico constitucionalmente protegido por el art. 15 de nuestra norma fundamental.</w:t>
      </w:r>
    </w:p>
    <w:p w:rsidR="001C705E" w:rsidRDefault="001C705E" w:rsidP="001C705E">
      <w:pPr>
        <w:pStyle w:val="TextoNormal"/>
      </w:pPr>
      <w:r>
        <w:t>Partiendo de las consideraciones efectuadas en el fundamento jurídico 4, esta protección que la Constitución dispensa al nasciturus implica para el Estado con carácter general dos obligaciones: La de abstenerse de interrumpir o de obstaculizar el proceso natural de gestación, y la de establecer un sistema legal para la defensa de la vida que suponga una protección efectiva de la misma y que, dado el carácter fundamental de la vida, incluya también, como última garantía, las normas penales. Ello no significa que dicha protección haya de revestir carácter absoluto; pues, como sucede en relación con todos los bienes y derechos constitucionalmente reconocidos, en determinados supuestos puede y aun debe estar sujeta a limitaciones, como veremos posteriormente.</w:t>
      </w:r>
    </w:p>
    <w:p w:rsidR="001C705E" w:rsidRDefault="001C705E" w:rsidP="001C705E">
      <w:pPr>
        <w:pStyle w:val="TextoNormal"/>
      </w:pPr>
    </w:p>
    <w:p w:rsidR="001C705E" w:rsidRDefault="001C705E" w:rsidP="001C705E">
      <w:pPr>
        <w:pStyle w:val="TextoNormal"/>
      </w:pPr>
      <w:r w:rsidRPr="001C705E">
        <w:rPr>
          <w:rStyle w:val="NumeroAFNegritaCaracter"/>
        </w:rPr>
        <w:t>8</w:t>
      </w:r>
      <w:r>
        <w:t>. Junto al valor de la vida humana y sustancialmente relacionado con la dimensión moral de ésta, nuestra Constitución ha elevado también a valor jurídico fundamental la dignidad de la persona, que, sin perjuicio de los derechos que le son inherentes, se halla íntimamente vinculada con el libre desarrollo de la personalidad (art. 10) y los derechos a la integridad física y moral (art. 15), a la libertad de ideas y creencias (art. 16), al honor, a la intimidad personal y familiar y a la propia imagen (art.  18.1). Del sentido de estos preceptos puede deducirse que la dignidad es un valor espiritual y moral inherente a la persona, que se manifiesta singularmente en la autodeterminación consciente y responsable de la propia vida y que lleva consigo la pretensión al respeto por parte de los demás.</w:t>
      </w:r>
    </w:p>
    <w:p w:rsidR="001C705E" w:rsidRDefault="001C705E" w:rsidP="001C705E">
      <w:pPr>
        <w:pStyle w:val="TextoNormal"/>
      </w:pPr>
      <w:r>
        <w:t>La dignidad está reconocida a todas las personas con carácter general, pero cuando el intérprete constitucional trata de concretar este principio no puede ignorar el hecho obvio de la especificidad de la condición femenina y la concreción de los mencionados derechos en el ámbito de la maternidad, derechos que el Estado debe respetar y a cuya efectividad debe contribuir, dentro de los límites impuestos por la existencia de otros derechos y bienes asimismo reconocidos por la Constitución.</w:t>
      </w:r>
    </w:p>
    <w:p w:rsidR="001C705E" w:rsidRDefault="001C705E" w:rsidP="001C705E">
      <w:pPr>
        <w:pStyle w:val="TextoNormal"/>
      </w:pPr>
    </w:p>
    <w:p w:rsidR="001C705E" w:rsidRDefault="001C705E" w:rsidP="001C705E">
      <w:pPr>
        <w:pStyle w:val="TextoNormal"/>
      </w:pPr>
      <w:r w:rsidRPr="001C705E">
        <w:rPr>
          <w:rStyle w:val="NumeroAFNegritaCaracter"/>
        </w:rPr>
        <w:t>9</w:t>
      </w:r>
      <w:r>
        <w:t>. Las consideraciones anteriores nos permiten entrar a examinar el Proyecto objeto del presente recurso para enjuiciar la presunta inconstitucionalidad de los supuestos de declaración de no punibilidad del aborto en él contenidos, aducida por los recurrentes.</w:t>
      </w:r>
    </w:p>
    <w:p w:rsidR="001C705E" w:rsidRDefault="001C705E" w:rsidP="001C705E">
      <w:pPr>
        <w:pStyle w:val="TextoNormal"/>
      </w:pPr>
      <w:r>
        <w:lastRenderedPageBreak/>
        <w:t>El legislador parte de una normativa preconstitucional que utiliza la técnica penal como forma de protección de la vida del nasciturus (arts. 411 a 417 del Código Penal), normativa que no revisa con carácter general, limitándose a declarar no punible el aborto en determinados supuestos, que responden a las denominadas indicaciones terapéutica, ética y eugenésica (Fto. jco. 2). La cuestión que se suscita es, pues, la de examinar si el legislador puede excluir en supuestos determinados la vida del nasciturus de la protección penal.</w:t>
      </w:r>
    </w:p>
    <w:p w:rsidR="001C705E" w:rsidRDefault="001C705E" w:rsidP="001C705E">
      <w:pPr>
        <w:pStyle w:val="TextoNormal"/>
      </w:pPr>
      <w:r>
        <w:t>En primer lugar, las causas de exención de la responsabilidad establecidas en el art. 8 del Código Penal tienen una aplicación general respecto de los delitos sancionados en este Código, que no ha sido puesta en duda en el presente recurso, y de la que es posible deducir que -en principio y con los límites que les son inherentes- también pueden regir, en su caso, respecto del delito de aborto (arts. 411 y ss. del Código Penal). Pero, ciñéndonos estrictamente a la cuestión planteada por los recurrentes, hemos de considerar si le está constitucionalmente permitido al legislador utilizar una técnica diferente, mediante la cual excluya la punibilidad en forma específica para ciertos delitos.</w:t>
      </w:r>
    </w:p>
    <w:p w:rsidR="001C705E" w:rsidRDefault="001C705E" w:rsidP="001C705E">
      <w:pPr>
        <w:pStyle w:val="TextoNormal"/>
      </w:pPr>
      <w:r>
        <w:t>La respuesta a esta cuestión ha de ser afirmativa. Por una parte, el legislador puede tomar en consideración situaciones características de conflicto que afectan de una manera específica a un ámbito determinado de prohibiciones penales. Tal es el caso de los supuestos en los cuales la vida del nasciturus, como bien constitucionalmente protegido, entra en colisión con derechos relativos a valores constitucionales de muy relevante significación, como la vida y la dignidad de la mujer, en una situación que no tiene parangón con otra alguna, dada la especial relación del feto respecto de la madre, así como la confluencia de bienes y derechos constitucionales en juego.</w:t>
      </w:r>
    </w:p>
    <w:p w:rsidR="001C705E" w:rsidRDefault="001C705E" w:rsidP="001C705E">
      <w:pPr>
        <w:pStyle w:val="TextoNormal"/>
      </w:pPr>
      <w:r>
        <w:t>Se trata de graves conflictos de características singulares, que no pueden contemplarse tan sólo desde la perspectiva de los derechos de la mujer o desde la protección de la vida del nasciturus. Ni ésta puede prevalecer incondicionalmente frente a aquéllos, ni los derechos de la mujer pueden tener primacía absoluta sobre la vida del nasciturus, dado que dicha prevalencia supone la desaparición, en todo caso, de un bien no sólo constitucionalmente protegido, sino que encarna un valor central del ordenamiento constitucional.  Por ello, en la medida en que no puede afirmarse de ninguno de ellos su carácter absoluto, el intérprete constitucional se ve obligado a ponderar los bienes y derechos en función del supuesto planteado, tratando de armonizarlos si ello es posible o, en caso contrario, precisando las condiciones y requisitos en que podría admitirse la prevalencia de uno de ellos.</w:t>
      </w:r>
    </w:p>
    <w:p w:rsidR="001C705E" w:rsidRDefault="001C705E" w:rsidP="001C705E">
      <w:pPr>
        <w:pStyle w:val="TextoNormal"/>
      </w:pPr>
      <w:r>
        <w:t>Por otra parte, el legislador, que ha de tener siempre presente la razonable exigibilidad de una conducta y la proporcionalidad de la pena en caso de incumplimiento, puede también renunciar a la sanción penal de una conducta que objetivamente pudiera representar una carga insoportable, sin perjuicio de que, en su caso, siga subsistiendo el deber de protección del Estado respecto del bien jurídico en otros ámbitos. Las leyes humanas contienen patrones de conducta en los que, en general, encajan los casos normales, pero existen situaciones singulares o excepcionales en las que castigar penalmente el incumplimiento de la Ley resultaría totalmente inadecuado; el legislador no puede emplear la máxima constricción -la sanción penal- para imponer en estos casos la conducta que normalmente sería exigible, pero que no lo es en ciertos supuestos concretos.</w:t>
      </w:r>
    </w:p>
    <w:p w:rsidR="001C705E" w:rsidRDefault="001C705E" w:rsidP="001C705E">
      <w:pPr>
        <w:pStyle w:val="TextoNormal"/>
      </w:pPr>
    </w:p>
    <w:p w:rsidR="001C705E" w:rsidRDefault="001C705E" w:rsidP="001C705E">
      <w:pPr>
        <w:pStyle w:val="TextoNormal"/>
      </w:pPr>
      <w:r w:rsidRPr="001C705E">
        <w:rPr>
          <w:rStyle w:val="NumeroAFNegritaCaracter"/>
        </w:rPr>
        <w:t>10</w:t>
      </w:r>
      <w:r>
        <w:t>. Los recurrentes alegan que no puede conocerse el alcance de los supuestos previstos por el legislador, dada la imprecisión de alguno de los términos que éste utiliza, lo que, a su juicio, vulnera el principio de seguridad jurídica consagrado en el art. 9.3 de la Constitución.</w:t>
      </w:r>
    </w:p>
    <w:p w:rsidR="001C705E" w:rsidRDefault="001C705E" w:rsidP="001C705E">
      <w:pPr>
        <w:pStyle w:val="TextoNormal"/>
      </w:pPr>
      <w:r>
        <w:lastRenderedPageBreak/>
        <w:t>El Tribunal no puede compartir esta alegación de los recurrentes, pues aun cuando tales términos puedan contener un margen de apreciación, ello no los transforma en conceptos incompatibles con la seguridad jurídica, ya que son susceptibles de definiciones acordes con el sentido idiomático general que eliminan el temor de una absoluta indeterminación en cuanto a su interpretación.</w:t>
      </w:r>
    </w:p>
    <w:p w:rsidR="001C705E" w:rsidRDefault="001C705E" w:rsidP="001C705E">
      <w:pPr>
        <w:pStyle w:val="TextoNormal"/>
      </w:pPr>
      <w:r>
        <w:t>En efecto, el término «necesario» -que se utiliza en el núm. 1 del art. 417 bis del Código Penal en la redacción del Proyecto- sólo puede interpretarse en el sentido de que se produce una colisión entre la vida del nasciturus y la vida o salud de la embarazada que no puede solucionarse de ninguna otra forma.</w:t>
      </w:r>
    </w:p>
    <w:p w:rsidR="001C705E" w:rsidRDefault="001C705E" w:rsidP="001C705E">
      <w:pPr>
        <w:pStyle w:val="TextoNormal"/>
      </w:pPr>
      <w:r>
        <w:t>En especial, y en relación con el supuesto de grave peligro para la salud, el término «grave» expresa con claridad la idea de que ha de tratarse de un peligro de disminución importante de la salud y con permanencia en el tiempo, todo ello según los conocimientos de la ciencia médica en cada momento. Por otra parte, el término «salud» se refiere a la salud física o psíquica, como se deduce con toda evidencia de los debates parlamentarios.</w:t>
      </w:r>
    </w:p>
    <w:p w:rsidR="001C705E" w:rsidRDefault="001C705E" w:rsidP="001C705E">
      <w:pPr>
        <w:pStyle w:val="TextoNormal"/>
      </w:pPr>
      <w:r>
        <w:t>Finalmente, en cuanto al número 3 del mencionado artículo, el término «probable» expresa la idea de razonable presunción de verdad, y responde, como apunta el Abogado del Estado, a la presumible prudencia de los dictámenes médicos en los que los términos absolutos de seguridad o certeza suelen quedar excluidos, sin que en este caso la sustitución de un concepto jurídico indeterminado por otro pudiera contribuir, a juicio de este Tribunal, a una mayor precisión en el supuesto de hecho. Por otra parte, el término «grave» expresa, de un lado, la importancia y profundidad de la tara y, de otro, su permanencia en el tiempo.</w:t>
      </w:r>
    </w:p>
    <w:p w:rsidR="001C705E" w:rsidRDefault="001C705E" w:rsidP="001C705E">
      <w:pPr>
        <w:pStyle w:val="TextoNormal"/>
      </w:pPr>
    </w:p>
    <w:p w:rsidR="001C705E" w:rsidRDefault="001C705E" w:rsidP="001C705E">
      <w:pPr>
        <w:pStyle w:val="TextoNormal"/>
      </w:pPr>
      <w:r w:rsidRPr="001C705E">
        <w:rPr>
          <w:rStyle w:val="NumeroAFNegritaCaracter"/>
        </w:rPr>
        <w:t>11</w:t>
      </w:r>
      <w:r>
        <w:t>. Una vez analizada la objeción de indeterminación de los supuestos alegada por los recurrentes, basada en la imprecisión de los términos, es preciso examinar la constitucionalidad de cada una de las indicaciones o supuestos de hecho en que el proyecto declara no punible la interrupción del estado de embarazo:</w:t>
      </w:r>
    </w:p>
    <w:p w:rsidR="001C705E" w:rsidRDefault="001C705E" w:rsidP="001C705E">
      <w:pPr>
        <w:pStyle w:val="TextoNormal"/>
      </w:pPr>
      <w:r>
        <w:t>a) El núm. 1 contiene en realidad dos indicaciones que es necesario distinguir: El grave peligro para la vida de la embarazada y el grave peligro para su salud.</w:t>
      </w:r>
    </w:p>
    <w:p w:rsidR="001C705E" w:rsidRDefault="001C705E" w:rsidP="001C705E">
      <w:pPr>
        <w:pStyle w:val="TextoNormal"/>
      </w:pPr>
      <w:r>
        <w:t>En cuanto a la primera, se plantea el conflicto entre el derecho a la vida de la madre y la protección de la vida del nasciturus. En este supuesto es de observar que si la vida del nasciturus se protegiera incondicionalmente, se protegería más a la vida del no nacido que a la vida del nacido, y se penalizaría a la mujer por defender su derecho a la vida, lo que descartan también los recurrentes, aunque lo fundamenten de otra manera; por consiguiente, resulta constitucional la prevalencia de la vida de la madre.</w:t>
      </w:r>
    </w:p>
    <w:p w:rsidR="001C705E" w:rsidRDefault="001C705E" w:rsidP="001C705E">
      <w:pPr>
        <w:pStyle w:val="TextoNormal"/>
      </w:pPr>
      <w:r>
        <w:t>En cuanto a la segunda, es preciso señalar que el supuesto de grave peligro» para la salud de la embarazada afecta seriamente a su derecho a la vida y a la integridad física. Por ello, la prevalencia de la salud de la madre tampoco resulta inconstitucional, máxime teniendo en cuenta que la exigencia del sacrificio importante y duradero de su salud bajo la conminación de una sanción penal puede estimarse inadecuada, de acuerdo con las consideraciones contenidas en el fundamento jurídico 9.</w:t>
      </w:r>
    </w:p>
    <w:p w:rsidR="001C705E" w:rsidRDefault="001C705E" w:rsidP="001C705E">
      <w:pPr>
        <w:pStyle w:val="TextoNormal"/>
      </w:pPr>
      <w:r>
        <w:t>b) En cuanto a la indicación prevista en el núm. 2 -que el embarazo sea consecuencia de un delito de violación y siempre que el aborto se practique dentro de las doce primeras semanas- basta considerar que la gestación ha tenido su origen en la comisión de un acto no sólo contrario a la voluntad de la mujer, sino realizado venciendo su resistencia por la violencia, lesionando en grado máximo su dignidad personal y el libre desarrollo de su personalidad, y vulnerando gravemente el derecho de la mujer a su integridad física y moral, al honor, a la propia imagen y a la intimidad personal. Obligarla a soportar las conse</w:t>
      </w:r>
      <w:r>
        <w:lastRenderedPageBreak/>
        <w:t>cuencias de un acto de tal naturaleza es manifiestamente inexigible; la dignidad de la mujer excluye que pueda considerársele como mero instrumento, y el consentimiento necesario para asumir cualquier compromiso u obligación cobra especial relieve en este caso ante un hecho de tanta trascendencia como el de dar vida a un nuevo ser, vida que afectará profundamente a la suya en todos los sentidos.</w:t>
      </w:r>
    </w:p>
    <w:p w:rsidR="001C705E" w:rsidRDefault="001C705E" w:rsidP="001C705E">
      <w:pPr>
        <w:pStyle w:val="TextoNormal"/>
      </w:pPr>
      <w:r>
        <w:t>Por ello la mencionada indicación no puede estimarse contraria a la Constitución.</w:t>
      </w:r>
    </w:p>
    <w:p w:rsidR="001C705E" w:rsidRDefault="001C705E" w:rsidP="001C705E">
      <w:pPr>
        <w:pStyle w:val="TextoNormal"/>
      </w:pPr>
      <w:r>
        <w:t>c) El núm. 3 del artículo en cuestión contiene la indicación relativa a la probable existencia de graves taras físicas o psíquicas en el feto. El fundamento de este supuesto, que incluye verdaderos casos limite, se encuentra en la consideración de que el recurso a la sanción penal entrañaría la imposición de una conducta que excede de la que normalmente es exigible a la madre y a la familia. La afirmación anterior tiene en cuenta la situación excepcional en que se encuentran los padres, y especialmente la madre, agravada en muchos casos por la insuficiencia de prestaciones estatales y sociales que contribuyan de modo significativo a paliar en el aspecto asistencial la situación, y a eliminar la inseguridad que inevitablemente ha de angustiar a los padres acerca de la suerte del afectado por la grave tara en el caso de que les sobreviva.</w:t>
      </w:r>
    </w:p>
    <w:p w:rsidR="001C705E" w:rsidRDefault="001C705E" w:rsidP="001C705E">
      <w:pPr>
        <w:pStyle w:val="TextoNormal"/>
      </w:pPr>
      <w:r>
        <w:t>Sobre esta base y las consideraciones que antes hemos efectuado en relación a la exigibilidad de la conducta, entendemos que este supuesto no es inconstitucional.</w:t>
      </w:r>
    </w:p>
    <w:p w:rsidR="001C705E" w:rsidRDefault="001C705E" w:rsidP="001C705E">
      <w:pPr>
        <w:pStyle w:val="TextoNormal"/>
      </w:pPr>
      <w:r>
        <w:t>En relación con él y desde la perspectiva constitucional, hemos de poner de manifiesto la conexión que existe entre el desarrollo del art. 49 de la Constitución -incluido en el capitulo III, «De los principios rectores de la política social y económica», del título I, «De los derechos y deberes fundamentales»- y la protección de la vida del nasciturus comprendida en el art. 15 de la Constitución. En efecto, en la medida en que se avance en la ejecución de la política preventiva y en la generalización e intensidad de las prestaciones asistenciales que son inherentes al Estado social (en la línea iniciada por la Ley de 7 de abril de 1982 relativa a los minusválidos, que incluye a los disminuidos profundos, y disposiciones complementarias) se contribuirá de modo decisivo a evitar la situación que está en la base de la despenalización.</w:t>
      </w:r>
    </w:p>
    <w:p w:rsidR="001C705E" w:rsidRDefault="001C705E" w:rsidP="001C705E">
      <w:pPr>
        <w:pStyle w:val="TextoNormal"/>
      </w:pPr>
    </w:p>
    <w:p w:rsidR="001C705E" w:rsidRDefault="001C705E" w:rsidP="001C705E">
      <w:pPr>
        <w:pStyle w:val="TextoNormal"/>
      </w:pPr>
      <w:r w:rsidRPr="001C705E">
        <w:rPr>
          <w:rStyle w:val="NumeroAFNegritaCaracter"/>
        </w:rPr>
        <w:t>12</w:t>
      </w:r>
      <w:r>
        <w:t>. Desde el punto de vista constitucional, el proyecto, al declarar no punible el aborto en determinados supuestos, viene a delimitar el ámbito de la protección penal del nasciturus, que queda excluido en tales casos en razón de la protección de derechos constitucionales de la mujer y de las circunstancias concurrentes en determinadas situaciones. Por ello, una vez establecida la constitucionalidad de tales supuestos, es necesario examinar si la regulación contenida en el art. 417 bis del Código Penal, en la redacción dada por el Proyecto, garantiza suficientemente el resultado de la ponderación de los bienes y derechos en conflicto realizada por el legislador, de forma tal que la desprotección del nasciturus no se produzca fuera de las situaciones previstas ni se desprotejan los derechos a la vida y a la integridad física de la mujer, evitando que el sacrificio del nasciturus, en su caso, comporte innecesariamente el de otros derechos constitucionalmente protegidos. Y ello porque, como hemos puesto de manifiesto en los fundamentos jurídicos 4 y 7 de la presente Sentencia, el Estado tiene la obligación de garantizar la vida, incluida la del nasciturus (art. 15 de la Constitución), mediante un sistema legal que suponga una protección efectiva de la misma, lo que exige, en la medida de lo posible, que se establezcan las garantías necesarias para que la eficacia de dicho sistema no disminuya más allá de lo que exige la finalidad del nuevo precepto.</w:t>
      </w:r>
    </w:p>
    <w:p w:rsidR="001C705E" w:rsidRDefault="001C705E" w:rsidP="001C705E">
      <w:pPr>
        <w:pStyle w:val="TextoNormal"/>
      </w:pPr>
      <w:r>
        <w:t xml:space="preserve">El legislador no ha sido ajeno a esta preocupación, pues indica en el proyecto, con carácter general, que el aborto debe ser practicado por un Médico con el consentimiento de </w:t>
      </w:r>
      <w:r>
        <w:lastRenderedPageBreak/>
        <w:t>la mujer, así como que el hecho debe ser denunciado en el caso de violación, y que en el tercer supuesto el pronóstico desfavorable ha de constar en un dictamen emitido por dos Médicos especialistas distintos del que intervenga a la embarazada. El propio legislador ha previsto, pues, determinadas medidas encaminadas a conseguir que se verifique la comprobación de los supuestos que están en la base de la despenalización parcial del aborto; se trata, como afirma el Abogado del Estado, de medidas de garantía y de certeza del presupuesto de hecho del precepto, en la línea de lo que sucede en la regulación positiva de países de nuestro entorno.</w:t>
      </w:r>
    </w:p>
    <w:p w:rsidR="001C705E" w:rsidRDefault="001C705E" w:rsidP="001C705E">
      <w:pPr>
        <w:pStyle w:val="TextoNormal"/>
      </w:pPr>
      <w:r>
        <w:t>Se impone, pues, examinar si dichas medidas de garantía son suficientes para considerar que la regulación contenida en el Proyecto cumple las antedichas exigencias constitucionales derivadas del art. 15 de la Constitución.</w:t>
      </w:r>
    </w:p>
    <w:p w:rsidR="001C705E" w:rsidRDefault="001C705E" w:rsidP="001C705E">
      <w:pPr>
        <w:pStyle w:val="TextoNormal"/>
      </w:pPr>
      <w:r>
        <w:t>Por lo que se refiere al primer supuesto, esto es, al aborto terapéutico, este Tribunal estima que la requerida intervención de un Médico para practicar la interrupción del embarazo, sin que se prevea dictamen médico alguno, resulta insuficiente. La protección del nasciturus exige, en primer lugar, que, de forma análoga a lo previsto en el caso del aborto eugenésico, la comprobación de la existencia del supuesto de hecho se realice con carácter general por un Médico de la especialidad correspondiente, que dictamine sobre las circunstancias que concurren en dicho supuesto.</w:t>
      </w:r>
    </w:p>
    <w:p w:rsidR="001C705E" w:rsidRDefault="001C705E" w:rsidP="001C705E">
      <w:pPr>
        <w:pStyle w:val="TextoNormal"/>
      </w:pPr>
      <w:r>
        <w:t>Por otra parte, en el caso del aborto terapéutico y eugenésico la comprobación del supuesto de hecho, por su naturaleza, ha de producirse necesariamente con anterioridad a la realización del aborto y, dado que de llevarse éste a cabo se ocasionaría un resultado irreversible, el Estado no puede desinteresarse de dicha comprobación.</w:t>
      </w:r>
    </w:p>
    <w:p w:rsidR="001C705E" w:rsidRDefault="001C705E" w:rsidP="001C705E">
      <w:pPr>
        <w:pStyle w:val="TextoNormal"/>
      </w:pPr>
      <w:r>
        <w:t>Del mismo modo tampoco puede desinteresarse de la realización del aborto, teniendo en cuenta el conjunto de bienes y derechos implicados -la protección de la vida del nasciturus y el derecho a la vida y a la salud de la madre que, por otra parte, está en la base de la despenalización en el primer supuesto-, con el fin de que la intervención se realice en las debidas condiciones médicas disminuyendo en consecuencia el riesgo para la mujer.</w:t>
      </w:r>
    </w:p>
    <w:p w:rsidR="001C705E" w:rsidRDefault="001C705E" w:rsidP="001C705E">
      <w:pPr>
        <w:pStyle w:val="TextoNormal"/>
      </w:pPr>
      <w:r>
        <w:t>Por ello el legislador debería prever que la comprobación del supuesto de hecho en los casos del aborto terapéutico y eugenésico, así como la realización del aborto, se lleve a cabo en centros sanitarios públicos o privados, autorizados al efecto, o adoptar cualquier otra solución que estime oportuna dentro del marco constitucional.</w:t>
      </w:r>
    </w:p>
    <w:p w:rsidR="001C705E" w:rsidRDefault="001C705E" w:rsidP="001C705E">
      <w:pPr>
        <w:pStyle w:val="TextoNormal"/>
      </w:pPr>
      <w:r>
        <w:t>Las exigencias constitucionales no quedarían incumplidas si el legislador decidiera excluir a la embarazada de entre los sujetos penalmente responsables en caso de incumplimiento de los requisitos mencionados en el párrafo anterior, dado que su fundamento último es el de hacer efectivo el deber del Estado de garantizar que la realización del aborto se llevará a cabo dentro de los límites previstos por el legislador y en las condiciones médicas adecuadas para salvaguardar el derecho a la vida y a la salud de la mujer.</w:t>
      </w:r>
    </w:p>
    <w:p w:rsidR="001C705E" w:rsidRDefault="001C705E" w:rsidP="001C705E">
      <w:pPr>
        <w:pStyle w:val="TextoNormal"/>
      </w:pPr>
      <w:r>
        <w:t>Por lo que se refiere a la comprobación del supuesto de hecho en el caso del aborto ético, la comprobación judicial del delito de violación con anterioridad a la interrupción del embarazo presenta graves dificultades objetivas, pues dado el tiempo que pueden requerir las actuaciones judiciales entraría en colisión con el plazo máximo dentro del cual puede practicarse aquélla. Por ello entiende este Tribunal que la denuncia previa, requerida por el proyecto en el mencionado supuesto, es suficiente para dar por cumplida la exigencia constitucional respecto a la comprobación del supuesto de hecho.</w:t>
      </w:r>
    </w:p>
    <w:p w:rsidR="001C705E" w:rsidRDefault="001C705E" w:rsidP="001C705E">
      <w:pPr>
        <w:pStyle w:val="TextoNormal"/>
      </w:pPr>
      <w:r>
        <w:t xml:space="preserve">Finalmente, como es obvio, el legislador puede adoptar cualquier solución dentro del marco constitucional, pues no es misión de este Tribunal sustituir la acción del legislador, pero sí lo es, de acuerdo con el art. 79.4 b) de la LOTC, indicar las modificaciones que a </w:t>
      </w:r>
      <w:r>
        <w:lastRenderedPageBreak/>
        <w:t>su juicio -y sin excluir otras posibles- permitieran la prosecución de la tramitación del proyecto por el órgano competente.</w:t>
      </w:r>
    </w:p>
    <w:p w:rsidR="001C705E" w:rsidRDefault="001C705E" w:rsidP="001C705E">
      <w:pPr>
        <w:pStyle w:val="TextoNormal"/>
      </w:pPr>
    </w:p>
    <w:p w:rsidR="001C705E" w:rsidRDefault="001C705E" w:rsidP="001C705E">
      <w:pPr>
        <w:pStyle w:val="TextoNormal"/>
      </w:pPr>
      <w:r w:rsidRPr="001C705E">
        <w:rPr>
          <w:rStyle w:val="NumeroAFNegritaCaracter"/>
        </w:rPr>
        <w:t>13</w:t>
      </w:r>
      <w:r>
        <w:t>. Consideran los recurrentes que el consentimiento en los supuestos previstos en los núms. 1 y 3 del art. 417 bis del Código Penal, en la redacción dada por el proyecto, no debería corresponder únicamente a la madre y hacen especial referencia a la participación del padre, estimando que la exclusión de ésta vulnera el art. 39.3 de la Constitución.</w:t>
      </w:r>
    </w:p>
    <w:p w:rsidR="001C705E" w:rsidRDefault="001C705E" w:rsidP="001C705E">
      <w:pPr>
        <w:pStyle w:val="TextoNormal"/>
      </w:pPr>
      <w:r>
        <w:t>El Tribunal entiende que la solución del legislador no es inconstitucional, dado que la peculiar relación entre la embarazada y el nasciturus hace que la decisión afecte primordialmente a aquélla.</w:t>
      </w:r>
    </w:p>
    <w:p w:rsidR="001C705E" w:rsidRDefault="001C705E" w:rsidP="001C705E">
      <w:pPr>
        <w:pStyle w:val="TextoNormal"/>
      </w:pPr>
    </w:p>
    <w:p w:rsidR="001C705E" w:rsidRDefault="001C705E" w:rsidP="001C705E">
      <w:pPr>
        <w:pStyle w:val="TextoNormal"/>
      </w:pPr>
      <w:r w:rsidRPr="001C705E">
        <w:rPr>
          <w:rStyle w:val="NumeroAFNegritaCaracter"/>
        </w:rPr>
        <w:t>14</w:t>
      </w:r>
      <w:r>
        <w:t>. Finalmente, los recurrentes alegan que el proyecto no contiene previsión alguna sobre las consecuencias que la norma penal origina en otros ámbitos jurídicos, aludiendo en concreto a la objeción de conciencia, al procedimiento a través del cual pueda prestar el consentimiento la mujer menor de edad o sometida a tutela y a la inclusión del aborto dentro del régimen de la Seguridad Social.</w:t>
      </w:r>
    </w:p>
    <w:p w:rsidR="001C705E" w:rsidRDefault="001C705E" w:rsidP="001C705E">
      <w:pPr>
        <w:pStyle w:val="TextoNormal"/>
      </w:pPr>
      <w:r>
        <w:t>Al Tribunal no se le oculta la especial relevancia de estas cuestiones, como también la de todas aquellas derivadas del derecho de la mujer a disponer de la necesaria información, no sólo de carácter médico -lo que constituye un requisito del consentimiento válido-, sino también de índole social, en relación con la decisión que ha de adoptar.</w:t>
      </w:r>
    </w:p>
    <w:p w:rsidR="001C705E" w:rsidRDefault="001C705E" w:rsidP="001C705E">
      <w:pPr>
        <w:pStyle w:val="TextoNormal"/>
      </w:pPr>
      <w:r>
        <w:t>Pero tales cuestiones, aunque su regulación pueda revestir singular interés, son ajenas al enjuiciamiento de la constitucionalidad del proyecto, que debe circunscribirse a la norma penal impugnada, de conformidad con lo dispuesto en el art. 79 de la LOTC.</w:t>
      </w:r>
    </w:p>
    <w:p w:rsidR="001C705E" w:rsidRDefault="001C705E" w:rsidP="001C705E">
      <w:pPr>
        <w:pStyle w:val="TextoNormal"/>
      </w:pPr>
      <w:r>
        <w:t>No obstante, cabe señalar, por lo que se refiere al derecho a la objeción de conciencia, que existe y puede ser ejercido con independencia de que se haya dictado o no tal regulación. La objeción de conciencia forma parte del contenido del derecho fundamental a la libertad ideológica y religiosa reconocido en el art. 16.1 de la Constitución y, como ha indicado este Tribunal en diversas ocasiones, la Constitución es directamente aplicable, especialmente en materia de derechos fundamentales.</w:t>
      </w:r>
    </w:p>
    <w:p w:rsidR="001C705E" w:rsidRDefault="001C705E" w:rsidP="001C705E">
      <w:pPr>
        <w:pStyle w:val="TextoNormal"/>
      </w:pPr>
      <w:r>
        <w:t>Y en cuanto a la forma de prestar consentimiento la menor o incapacitada, podrá aplicarse la regulación establecida por el derecho positivo, sin perjuicio de que el legislador pueda valorar si la normativa existente es la adecuada desde la perspectiva de la norma penal cuestionada.</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Declarar que el proyecto de Ley Orgánica por el que se introduce el art. 417 bis del Código Penal es disconforme con la Constitución, no en razón de los supuestos en que declara no punible el aborto, sino por incumplir en su regulación exigencias constitucionales derivadas del art. 15 de la Constitución, que resulta por ello vulnerado, en los términos y con el alcance que se expresan en el fundamento jurídico 12 de la presente Sentencia.</w:t>
      </w:r>
    </w:p>
    <w:p w:rsidR="001C705E" w:rsidRDefault="001C705E" w:rsidP="001C705E">
      <w:pPr>
        <w:pStyle w:val="TextoNormal"/>
      </w:pPr>
    </w:p>
    <w:p w:rsidR="001C705E" w:rsidRDefault="001C705E" w:rsidP="001C705E">
      <w:pPr>
        <w:pStyle w:val="TextoNormal"/>
      </w:pPr>
      <w:r>
        <w:lastRenderedPageBreak/>
        <w:t>Publíquese esta Sentencia en el «Boletín Oficial del Estado».</w:t>
      </w:r>
    </w:p>
    <w:p w:rsidR="001C705E" w:rsidRDefault="001C705E" w:rsidP="001C705E">
      <w:pPr>
        <w:pStyle w:val="TextoNormal"/>
      </w:pPr>
      <w:r>
        <w:t>Dada en Madrid, a once de abril de mil novecientos ochenta y cinco.</w:t>
      </w:r>
    </w:p>
    <w:p w:rsidR="001C705E" w:rsidRDefault="001C705E" w:rsidP="001C705E">
      <w:pPr>
        <w:pStyle w:val="ParrafoNormal"/>
      </w:pPr>
    </w:p>
    <w:p w:rsidR="001C705E" w:rsidRDefault="001C705E" w:rsidP="001C705E">
      <w:pPr>
        <w:pStyle w:val="TextoNormalNegritaCentrado"/>
        <w:keepNext/>
      </w:pPr>
      <w:r>
        <w:t>Voto particular que formula el Magistrado don Jerónimo Arozamena Sierra en el recurso previo de inconstitucionalidad núm. 800/1983</w:t>
      </w:r>
    </w:p>
    <w:p w:rsidR="001C705E" w:rsidRDefault="001C705E" w:rsidP="001C705E">
      <w:pPr>
        <w:pStyle w:val="TextoNormalNegritaCentrado"/>
        <w:keepNext/>
      </w:pPr>
    </w:p>
    <w:p w:rsidR="001C705E" w:rsidRDefault="001C705E" w:rsidP="001C705E">
      <w:pPr>
        <w:pStyle w:val="TextoNormal"/>
      </w:pPr>
      <w:r>
        <w:t>1. Disiento de la fundamentación y del fallo que han formulado mis colegas. A mi juicio debió declararse la inexistencia de la inconstitucionalidad alegada por el grupo recurrente y, en consecuencia, debió el proceso legislativo seguir su curso. Contra lo por mi propuesto, y que alcanzó el voto conforme de seis Magistrados, incluido el que suscribe este voto particular, la Sentencia de que discrepo ha concluido a mi entender, con un pronunciamiento que traspasa los límites jurídico funcionales de la potestad jurisdiccional que incumbe al Tribunal Constitucional.</w:t>
      </w:r>
    </w:p>
    <w:p w:rsidR="001C705E" w:rsidRDefault="001C705E" w:rsidP="001C705E">
      <w:pPr>
        <w:pStyle w:val="TextoNormal"/>
      </w:pPr>
      <w:r>
        <w:t>Nuestro cometido, cuando se declara en el recurso previo la inconstitucionalidad del texto impugnado, o de una parte de ese texto, es concretar ésta y el precepto o preceptos constitucionales infringidos [art.  79.4 b) de la LOTC]. Lo que está vedado al Tribunal es establecer modificaciones o adiciones del texto impugnado o establecer o adicionar otros preceptos. Esto es lo que hace la Sentencia cuando dice al legislador lo que debería hacer para adecuar los preceptos a la Constitución. Se equivoca la Sentencia, opino con todos los respetos, cuando recoge (fundamento 12, in fine), que corresponde al Tribunal «indicar las modificaciones que a su juicio -y sin excluir otras posibles- permitieran la prosecución de la tramitación del proyecto por el órgano competente». Ni dice esto el art. 79.4 b de la LOTC ni se concuerda con los principios que rigen la relación entre jurisdicción constitucional y legislación.</w:t>
      </w:r>
    </w:p>
    <w:p w:rsidR="001C705E" w:rsidRDefault="001C705E" w:rsidP="001C705E">
      <w:pPr>
        <w:pStyle w:val="TextoNormal"/>
      </w:pPr>
      <w:r>
        <w:t>2. El constituyente no resolvió -no tomó postura en el art. 15- el problema jurídico-penal del aborto. Es un tema abierto a la disponibilidad del legislador democrático -se ha hecho con el quórum reforzado de las leyes orgánicas-, sin que la fórmula por la que se ha decidido (la de indicaciones, referida a tres supuestos) se encuentre en oposición con el art. 15 (y los otros a los que se acogen los recurrentes para sostener la inconstitucionalidad: arts. 1.1, 39.2, 39.4, 43, 53.1 y 59.3). Para el juicio de confrontación constitucional debe partirse de que es al legislador (que goza de una presunción de constitucionalidad) al que incumbe la conformación jurídica de las relaciones sociales. Inferir del art. 15, como hace la Sentencia, que el precepto es inconstitucional por omisión de determinadas precisiones en el texto no resulta convincente. Se está, en realidad, a mi entender, conformando la modalidad excluyente de la responsabilidad penal, según un juicio que no es de constitucionalidad.</w:t>
      </w:r>
    </w:p>
    <w:p w:rsidR="001C705E" w:rsidRDefault="001C705E" w:rsidP="001C705E">
      <w:pPr>
        <w:pStyle w:val="TextoNormal"/>
      </w:pPr>
      <w:r>
        <w:t xml:space="preserve">El art. 15 comienza con expresión de función adjetival (todos) no seguida de un sustantivo. De la fórmula gramatical utilizada (y la supresión en el texto de la palabra «persona») no puede inferirse, a mi juicio, que la Constitución dejara decidida una determinada toma de posición impeditiva de una actuación legislativa penal. El análisis del texto del art. 15, de su proceso de creación y de sus conexiones sistemáticas, conducen a la idea de que el tema del aborto (y su tratamiento penal) quedó abierto al legislador. Junto a estos caminos interpretativos es obligado, por mandato del art. 10.2 de la Constitución, acudir a los textos internacionales que dice este precepto, y que tienen el valor de factor interpretativo, según el art. 10.2 de las normas relativas a los derechos fundamentales y a las libertades. No vamos a hacer largas consideraciones para algo que, a mi juicio, aparece claro: El art. 3 de la Declaración Universal de Derechos Humanos, el art. 6.1 del Pacto Internacional de Derechos Civiles y Políticos y el art. 2 del Convenio europeo son argumentos irrebatibles </w:t>
      </w:r>
      <w:r>
        <w:lastRenderedPageBreak/>
        <w:t>para sostener que el art. 15 de nuestra Constitución, interpretado desde textos internacionales, no es impeditivo de un sistema de tratamiento del aborto que excluya su punición, y, desde luego, no lo es del configurado en el art. 417 bis del Código Penal (según el proyecto impugnado), como revela, además, la existencia de sistemas variados de tratamiento del aborto en los países signatarios de los indicados textos internacionales.</w:t>
      </w:r>
    </w:p>
    <w:p w:rsidR="001C705E" w:rsidRDefault="001C705E" w:rsidP="001C705E">
      <w:pPr>
        <w:pStyle w:val="TextoNormal"/>
      </w:pPr>
      <w:r>
        <w:t>3. El legislador organiza su sistema penal según los principios del Estado de derecho, el principio de culpabilidad y el principio de humanidad. Cuando configura como punible una determinada conducta (en el caso, el aborto consentido), puede excepcionar conductas, o configurar causas (genéricas o específicas) de justificación, o de inculpabilidad por inexigibilidad de la conducta. Actúa el legislador según el principio de merecimiento de la pena no atrayendo al campo represivo punitivo conductas que no son merecedoras de sanción penal. Cierto que el nasciturus es un bien que merece protección penal. La lesión de ese bien se protege penalmente, pero no toda realización del tipo penal fundamenta la antijuridicidad de la conducta. Junto a las causes de antijuridicidad existen otras causas de inexigibilidad. El que el legislador configure, con mayor o menor rigor técnico, los supuestos excluidos de punición no es atentatorio a principio constitucional alguno. La apreciación de si una conducta es o no generalmente exigible y, en consecuencia, si su realización ha de ser o no castigada con una pena depende de una serie de factores que aprecia el legislador. Los poderes del legislador hechos efectivos en el art. 417 bis para excluir las responsabilidades penales en el caso del aborto consentido, no puede decirse que han traspasado límites constitucionales y, desde luego, no han incidido en violación del art.  15 de la Constitución.</w:t>
      </w:r>
    </w:p>
    <w:p w:rsidR="001C705E" w:rsidRDefault="001C705E" w:rsidP="001C705E">
      <w:pPr>
        <w:pStyle w:val="TextoNormal"/>
      </w:pPr>
      <w:r>
        <w:t>4. La insuficiencia del proyecto (la acusación de que es ambiguo o fragmentario) se alegó por los recurrentes desde la perspectiva de la seguridad jurídica (art. 9.3 de la Constitución). La Sentencia lo trata partiendo del art. 15. Sobre la inconsistencia de inferir partiendo del art.  15 que el proyecto de ley incurre en omisión que provoca su inconstitucionalidad ya he expuesto antes cuál es mi opinión. El texto del que discrepo no analiza, propiamente, lo que es el verdadero motivo del recurso basado en el art. 9.3. Creo que debió estudiarse este motivo (como otros sobre los que pasa por alto la Sentencia: arts. 1.1, 39.2 y 39.4) para concluir desestimándolos.</w:t>
      </w:r>
    </w:p>
    <w:p w:rsidR="001C705E" w:rsidRDefault="001C705E" w:rsidP="001C705E">
      <w:pPr>
        <w:pStyle w:val="TextoNormal"/>
      </w:pPr>
      <w:r>
        <w:t>Opino que hubiera sido procedente declarar que el Proyecto de Ley Orgánica de reforma del art. 417 bis del Código Penal es conforme con la Constitución.</w:t>
      </w:r>
    </w:p>
    <w:p w:rsidR="001C705E" w:rsidRDefault="001C705E" w:rsidP="001C705E">
      <w:pPr>
        <w:pStyle w:val="TextoNormal"/>
      </w:pPr>
      <w:r>
        <w:t>Madrid, a quince de abril de mil novecientos ochenta y cinco.</w:t>
      </w:r>
    </w:p>
    <w:p w:rsidR="001C705E" w:rsidRDefault="001C705E" w:rsidP="001C705E">
      <w:pPr>
        <w:pStyle w:val="TextoNormal"/>
      </w:pPr>
    </w:p>
    <w:p w:rsidR="001C705E" w:rsidRDefault="001C705E" w:rsidP="001C705E">
      <w:pPr>
        <w:pStyle w:val="TextoNormalNegritaCentrado"/>
        <w:keepNext/>
      </w:pPr>
      <w:r>
        <w:t>Voto particular que formula el Magistrado don Luis Díez-Picazo a la Sentencia dictada en el recurso previo de inconstitucionalidad número 800/1983</w:t>
      </w:r>
    </w:p>
    <w:p w:rsidR="001C705E" w:rsidRDefault="001C705E" w:rsidP="001C705E">
      <w:pPr>
        <w:pStyle w:val="TextoNormalNegritaCentrado"/>
        <w:keepNext/>
      </w:pPr>
    </w:p>
    <w:p w:rsidR="001C705E" w:rsidRDefault="001C705E" w:rsidP="001C705E">
      <w:pPr>
        <w:pStyle w:val="TextoNormal"/>
      </w:pPr>
      <w:r>
        <w:t>Quiero exponer con la mayor brevedad posible, las razones por la que disiento de esta Sentencia, que guardan, en buena medida, relación con mi modo de entender la función de la Constitución y la inconstitucionalidad de las leyes.</w:t>
      </w:r>
    </w:p>
    <w:p w:rsidR="001C705E" w:rsidRDefault="001C705E" w:rsidP="001C705E">
      <w:pPr>
        <w:pStyle w:val="TextoNormal"/>
      </w:pPr>
      <w:r>
        <w:t>a) En la Sentencia de 8 de abril de 1981 (recurso de inconstitucionalidad número 192/1980, «Boletín Oficial del Estado» de 25 de abril de 1981) decíamos que en «un plano hay que situar las decisiones políticas y el enjuiciamiento político que tales decisiones merezcan y en otro plano distinto la calificación de inconstitucionalidad, que ha de hacerse con arreglo a criterios estrictamente jurídicos». Yo sigo profesando la misma idea: Considerar que una ley no es inconstitucional es la conclusión de un juicio jurídico, que no supone -entiéndase bien- hacerse partidario de la ley o solidarizarse con ella.</w:t>
      </w:r>
    </w:p>
    <w:p w:rsidR="001C705E" w:rsidRDefault="001C705E" w:rsidP="001C705E">
      <w:pPr>
        <w:pStyle w:val="TextoNormal"/>
      </w:pPr>
      <w:r>
        <w:lastRenderedPageBreak/>
        <w:t>b) En la recordada Sentencia de 8 de abril de 1981 dijimos también algo que yo continúo profesando. Era esto: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dadas de una vez por todas.»</w:t>
      </w:r>
    </w:p>
    <w:p w:rsidR="001C705E" w:rsidRDefault="001C705E" w:rsidP="001C705E">
      <w:pPr>
        <w:pStyle w:val="TextoNormal"/>
      </w:pPr>
      <w:r>
        <w:t>c) Recuerdo ahora también alguna otra opinión del Tribunal: Cuando dijimos que el objeto de un juicio de inconstitucionalidad son los textos legales estrictamente considerados y no el bloque normativo del que forman parte. Es claro, en mi opinión, que el juicio de inconstitucionalidad afecta a los textos legales y no a bloques del ordenamiento o a eventuales resultados de los mismos.</w:t>
      </w:r>
    </w:p>
    <w:p w:rsidR="001C705E" w:rsidRDefault="001C705E" w:rsidP="001C705E">
      <w:pPr>
        <w:pStyle w:val="TextoNormal"/>
      </w:pPr>
      <w:r>
        <w:t>También mantengo como firme que no hay inconstitucionalidad por las omisiones en que pueda considerarse que el legislador ha incidido.</w:t>
      </w:r>
    </w:p>
    <w:p w:rsidR="001C705E" w:rsidRDefault="001C705E" w:rsidP="001C705E">
      <w:pPr>
        <w:pStyle w:val="TextoNormal"/>
      </w:pPr>
      <w:r>
        <w:t>d) Según mi modesto criterio, la inconstitucionalidad como contradicción de una ley con un mandato de la Constitución debe resultar inmediatamente de un contraste entre lo dos textos. Puede admitirse que subsiga a una regla constructiva intermedia que el intérprete establezca. Me parece, en cambio, muy difícil una extensión ilimitada o demasiado remota de las reglas constructivas derivadas de la Constitución para afirmar la inconstitucionalidad por la contradicción de la ley enjuiciada con la última de las deducciones constructivas.</w:t>
      </w:r>
    </w:p>
    <w:p w:rsidR="001C705E" w:rsidRDefault="001C705E" w:rsidP="001C705E">
      <w:pPr>
        <w:pStyle w:val="TextoNormal"/>
      </w:pPr>
      <w:r>
        <w:t>La cosa es todavía más arriesgada cuando en lo que llamo «deducciones constructivas» hay larvados o manifiestos juicios de valor, porque se puede tener la impresión de que se segrega una segunda línea constitucional, que es muy difícil que opere como un límite del poder legislativo, en quien encarna la representación de la soberanía popular.</w:t>
      </w:r>
    </w:p>
    <w:p w:rsidR="001C705E" w:rsidRDefault="001C705E" w:rsidP="001C705E">
      <w:pPr>
        <w:pStyle w:val="TextoNormal"/>
      </w:pPr>
      <w:r>
        <w:t>e) Tampoco creo que sea función del Tribunal colaborar en la función legislativa, orientarla o perfeccionarla. No creo que el art. 79.4 de la Ley Orgánica del Tribunal autorice esa tesis.</w:t>
      </w:r>
    </w:p>
    <w:p w:rsidR="001C705E" w:rsidRDefault="001C705E" w:rsidP="001C705E">
      <w:pPr>
        <w:pStyle w:val="TextoNormal"/>
      </w:pPr>
      <w:r>
        <w:t>f) En lo que concierne en concreto a la Ley aquí discutida, coincido con la Sentencia en la legitimidad constitucional del llamado sistema de indicaciones y de las indicaciones contenidas en el proyecto de ley, aunque no comparto todas las razones en que tal conclusión se funda. Creo, simplemente, que el legislador es dueño de exceptuar supuestos concretos de la punibilidad general en atención a su justificación a la concurrencia en ellos de circunstancias que inciden sobre el reproche de culpabilidad o a lo que se ha llamado el juicio sobre el merecimiento de la pena.</w:t>
      </w:r>
    </w:p>
    <w:p w:rsidR="001C705E" w:rsidRDefault="001C705E" w:rsidP="001C705E">
      <w:pPr>
        <w:pStyle w:val="TextoNormal"/>
      </w:pPr>
      <w:r>
        <w:t>g) Si se llega a esta conclusión, me parece que ni se puede, ni se debe ir más allá. Cuando se señalan condiciones de seguridad del aborto, se está pasando insensiblemente del terreno del Código Penal a una hipotética ley de legalización o liberalización que aquí no se ha producido. Me resulta muy difícil entender, constitucionalmente, que una conducta sea punible o deje de serlo por el número de médicos intervinientes o por el lugar en que se realice, porque una cosa es el Código Penal y otra la hipotética reglamentación administrativa de los abortos justificados o inculpables.</w:t>
      </w:r>
    </w:p>
    <w:p w:rsidR="001C705E" w:rsidRDefault="001C705E" w:rsidP="001C705E">
      <w:pPr>
        <w:pStyle w:val="TextoNormal"/>
      </w:pPr>
      <w:r>
        <w:t>Madrid a, quince de abril de mil novecientos ochenta y cinco.</w:t>
      </w:r>
    </w:p>
    <w:p w:rsidR="001C705E" w:rsidRDefault="001C705E" w:rsidP="001C705E">
      <w:pPr>
        <w:pStyle w:val="TextoNormal"/>
      </w:pPr>
    </w:p>
    <w:p w:rsidR="001C705E" w:rsidRDefault="001C705E" w:rsidP="001C705E">
      <w:pPr>
        <w:pStyle w:val="TextoNormalNegritaCentrado"/>
        <w:keepNext/>
      </w:pPr>
      <w:r>
        <w:lastRenderedPageBreak/>
        <w:t>Voto particular del Magistrado don Francisco Tomás y Valiente en el recurso previo de inconstitucionalidad núm. 800/1983</w:t>
      </w:r>
    </w:p>
    <w:p w:rsidR="001C705E" w:rsidRDefault="001C705E" w:rsidP="001C705E">
      <w:pPr>
        <w:pStyle w:val="TextoNormalNegritaCentrado"/>
        <w:keepNext/>
      </w:pPr>
    </w:p>
    <w:p w:rsidR="001C705E" w:rsidRDefault="001C705E" w:rsidP="001C705E">
      <w:pPr>
        <w:pStyle w:val="TextoNormal"/>
      </w:pPr>
      <w:r>
        <w:t>1. Mi opinión defendida a lo largo de la deliberación es que el Proyecto de Ley Orgánica impugnado es en todo conforme con la Constitución. De ahí mi discrepancia con el fallo y con el fundamento jurídico 12 en el que principalmente se basa su declaración de disconformidad con la Constitución.  No obstante, dado el carácter explicativo del propio fallo y las salvedades que en él se contienen, debo indicar, antes de razonar mi discrepancia, los puntos del fallo y de los fundamentos con los que estoy de acuerdo.</w:t>
      </w:r>
    </w:p>
    <w:p w:rsidR="001C705E" w:rsidRDefault="001C705E" w:rsidP="001C705E">
      <w:pPr>
        <w:pStyle w:val="TextoNormal"/>
      </w:pPr>
      <w:r>
        <w:t>2. Mi acuerdo es total con la declaración de constitucionalidad de los supuestos en que el proyecto del art. 417 bis del Código Penal declara no punible el aborto; declaración contenida en el fallo y razonada en los fundamentos 9, 10 y 11. Muestro mi sustancial conformidad con los términos y razonamientos en ellos expuestos, e incluso ex silentio con lo que allí no se dice, pues no hay en ellos ni en ningún otro pasaje de la Sentencia afirmación alguna que permita suponer que esos y sólo esos tres supuestos o indicaciones son los únicos que el legislador podría declarar no punibles. En este aspecto el Tribunal se ha limitado a enjuiciar el texto impugnado y nada más.</w:t>
      </w:r>
    </w:p>
    <w:p w:rsidR="001C705E" w:rsidRDefault="001C705E" w:rsidP="001C705E">
      <w:pPr>
        <w:pStyle w:val="TextoNormal"/>
      </w:pPr>
      <w:r>
        <w:t>3. Manifiesto también mi acuerdo sin reservas con la idea de que el nasciturus no es titular de un derecho fundamental a la vida, tesis por mi ya defendida en mi voto particular concurrente en la Sentencia 75/1984 de la Sala Segunda, y que se plasma ahora en la presente Sentencia como resultado de razonamientos no idénticos al mío, pero coincidentes en su conclusión. Véanse al respecto el inciso final del fundamento jurídico 5, todo el 6 y el primer párrafo del 7 con cuya afirmación de que el nasciturus, aun no siendo titular del derecho a la vida, constituye un bien jurídico constitucionalmente protegido, también estoy de acuerdo. Cualquier jurista conoce la compatibilidad y la enorme diferencia entre ambos conceptos, pues sólo es titular de derechos quien es persona y el nasciturus no es persona.</w:t>
      </w:r>
    </w:p>
    <w:p w:rsidR="001C705E" w:rsidRDefault="001C705E" w:rsidP="001C705E">
      <w:pPr>
        <w:pStyle w:val="TextoNormal"/>
      </w:pPr>
      <w:r>
        <w:t>Así pues, según la Sentencia, no hay un conflicto entre los derechos de la mujer y un inexistente derecho fundamental del nasciturus a la vida, sino un conflicto entre los derechos fundamentales de la mujer embarazada y un bien jurídicamente protegido que es la vida humana en formación (fundamento jurídico 9). En esto mi conformidad con la Sentencia es completa.</w:t>
      </w:r>
    </w:p>
    <w:p w:rsidR="001C705E" w:rsidRDefault="001C705E" w:rsidP="001C705E">
      <w:pPr>
        <w:pStyle w:val="TextoNormal"/>
      </w:pPr>
      <w:r>
        <w:t>4. Nunca he sido un entusiasta de la filosofía de los valores. Tal vez por ello no comparto (y aquí comienzan mis discrepancias) las abundantes consideraciones axiológicas incluidas en los fundamentos 3, 4 y 5. Al margen de las imprecisiones o titubeos terminológicos que contienen y que seria prolijo e inútil referir aquí, no encuentro fundamento jurídico-constitucional, único pertinente, para afirmar como se hace, que la vida humana «es un valor superior del ordenamiento jurídico constitucional» (fundamento jurídico 3) o «un valor fundamental» (fundamento jurídico 5) o «un valor central» (fundamento jurídico 9). Que el concepto de persona es el soporte y el prius lógico de todo derecho me parece evidente y yo así lo sostengo. Pero esta afirmación no autoriza peligrosas jerarquizaciones axiológicas, ajenas por lo demás al texto de la Constitución, donde, por cierto, en su art. 1.1 se dice que son valores superiores del ordenamiento jurídico la libertad, la justicia, la igualdad y el pluralismo político: Esos y sólo esos. Frente a tan abstractas consideraciones sobre la vida como valor, llama la atención que en la Sentencia no se formule ninguna sobre el primero de los que la Constitución denomina valores superiores: La libertad. De ahí, de esa omisión, que no olvido, deriva quizá la escasa atención que se presta a los derechos de libertad de la mujer embarazada.</w:t>
      </w:r>
    </w:p>
    <w:p w:rsidR="001C705E" w:rsidRDefault="001C705E" w:rsidP="001C705E">
      <w:pPr>
        <w:pStyle w:val="TextoNormal"/>
      </w:pPr>
      <w:r>
        <w:lastRenderedPageBreak/>
        <w:t>5. Comprendo, aun sin compartirla, la oposición a la no punición del aborto en defensa de un supuesto derecho fundamental del nasciturus a la vida. Es esa una línea clásica de razonamiento desde la que se podría llegar, con innegable coherencia interna, a un fallo de inconstitucionalidad en determinadas regulaciones de despenalización o de legalización del aborto. Abandonado, sin embargo, en la Sentencia ese posible punto de partida, se entra en su fundamento 12 en un planteamiento insólito en países con Constituciones y Códigos Penales como los nuestros. Conviene tener presente que el proyecto del art. 417 bis no contiene ni una legalización ni tampoco una despenalización del aborto (fundamento jurídico 12), sino la simple declaración de no punibilidad de determinadas conductas, manteniendo intacto el tipo delictivo del 411 del Código, a mi juicio de muy dudosa constitucionalidad. Que en ese contexto la ponderación del legislador penal sea tachada de inconstitucionalidad por falta de dos llamadas garantías provoca mi radical discrepancia por las siguientes razones:</w:t>
      </w:r>
    </w:p>
    <w:p w:rsidR="001C705E" w:rsidRDefault="001C705E" w:rsidP="001C705E">
      <w:pPr>
        <w:pStyle w:val="TextoNormal"/>
      </w:pPr>
      <w:r>
        <w:t>a) Constituye un salto lógica (o ilógico), porque entre la invocación al art.  15 y la conclusión de que hacen falta dos garantías más ( por qué ésas y sólo ésas?) no existe un juicio de inferencia lógica.</w:t>
      </w:r>
    </w:p>
    <w:p w:rsidR="001C705E" w:rsidRDefault="001C705E" w:rsidP="001C705E">
      <w:pPr>
        <w:pStyle w:val="TextoNormal"/>
      </w:pPr>
      <w:r>
        <w:t>b) Una de las garantías exigidas, la del dictamen de «un Médico de la especialidad correspondiente» para comprobar la existencia del supuesto de hecho del aborto terapéutico, es imprecisa en su formulación ( qué especialidad?) y de imposible cumplimiento en casos de urgencia.</w:t>
      </w:r>
    </w:p>
    <w:p w:rsidR="001C705E" w:rsidRDefault="001C705E" w:rsidP="001C705E">
      <w:pPr>
        <w:pStyle w:val="TextoNormal"/>
      </w:pPr>
      <w:r>
        <w:t>c) No se comprende por qué la exigencia de que «la realización del aborto» haya de tener lugar en establecimiento sanitario se refiera sólo al aborto terapéutico y al eugenésico, pero no al llamado aborto ético.</w:t>
      </w:r>
    </w:p>
    <w:p w:rsidR="001C705E" w:rsidRDefault="001C705E" w:rsidP="001C705E">
      <w:pPr>
        <w:pStyle w:val="TextoNormal"/>
      </w:pPr>
      <w:r>
        <w:t>d) Lo que se denomina en la Sentencia comprobación de los supuestos de hecho es algo que corresponde al Juez penal, dado que las conductas reguladas en el art. 417 del Código Penal continúan siendo delictivas. La intervención preventiva y a esos efectos de un Médico es trasladar a éste deberes y responsabilidades ajenas.</w:t>
      </w:r>
    </w:p>
    <w:p w:rsidR="001C705E" w:rsidRDefault="001C705E" w:rsidP="001C705E">
      <w:pPr>
        <w:pStyle w:val="TextoNormal"/>
      </w:pPr>
      <w:r>
        <w:t>Nada impide, por lo demás, añadir a estas exigencias otras innovaciones a iniciativa del legislador, como podría ser la asistencia a las mujeres que interrumpan el embarazo en Centros y a cargo de la Seguridad Social. El mismo texto da cabida a estos y otros perfeccionamientos deseables. Lo cual pone de manifiesto que estamos ante un juicio de perfectibilidad sobre cuya pertinencia conviene detener nuestra atención.</w:t>
      </w:r>
    </w:p>
    <w:p w:rsidR="001C705E" w:rsidRDefault="001C705E" w:rsidP="001C705E">
      <w:pPr>
        <w:pStyle w:val="TextoNormal"/>
      </w:pPr>
      <w:r>
        <w:t>6. En efecto; más allá de la discrepancia intrínseca respecto a la formulación de las garantías exigidas, mi oposición más rotunda se dirige al hecho mismo de la exigencia. Veamos por qué:</w:t>
      </w:r>
    </w:p>
    <w:p w:rsidR="001C705E" w:rsidRDefault="001C705E" w:rsidP="001C705E">
      <w:pPr>
        <w:pStyle w:val="TextoNormal"/>
      </w:pPr>
      <w:r>
        <w:t>a) El juicio de constitucionalidad no es un juicio de calidad o de perfectibilidad. El Tribunal Constitucional puede y debe decir en qué se opone a la Constitución un determinado texto normativo, y, en consecuencia, por qué es inconstitucional. Lo que no puede es formular juicios de calidad.</w:t>
      </w:r>
    </w:p>
    <w:p w:rsidR="001C705E" w:rsidRDefault="001C705E" w:rsidP="001C705E">
      <w:pPr>
        <w:pStyle w:val="TextoNormal"/>
      </w:pPr>
      <w:r>
        <w:t>b) La jurisdicción constitucional es negativa, puede formular exclusiones o vetos sobre los textos a ella sometidos. Lo que no puede hacer es decirle al legislador lo que debe añadir a las Leyes para que sean constitucionales. Si actúa así, y así ha actuado en este caso este Tribunal, se convierte en un legislador positivo.</w:t>
      </w:r>
    </w:p>
    <w:p w:rsidR="001C705E" w:rsidRDefault="001C705E" w:rsidP="001C705E">
      <w:pPr>
        <w:pStyle w:val="TextoNormal"/>
      </w:pPr>
      <w:r>
        <w:t>c) Cada Institución debe actuar como lo que es, no «como si» fuera lo que no es. Pocas lógicas hay tan funestas como la lógica del «como si» (als ob). El Tribunal Constitucional, frecuentemente instado a actuar «como si» fuese eso que en un lenguaje ni técnico ni inocente se ha dado en llamar «la tercera Cámara», ha caído por esta vez en la tentación.</w:t>
      </w:r>
    </w:p>
    <w:p w:rsidR="001C705E" w:rsidRDefault="001C705E" w:rsidP="001C705E">
      <w:pPr>
        <w:pStyle w:val="TextoNormal"/>
      </w:pPr>
      <w:r>
        <w:lastRenderedPageBreak/>
        <w:t>d) Por esta sola vez, puesto que al resolver los anteriores recursos previos (léase por todas la Sentencia 76/1983 sobre el proyecto de la LOAPA) nunca entendió este Tribunal que sus competencias llegaran tan lejos, aunque ya entonces, por supuesto, estaba vigente el art. 79.4 b) de la LOTC, ahora citado como apoyo para señalar al legislador, lo que debe hacer a fin de que su Ley sea conforme con la Constitución.</w:t>
      </w:r>
    </w:p>
    <w:p w:rsidR="001C705E" w:rsidRDefault="001C705E" w:rsidP="001C705E">
      <w:pPr>
        <w:pStyle w:val="TextoNormal"/>
      </w:pPr>
      <w:r>
        <w:t>e) El art. 79 de la LOTC, el mismo que creó fuera de la Constitución, el recurso previo de inconstitucionalidad, en su párrafo 4 b) (modelo de pésima redacción), impone dos deberes dirigidos a dos sujetos distintos. Al Tribunal le exige que, en su caso, concrete la inconstitucionalidad de la norma impugnada y el precepto o preceptos constitucionales infringidos. Al otro sujeto -«el órgano competente»- le exige que para seguir la tramitación del proyecto suprima o modifique los preceptos, se entiende, declarados inconstitucionales. No puede interpretarse nunca, a mi juicio, que sea el Tribunal quien le indique al legislador qué modificaciones deben ser ésas. De otro modo, es decir, si el Tribunal indicase las modificaciones a introducir, carecería de sentido el párrafo 5 del mismo art. 79 de la LOTC, puesto que si, según éste, «el pronunciamiento en el recurso previo no prejuzga la decisión del Tribunal» en los recursos que pudieran interponerse contra la Ley ya corregida o modificada, es evidentemente porque tales modificaciones no han sido dictadas de modo vinculante por el Tribunal Constitucional.</w:t>
      </w:r>
    </w:p>
    <w:p w:rsidR="001C705E" w:rsidRDefault="001C705E" w:rsidP="001C705E">
      <w:pPr>
        <w:pStyle w:val="TextoNormal"/>
      </w:pPr>
      <w:r>
        <w:t>f) La técnica usada en este fundamento no tiene nada que ver con la de las denominadas sentencias interpretativas, en las que, de entre las posibles interpretaciones de un texto legal impugnado, el Tribunal declara conforme con la Constitución una de ellas, precisamente en defensa de la presunción de constitucionalidad de las normas emanadas del legislador democrático.</w:t>
      </w:r>
    </w:p>
    <w:p w:rsidR="001C705E" w:rsidRDefault="001C705E" w:rsidP="001C705E">
      <w:pPr>
        <w:pStyle w:val="TextoNormal"/>
      </w:pPr>
      <w:r>
        <w:t>g) Cuando sobre tan exigua, confusa y discutible base, interpretada de forma innovadora ad casum, el Tribunal se atreve a tanto, transgrede los límites de sus competencias y roza una frontera sumamente peligrosa: la del arbitrismo o decisionismo judicial.  Por eso, y contra eso, expreso mi profunda y preocupada discrepancia.</w:t>
      </w:r>
    </w:p>
    <w:p w:rsidR="001C705E" w:rsidRDefault="001C705E" w:rsidP="001C705E">
      <w:pPr>
        <w:pStyle w:val="TextoNormal"/>
      </w:pPr>
      <w:r>
        <w:t>Con estos argumentos y coincidiendo en lo sustancial con los de otros cinco Magistrados sostuve, como ellos, con mi voto, la ponencia presentada y defendida por el Ponente inicial del presente caso, que concluía con un fallo declaratorio de la constitucionalidad del proyecto de Ley impugnado.</w:t>
      </w:r>
    </w:p>
    <w:p w:rsidR="001C705E" w:rsidRDefault="001C705E" w:rsidP="001C705E">
      <w:pPr>
        <w:pStyle w:val="TextoNormal"/>
      </w:pPr>
      <w:r>
        <w:t>Madrid, a quince de abril de mil novecientos ochenta y cinco.</w:t>
      </w:r>
    </w:p>
    <w:p w:rsidR="001C705E" w:rsidRDefault="001C705E" w:rsidP="001C705E">
      <w:pPr>
        <w:pStyle w:val="TextoNormal"/>
      </w:pPr>
    </w:p>
    <w:p w:rsidR="001C705E" w:rsidRDefault="001C705E" w:rsidP="001C705E">
      <w:pPr>
        <w:pStyle w:val="TextoNormalNegritaCentrado"/>
        <w:keepNext/>
      </w:pPr>
      <w:r>
        <w:t>Voto particular de los Magistrados don Angel Latorre Segura y don Manuel Díez de Velasco Vallejo en el recurso previo de inconstitucionalidad número 800/1983</w:t>
      </w:r>
    </w:p>
    <w:p w:rsidR="001C705E" w:rsidRDefault="001C705E" w:rsidP="001C705E">
      <w:pPr>
        <w:pStyle w:val="TextoNormalNegritaCentrado"/>
        <w:keepNext/>
      </w:pPr>
    </w:p>
    <w:p w:rsidR="001C705E" w:rsidRDefault="001C705E" w:rsidP="001C705E">
      <w:pPr>
        <w:pStyle w:val="TextoNormal"/>
      </w:pPr>
      <w:r>
        <w:t>1. Haciendo uso de las facultades que nos otorga el art. 164 de la Constitución Española (C.E.)  y el art. 90.2, de la Ley Orgánica del Tribunal Constitucional (LOTC), reflejamos por medio del presente voto particular nuestra opinión discrepante, tanto en lo que se refiere a la decisión o fallo como a su correspondiente fundamentación. Las opiniones aquí sostenidas fueron defendidas en el curso de las deliberaciones apoyando la Ponencia presentada por el Ponente inicialmente nombrado, don Jerónimo Arozamena Sierra, y coincidiendo en lo esencial la posición sostenida por los Magistrados firmantes con las de otros cuatro colegas de este Tribunal en dichas deliberaciones.</w:t>
      </w:r>
    </w:p>
    <w:p w:rsidR="001C705E" w:rsidRDefault="001C705E" w:rsidP="001C705E">
      <w:pPr>
        <w:pStyle w:val="TextoNormal"/>
      </w:pPr>
      <w:r>
        <w:t xml:space="preserve">2. Nuestra primera y fundamental discrepancia recae sobre las atribuciones que al dictar esta Sentencia ha asumido el Tribunal Constitucional (TC). En efecto, el TC no se limita a </w:t>
      </w:r>
      <w:r>
        <w:lastRenderedPageBreak/>
        <w:t>pronunciarse en el fallo sobre la constitucionalidad de los diversos extremos del proyecto de Ley impugnado, sino que, por remisión en el mismo fallo al fundamento jurídico 12 de la Sentencia, indica al legislador lo que debe de hacer. En el caso del llamado aborto «terapéutico», el legislador debe exigir el dictamen de un especialista.  Tanto en este supuesto como en el del llamado aborto «eugenésico», el legislador debe prever una intervención del Estado mediante la obligación de que el aborto se realice en centros sanitarios públicos o privados autorizados al efecto o mediante cualquier solución que el mismo legislador estime oportuna.</w:t>
      </w:r>
    </w:p>
    <w:p w:rsidR="001C705E" w:rsidRDefault="001C705E" w:rsidP="001C705E">
      <w:pPr>
        <w:pStyle w:val="TextoNormal"/>
      </w:pPr>
      <w:r>
        <w:t>Estas previsiones suponen, a nuestro juicio, que el TC asume la función de introducir enmiendas en los proyectos de Ley que se someten a su enjuiciamiento mediante el recurso previo de inconstitucionalidad. Tal función excede de las ya muy amplias competencias que no sólo la Constitución sino también la LOTC asignan a este Tribunal Constitucional, cuya actuación no puede aproximarse a la de una «tercera Cámara» sin provocar un peligroso desequilibrio en nuestro sistema jurídico-político, invadiendo facultades que corresponden al poder legislativo.</w:t>
      </w:r>
    </w:p>
    <w:p w:rsidR="001C705E" w:rsidRDefault="001C705E" w:rsidP="001C705E">
      <w:pPr>
        <w:pStyle w:val="TextoNormal"/>
      </w:pPr>
      <w:r>
        <w:t>3. Por lo que acabamos de exponer no podemos compartir la opinión expresada en la Sentencia de que el art. 79.4 b) de la LOTC autoriza a este TC a indicar las modificaciones que, a su juicio, permitan la prosecución de la tramitación del proyecto de Ley por el órgano competente que, sin duda, son las Cortes Generales. Tal interpretación debe ser rechazada, ya que conduce a la inaceptable conclusión de que este Tribunal Constitucional puede actuar como legislador positivo, en contra de la naturaleza propia de su función. La interpretación adecuada de este precepto es que las Cortes Generales pueden, libre y soberanamente, a la vista de lo resuelto en una Sentencia que sustancia un recurso previo, o bien suprimir los preceptos del proyecto de Ley declarados inconstitucionales o bien modificarlos con la finalidad de ajustarlos a la Constitución. Tal es así que el número 5 del mismo art. 79 de la LOTC dispone, con carácter general, que «el pronunciamiento en el recurso previo no prejuzga la decisión del Tribunal en los recursos que pudieran interponerse tras la entrada en vigor con fuerza de Ley del texto impugnado en la vía previa».</w:t>
      </w:r>
    </w:p>
    <w:p w:rsidR="001C705E" w:rsidRDefault="001C705E" w:rsidP="001C705E">
      <w:pPr>
        <w:pStyle w:val="TextoNormal"/>
      </w:pPr>
      <w:r>
        <w:t>4. Refiriéndonos a determinados aspectos concretos de la Sentencia hemos de mostrar nuestra conformidad con algunas de sus afirmaciones. Entre ellas que el feto no es titular del derecho fundamental a la vida, lo que no excluye que exista un deber del Estado de proteger la vida humana en las diversa fases de su evolución, incluida la intrauterina. No creemos, en cambio, que esta protección tenga que revestir forma penal en todos los casos porque no impone tal tipo de protección ningún precepto constitucional. Estimamos, en todo caso, y de acuerdo con la Sentencia, que no es inconstitucional la despenalización de los supuesto previstos en el proyecto de Ley impugnado.</w:t>
      </w:r>
    </w:p>
    <w:p w:rsidR="001C705E" w:rsidRDefault="001C705E" w:rsidP="001C705E">
      <w:pPr>
        <w:pStyle w:val="TextoNormal"/>
      </w:pPr>
      <w:r>
        <w:t>5. Nuestro disentimiento en este aspecto recae sobre la argumentación en que se basa la declaración de inconstitucionalidad en los supuesto del aborto «terapéutico» y «eugenésico», ya que ningún reproche de inconstitucionalidad se formula al supuesto del aborto «ético». En efecto, tras declarar que los tres supuestos de despenalización son en sí conformes a la Constitución se afirma que en los citados supuesto «terapéutico» y «eugenésico» faltan garantías suficientes para la verificación de los supuesto de hecho, así como para la debida protección de la vida y de la salud de la embarazada, y que la previsión legal de esas garantías es una exigencia constitucional derivada del art. 15 de la Constitución. Entendemos que del «derecho a la vida y a la integridad física y moral» reconocido en el citado artículo constitucional, sea cual sea el alcance que se dé a estos derechos, no cabe inferir que debe imponerse por el Estado una sanción penal para los casos en que este TC no considere suficientes las garantías previstas. Las normas despenalizadoras no con</w:t>
      </w:r>
      <w:r>
        <w:lastRenderedPageBreak/>
        <w:t>tienen habitualmente, ni se ve por qué razón sea constitucionalmente exigible, que contengan garantías de la verificación de los supuestos de hecho. En caso de que éstos se invoquen fraudulentamente, o en su verificación el encargado de hacerlo (en este caso el Médico) incurra en negligencia punible, actuarán los Tribunales de Justicia, que son los órganos competentes para ellos. Y en cuanto a las medidas necesarias para la mejor protección de la vida y salud de la embarazada tampoco vemos cómo esa protección requiere constitucionalmente, en virtud del art. 15, más garantías que las que el mismo Código Penal establece para otros casos, incluso algunos tan delicados y que tanto afectan a la intimidad de la persona como los previstos en el art. 428 del citado Código.</w:t>
      </w:r>
    </w:p>
    <w:p w:rsidR="001C705E" w:rsidRDefault="001C705E" w:rsidP="001C705E">
      <w:pPr>
        <w:pStyle w:val="TextoNormal"/>
      </w:pPr>
      <w:r>
        <w:t>6. Prescindiendo por razones de brevedad de detallar otros puntos de discrepancia o de asentimiento con la Sentencia, debemos, sin embargo, poner de manifiesto la escasa precisión utilizada en ella respecto a la conocidad como «cláusula de conciencia», cuya derivación directa del art. 16.1 de la C.E. compartimos, y que puede ser utilizada como es lógico por el Médico del que se solicite la práctica abortiva para negarse a realizarla. Dicha cláusula, basada en razones ideológicas o religiosas, es un derecho constitucional solamente del Médico y demás personal sanitario al que se pretenda que actúe de una manera directa en la realización del acto abortivo.</w:t>
      </w:r>
    </w:p>
    <w:p w:rsidR="001C705E" w:rsidRDefault="001C705E" w:rsidP="001C705E">
      <w:pPr>
        <w:pStyle w:val="TextoNormal"/>
      </w:pPr>
      <w:r>
        <w:t>7. Resumiendo lo expuesto concluimos reiterando nuestra disconformidad con la Sentencia, fundamentalmente por dos razones: Porque invade competencias del Poder Legislativo y porque opinamos que el TC debió declarar la inexistencia de la inconstitucionalidad alegada por los recurrentes respecto al proyecto de Ley impugnado.</w:t>
      </w:r>
    </w:p>
    <w:p w:rsidR="001C705E" w:rsidRDefault="001C705E" w:rsidP="001C705E">
      <w:pPr>
        <w:pStyle w:val="TextoNormal"/>
      </w:pPr>
      <w:r>
        <w:t>Madrid, a dieciséis de abril de mil novecientos ochenta y cinco.</w:t>
      </w:r>
    </w:p>
    <w:p w:rsidR="001C705E" w:rsidRDefault="001C705E" w:rsidP="001C705E">
      <w:pPr>
        <w:pStyle w:val="TextoNormal"/>
      </w:pPr>
    </w:p>
    <w:p w:rsidR="001C705E" w:rsidRDefault="001C705E" w:rsidP="001C705E">
      <w:pPr>
        <w:pStyle w:val="TextoNormalNegritaCentrado"/>
        <w:keepNext/>
      </w:pPr>
      <w:r>
        <w:t>Voto particular que formula el Magistrado don Francisco Rubio Llorente a la Sentencia de fecha 11 de los corrientes, dictada en el recurso previo de inconstitucionalidad número 800/1983</w:t>
      </w:r>
    </w:p>
    <w:p w:rsidR="001C705E" w:rsidRDefault="001C705E" w:rsidP="001C705E">
      <w:pPr>
        <w:pStyle w:val="TextoNormalNegritaCentrado"/>
        <w:keepNext/>
      </w:pPr>
    </w:p>
    <w:p w:rsidR="001C705E" w:rsidRDefault="001C705E" w:rsidP="001C705E">
      <w:pPr>
        <w:pStyle w:val="TextoNormal"/>
      </w:pPr>
      <w:r>
        <w:t>He votado en contra de la presente Sentencia y sostuve con mi voto, junto con otros cinco Magistrados, la ponencia que fue objeto de deliberación en primer término. En ella se declaraba conforme con la Constitución el Proyecto de Ley objeto del recurso, y ésta es, en mi opinión, la conclusión necesaria del razonamiento jurídico en el caso sometido a nuestra consideración.</w:t>
      </w:r>
    </w:p>
    <w:p w:rsidR="001C705E" w:rsidRDefault="001C705E" w:rsidP="001C705E">
      <w:pPr>
        <w:pStyle w:val="TextoNormal"/>
      </w:pPr>
      <w:r>
        <w:t>Las razones de mi disentimiento pueden resumirse en el simple juicio de que con esta decisión la mayoría traspasa los límites propios de la jurisdicción constitucional e invade el ámbito que la Constitución reserva al legislador; vulnera así el principio de separación de poderes, inherente a la idea de Estado de Derecho y opera como si el Tribunal Constitucional fuese una especie de tercera Cámara, con facultades para resolver sobre el contenido ético o la oportunidad política de las normas aprobadas por las Cortes Generales. Es cierto que esta errónea concepción de la jurisdicción constitucional parece muy extendida en nuestra sociedad; que precisamente con motivo de este recurso se han expresado en la prensa multitud de opiniones que implícita o explícitamente partían del supuesto de que el fundamento de nuestra Sentencia había de ser el juicio sobre la licitud o ilicitud ética del aborto, o la conveniencia de su despenalización, y que (y ello es aún más penoso) destacadas figuras políticas, e incluso miembros del Gobierno, han efectuado declaraciones que manifiestamente arrancaban del mismo convencimiento. Es evidente, sin embargo, que por difundida que esté, tal idea es errónea e incompatible con nuestra Constitución y con los principios que le sirven de base. El Tribunal Constitucional, que no ostenta la repre</w:t>
      </w:r>
      <w:r>
        <w:lastRenderedPageBreak/>
        <w:t>sentación popular, pero que sí tiene el tremendo poder de invalidar las leyes que los representantes del pueblo han aprobado, no ha recibido este poder en atención a la calidad personal de quienes lo integran, sino sólo porque es un Tribunal.  Su fuerza es la del Derecho y su decisión no puede fundarse nunca por tanto, en cuanto ello es humanamente posible, en nuestras propias preferencias éticas o políticas, sino sólo en un razonamiento que respete rigurosamente los requisitos propios de la interpretación jurídica. En la fundamentación de la presente Sentencia falta ese razonamiento riguroso y es esa falta de rigor la que conduce a la, a mi juicio, errada decisión.</w:t>
      </w:r>
    </w:p>
    <w:p w:rsidR="001C705E" w:rsidRDefault="001C705E" w:rsidP="001C705E">
      <w:pPr>
        <w:pStyle w:val="TextoNormal"/>
      </w:pPr>
      <w:r>
        <w:t>Aunque no resulta fácil ni grato hacer la crítica pública de un razonamiento suscrito por colegas que merecen todo mi respeto, es indispensable, para que esta disidencia no quede reducida a un juicio apodíctico, señalar en concreto algunos al menos de los errores conceptuales y de las quiebras lógicas perceptibles en el texto de la Sentencia.  Para ello analizaré separadamente cada una de las dos partes bien diferenciadas que cabe distinguir en ésta.</w:t>
      </w:r>
    </w:p>
    <w:p w:rsidR="001C705E" w:rsidRDefault="001C705E" w:rsidP="001C705E">
      <w:pPr>
        <w:pStyle w:val="TextoNormal"/>
      </w:pPr>
      <w:r>
        <w:t>La primera de ellas, la más extensa puesto que abarca los once primeros Fundamentos, sirve de apoyo exclusivamente a aquel inciso del fallo en el que se dice que la inconstitucionalidad del Proyecto de Ley no resulta de los supuestos de no punibilidad del aborto que en él se contemplan o, lo que es lo mismo, fundamenta el juicio de que no es en principio contraria a la Constitución una Ley que declare no punible el aborto practicado, con el consentimiento de la madre, por serias razones terapéuticas, éticas o eugenésicas. No discrepo, como queda dicho, de esta conclusión; sí discrepo, y muy enérgicamente, del razonamiento que a ella conduce, cuya línea central sitúa ya al Tribunal fuera del ámbito que le es propio y puede conducir por tanto, en otros casos, a decisiones absolutamente inadecuadas.</w:t>
      </w:r>
    </w:p>
    <w:p w:rsidR="001C705E" w:rsidRDefault="001C705E" w:rsidP="001C705E">
      <w:pPr>
        <w:pStyle w:val="TextoNormal"/>
      </w:pPr>
      <w:r>
        <w:t>No opera este razonamiento, en efecto, con las categorías propias del Derecho (en primer lugar, y naturalmente, con el concepto mismo del derecho subjetivo), sino con las de la ética. Pese a las consideraciones difícilmente inteligibles (y, en la medida en que lo son, para mí resueltamente inaceptables) que en el fundamento 4 se hacen sobre «el ámbito, significación y función de los derechos fundamentales en el constitucionalismo de nuestro tiempo», los Magistrados que han formado en esta ocasión la mayoría no razonan a partir del reconocimiento de un derecho fundamental del nasciturus a la vida, que expresamente niegan en los fundamentos 5, 6 y 7, sino apoyados sobre la idea de que, siendo la vida humana «un valor superior del ordenamiento jurídico constitucional» (fundamento 3), el Estado está obligado a «establecer un sistema legal para la defensa de la vida que suponga una protección efectiva de la misma y que, dado el carácter fundamental de la vida (sic), incluya también como última garantía las normas penales» (fundamento 7). Los derechos fundamentales que efectivamente están implicados en este difícil tema de la sanción penal del aborto consentido (al libre desarrollo de la personalidad -art. 10-, a la integridad física y moral -art. 15-, a la libertad de ideas y creencias -art. 16-, a la intimidad personal y familiar -art. 18-) apenas son invocados de manera retórica en el fundamento 8 o como justificación de la no punición del aborto en los dos siguientes.</w:t>
      </w:r>
    </w:p>
    <w:p w:rsidR="001C705E" w:rsidRDefault="001C705E" w:rsidP="001C705E">
      <w:pPr>
        <w:pStyle w:val="TextoNormal"/>
      </w:pPr>
      <w:r>
        <w:t xml:space="preserve">Paso por alto en este momento, en aras de la brevedad, el análisis de los defectos lógicos y conceptuales que creo apreciar en las consideraciones hechas sobre el «concepto indeterminado» de la vida y otros extremos, así como sobre el error de no haber entrado a fondo en el problema que la tipificación penal del aborto consentido plantea desde el punto de vista del derecho de la mujer a su intimidad y a su integridad física y moral. Lo que ahora me importa, por el motivo ya antes indicado, es subrayar que este modo de razonar no es el propio de un órgano jurisdiccional porque es ajeno, pese al empleo de fraseología </w:t>
      </w:r>
      <w:r>
        <w:lastRenderedPageBreak/>
        <w:t>jurídica, a todos los métodos conocidos de interpretación. El intérprete de la Constitución no puede abstraer de los preceptos de la Constitución el valor o los valores que, a su juicio, tales preceptos «encarnan», para deducir después de ellos, considerados ya como puras abstracciones, obligaciones del legislador que no tienen apoyo en ningún texto constitucional concreto. Esto no es ni siquiera hacer jurisprudencia de valores, sino lisa y llanamente suplantar al legislador o, quizá más aún, al propio poder constituyente. Los valores que inspiran un precepto concreto pueden servir, en el mejor de los casos, para la interpretación de ese precepto, no para deducir a partir de ellos obligaciones (¡nada menos que del poder legislativo, representación del pueblo!) que el precepto en modo alguno impone. Por esta vía, es claro que podía el Tribunal Constitucional, contrastando las Leyes con los valores abstractos que la Constitución efectivamente proclama (entre los cuales no está, evidentemente, el de la vida, pues la vida es algo más que «un valor jurídico») invalidar cualquier Ley por considerarla incompatible con su propio sentimiento de la libertad, la igualdad, la justicia o el pluralismo político. La proyección normativa de los valores constitucionalmente consagrados corresponde al legislador, no al Juez.</w:t>
      </w:r>
    </w:p>
    <w:p w:rsidR="001C705E" w:rsidRDefault="001C705E" w:rsidP="001C705E">
      <w:pPr>
        <w:pStyle w:val="TextoNormal"/>
      </w:pPr>
      <w:r>
        <w:t>Pese a lo dicho, lo cierto es que todas las consideraciones que anteceden sobre los once primeros fundamentos de la Sentencia podrían excusarse, pues todos esos fundamentos, en cuanto que no conducen al fallo (es claro que los fallos del Tribunal Constitucional han de declarar si las Leyes son o no contrarias a la Constitución, no el porqué de lo uno o de lo otro, cuestión ésta sobre la que volveremos después) son una simple, aunque desmesurada, suma de obiter dicta que para nada obligan hacia el futuro. La fundamentación real de la decisión real, es decir, de la declaración de inconstitucionalidad, se concentra en un único fundamento, el 12, en el que es examinado el art. 417 bis, para determinar si «en la redacción dada por el Proyecto, garantiza suficientemente el resultado de la ponderación de bienes y derechos en conflicto realizada por el legislador, de tal forma que la desprotección del nasciturus no se produzca fuera de las situaciones previstas, ni se desprotejan los derechos a la vida y la integridad física de la mujer». Dicho en otros términos, lo que el Tribunal hace aquí es examinar si los supuestos de no punición aparecen descritos en términos tales que sólo puedan escapar al castigo aquellos que efectivamente se encuentren en ellos; entiende que no es así y, por tanto, declara la inconstitucionalidad.</w:t>
      </w:r>
    </w:p>
    <w:p w:rsidR="001C705E" w:rsidRDefault="001C705E" w:rsidP="001C705E">
      <w:pPr>
        <w:pStyle w:val="TextoNormal"/>
      </w:pPr>
      <w:r>
        <w:t>Dejando de lado el hecho de que, en primer lugar, se pasa así del control de constitucionalidad al control de la perfección técnica de la Ley y de que, en segundo término, se opera con ello una irónica inversión del principio de legalidad penal, que de ser garantía de la libertad del ciudadano se transforma en mecanismo dirigido a asegurar la efectividad del castigo, que no es poco dejar, limitaré mi atención al análisis de la idea del Estado de Derecho, a mi entender gravemente errónea, que subyace a este modo de razonar.</w:t>
      </w:r>
    </w:p>
    <w:p w:rsidR="001C705E" w:rsidRDefault="001C705E" w:rsidP="001C705E">
      <w:pPr>
        <w:pStyle w:val="TextoNormal"/>
      </w:pPr>
      <w:r>
        <w:t xml:space="preserve">Del valor «vida» (vida humana, hay que suponer) se ha deducido la obligación del legislador de sancionar penalmente todo atentado contra seres vivos aunque no sean personas; como esta obligación no es, sin embargo, absoluta, el Tribunal acepta la posibilidad de que el legislador, en supuestos determinados por la colisión entre derechos fundamentales y el bien protegido, exima de sanción a los responsables del aborto. Este razonamiento, que no comparto, no conduce a declarar la licitud constitucional del Proyecto, pues dando un nuevo paso, el Tribunal proclama ahora, en este fundamento, sin justificación alguna, la necesidad de que el legislador establezca condiciones y requisitos previos que garanticen a priori la existencia del supuesto en el que el aborto no es punible. El examen de los hechos y la determinación de las consecuencias jurídicas que a los mismos corresponden quedan así sustraídos al Juez y confiados al Médico, y los supuestos excepcionales de no </w:t>
      </w:r>
      <w:r>
        <w:lastRenderedPageBreak/>
        <w:t>punición del aborto se transforman en situaciones que permiten la obtención de una autorización para abortar.</w:t>
      </w:r>
    </w:p>
    <w:p w:rsidR="001C705E" w:rsidRDefault="001C705E" w:rsidP="001C705E">
      <w:pPr>
        <w:pStyle w:val="TextoNormal"/>
      </w:pPr>
      <w:r>
        <w:t>Como es evidente, la idea que subyace a los razonamientos de este género es, comúnmente, la de que, dada la perversidad natural de los hombres y su tendencia a hacer mal uso de la libertad que se les otorgue, es más prudente partir del principio de la prohibición general, de manera que sólo sean lícitas las conductas autorizadas, que de su opuesto, el principio general de libertad, según el cual es lícito todo lo no expresamente prohibido.  Probablemente mis colegas de la mayoría no aceptarán conscientemente ese principio antiliberal, pero es lógicamente imposible, partiendo del principio de libertad, declarar inconstitucional una Ley porque no instituye, junto al control represivo de las conductas (en rigor, en lugar de este control) un control preventivo. Esas medidas a las que en la Sentencia se condiciona la constitucionalidad de la Ley (dictamen de un segundo Médico en el caso del aborto terapéutico; necesidad de que el aborto se practique en centros públicos o privados debidamente autorizados) son seguramente plausibles, como lo son muchas otras de las que ofrece el Derecho comparado (necesidad de dejar transcurrir un lapso mínimo de tiempo desde que se formaliza la decisión de abortar hasta el momento en el que el aborto se realiza, necesidad de que la embarazada reciba previamente información sobre las ayudas que puede recibir si opta por la continuación del embarazo, etc.). Si no se acepta la necesidad constitucional del control preventivo, y ciertamente no puede aceptarse, no hay razón alguna, sin embargo, para subordinar a ellas el ejercicio de la libertad y, en consecuencia, tampoco para que este Tribunal las imponga al legislador, pues sólo a éste corresponde decidir, con entera libertad, sobre el contenido de las Leyes, dentro de los límites que la Constitución establece, como garantía de la libertad de los individuos. Al fundamentar la declaración de inconstitucionalidad en la omisión en el proyecto de estos requisitos o condiciones (o cualesquiera otros equivalentes) que no son constitucionalmente necesarios, el Tribunal impone a las Cortes sus propias preferencias de política legislativa y esta imposición, que no encuentra naturalmente base alguna en la Constitución o en la Ley, es arbitraria.</w:t>
      </w:r>
    </w:p>
    <w:p w:rsidR="001C705E" w:rsidRDefault="001C705E" w:rsidP="001C705E">
      <w:pPr>
        <w:pStyle w:val="TextoNormal"/>
      </w:pPr>
      <w:r>
        <w:t>La Sentencia no es interpretativa, puesto que la Sentencia interpretativa ni es posible en el recurso previo, ni puede ser utilizada para invalidar la norma, sino al contrario, para preservar la validez; no respeta lo preceptuado en el art. 79.4 de la LOTC, que ordena al Tribunal indicar la infracción constitucional y deja a las Cortes el cuidado de efectuar las supresiones o modificaciones necesarias para evitarla y, por último, pese a las proclamaciones retóricas en contrario, ignora absolutamente los derechos fundamentales a la integridad física y moral y a la intimidad que la Constitución consagra y de los cuales sí son titulares las mujeres embarazadas, cuya dignidad, tantas veces citada y aún definida en la Sentencia, al parecer ha de seguir siendo protegida por el tradicional procedimiento de considerar delictivo todo aborto, sean cuales fueren sus circunstancias.</w:t>
      </w:r>
    </w:p>
    <w:p w:rsidR="001C705E" w:rsidRDefault="001C705E" w:rsidP="001C705E">
      <w:pPr>
        <w:pStyle w:val="TextoNormal"/>
      </w:pPr>
      <w:r>
        <w:t>Madrid, a dieciséis de abril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7" w:name="SENTENCIA_1985_54"/>
      <w:r>
        <w:lastRenderedPageBreak/>
        <w:t>SENTENCIA 54/1985, de 18 de abril de 1985</w:t>
      </w:r>
    </w:p>
    <w:bookmarkEnd w:id="57"/>
    <w:p w:rsidR="001C705E" w:rsidRDefault="001C705E" w:rsidP="001C705E">
      <w:pPr>
        <w:pStyle w:val="TtuloResolucin"/>
      </w:pPr>
      <w:r>
        <w:t>Sala Primera</w:t>
      </w:r>
    </w:p>
    <w:p w:rsidR="001C705E" w:rsidRDefault="001C705E" w:rsidP="001C705E">
      <w:pPr>
        <w:pStyle w:val="TtuloResolucin"/>
      </w:pPr>
    </w:p>
    <w:p w:rsidR="001C705E" w:rsidRDefault="001C705E" w:rsidP="001C705E">
      <w:pPr>
        <w:pStyle w:val="TtuloBOE"/>
      </w:pPr>
      <w:r>
        <w:t>("BOE" núm. 119, de 18 de mayo de 1985)</w:t>
      </w:r>
    </w:p>
    <w:p w:rsidR="001C705E" w:rsidRDefault="001C705E" w:rsidP="001C705E">
      <w:pPr>
        <w:pStyle w:val="TtuloBOE"/>
      </w:pPr>
    </w:p>
    <w:p w:rsidR="001C705E" w:rsidRDefault="001C705E" w:rsidP="001C705E">
      <w:pPr>
        <w:pStyle w:val="SntesisDescriptiva"/>
      </w:pPr>
      <w:r>
        <w:t>ECLI:ES:TC:1985:54</w:t>
      </w:r>
    </w:p>
    <w:p w:rsidR="001C705E" w:rsidRDefault="001C705E" w:rsidP="001C705E">
      <w:pPr>
        <w:pStyle w:val="SntesisDescriptiva"/>
      </w:pPr>
    </w:p>
    <w:p w:rsidR="001C705E" w:rsidRDefault="001C705E" w:rsidP="001C705E">
      <w:pPr>
        <w:pStyle w:val="SntesisDescriptiva"/>
      </w:pPr>
      <w:r>
        <w:t>Recurso de amparo 349/1984. Revisión "ex officio" por el Juez "ad quem" de Sentencia condenatoria del Juez de Distrito en juicio de faltas, con infracción del principio acusatorio y de la prohibición de la "reformatio in peius"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El derecho a la tutela judicial efectiva determina la exigencia de separar por regla general, y salvo circunstancias muy excepcionales,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para decidir justamente la controversia determinada por sus pretensiones en relación con la culpabilidad o inocencia, sin que, por lo tanto, pueda anular o sustituir las funciones oficiales pertenecientes al Fiscal o a las partes ofendidas o interesadas en ejercer la acusación por delitos o faltas, y sin perjuicio de realizar, en su caso, el derecho que le otorga el art. 733 de la L.E.Cr., para la fase de la primera instancia únicamente. </w:t>
      </w:r>
    </w:p>
    <w:p w:rsidR="001C705E" w:rsidRDefault="001C705E" w:rsidP="001C705E">
      <w:pPr>
        <w:pStyle w:val="Extracto"/>
      </w:pPr>
    </w:p>
    <w:p w:rsidR="001C705E" w:rsidRDefault="001C705E" w:rsidP="001C705E">
      <w:pPr>
        <w:pStyle w:val="Extracto"/>
      </w:pPr>
      <w:r>
        <w:t>2.</w:t>
      </w:r>
      <w:r>
        <w:tab/>
        <w:t xml:space="preserve">El art. 24.2 de la C.E. exige información de la acusación a los acusados, para que el proceso ofrezca las garantías debidas, y todo ello con la evidente finalidad de que puedan ejercitar el inviolable derecho de defensa efectuando alegaciones y proponiendo pruebas en toda su extensión, para lograr alcanzar un equilibrio entre acusador y acusado en el proceso penal que evite la prohibida indefensión. </w:t>
      </w:r>
    </w:p>
    <w:p w:rsidR="001C705E" w:rsidRDefault="001C705E" w:rsidP="001C705E">
      <w:pPr>
        <w:pStyle w:val="Extracto"/>
      </w:pPr>
    </w:p>
    <w:p w:rsidR="001C705E" w:rsidRDefault="001C705E" w:rsidP="001C705E">
      <w:pPr>
        <w:pStyle w:val="Extracto"/>
      </w:pPr>
      <w:r>
        <w:t>3.</w:t>
      </w:r>
      <w:r>
        <w:tab/>
        <w:t xml:space="preserve">El Tribunal de alzada no puede agravar o empeorar la condición de los derechos del recurrente, apoyándose en una pretensión de signo contrario y beneficiosa, que se transforma en peyorativa al resolver «extrapetitum», imponiendo superiores sanciones o mayor número de penas, o ampliando el contenido de las indemnizaciones, lo que sólo podría aceptarse si concurrieran otras partes apelantes que con sus peticiones permitieran efectuar una decisión de superior contenido contra el condenado apelante, pues aunque la apelación se considere como un «novum iudicium», la revisión que supone debe encuadrarse dentro de las pretensiones ejercitadas en ambas instancias, no admitiendo las apreciaciones distintas que las superen, con agravio indudable de los derechos fundamentales establecidos en la Constitución.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349/1984, promovido por don Antonio Villarino Gómez, representado por el Procurador don Antonio Rueda Bautista y dirigido por el Letrado don Emilio Sanz Prieto, contra la Sentencia del Juzgado de Instrucción número 1 de Santiago de Compostela de 12 de abril de 1984, dimanante del juicio de faltas 1.163/1979 del Juzgado de distrito núm. 1 de dicha ciudad, por infracción de los arts. 24.1 y 2 de la Constitución, habiendo comparecido en el proceso el Ministerio Fiscal y siendo Ponente el Magistrado de la Sala don Angel Escudero del Corral, quien expresa el parecer de la misma.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La demanda de amparo se apoya en los siguientes hechos: </w:t>
      </w:r>
    </w:p>
    <w:p w:rsidR="001C705E" w:rsidRDefault="001C705E" w:rsidP="001C705E">
      <w:pPr>
        <w:pStyle w:val="TextoNormal"/>
      </w:pPr>
      <w:r>
        <w:t xml:space="preserve">a) Que en el Juzgado de Distrito núm. 1 de Santiago de Compostela se siguió el juicio de faltas núm. 1.163/1979 contra el actor del amparo, en que recayó Sentencia de 11 de enero de 1984 declarando como hechos probados los de que el 29 de julio de 1979, conduciendo José María Menéndez Gutiérrez un vehículo de su propiedad, por la carretera La Coruña-Túy, colisionó con otro vehículo, conducido por el propietario Antonio Villarino Gómez, que se incorporaba a la carretera desde la explanada de un taller, sufriendo el primer carruaje daños que ascendían a 22.016 pesetas, siendo causa de la colisión que el citado conductor Antonio Villarino no cedió oportunamente el paso al vehículo que circulaba por la vía preferente, a la cual pretendía incorporarse. </w:t>
      </w:r>
    </w:p>
    <w:p w:rsidR="001C705E" w:rsidRDefault="001C705E" w:rsidP="001C705E">
      <w:pPr>
        <w:pStyle w:val="TextoNormal"/>
      </w:pPr>
      <w:r>
        <w:t xml:space="preserve">b) El Ministerio Fiscal calificó tales hechos como constitutivos de la falta del artículo 600 del Código Penal, solicitando para el actor la pena de multa de 5.000 pesetas, costas e indemnización a una Compañía de 51.628 pesetas. Se adhirió a esta petición la representación del denunciante. </w:t>
      </w:r>
    </w:p>
    <w:p w:rsidR="001C705E" w:rsidRDefault="001C705E" w:rsidP="001C705E">
      <w:pPr>
        <w:pStyle w:val="TextoNormal"/>
      </w:pPr>
      <w:r>
        <w:t xml:space="preserve">c) La Sentencia indicada del Juzgado de Distrito, en su fallo, condenó a Antonio Villarino, como autor de la falta del art. 600 del Código Penal, a la pena de 3.000 pesetas de multa, con arresto sustitutorio de tres días en caso de impago, y a la mitad de las costas. </w:t>
      </w:r>
    </w:p>
    <w:p w:rsidR="001C705E" w:rsidRDefault="001C705E" w:rsidP="001C705E">
      <w:pPr>
        <w:pStyle w:val="TextoNormal"/>
      </w:pPr>
      <w:r>
        <w:t xml:space="preserve">d) Entablado recurso de apelación contra dicha Sentencia por el actor del amparo, don Antonio Villarino, se tramitó ante el Juzgado de Instrucción número 1 de Santiago de Compostela, produciéndose en esta segunda instancia la infracción del art. 24.1 y 2 de la Constitución Española (C.E.). </w:t>
      </w:r>
    </w:p>
    <w:p w:rsidR="001C705E" w:rsidRDefault="001C705E" w:rsidP="001C705E">
      <w:pPr>
        <w:pStyle w:val="TextoNormal"/>
      </w:pPr>
      <w:r>
        <w:t xml:space="preserve">e) Como consta en el resultando segundo de la Sentencia del Juzgado de Instrucción, el Fiscal y el apelado solicitaron la confirmación de la Sentencia de instancia y postuló su revocación el condenado señor Villarino. </w:t>
      </w:r>
    </w:p>
    <w:p w:rsidR="001C705E" w:rsidRDefault="001C705E" w:rsidP="001C705E">
      <w:pPr>
        <w:pStyle w:val="TextoNormal"/>
      </w:pPr>
      <w:r>
        <w:t xml:space="preserve">f) El Juzgado de Instrucción dictó Sentencia el 12 de abril de 1984, en base a la afirmación de que «se aceptaban los resultandos de la Sentencia apelada», lo que suponía aceptar los hechos probados, y que el Fiscal había calificado los hechos como constitutivos de la falta del art. 600 del Código Penal. </w:t>
      </w:r>
    </w:p>
    <w:p w:rsidR="001C705E" w:rsidRDefault="001C705E" w:rsidP="001C705E">
      <w:pPr>
        <w:pStyle w:val="TextoNormal"/>
      </w:pPr>
      <w:r>
        <w:lastRenderedPageBreak/>
        <w:t xml:space="preserve">g) Sin embargo, el Juzgado de Instrucción, en el considerando primero, estimó haberse producido lesiones a Gregoria Lucas Aparicio en el accidente automovilístico indicado, que tardaron diez días en curarse, por lo que, al estar erróneamente calificados los hechos, revisaba la Sentencia apelada, al entender que constituían la falta del art. 586.3 del Código Penal, por la que condenó al denunciado y autor del accidente, señor Villarino. En el fallo, que revocó la Sentencia apelada, estimó como autor de dicha falta de imprudencia leve al recurrente, señor Villarino, y le condenó a las penas de 10.000 pesetas de multa o doce días de arresto carcelario, reprensión privada, privación de dos meses del permiso de conducir vehículos de motor y al pago de las costas de ambas instancias, debiendo indemnizar a Gregoria Lucas por su incapacidad en 12.000 pesetas a cargo de la «Compañía Adriática, Sociedad Anónima», por razón del Seguro Obligatorio, y por daños materiales a la «Compañía Cemcobi» en 51.628 pesetas, con aplicación del art. 921 de la Ley de Enjuiciamiento Civil. </w:t>
      </w:r>
    </w:p>
    <w:p w:rsidR="001C705E" w:rsidRDefault="001C705E" w:rsidP="001C705E">
      <w:pPr>
        <w:pStyle w:val="TextoNormal"/>
      </w:pPr>
      <w:r>
        <w:t xml:space="preserve">En los fundamentos de derecho de dicha demanda se alega haberse producido indefensión con la indicada Sentencia del Juzgado de Instrucción al actor del amparo: </w:t>
      </w:r>
    </w:p>
    <w:p w:rsidR="001C705E" w:rsidRDefault="001C705E" w:rsidP="001C705E">
      <w:pPr>
        <w:pStyle w:val="TextoNormal"/>
      </w:pPr>
      <w:r>
        <w:t xml:space="preserve">A) Al haberle condenado por la falta del art. 586.3 del Código Penal, cuando había sido acusado por el Fiscal y denunciante por la del art. 600, con ruptura del principio acusatorio, que debe presidir sin excepción el ejercicio de las acciones penales, privándole de la posibilidad de defenderse. </w:t>
      </w:r>
    </w:p>
    <w:p w:rsidR="001C705E" w:rsidRDefault="001C705E" w:rsidP="001C705E">
      <w:pPr>
        <w:pStyle w:val="TextoNormal"/>
      </w:pPr>
      <w:r>
        <w:t xml:space="preserve">B) Al haberse vulnerado el principio de la reformatio in peius en el ámbito penal, al castigarle sin acusación por falta distinta y más grave que la apreciada en la Sentencia apelada, aumentando también las indemnizaciones. </w:t>
      </w:r>
    </w:p>
    <w:p w:rsidR="001C705E" w:rsidRDefault="001C705E" w:rsidP="001C705E">
      <w:pPr>
        <w:pStyle w:val="TextoNormal"/>
      </w:pPr>
      <w:r>
        <w:t xml:space="preserve">C) La demanda de amparo se basa en la infracción por tal Sentencia del art. 24.1 de la C.E., al producirse indefensión del recurrente, y en la de su apartado 2. , al no haber sido informado en ningún momento de que se le acusaba de la comisión de la falta del art. 600 indicada. </w:t>
      </w:r>
    </w:p>
    <w:p w:rsidR="001C705E" w:rsidRDefault="001C705E" w:rsidP="001C705E">
      <w:pPr>
        <w:pStyle w:val="TextoNormal"/>
      </w:pPr>
      <w:r>
        <w:t>En la súplica de la demanda solicita se declare la nulidad de la Sentencia del Juzgado de Instrucción antes precisada, por infringir el art. 24.1 y 2 de la C.E.</w:t>
      </w:r>
    </w:p>
    <w:p w:rsidR="001C705E" w:rsidRDefault="001C705E" w:rsidP="001C705E">
      <w:pPr>
        <w:pStyle w:val="TextoNormal"/>
      </w:pPr>
    </w:p>
    <w:p w:rsidR="001C705E" w:rsidRDefault="001C705E" w:rsidP="001C705E">
      <w:pPr>
        <w:pStyle w:val="TextoNormal"/>
      </w:pPr>
      <w:r w:rsidRPr="001C705E">
        <w:rPr>
          <w:rStyle w:val="NumeroAFNegritaCaracter"/>
        </w:rPr>
        <w:t>2</w:t>
      </w:r>
      <w:r>
        <w:t>. La Sección reclamó las actuaciones del juicio de faltas de referencia del Juzgado de Distrito indicado, y el rollo de apelación del también citado Juzgado de Instrucción, que fueron enviadas en testimonio literal. Posteriormente, la misma Sección 2.ª acordó admitir a trámite la demanda de amparo, y solicitar de los Juzgados referidos el emplazamiento de quienes hubieran sido partes en el juicio de faltas, y en trámite de apelación, para que pudieran comparecer ante este Tribunal, habiéndose cumplimentado por dichos órganos judiciales tal acuerdo en debida forma, sin que se personare ninguna de las partes emplazadas.</w:t>
      </w:r>
    </w:p>
    <w:p w:rsidR="001C705E" w:rsidRDefault="001C705E" w:rsidP="001C705E">
      <w:pPr>
        <w:pStyle w:val="TextoNormal"/>
      </w:pPr>
    </w:p>
    <w:p w:rsidR="001C705E" w:rsidRDefault="001C705E" w:rsidP="001C705E">
      <w:pPr>
        <w:pStyle w:val="TextoNormal"/>
      </w:pPr>
      <w:r w:rsidRPr="001C705E">
        <w:rPr>
          <w:rStyle w:val="NumeroAFNegritaCaracter"/>
        </w:rPr>
        <w:t>3</w:t>
      </w:r>
      <w:r>
        <w:t>. La Sección acordó en providencia abrir el trámite de alegaciones para el Ministerio Fiscal y la parte recurrente en amparo por plazo de diez días.</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Ministerio Fiscal, evacuando dicho trámite, en síntesis, alegó: </w:t>
      </w:r>
    </w:p>
    <w:p w:rsidR="001C705E" w:rsidRDefault="001C705E" w:rsidP="001C705E">
      <w:pPr>
        <w:pStyle w:val="TextoNormal"/>
      </w:pPr>
      <w:r>
        <w:t xml:space="preserve">En primer lugar, precisando cuáles eran los hechos de que había de partirse. Y seguidamente, concretando que el tema a decidir era determinar si la Sentencia de apelación podía castigar por falta más grave que la acusada por el Fiscal y condenada en primera instancia, y sin pretensión adecuada en tal sentido. Estima que la apelación se encuentra delimitada por las pretensiones de las partes, fuera de las cuales no puede actuar el Juez ad </w:t>
      </w:r>
      <w:r>
        <w:lastRenderedPageBreak/>
        <w:t>quem, predeterminando dichas pretensiones el alcance del contenido de la impugnación, lo que supone no poder reformar la resolución impugnada en perjuicio de quien promueve el recurso, si no existen otros apelantes, por impedirlo el principio de la reformatio in peius. En el caso de autos se agravó para el apelante, único recurrente, la calificación de la falta, en las penas y el contenido de la indemnización al agregarse otra nueva. Hubo reforma peyorativa contra el recurrente único, y se utilizó la reforma en lo perjudicial, en contra de la doctrina del Tribunal Supremo, e incluso de la del Tribunal Constitucional, por lo que, en definitiva, estima que se violaron por la Sentencia recurrida los apartados 1. y 2. del art. 24 de la C.E., solicitando se acepte el amparo impetrado, anulándose la Sentencia recurrida.</w:t>
      </w:r>
    </w:p>
    <w:p w:rsidR="001C705E" w:rsidRDefault="001C705E" w:rsidP="001C705E">
      <w:pPr>
        <w:pStyle w:val="TextoNormal"/>
      </w:pPr>
    </w:p>
    <w:p w:rsidR="001C705E" w:rsidRDefault="001C705E" w:rsidP="001C705E">
      <w:pPr>
        <w:pStyle w:val="TextoNormal"/>
      </w:pPr>
      <w:r w:rsidRPr="001C705E">
        <w:rPr>
          <w:rStyle w:val="NumeroAFNegritaCaracter"/>
        </w:rPr>
        <w:t>5</w:t>
      </w:r>
      <w:r>
        <w:t>. La parte recurrente formuló escrito de alegaciones, en el que, en síntesis, expone: Que el principio acusatorio es uno de los soportes básicos del proceso penal, que incluye al juicio de faltas, por ser una garantía para el inculpado, conocer de lo que es acusado y la pena a que puede ser condenado, y por tener que ser informado de la acusación para poder defenderse. Precisa que en el juicio de faltas deben respetarse todas las garantías establecidas en el art. 24 de la C. E. en sus dos apartados. Reproduce de nuevo los hechos que relató en la demanda para poner de relieve que la Sentencia recurrida, sin acusación, y estando limitada por la apelación del propio recurrente, no pudo hacer una nueva calificación de falta, más grave en su penalidad y consecuencias indemnizatorias que la impuesta en primera instancia, condenando por hechos que nunca fueron acusados, como sucedió con la lesión de una persona. Terminó reiterando se dictase Sentencia, estimando la demanda de amparo en los propios términos que tenía suplicado en la misma.</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 10 de abril de 1985, la Sala acordó señalar el día 17 del mismo mes para la deliberación y fallo del presente proceso de amparo, en el que se llevó a debido efecto.</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pretensión ejercitada en el recurso de amparo contra la Sentencia del Juzgado de Instrucción, dictada en apelación de juicio de faltas, sostiene que al haber sido condenado el recurrente de la misma -y aquí actor- a penas más graves en su dimensión cuantitativa y número por una falta distinta de la apreciada en la resolución del Juez de Distrito, sin que ni el Ministerio Fiscal ni la acusación privada hubieran pedido la revisión de la Sentencia apelada, que fue apreciada de oficio por el Juez ad quem, infringe al principio acusatorio y la prohibición de la reformatio in peius, produciéndole indefensión, no siendo además informado en ningún momento de que se le acusaba de la comisión de una falta diferente y superiormente penada, infringiéndose el art. 24.1 y 2 de la Constitución (C.E.).</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De las actuaciones judiciales practicadas derivan como hechos indiscutibles los de que, iniciado el juicio de faltas ante el Juzgado de Distrito por un accidente de circulación ocurrido entre dos vehículos, al celebrarse el mismo, el Ministerio Fiscal y el denunciante solicitaron la condena del aquí actor, por la falta de imprudencia simple con resultado de daños del art. 600 del Código Penal, calificación que fue estimada procedente por dicho Organo judicial, entendiendo culpable del accidente al acusado y condenándole a la multa </w:t>
      </w:r>
      <w:r>
        <w:lastRenderedPageBreak/>
        <w:t>de 3.000 pesetas, sustituibles en caso de impago por tres días de arresto, y a la indemnización, a una compañía de Seguros, que se acreditare en ejecución de Sentencia. Apelada dicha resolución ante el Juzgado de Instrucción exclusivamente por el condenado, éste solicitó su revocación y absolución de la falta, mientras que el Ministerio Fiscal y el apelado pidieron su confirmación, dictándose Sentencia aceptando el hecho probado de la resolución de instancia, que no se refería a la existencia de lesiones de persona alguna, y, sin embargo, en el considerando de apelación se precisó que, habiéndose producido lesiones en el accidente a la usuaria de un vehículo, los «hechos vienen erróneamente calificados en la Sentencia, por lo que deben revisarse», estimando constituían la falta de imprudencia simple con resultado de lesiones del art. 586.2 del Código Penal, e imponiéndole al propio condenado y apelante las penas de multa de 10.000 pesetas -y en caso de impago, doce días de arresto carcelario-, reprensión privada, privación de dos meses del permiso de conducir e indemnizaciones a la lesionada de 12.000 pesetas a cargo del Seguro Obligatorio, y en favor de una Compañía de Seguros, por 51.628 pesetas.</w:t>
      </w:r>
    </w:p>
    <w:p w:rsidR="001C705E" w:rsidRDefault="001C705E" w:rsidP="001C705E">
      <w:pPr>
        <w:pStyle w:val="TextoNormal"/>
      </w:pPr>
    </w:p>
    <w:p w:rsidR="001C705E" w:rsidRDefault="001C705E" w:rsidP="001C705E">
      <w:pPr>
        <w:pStyle w:val="TextoNormal"/>
      </w:pPr>
      <w:r w:rsidRPr="001C705E">
        <w:rPr>
          <w:rStyle w:val="NumeroAFNegritaCaracter"/>
        </w:rPr>
        <w:t>3</w:t>
      </w:r>
      <w:r>
        <w:t>. Las faltas penales y el proceso represivo por falta se diferencian del proceso por delito, y tienen su razón de ser en criterios de política criminal basados en estimaciones cuantitativas de la gravedad de la lesión del bien jurídico protegido y de las penas que las sancionan, según deriva del art. 6 del Código Penal, por lo que las faltas como infracciones de escasa entidad castigadas con penas leves son juzgadas generalmente por Jueces de Distrito a través de un procedimiento conciso y simple, ausente de solemnidades, y carente de fase sumaria o de instrucción y de fase intermedia, pues luego de su iniciación de oficio o por ajena excitación de parte se abre inmediatamente, por propio impulso oficial, el juicio oral, en el que se practican las pruebas, se formaliza la acusación por las pretensiones de las partes y se dicta la oportuna Sentencia, que puede ser objeto de recurso de apelación, originando una segunda instancia ante el Juez de Instrucción (arts.  962 a 982 de la Ley de Enjuiciamiento Criminal y arts. 1 a 18 del Decreto de 21 de noviembre de 1952), caracterizándose, en definitiva, este procedimiento por regir, o manifestarse en él, los principios procesales de concentración, inmediación, contradicción, oralidad y publicidad.</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La jurisprudencia de la Sala Segunda del Tribunal Supremo, recaída sobre la legislación anterior a la reforma de la Justicia Municipal del año 1944, y establecida, entre otras muchas, en Sentencias de 5 de abril de 1900, 17 de noviembre de 1927, 30 de octubre de 1936 y 21 de octubre de 1948, entendía que el juicio de faltas no se regía por el principio acusatorio que la Ley de Enjuiciamiento Criminal establece como medio cardinal en la persecución de los delitos para los que se concedía una sola instancia, sino que su contenido era el propio del sistema inquisitivo, y ello en atención a dos razones: Una, porque el art. 969 de dicha ordenanza procesal, al ordenar las sencillas normas con que tal juicio debía sustanciarse, mandaba observar las prescripciones de dicha Ley de ritos en cuanto fueran aplicables a los juicios de faltas, con cuya salvedad se reconocía la imposibilidad de otorgar las mismas garantías que las marcadas para la persecución de los delitos en los arts. 299 a 749 de la propia Ley de enjuiciar; y otra, porque la especial condición de los Organos encargados de administrar la entonces denominada Justicia Municipal, constituida fundamentalmente por Jueces y Fiscales legos, tenía que remediarse otorgando a los Jueces municipales y singularmente a los Jueces de Instrucción de carrera, que actuaban en apelación, plenitud de jurisdicción; a los primeros, actuando inquisitoriamente, al poder iniciar el juicio oral sin previa acusación y también continuarlo y decidir sin su presencia, fijando los hechos probados de acuerdo con la facultad concedida en el art. 973 y según su </w:t>
      </w:r>
      <w:r>
        <w:lastRenderedPageBreak/>
        <w:t>convicción en conciencia apoyada en las pruebas practicadas, con libertad para calificar típicamente la falta cometida, sin estar vinculado por las acusaciones pública o privada; y a los segundos, es decir, a los Jueces de Instrucción en apelación, concediéndoles la posibilidad de enmendar libremente de oficio, tanto la apreciación de las pruebas sin necesidad de sujetarse a documentos o actos auténticos como para eliminar por impulso propio los errores de derecho en que pudiera haber incurrido el Juez a quo, aunque ello supusiera una agravación en la tipicidad y punición de la falta sometida a su conocimiento o la imposición de una condena por falta sin previa acusación.</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Esta concepción del juicio de faltas como dominado por el sistema inquisitivo varió esencialmente, desde la puesta en marcha de la Ley de Bases para la regulación de la Justicia Municipal de 19 de julio de 1944 y su posterior legislación complementaria, especialmente, el Decreto de 24 de enero de 1947, el Decreto de 21 de noviembre de 1952 y la Ley de 8 de abril de 1967, pues se entregó el conocimiento de la mayor parte de las faltas y de sus procedimientos -salvo las faltas contra el orden público y contra los intereses generales y régimen de las poblaciones, que son competencia de los Jueces de Paz- a los Jueces Comarcales y Municipales, posteriormente denominados Jueces de Distrito, y que en virtud del mandato del art. 122.1 de la C.E. forman ya parte de la Carrera Judicial como Cuerpo unitario -Ley Orgánica 5/1981, de 16 de noviembre-, al igual que sucede con los Fiscales de Distrito integrados en la Carrera Fiscal -art. 32 y siguientes del Estatuto Orgánico del Ministerio Fiscal, aprobado por Ley 50/1981, de 30 de diciembre-, y como todos ellos son Cuerpos técnicos, desapareció una de las razones que apoyaba la aplicabilidad del principio inquisitivo de los juicios de faltas, al ser de la competencia de dichos Jueces y Fiscales de Distrito, y de los Jueces de Instrucción, el conocimiento de las dos instancias, por lo que las atribuciones otorgadas por la jurisprudencia al Juez de instancia, actuando sin acusación previa o fuera de ella y las garantías reforzadas y libérrimas de supervisión del Juez de apelación, ya no tienen razón de ser, al resultar innecesarias las facultades extremas propias del sistema inquisitivo, en el que los Jueces mantienen una posición activa sustituyendo a las partes, que puede afectar a su posición desapasionada, serena e imparcial, al confundirse los planos propios de la acusación y la decisión, lo que se evita con el sistema acusatorio en el que se desdoblan ambas funciones, otorgándose la acusación, a través del ejercicio de la oportuna pretensión al Ministerio Fiscal o a las partes acusadoras, actuando juntas o separadamente, y al Juez la decisión definitiva de la controversia y oposición. No teniendo tampoco consistencia el otro soporte en que se basaba la antigua jurisprudencia, para mantener el principio inquisitivo con dichas consecuencias, argumentando que si el Juez podía iniciar el juicio de faltas convocando a su celebración, sin acusación previa, también podía tenerla para decidir el proceso sin dicha acusación o por fuera de ella rebasándola, porque con esta alegación se confunde el principio de mera oficialidad o de impulso procesal, aplicado para llamar a las partes a la celebración rápida del juicio oral, por no existir  fase instructora previa ni intermedia en el sencillo juicio de faltas, con el principio inquisitivo, en el que la persecución supone un derecho incondicionado del Juez sin necesidad de acusación alguna, cuando no debe ni puede efectuarse esta interpretación extensiva y perjudicial, toda vez que en el juicio oral de faltas, el Ministerio Fiscal necesariamente ha de intervenir -salvo en los supuestos de faltas privadas-, según deriva de lo dispuesto esencialmente en el art. 124 de la C.E., que le encomienda promover la acción de la Justicia en defensa de la legalidad, de los derechos de los ciudadanos y del interés público tutelado por la Ley, actuando de oficio, y también resulta de lo establecido en los arts. 969, 977 y 978 de la L.E.Cr. y de las normas 1, 7, 14 y 15 del Decreto de </w:t>
      </w:r>
      <w:r>
        <w:lastRenderedPageBreak/>
        <w:t>21 de noviembre de 1952, pues debe ejercitar la función que tiene asignada en los arts. 100, 101 y 105 de la misma ordenanza procesal general, que no es otra que la de actuar la acción penal, si procede, en defensa de los intereses públicos, otorgando efectividad al principio acusatorio, en el que la facultad de juzgar depende de que el Fiscal, o el acusador privado, promuevan la acción de la Justicia, por lo que si su posición es la de solicitar el castigo de la falta el Juez debe atenderla o rechazarla, y en caso de discrepancia por ausencia de acusación, utilizar el trámite dispuesto en el art. 644 de la L.E.Cr., o si estima corresponde calificación distinta de la falta, por proceder la efectividad de otra con superior sanción, aplicar por analogía el art. 733 de la misma Ley, planteando la «tesis», que incide y limita el sistema acusatorio o de rogación en evitación de incongruencias, por calificaciones defectuosas de las infracciones veniales por las partes acusadoras, y que permite excepcionalmente al Juez una actuación más flexible y por encima de la acusación, pero sin que ello suponga, en definitiva, la derogación del esencial principio acusatorio, sino excepcionalmente su mera corrección en pro de la mejor realización de la Justicia con todas las garantías de defensa contradictoria.</w:t>
      </w:r>
    </w:p>
    <w:p w:rsidR="001C705E" w:rsidRDefault="001C705E" w:rsidP="001C705E">
      <w:pPr>
        <w:pStyle w:val="TextoNormal"/>
      </w:pPr>
    </w:p>
    <w:p w:rsidR="001C705E" w:rsidRDefault="001C705E" w:rsidP="001C705E">
      <w:pPr>
        <w:pStyle w:val="TextoNormal"/>
      </w:pPr>
      <w:r w:rsidRPr="001C705E">
        <w:rPr>
          <w:rStyle w:val="NumeroAFNegritaCaracter"/>
        </w:rPr>
        <w:t>6</w:t>
      </w:r>
      <w:r>
        <w:t>. La variación indicada en la concepción del juicio de faltas, que resulta del examen de la legalidad sustantiva y orgánica, que la incardina esencialmente dentro del sistema acusatorio penal, no sólo se refuerza, sino que se impone prioritariamente, a consecuencia de las disposiciones constitucionales reguladoras de los derechos fundamentales y de las libertades públicas que se otorgan a los ciudadanos, y que por su carácter general y expansivo impiden estimar exento de su cumplimiento a dicho juicio de faltas, por sencillo y abreviado que resulte su tramitación y benigno en las sanciones, porque el imperio y efectividad de las beneficiosas garantías constitucionales también le comprenden.</w:t>
      </w:r>
    </w:p>
    <w:p w:rsidR="001C705E" w:rsidRDefault="001C705E" w:rsidP="001C705E">
      <w:pPr>
        <w:pStyle w:val="TextoNormal"/>
      </w:pPr>
      <w:r>
        <w:t>El art. 24 de la C.E., en sus dos apartados, establece el derecho de toda persona a obtener la tutela judicial efectiva de los Jueces y Tribunales, en el ejercicio de sus derechos e intereses legítimos, sin que en ningún caso pueda producirse indefensión; así como también consagra el derecho a la defensa en los procesos judiciales; a su vez proclama el derecho de las personas a ser informadas de la acusación contra ellas formulada, y por fin exige que el proceso se desarrolle con el cumplimiento de todas las garantías.</w:t>
      </w:r>
    </w:p>
    <w:p w:rsidR="001C705E" w:rsidRDefault="001C705E" w:rsidP="001C705E">
      <w:pPr>
        <w:pStyle w:val="TextoNormal"/>
      </w:pPr>
      <w:r>
        <w:t>El derecho a la tutela judicial efectiva que deben otorgar los Jueces y Tribunales, puesto en relación, por un lado, con el deber de los mismos de juzgar con independencia e imparcialidad los conflictos que le sometan las partes contradictoriamente -art.  117.1 y 3 de la C.E.-, y por otro, con la obligación de que exista una acusación dentro del peculiar sistema procesal penal, que impone como antes se señaló, la presencia y actuación del Ministerio Fiscal incluso en los juicios de faltas, en defensa de los intereses generales de la sociedad, y permite la actuación concurrente o no con aquél, de la acusación privada o popular tutelando intereses propios o ajenos -arts. 962, 965 y 969 de la L.E.Cr.-, determina la exigencia derivada de la Constitución de separar por regla general, y salvo circunstancias muy excepcionales,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para decidir justamente la controversia determinada por sus pretensiones en relación con la culpabilidad o inocencia, sin que por lo tanto pueda anular o sustituir las funciones oficiales pertenecientes al Fiscal o a las partes ofendidas o interesadas en ejercer la acusación por delitos o faltas, y sin perjuicio de realizar, en su caso, el derecho que le otorga el art. 733 de la L.E.Cr. antes indicado, para la fase de primera instancia únicamente.</w:t>
      </w:r>
    </w:p>
    <w:p w:rsidR="001C705E" w:rsidRDefault="001C705E" w:rsidP="001C705E">
      <w:pPr>
        <w:pStyle w:val="TextoNormal"/>
      </w:pPr>
      <w:r>
        <w:lastRenderedPageBreak/>
        <w:t>Esta conclusión se refuerza con la efectividad de los derechos constitucionales también indicados, de que la acusación sea previamente formulada y conocida, al exigir el art. 24.2 de la C.E. información de la misma a los acusados, para que el proceso ofrezca las garantías debidas, y todo ello con la evidente finalidad de que puedan ejercitar el inviolable derecho de defensa efectuando alegaciones y proponiendo pruebas en toda su extensión, para lograr alcanzar, como ha expuesto la Sentencia de este Tribunal de 10 de marzo de 1982, un equilibrio entre acusador y acusado en el proceso penal que evite la prohibida indefensión. Derechos de información y defensa que difícilmente pueden lograrse sin un previo trámite de exposición de la acusación por el Juez, si se estimare indebidamente, que a éste corresponde ejercitarla en el juicio de faltas, por no hallarse regulado el mismo en las minuciosas normas que desarrollan ese proceso, y que resultaría imposible de admitir cuando la acusación se realizare, confundiéndola con la condena, en la Sentencia, pues en tal supuesto la indefensión resultaría absoluta, quebrantándose las garantías constitucionales expuestas de manera inaceptable.</w:t>
      </w:r>
    </w:p>
    <w:p w:rsidR="001C705E" w:rsidRDefault="001C705E" w:rsidP="001C705E">
      <w:pPr>
        <w:pStyle w:val="TextoNormal"/>
      </w:pPr>
    </w:p>
    <w:p w:rsidR="001C705E" w:rsidRDefault="001C705E" w:rsidP="001C705E">
      <w:pPr>
        <w:pStyle w:val="TextoNormal"/>
      </w:pPr>
      <w:r w:rsidRPr="001C705E">
        <w:rPr>
          <w:rStyle w:val="NumeroAFNegritaCaracter"/>
        </w:rPr>
        <w:t>7</w:t>
      </w:r>
      <w:r>
        <w:t>. Construido el proceso de faltas admitiendo la doble instancia, resulta evidente que las precisiones hasta aquí expuestas han de aplicarse al recurso de alzada ante el Juez de Instrucción ad quem, aun con superior razón, ante la mera consideración de que la resolución del Juez de Distrito supone una decisión del proceso válida, salvo que alguna de las partes implicadas en él inicie por su voluntad expresa, según el art. 975 de la L.E.Cr. y concordantes, el recurso de apelación, ejercitando la pretensión concreta, delimitadora de la alzada, con la precisión de los temas o puntos que plantea, que enmarcan y predeterminan el alcance de la decisión del Juez superior, pues éste ha de desenvolver la función dentro de su contenido material, fuera del cual no puede actuar agravando la situación del apelante, no sólo por la efectividad del principio acusatorio aceptado para el juicio de faltas, sino por la operatividad del axioma que rige la apelación tantum apellatum, quanto devolutum, y que es aceptado por la jurisprudencia y por la doctrina, por ser acorde con la misma naturaleza y contenido del recurso, así como finalmente, porque el principio de rogación que delimita el mismo se manifiesta en la prohibición de aceptar la reformatio in peius que prohíbe el art. 902 de la L.E.Cr. para el recurso de casación, como también la propia Constitución en su art. 24 a través de la interdicción de la indefensión y la exigencia de las garantías inherentes a todo proceso, enmarcado por las pretensiones de las partes y congruencia en la decisión que lo resuelve, por todo lo cual, indudablemente, el Tribunal de alzada, de oficio no puede agravar o empeorar la condición de los derechos del recurrente, apoyándose en una pretensión de signo contrario y beneficiosa, que se transforma en peyorativa al resolverse extrapetitum, imponiendo superiores sanciones o mayor número de penas, o ampliando el contenido de las indemnizaciones, lo que sólo podrían aceptarse si concurrieran otras partes apelantes que con sus peticiones permitieron efectuar una decisión de superior contenido contra el condenado apelante, pues aunque la apelación se considere como un novum iudicium, la revisión que supone debe encuadrarse dentro de las pretensiones ejercitadas en ambas instancias, no admitiendo las apreciaciones distintas que las superen, con agravio indudable de los derechos fundamentales establecidos en la Constitución.</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Aplicando cuanto ha quedado establecido al supuesto de hecho y a las consecuencias jurídicas precisadas en el fundamento jurídico 2. , resulta necesario estimar la pretensión de amparo formulada por el actor, ya que si en el juicio de faltas su conducta fue tipificada por el Juez de Distrito en su Sentencia de primera instancia, acogiendo las acusaciones </w:t>
      </w:r>
      <w:r>
        <w:lastRenderedPageBreak/>
        <w:t>formuladas por el Fiscal y la parte denunciante, como constitutiva de la falta de imprudencia simple con resultado de daños del art. 600 del Código Penal, y sancionada con pena de 3.000 pesetas de multa e indemnización a determinar posteriormente, y el recurso de apelación lo entabló el condenado para obtener la absolución, solicitando en la vista oral las propias partes acusadoras la confirmación de la resolución recurrida, no podía el Juez de Instrucción que conocía de la alzada actuar de oficio, inquisitivamente y alterar la resolución recurrida fuera del alcance de la pretensión que se le sometía a su consideración, estimando incluso, sin apoyo en los hechos probados de la resolución recurrida, la presencia de una falta de imprudencia simple con resultado de lesiones del art. 586.2 del propio cuerpo sancionador, imponiendo al apelante una multa de superior cuantía económica al cifrarla en 10.000 pesetas, y agregándole dos nuevas sanciones leves, la de reprensión privada y la de pérdida del permiso de conducir vehículos de motor durante dos meses, así como señalando una nueva indemnización, porque al obrar de tal manera dicho Juez quebrantó el principio acusatorio, incurriendo en reformatio in peius, y lesionando los derechos constitucionales establecidos en el art. 24 de la C.E.  tal y como anteriormente quedaron interpretados, en relación a la tutela jurídica efectiva, derecho de defensa, conocimiento de la acusación y proceso con todas las garantías, que indudablemente impiden tales excesos calificadores y punitivos, realizados de oficio.</w:t>
      </w:r>
    </w:p>
    <w:p w:rsidR="001C705E" w:rsidRDefault="001C705E" w:rsidP="001C705E">
      <w:pPr>
        <w:pStyle w:val="TextoNormal"/>
      </w:pPr>
      <w:r>
        <w:t>Y conforme a lo determinado en el art. 55.1 de la Ley Orgánica del Tribunal Constitucional (LOTC), deberá reconocerse a la parte actora el derecho a que se resuelva el recurso de apelación por ella entablado, en relación a la Sentencia del Juez de Distrito que le condenó, dentro de los estrictos límites de su pretensión de apelación y del contenido del fallo de dicha resolución, sin excesos en la calificación de la falta, ni en su sanción, y como consecuencia de otorgar el amparo pedido, declarar la nulidad de la Sentencia del Juzgado de Instrucción, para que dicte otra, en la que se respeten los derechos constitucionales infringidos.</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1.  Estimar el recurso de amparo promovido por el Procurador don Antonio Rueda Bautista, en nombre y representación de don Antonio Villarino Gómez, declarando que la Sentencia del Juzgado de Instrucción núm. 1 de Santiago de Compostela de 12 de abril de 1984, dimanante del juicio de faltas 1.163/1979 del Juzgado de Distrito núm. 1 de dicha ciudad, ha infringido los derechos del mismo, a una tutela judicial efectiva, el de defensa, el de conocimiento de la acusación y el relativo a un proceso con todas las garantías.</w:t>
      </w:r>
    </w:p>
    <w:p w:rsidR="001C705E" w:rsidRDefault="001C705E" w:rsidP="001C705E">
      <w:pPr>
        <w:pStyle w:val="TextoNormal"/>
      </w:pPr>
      <w:r>
        <w:t>2.  Otorgar al actor el amparo solicitado, declarando la nulidad de la indicada Sentencia de 12 de abril de 1984, para que se dicte otra nueva, en la que se respeten los vulnerados derechos constitucionales.</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dieciocho de abril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8" w:name="SENTENCIA_1985_55"/>
      <w:r>
        <w:lastRenderedPageBreak/>
        <w:t>SENTENCIA 55/1985, de 22 de abril de 1985</w:t>
      </w:r>
    </w:p>
    <w:bookmarkEnd w:id="58"/>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119, de 18 de mayo de 1985)</w:t>
      </w:r>
    </w:p>
    <w:p w:rsidR="001C705E" w:rsidRDefault="001C705E" w:rsidP="001C705E">
      <w:pPr>
        <w:pStyle w:val="TtuloBOE"/>
      </w:pPr>
    </w:p>
    <w:p w:rsidR="001C705E" w:rsidRDefault="001C705E" w:rsidP="001C705E">
      <w:pPr>
        <w:pStyle w:val="SntesisDescriptiva"/>
      </w:pPr>
      <w:r>
        <w:t>ECLI:ES:TC:1985:55</w:t>
      </w:r>
    </w:p>
    <w:p w:rsidR="001C705E" w:rsidRDefault="001C705E" w:rsidP="001C705E">
      <w:pPr>
        <w:pStyle w:val="SntesisDescriptiva"/>
      </w:pPr>
    </w:p>
    <w:p w:rsidR="001C705E" w:rsidRDefault="001C705E" w:rsidP="001C705E">
      <w:pPr>
        <w:pStyle w:val="SntesisDescriptiva"/>
      </w:pPr>
      <w:r>
        <w:t>Recurso de amparo 114/1984 115/1984 (acumulados). Contra Resolución del Presidente de la Junta de Andalucía requiriendo de inhibición a la Magistratura de Trabajo</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Tratándose de la protección jurisdiccional de los derechos fundamentales, el mecanismo a poner en juego no es el recurso contencioso-administrativo de carácter ordinario, sino el establecido en los arts. 6 y ss. de la Ley 62/1978, de 26 de diciembre, cuyo ámbito de aplicación se extiende a todos los derechos y libertades a que se refiere el art. 53.2 de la C.E. Por ello, no es convincente decir que no hay control jurisdiccional contencioso-administrativo contra el Presidente de la Junta de Andalucía por la naturaleza y estructura de la cuestión de competencia y el criterio de la Ley de conflictos jurisdiccionales. </w:t>
      </w:r>
    </w:p>
    <w:p w:rsidR="001C705E" w:rsidRDefault="001C705E" w:rsidP="001C705E">
      <w:pPr>
        <w:pStyle w:val="Extracto"/>
      </w:pPr>
    </w:p>
    <w:p w:rsidR="001C705E" w:rsidRDefault="001C705E" w:rsidP="001C705E">
      <w:pPr>
        <w:pStyle w:val="Extracto"/>
      </w:pPr>
      <w:r>
        <w:t>2.</w:t>
      </w:r>
      <w:r>
        <w:tab/>
        <w:t xml:space="preserve">El problema que se plantea no es el impedimento de que la Jurisdicción siga entendiendo del procedimiento en curso, sino el obstáculo que a la ejecución puede suponer la ineficacia de un concreto embargo en el supuesto de que los derechos embargados sean el único bien existente en el patrimonio del deudor ejecutado, extremo que en el presente caso no se ha acreditado, pero que tampoco constituye violación del derecho reconocido en el art. 24 de la C.E., cuando quien reclama frente a un embargo lo hace en el ejercicio de un legítimo derecho subjetivo o de una potestad administrativa. </w:t>
      </w:r>
    </w:p>
    <w:p w:rsidR="001C705E" w:rsidRDefault="001C705E" w:rsidP="001C705E">
      <w:pPr>
        <w:pStyle w:val="Extracto"/>
      </w:pPr>
    </w:p>
    <w:p w:rsidR="001C705E" w:rsidRDefault="001C705E" w:rsidP="001C705E">
      <w:pPr>
        <w:pStyle w:val="Extracto"/>
      </w:pPr>
      <w:r>
        <w:t>3.</w:t>
      </w:r>
      <w:r>
        <w:tab/>
        <w:t xml:space="preserve">La razón sustancial que se esgrime para considerar vulnerado el derecho consagrado por el art. 24 de la C.E. es la inconstitucionalidad de la Ley de conflictos jurisdiccionales de 17 de julio de 1978, cuyo art. 1 se estima difícilmente encajable en el sistema constitucional vigente. </w:t>
      </w:r>
    </w:p>
    <w:p w:rsidR="001C705E" w:rsidRDefault="001C705E" w:rsidP="001C705E">
      <w:pPr>
        <w:pStyle w:val="Extracto"/>
      </w:pPr>
    </w:p>
    <w:p w:rsidR="001C705E" w:rsidRDefault="001C705E" w:rsidP="001C705E">
      <w:pPr>
        <w:pStyle w:val="Extracto"/>
      </w:pPr>
      <w:r>
        <w:t>4.</w:t>
      </w:r>
      <w:r>
        <w:tab/>
        <w:t xml:space="preserve">Esta razón podría ser decisiva si lo aquí impugnado fuera la decisión del conflicto jurisdiccional o de la cuestión de competencia, pero pierde toda trascendencia cuando, como en el caso a examen, la impugnación se dirige contra el acto administrativo de iniciación del conflicto, pues de la mácula de inconstitucionalidad del referido precepto no se podría nunca deducir la imposibilidad del planteamiento de cualquier tipo de conflicto cuando la Jurisdicción o la Administración interfirieran sus respectivos campos de acción. La eventual inconstitucionalidad de la Ley produciría un vacío normativo en el momento de la decisión, pero no afectaría al momento de la iniciación.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 xml:space="preserve">La Sala Segunda del Tribunal Constitucional, compuesta por don Jerónimo Arozamena Sierra, Presidente, y don Francisco Rubio Llorente, don Luis Díez-Picazo y Ponce de </w:t>
      </w:r>
      <w:r>
        <w:lastRenderedPageBreak/>
        <w:t>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los recursos de amparo, acumulados, tramitados con los núms. 114 y 115/1984, e interpuestos por la Procuradora de los Tribunales doña María José Millán Valero, en nombre de doña María Dolores Marchena Delgado y doña Luisa Jiménez García, contra la resolución del excelentísimo señor Presidente de la Junta de Andalucía del 27 de octubre de 1983, por la que se requirió de inhibición a la Magistratura de Trabajo núm. 2 de Sevilla, en los autos seguidos ante dicha Magistratura de Trabajo, a fin de que la misma se abstuviera de embargar la subvención a la gratuidad correspondiente al Colegio «Calderón de la Barca», de Sevilla. En los mencionados recursos de amparo ha sido parte la Procuradora de los Tribunales doña Rosina Montes Agustí, en nombre de «Calderón de la Barca, Sociedad Cooperativa Limitada», y el Ministerio Fiscal. Ha sido Ponente el Magistrado don Luis Díez-Picazo y Ponce de León,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Doña María Dolores Marchena Delgado y doña María Luisa Jiménez García, Profesoras del Colegio «Calderón de la Barca», de Sevilla, fueron despedidas con fecha 11 de diciembre de 1979 y 29 de diciembre de 1979, respectivamente, por el entonces titular del Centro, don Buenaventura García García, alegando motivos disciplinarios. </w:t>
      </w:r>
    </w:p>
    <w:p w:rsidR="001C705E" w:rsidRDefault="001C705E" w:rsidP="001C705E">
      <w:pPr>
        <w:pStyle w:val="TextoNormal"/>
      </w:pPr>
      <w:r>
        <w:t xml:space="preserve">Tras la presentación de las correspondientes demandas, que fueron tramitadas por la Magistratura de Trabajo núm. 2 de Sevilla, bajo los núms. 1.979/1979 y 134/1980, se dictaron sendas Sentencias que consideraron improcedentes los despidos producidos, al no haberse probado la concurrencia de la falta muy grave sancionable con despido, condenándose al demandado a la readmisión y al abono de los salarios de trámite desde la fecha de los despidos hasta que las readmisiones tuviesen lugar. </w:t>
      </w:r>
    </w:p>
    <w:p w:rsidR="001C705E" w:rsidRDefault="001C705E" w:rsidP="001C705E">
      <w:pPr>
        <w:pStyle w:val="TextoNormal"/>
      </w:pPr>
      <w:r>
        <w:t xml:space="preserve">Contra dichas Sentencias quedaron interpuestos sendos recursos de suplicación ante el Tribunal Central de Trabajo, por estimar las recurrentes que la antigüedad que se les reconocía era menor de la real, recursos que fueron desestimados, confirmando las Sentencias de la Magistratura de Trabajo de 23 de febrero de 1980 y 17 de marzo de 1980. </w:t>
      </w:r>
    </w:p>
    <w:p w:rsidR="001C705E" w:rsidRDefault="001C705E" w:rsidP="001C705E">
      <w:pPr>
        <w:pStyle w:val="TextoNormal"/>
      </w:pPr>
      <w:r>
        <w:t xml:space="preserve">Al no proceder el señor García García a las readmisiones acordadas se dictaron autos con fechas 26 de noviembre de 1981 y 25 de febrero de 1982, en los que declaró la resolución de los respectivos contratos de trabajo, con imposición a don Buenaventura García García de la obligación de indemnizar a las interesadas, así como al abono de los correspondientes salarios de tramitación. Al quedar firmes los referidos autos, la Magistratura decretó la ejecución de dichas resoluciones, lo que se instrumentó a través del embargo de la subvención a la gratuidad que correspondía al demandado como titular del mencionado Centro docente. Las notificaciones del embargo se realizaron directamente al Delegado </w:t>
      </w:r>
      <w:r>
        <w:lastRenderedPageBreak/>
        <w:t xml:space="preserve">provincial del Ministerio de Educación y Ciencia el 17 de febrero de 1982 y 20 de mayo de 1982, ratificándose en fechas posteriores. </w:t>
      </w:r>
    </w:p>
    <w:p w:rsidR="001C705E" w:rsidRDefault="001C705E" w:rsidP="001C705E">
      <w:pPr>
        <w:pStyle w:val="TextoNormal"/>
      </w:pPr>
      <w:r>
        <w:t>De los datos que obran en el expediente resulta que el Colegio «Calderón de la Barca», de Sevilla, percibe subvenciones a la gratuidad para ocho unidades de Educación General Básica, en un porcentaje del 100 por 100, subvención que se ha venido acreditando trimestralmente. La titularidad de dicho Colegio, que correspondía a don Buenaventura García García, se transfirió a una Sociedad Cooperativa Limitada, cambio que fue autorizado por el Ministerio de Educación y Ciencia con fecha 16 de marzo de 1982.</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El 27 de octubre de 1983, el excelentísimo señor Presidente de la Junta de Andalucía dirige sendas comunicaciones al ilustrísimo señor Magistrado de Trabajo núm. 2 de Sevilla, requiriéndole de inhibición para que en los autos 1.979/1979 y 134/1980, seguidos en dicha Magistratura por demandas de las señoras Marchena Delgado y Jiménez García, contra don Buenaventura García García, se abstenga de embargar la subvención a la gratuidad del Colegio «Calderón de la Barca» para responder de las costas e indemnización por despido, haciéndolo sólo por los salarios de tramitación, y para que se abstenga, en todo caso, a partir del segundo semestre de 1982, por ser desde dicho período titular del Colegio una nueva Entidad que no ha sido vencida en juicio, todo ello con invocación de los preceptos pertinentes de la Ley de Conflictos Jurisdiccionales de 17 de julio de 1948. </w:t>
      </w:r>
    </w:p>
    <w:p w:rsidR="001C705E" w:rsidRDefault="001C705E" w:rsidP="001C705E">
      <w:pPr>
        <w:pStyle w:val="TextoNormal"/>
      </w:pPr>
      <w:r>
        <w:t>Abierta así la cuestión de competencia, y previo informe de la Fiscalía, la Magistratura de Trabajo requerida dictó dos Autos con fecha 20 de diciembre de 1983, coincidentes en sus fundamentos, en los que se rechazan los requerimientos efectuados por el excelentísimo señor Presidente de la Junta de Andalucía, resolviendo no acceder a los mismos y declarando su competencia para seguir conociendo de las actuaciones. Interpuestos recursos de reposición frente a los anteriores Autos por las ahora demandantes, el 23 de enero de 1984, quedaron resueltos en el sentido de no haber lugar a los citados recursos.</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El 22 de febrero de 1984 tuvo lugar entrada en este Tribunal escrito de la Procuradora de los Tribunales doña María José Millán Valero, en nombre y representación de doña María Dolores Marchena Delgado, por el que se interpone recurso de amparo constitucional frente a la resolución del excelentísimo señor Presidente de la Junta de Andalucía de 27 de octubre de 1983, en la medida en que la misma vulnera los derechos contenidos en los arts. 24.1 y 14 de la Constitución. </w:t>
      </w:r>
    </w:p>
    <w:p w:rsidR="001C705E" w:rsidRDefault="001C705E" w:rsidP="001C705E">
      <w:pPr>
        <w:pStyle w:val="TextoNormal"/>
      </w:pPr>
      <w:r>
        <w:t xml:space="preserve">La demanda se basa en los siguientes fundamentos: </w:t>
      </w:r>
    </w:p>
    <w:p w:rsidR="001C705E" w:rsidRDefault="001C705E" w:rsidP="001C705E">
      <w:pPr>
        <w:pStyle w:val="TextoNormal"/>
      </w:pPr>
      <w:r>
        <w:t xml:space="preserve">a) Vulneración del derecho a obtener la tutela efectiva de los Jueces y Tribunales, por cuanto la Ley de Conflictos Jurisdiccionales es claramente inconstitucional, así como también lo son cuantas normas posconstitucionales se remitan a aquélla como sustento, todo ello en razón a lo preceptuado por la disposición derogatoria de la Constitución Española, en especial en sus núms. 1 y 3, al derogar de manera expresa la Ley orgánica del Estado de 10 de enero de 1967, en la que encuentra su enclave y justificación el sistema articulado por la Ley Reguladora de los Conflictos Jurisdiccionales. Ello es así porque la Constitución Española de 1978, con una consideración radicalmente distinta de la Jefatura del Estado y con un criterio respetuoso de la independencia de los Tribunales, no reprodujo ningún precepto ni igual ni similar al antes señalado. </w:t>
      </w:r>
    </w:p>
    <w:p w:rsidR="001C705E" w:rsidRDefault="001C705E" w:rsidP="001C705E">
      <w:pPr>
        <w:pStyle w:val="TextoNormal"/>
      </w:pPr>
      <w:r>
        <w:t>Por el contrario, la figura de la Corona queda regulada de tal forma en nuestra Constitución que Su Majestad el Rey, en todos sus actos, ha de tener el refrendo del Presidente del Gobierno, de acuerdo con los arts. 56 y 64 de la propia Constitución. Y el derecho a la tutela jurisdiccional completado con la independencia del poder judicial, tal como se reco</w:t>
      </w:r>
      <w:r>
        <w:lastRenderedPageBreak/>
        <w:t xml:space="preserve">ge en el art. 117, párrafos 1 y 3, de la Constitución, resulta incompatible con que fuese el Presidente del Gobierno o el Consejo de Ministros quienes resolviesen los conflictos entre la Administración y la Jurisdicción. </w:t>
      </w:r>
    </w:p>
    <w:p w:rsidR="001C705E" w:rsidRDefault="001C705E" w:rsidP="001C705E">
      <w:pPr>
        <w:pStyle w:val="TextoNormal"/>
      </w:pPr>
      <w:r>
        <w:t xml:space="preserve">La Ley de Conflictos Jurisdiccionales, en cuya virtud se requiere de inhibición, vulnera el art. 24.1, regulador del derecho a obtener la tutela efectiva de los Jueces y Tribunales por cuanto se impide el ejercicio de la potestad jurisdiccional mediante una regulación inconstitucional en la medida que entra en contradicción con la concepción de la Monarquía Parlamentaria recogida en la Constitución Española (al contrario que encajaba perfectamente con el concepto de Jefatura del Estado del régimen franquista), con el principio de separación de poderes en el estado democrático, y con la independencia y exclusividad de la potestad jurisdiccional por parte del poder judicial. </w:t>
      </w:r>
    </w:p>
    <w:p w:rsidR="001C705E" w:rsidRDefault="001C705E" w:rsidP="001C705E">
      <w:pPr>
        <w:pStyle w:val="TextoNormal"/>
      </w:pPr>
      <w:r>
        <w:t xml:space="preserve">Por otro lado, no puede entenderse que entre las facultades del Rey atribuidas por el art. 56.1 de la Constitución, en cuanto a su papel de árbitro y moderador de las instituciones, alcanza a su competencia para resolver conflictos de esta índole; por el contrario, en el Derecho comparado de nuestra área cultural tal papel de arbitrio y moderación se hace a niveles políticos entre las altas instituciones del Estado. </w:t>
      </w:r>
    </w:p>
    <w:p w:rsidR="001C705E" w:rsidRDefault="001C705E" w:rsidP="001C705E">
      <w:pPr>
        <w:pStyle w:val="TextoNormal"/>
      </w:pPr>
      <w:r>
        <w:t xml:space="preserve">La Constitución Española de 1978 se inspira en la concepción clásica de la separación de poderes del Estado y en el principio de la independencia y exclusividad de los Jueces y Tribunales. Y en esta situación cabe preguntarse si tiene sentido y es defendible que los conflictos de competencias entre la Administración y los Jueces y Tribunales sean resueltos por el Presidente del Gobierno, previa deliberación del Consejo de Ministros. </w:t>
      </w:r>
    </w:p>
    <w:p w:rsidR="001C705E" w:rsidRDefault="001C705E" w:rsidP="001C705E">
      <w:pPr>
        <w:pStyle w:val="TextoNormal"/>
      </w:pPr>
      <w:r>
        <w:t xml:space="preserve">En opinión de la demandante, ni la propia Ley de Conflictos Jurisdiccionales ni ninguna otra norma legal atribuye al Presidente del Gobierno esta facultad; si no hay instrumento legal que se la atribuya, no la tiene, y si no la tiene, no puede, no debe, ejercerla. </w:t>
      </w:r>
    </w:p>
    <w:p w:rsidR="001C705E" w:rsidRDefault="001C705E" w:rsidP="001C705E">
      <w:pPr>
        <w:pStyle w:val="TextoNormal"/>
      </w:pPr>
      <w:r>
        <w:t xml:space="preserve">Una atribución al Consejo de Ministros de la facultad de decidir en las cuestiones de competencia entre la Administración y los Organos jurisdiccionales, de existir, que no existe, estarían en contradicción con la independencia de los Jueces y Tribunales y su exclusividad en el ejercicio de la potestad jurisdiccional juzgando y haciendo ejecutar lo juzgado, tal como determinan el art. 117.1 y 3 de la Constitución, robusteciendo la efectividad del derecho a la tutela efectiva de los Jueces y Tribunales del art. 24.1. </w:t>
      </w:r>
    </w:p>
    <w:p w:rsidR="001C705E" w:rsidRDefault="001C705E" w:rsidP="001C705E">
      <w:pPr>
        <w:pStyle w:val="TextoNormal"/>
      </w:pPr>
      <w:r>
        <w:t xml:space="preserve">Existe otro aspecto de singular importancia; en nuestro caso, la Administración trata de impedir que el Juez competente siga ejecutando lo juzgado por él mismo, pero sin que propiamente reclame para sí competencia sobre nada </w:t>
      </w:r>
    </w:p>
    <w:p w:rsidR="001C705E" w:rsidRDefault="001C705E" w:rsidP="001C705E">
      <w:pPr>
        <w:pStyle w:val="TextoNormal"/>
      </w:pPr>
      <w:r>
        <w:t xml:space="preserve">El tenor literal del art. 16 de la Ley de Conflictos Jurisdiccionales es claro: «Tanto las autoridades administrativas como las judiciales que entiendan que otra distinta jurisdicción está conociendo de un negocio que a ellos compete.» Esta es la base que permite iniciar el procedimiento de la cuestión de competencia. Y cabe preguntar: Qué competencia, qué conocimiento posterior recaba el excelentísimo señor Presidente de la Junta de Andalucía? En realidad, esta autoridad no reclama competencia alguna, sino que plantea cuestiones de interpretación de legalidad de lo que es plenamente competente la Magistratura del Trabajo. </w:t>
      </w:r>
    </w:p>
    <w:p w:rsidR="001C705E" w:rsidRDefault="001C705E" w:rsidP="001C705E">
      <w:pPr>
        <w:pStyle w:val="TextoNormal"/>
      </w:pPr>
      <w:r>
        <w:t xml:space="preserve">También se vulnera el art. 24.1, regulador del derecho de obtener tutela efectiva de los Tribunales, por cuanto la Administración, a través de todo un proceso que culmina con el requerimiento de inhibición, está produciendo el incumplimiento del fallo judicial. Y, como ha dicho el propio Tribunal Constitucional en Sentencia de 7 de junio de 1982, las garantías judiciales del art. 24.1 incluyen la exigencia de que el fallo judicial se cumpla y la obligación de la Administración Pública de garantizar que el mencionado derecho a la </w:t>
      </w:r>
      <w:r>
        <w:lastRenderedPageBreak/>
        <w:t xml:space="preserve">tutela judicial adquiera plena eficacia, todo ello en concordancia con el art. 118 de la Constitución Española. </w:t>
      </w:r>
    </w:p>
    <w:p w:rsidR="001C705E" w:rsidRDefault="001C705E" w:rsidP="001C705E">
      <w:pPr>
        <w:pStyle w:val="TextoNormal"/>
      </w:pPr>
      <w:r>
        <w:t xml:space="preserve">Se produce, por último, una vulneración del art. 24, en su apartado 2. , en el sentido de vulnerarse el derecho a un proceso sin dilaciones indebidas. A ese respecto cabe citar la Sentencia del Tribunal Constitucional de 14 de julio de 1981, cuando se indica que las garantías de un proceso sin dilaciones indebidas afectan no solamente a los procesos penales, sino a cualquier proceso y que el derecho de tutela judicial no puede entenderse desligado del tiempo, sino que ha de ser comprendido en el sentido de que se otorgue y efectúe dentro de razonables términos temporales. </w:t>
      </w:r>
    </w:p>
    <w:p w:rsidR="001C705E" w:rsidRDefault="001C705E" w:rsidP="001C705E">
      <w:pPr>
        <w:pStyle w:val="TextoNormal"/>
      </w:pPr>
      <w:r>
        <w:t xml:space="preserve">Señala asimismo la demandante las infracciones que a su juicio se han producido de las normas legales contenidas en la propia Ley de Conflictos, concretamente de su art. 19 y en cuanto a las facultades de la autoridad requirente. </w:t>
      </w:r>
    </w:p>
    <w:p w:rsidR="001C705E" w:rsidRDefault="001C705E" w:rsidP="001C705E">
      <w:pPr>
        <w:pStyle w:val="TextoNormal"/>
      </w:pPr>
      <w:r>
        <w:t xml:space="preserve">b) Vulneración del art. 14 de la Constitución Española, por cuanto abarca tal precepto al derecho a la igualdad en la aplicación de la Ley, aspecto relacionado con la interdicción de la arbitrariedad de los poderes públicos (art. 9.3 de la Constitución), señalándose en la demanda que la Administración, sin fundamento conocido y sin cambio legal, varía el tratamiento dado a otros supuestos idénticos al presente. </w:t>
      </w:r>
    </w:p>
    <w:p w:rsidR="001C705E" w:rsidRDefault="001C705E" w:rsidP="001C705E">
      <w:pPr>
        <w:pStyle w:val="TextoNormal"/>
      </w:pPr>
      <w:r>
        <w:t xml:space="preserve">Solicita, en consecuencia, la demandante el otorgamiento del amparo, con anulación de la Resolución del excelentísimo señor Presidente de la Junta de Andalucía de 27 de octubre de 1983, reconociéndose la plena competencia de la Magistratura de Trabajo para seguir conociendo de la ejecución en los autos correspondientes, declarándose la falta de fundamento constitucional de dicha actuación gubernativa y, en definitiva, que se de cumplimiento inmediato y sin mas dilaciones a lo ordena* de Trabajo en los trámites de ejecución mencionados. </w:t>
      </w:r>
    </w:p>
    <w:p w:rsidR="001C705E" w:rsidRDefault="001C705E" w:rsidP="001C705E">
      <w:pPr>
        <w:pStyle w:val="TextoNormal"/>
      </w:pPr>
      <w:r>
        <w:t>Por otrosí interesa se disponga la acumulación del presente recurso al promovido en igual fecha por doña María Luisa Jiménez García, por ser un asunto conexo y coincidente en lo fundamental.</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22 de febrero de 19 84, esto es, el mismo día que se presentó el recurso de amparo a que se refiere el número anterior, la Procuradora de los Tribunales doña María José Millán Valero, en nombre y representación de doña María Luisa Jiménez García, formuló recurso de amparo frente a la Resolución del excelentísimo señor Presidente de la Junta de Andalucía de 27 de octubre de 1983, en la medida en que la misma vulnera los derechos contenidos en los arts. 24 y 14 de la Constitución Española. </w:t>
      </w:r>
    </w:p>
    <w:p w:rsidR="001C705E" w:rsidRDefault="001C705E" w:rsidP="001C705E">
      <w:pPr>
        <w:pStyle w:val="TextoNormal"/>
      </w:pPr>
      <w:r>
        <w:t>La demanda contiene similares antecedentes e idénticos fundamentos de Derecho, así como el mismo suplico que la interpuesta por la anterior solicitante de amparo. También se solicita la acumulación con la de doña María Dolores Marchena, conforme al art. 83 de la Ley orgánica del Tribunal Constitucional.</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Por sendas providencias de la Sección Cuarta de 28 de marzo de 1984 se admitieron a trámite las referidas demandas de amparo, solicitándose del Organismo competente la remisión de los expedientes tramitados. Asimismo, se acordó oír a las comparecientes y al Ministerio Fiscal acerca de la acumulación de ambos recursos, con suspensión del procedimiento, hasta la adopción de la resolución sobre dicho extremo. </w:t>
      </w:r>
    </w:p>
    <w:p w:rsidR="001C705E" w:rsidRDefault="001C705E" w:rsidP="001C705E">
      <w:pPr>
        <w:pStyle w:val="TextoNormal"/>
      </w:pPr>
      <w:r>
        <w:t>Recibidos los escritos de las partes, en los que mostraron su conformidad con la acumulación, la Sala, con fecha 2 de mayo de 1984, acordó la acumulación de ambos recursos, al haberse apreciado no sólo la conexión, sino la identidad entre uno y otro, alzándose la suspensión del procedimiento y acordándose recabar nuevamente el envío de los expe</w:t>
      </w:r>
      <w:r>
        <w:lastRenderedPageBreak/>
        <w:t>dientes o testimonio de los mismos a la Junta de Andalucía. Al no recibirse respuesta ni envío alguno por parte de dicho Organismo, se reiteró la petición en comunicación de 22 de junio, acordándose, finalmente, por providencia de 26 de septiembre de 1984, interesar de la Junta de Andalucía, mediante télex, la remisión de las actuaciones anteriormente solicitadas y, al propio tiempo, solicitar de la Magistratura de Trabajo número 2 de Sevilla la remisión de las actuaciones practicadas para la ejecución de las Sentencias dictadas en los procedimientos tramitados ante la misma, seguidos por las demandantes de amparo contra don Buenaventura García García, con emplazamiento a las partes intervinientes en dichos procedimientos.</w:t>
      </w:r>
    </w:p>
    <w:p w:rsidR="001C705E" w:rsidRDefault="001C705E" w:rsidP="001C705E">
      <w:pPr>
        <w:pStyle w:val="TextoNormal"/>
      </w:pPr>
    </w:p>
    <w:p w:rsidR="001C705E" w:rsidRDefault="001C705E" w:rsidP="001C705E">
      <w:pPr>
        <w:pStyle w:val="TextoNormal"/>
      </w:pPr>
      <w:r w:rsidRPr="001C705E">
        <w:rPr>
          <w:rStyle w:val="NumeroAFNegritaCaracter"/>
        </w:rPr>
        <w:t>6</w:t>
      </w:r>
      <w:r>
        <w:t>. Por providencia de 7 de noviembre de 1984, la Sección acordó tener por comparecida en el presente recurso a la Entidad «Calderón de la Barca, Sociedad Cooperativa Limitada», representada por la Procuradora doña Rosina Montes Agustí, dándose vista de las actuaciones a las demandantes, a los personados en el proceso y al Ministerio Fiscal, por plazo común de veinte días, para la formulación de sus respectivas alegaciones.</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Dentro del plazo concedido, la Sociedad Cooperativa Limitada «Calderón de la Barca», de Sevilla, formula sus alegaciones, en las que, en síntesis, se manifiesta que dicha Sociedad es titular del colegio de Educación General Básica del mismo nombre, del que se hizo cargo el día 3 de diciembre de 1979, al producirse la denuncia del contrato que el anterior titular tenía con su socio don Manuel Delgado Rodríguez, quien a su vez había constituido una Sociedad civil con las hoy demandantes de amparo y otros Profesores del Centro. Esta situación de facto se formalizó, al parecer, a través de un escrito del 26 de diciembre siguiente, fecha en la que el Colegio no tenía concedida subvención alguna y fecha posterior a la que el titular precedente había remitido por conducto notarial a las hoy actoras sendas cartas, comunicándoles el cese, lo que motivó el planteamiento del litigio laboral que está en el inicio del presente procedimiento. </w:t>
      </w:r>
    </w:p>
    <w:p w:rsidR="001C705E" w:rsidRDefault="001C705E" w:rsidP="001C705E">
      <w:pPr>
        <w:pStyle w:val="TextoNormal"/>
      </w:pPr>
      <w:r>
        <w:t xml:space="preserve">Con posterioridad, la Cooperativa titular del Centro obtuvo la aprobación de sus Estatutos (26 de febrero de 1980), quedando inscrita en el Registro de cooperativas el 3 de septiembre siguiente, y ratificó el contrato de cesión de la titularidad del Centro que se formalizó en escritura pública el 20 de octubre de 1981. </w:t>
      </w:r>
    </w:p>
    <w:p w:rsidR="001C705E" w:rsidRDefault="001C705E" w:rsidP="001C705E">
      <w:pPr>
        <w:pStyle w:val="TextoNormal"/>
      </w:pPr>
      <w:r>
        <w:t xml:space="preserve">En cuanto al litigio laboral planteado por las ahora demandantes, en el que se condenó exclusivamente al señor García por despido improcedente, en ningún momento se tuvo en cuenta, ni por las demandantes ni por el órgano judicial, a la Cooperativa titular del Centro, a la cual tampoco se notificó la sentencia, ni los posteriores trámites e incidentes, hasta el año 1983, en el que se recibió una citación para comparecer en período de ejecución de sentencia en el procedimiento relativo a la señora Marchena Delgado, a fin de declarar a la Cooperativa solidaria con las obligaciones del anterior titular. Tras formularse oposición a tal pretensión, la Magistratura dictó auto declarando a la Cooperativa solidaria con el anterior titular. Anunciando el propósito de recurrir en suplicación e interpuesto recurso de reposición contra una providencia del Juzgado, se produjo el requerimiento de inhibición por parte de la Presidencia de la Junta de Andalucía. </w:t>
      </w:r>
    </w:p>
    <w:p w:rsidR="001C705E" w:rsidRDefault="001C705E" w:rsidP="001C705E">
      <w:pPr>
        <w:pStyle w:val="TextoNormal"/>
      </w:pPr>
      <w:r>
        <w:t xml:space="preserve">En cuanto a los autos relativos a la señora Jiménez García, no hubo tampoco notificación de los mismos a la Cooperativa, pese a lo cual se ha producido por orden de la Magistratura la retención de la subvención a la gratuidad que percibe el Centro. </w:t>
      </w:r>
    </w:p>
    <w:p w:rsidR="001C705E" w:rsidRDefault="001C705E" w:rsidP="001C705E">
      <w:pPr>
        <w:pStyle w:val="TextoNormal"/>
      </w:pPr>
      <w:r>
        <w:t xml:space="preserve">Luego de llevar a cabo diversas alegaciones previas en relación con el litigio planteado en el orden laboral, la representación de la Entidad basa su oposición a las demandantes en los fundamentos jurídicos siguientes: </w:t>
      </w:r>
    </w:p>
    <w:p w:rsidR="001C705E" w:rsidRDefault="001C705E" w:rsidP="001C705E">
      <w:pPr>
        <w:pStyle w:val="TextoNormal"/>
      </w:pPr>
      <w:r>
        <w:lastRenderedPageBreak/>
        <w:t xml:space="preserve">a) El acto emanado de la Presidencia de la Junta de Andalucía, antes que agotar la vía administrativa, lo único que hace es abrir un cauce procedimental para que, dentro de él pueda resolverse, mediante la suprema autoridad de la Jefatura del Estado, el problema que se ha planteado, por lo que el recurso de amparo resulta inoperante, al existir una instancia que puede pronunciarse sobre el problema planteado de acuerdo con la legislación aplicable. </w:t>
      </w:r>
    </w:p>
    <w:p w:rsidR="001C705E" w:rsidRDefault="001C705E" w:rsidP="001C705E">
      <w:pPr>
        <w:pStyle w:val="TextoNormal"/>
      </w:pPr>
      <w:r>
        <w:t xml:space="preserve">b) En cuanto a las supuestas vulneraciones de los arts. 24.1 y 14 de la Constitución Española, comparte el codemandado las tesis tanto del Ministerio Fiscal como del Abogado del Estado, que suscribe en su totalidad, añadiendo diversas consideraciones tendentes a rechazar las alegaciones efectuadas por las solicitantes de amparo, señalando que con la actuación de la Magistratura de Trabajo se han vulnerado los derechos constitucionales a la gratuidad de la enseñanza de los alumnos y de los padres de alumnos matriculados en el Centro docente; a la tutela efectiva de los Jueces y Tribunales, al ejecutar a quien no ha sido demandado, oído ni condenado en juicio, y a un procedimiento sin dilaciones indebidas, terminando con la súplica de que se dicte sentencia en la que se deniegue el amparo solicitado en razón a que no existe vulneración alguna de preceptos constitucionales que alegan las demandantes, y se declare que la subvención a la gratuidad es absolutamente inembargable, así como la nulidad de las resoluciones judiciales recaídas en los autos que han dado lugar al recurso. </w:t>
      </w:r>
    </w:p>
    <w:p w:rsidR="001C705E" w:rsidRDefault="001C705E" w:rsidP="001C705E">
      <w:pPr>
        <w:pStyle w:val="TextoNormal"/>
      </w:pPr>
      <w:r>
        <w:t>Por sendos otrosíes se solicita la suspensión de todas las actuaciones hasta Tribunal Constitucional se pronuncie sobre los problemas planteados en este recurso, suspensión que debe extenderse a todas las actuaciones que sobre estas materias se siguen ante la Magistratura de Trabajo por procedimientos similares, y asimismo que se den por reproducidas las alegaciones formuladas en este recurso en los que se tramitan ante este Tribunal bajo los números 513, 559 y 560 por no haberse dado audiencia a los directamente afectados por cualquier resolución judicial que en ellos pueda recaer.</w:t>
      </w:r>
    </w:p>
    <w:p w:rsidR="001C705E" w:rsidRDefault="001C705E" w:rsidP="001C705E">
      <w:pPr>
        <w:pStyle w:val="TextoNormal"/>
      </w:pPr>
    </w:p>
    <w:p w:rsidR="001C705E" w:rsidRDefault="001C705E" w:rsidP="001C705E">
      <w:pPr>
        <w:pStyle w:val="TextoNormal"/>
      </w:pPr>
      <w:r w:rsidRPr="001C705E">
        <w:rPr>
          <w:rStyle w:val="NumeroAFNegritaCaracter"/>
        </w:rPr>
        <w:t>8</w:t>
      </w:r>
      <w:r>
        <w:t xml:space="preserve">. El día 22 de diciembre de 1984 el Fiscal ante el Tribunal Constitucional formula sus alegaciones, en las que plantea inicialmente la cuestión de la posible concurrencia de la causa de inadmisión prevista en el art. 50.2 b) de la Ley orgánica del Tribunal Constitucional en relación con algunos de los actos y resoluciones frente a los que se impetra el amparo, causa de inadmisión que, en esta fase del proceso, podría ser alegada y apreciada como de desestimación, conforme a reiterada jurisprudencia constitucional. La falta de agotamiento de la vía judicial procedente no se refiere a la resolución del excelentísimo señor Presidente de la Junta de Andalucía, que no es susceptible de recurso alguno por su propia naturaleza y lo dispuesto en la Ley de 17 de julio de 1948, sino a la actuación de la Delegación Provincial de Educación de Sevilla y de la Delegación correspondiente de la Consejería de Educación de la Junta de Andalucía, cuyo control jurisdiccional -y ni siquiera administrativo- no consta que se intentara en ningún momento por los hoy demandantes de amparo. </w:t>
      </w:r>
    </w:p>
    <w:p w:rsidR="001C705E" w:rsidRDefault="001C705E" w:rsidP="001C705E">
      <w:pPr>
        <w:pStyle w:val="TextoNormal"/>
      </w:pPr>
      <w:r>
        <w:t xml:space="preserve">En cuanto a la cuestión planteada, esto es, si el requerimiento inhibitorio formulado por la Junta de Andalucía a la Magistratura ha vulnerado o no los derechos fundamentales que se invocan en la demanda, luego de analizarse el problema previo de si tal resolución de la Junta de Andalucía fue una auténtica cuestión de competencia, considera que tal resolución no ha vulnerado los derechos fundamentales invocados, puesto que se habría limitado a ejercer la facultad -que al mismo tiempo es un deber- de contribuir objetivamente a la satisfacción de un interés de rango y trascendencia constitucional, esto es, el de que cada poder público respete el ámbito de competencia de los demás. </w:t>
      </w:r>
    </w:p>
    <w:p w:rsidR="001C705E" w:rsidRDefault="001C705E" w:rsidP="001C705E">
      <w:pPr>
        <w:pStyle w:val="TextoNormal"/>
      </w:pPr>
      <w:r>
        <w:lastRenderedPageBreak/>
        <w:t xml:space="preserve">El requerimiento de inhibición, al deferir a una autoridad superior la pacificación y solución de un conflicto entre poderes públicos, da pie, en términos jurídico-constitucionales, para posponer temporalmente el derecho de los demandantes a obtener la correspondiente tutela judicial -que incluye, por supuesto, el de conseguir el cumplimiento del fallo judicial- y su derecho a un proceso sin dilaciones indebidas, sin que puedan tacharse como tales las derivadas del procedimiento que atiende a resolver un conflicto jurisdiccional. </w:t>
      </w:r>
    </w:p>
    <w:p w:rsidR="001C705E" w:rsidRDefault="001C705E" w:rsidP="001C705E">
      <w:pPr>
        <w:pStyle w:val="TextoNormal"/>
      </w:pPr>
      <w:r>
        <w:t xml:space="preserve">En cuanto al quebrantamiento del derecho a la igualdad (art. 14 de la Constitución), tampoco se aprecia vulneración alguna, sin que se puedan alegar en ningún caso actuaciones anteriores de la autoridad administrativa, puesto que la igualdad ante la Ley no postula, como tantas veces ha afirmado este Tribunal, la equiparación en la inobservancia, sino en el cumplimiento de la Ley. </w:t>
      </w:r>
    </w:p>
    <w:p w:rsidR="001C705E" w:rsidRDefault="001C705E" w:rsidP="001C705E">
      <w:pPr>
        <w:pStyle w:val="TextoNormal"/>
      </w:pPr>
      <w:r>
        <w:t>Por último, el Ministerio Fiscal entra a considerar la cuestión de la pretendida inconstitucionalidad de la Ley de 17 de julio de 1948, sobre Conflictos Jurisdiccionales. Pues bien, pese a reconocer que dicho texto legal no encaja con los principios básicos de un sistema constitucional, y en especial con el de división de poderes, su aplicación es necesaria para evitar vacíos normativos, teniendo en cuenta lo que dispone el articulo 56.1 de la Constitución Española, que atribuye al Rey la función de arbitrar y moderar el funcionamiento regular de las instituciones. Por otra parte, la posibilidad de introducir en un recurso de amparo una alegación de inconstitucionalidad de una norma legal está condicionada a que la Ley cuestionada lesione derechos fundamentales y libertades públicas y que el recurrente haya sufrido una lesión concreta y actual en sus derechos como consecuencia de la aplicación de dicha Ley, de tal manera que «sean inescindibles el amparo constitucional y la inconstitucionalidad de la Ley», lo que en este caso no se ha dado. No se trata, pues, de una cuestión de inconstitucionalidad conforme al art. 55.2 de la Ley orgánica del Tribunal Constitucional lo que las demandantes proponen, sino un encubierto recurso de inconstitucionalidad, para cuyo ejercicio no están, en modo alguno, legitimadas. Concluye el Ministerio Fiscal interesando del Tribunal la desestimación de los amparos impetrados.</w:t>
      </w:r>
    </w:p>
    <w:p w:rsidR="001C705E" w:rsidRDefault="001C705E" w:rsidP="001C705E">
      <w:pPr>
        <w:pStyle w:val="TextoNormal"/>
      </w:pPr>
    </w:p>
    <w:p w:rsidR="001C705E" w:rsidRDefault="001C705E" w:rsidP="001C705E">
      <w:pPr>
        <w:pStyle w:val="TextoNormal"/>
      </w:pPr>
      <w:r w:rsidRPr="001C705E">
        <w:rPr>
          <w:rStyle w:val="NumeroAFNegritaCaracter"/>
        </w:rPr>
        <w:t>9</w:t>
      </w:r>
      <w:r>
        <w:t xml:space="preserve">. Las demandantes formulan sus alegaciones por escrito de 28 de diciembre de 1984, en el que reiteran y matizan los argumentos en relación con la inconstitucionalidad sobrevenida de la Ley de Conflictos Jurisdiccionales, por vulnerar el contenido esencial del derecho a la tutela judicial efectiva del art. 24.1 de la Constitución Española, ya expuestos en la demanda, inconstitucionalidad que se predica, además, del artículo 8 de la Ley de Procedimiento Laboral y del art. 22.7 de la Ley orgánica 3/1980, de 22 de abril, del Consejo de Estado. </w:t>
      </w:r>
    </w:p>
    <w:p w:rsidR="001C705E" w:rsidRDefault="001C705E" w:rsidP="001C705E">
      <w:pPr>
        <w:pStyle w:val="TextoNormal"/>
      </w:pPr>
      <w:r>
        <w:t xml:space="preserve">Con cita de diversas Sentencias de este Tribunal, se insiste en la exigencia de que el fallo judicial se cumpla, sin impedimento ni obstáculo alguno, ya que en ese caso, como en el presente, ha de prosperar el instrumento constitucional que supone el recurso de amparo. </w:t>
      </w:r>
    </w:p>
    <w:p w:rsidR="001C705E" w:rsidRDefault="001C705E" w:rsidP="001C705E">
      <w:pPr>
        <w:pStyle w:val="TextoNormal"/>
      </w:pPr>
      <w:r>
        <w:t>Finalmente, las demandantes se refieren de nuevo a la vulneración del derecho a un proceso sin dilaciones indebidas (art. 24.2 de la Constitución), que no proviene en su opinión sólo del requerimiento de inhibición, sino de otras actuaciones anteriores. Se reafirma de igual modo las tesis sobre la violación del art. 14 de la Constitución Española. Solicitan que, tras dar vista de las actuaciones al Gabinete Jurídico de la Consejería de la Presidencia de la Junta de Andalucía, se dicte Sentencia otorgando el amparo pedido, con anulación del acto recurrido, reconociéndose la plena competencia de la Magistratura de Traba</w:t>
      </w:r>
      <w:r>
        <w:lastRenderedPageBreak/>
        <w:t>jo y requiriéndose a la Junta de Andalucía para que dé inmediato cumplimiento a las resoluciones judiciales en cuestión.</w:t>
      </w:r>
    </w:p>
    <w:p w:rsidR="001C705E" w:rsidRDefault="001C705E" w:rsidP="001C705E">
      <w:pPr>
        <w:pStyle w:val="TextoNormal"/>
      </w:pPr>
    </w:p>
    <w:p w:rsidR="001C705E" w:rsidRDefault="001C705E" w:rsidP="001C705E">
      <w:pPr>
        <w:pStyle w:val="TextoNormal"/>
      </w:pPr>
      <w:r w:rsidRPr="001C705E">
        <w:rPr>
          <w:rStyle w:val="NumeroAFNegritaCaracter"/>
        </w:rPr>
        <w:t>10</w:t>
      </w:r>
      <w:r>
        <w:t>. Por providencia de 23 de enero de 1985 se acordó tener por formuladas las anteriores alegaciones y, en cuanto al primer otrosí del escrito de la parte demandada, conceder un plazo común de tres días a la representación de las actoras y al Ministerio Fiscal para alegaciones. En cuanto al segundo otrosí no ha lugar a tener por formuladas alegaciones en los recursos a que se refieren, sin perjuicio del derecho que pueda asistirle de comparecer en los mismos en la posición procesal que corresponda. En cuanto a la petición de las demandantes de que se emplace a la Junta de Andalucía, se acuerda no haber lugar a lo pedido, pues aquélla debe entenderse emplazada por la reclamación de las actuaciones.</w:t>
      </w:r>
    </w:p>
    <w:p w:rsidR="001C705E" w:rsidRDefault="001C705E" w:rsidP="001C705E">
      <w:pPr>
        <w:pStyle w:val="TextoNormal"/>
      </w:pPr>
    </w:p>
    <w:p w:rsidR="001C705E" w:rsidRDefault="001C705E" w:rsidP="001C705E">
      <w:pPr>
        <w:pStyle w:val="TextoNormal"/>
      </w:pPr>
      <w:r w:rsidRPr="001C705E">
        <w:rPr>
          <w:rStyle w:val="NumeroAFNegritaCaracter"/>
        </w:rPr>
        <w:t>11</w:t>
      </w:r>
      <w:r>
        <w:t xml:space="preserve">. En el plazo concedido por la anterior providencia, el Ministerio Fiscal se opone a la suspensión solicitada, a) «de los asuntos que se siguen ante las Magistraturas de Trabajo por procedimientos similares», por ser ajenos a este proceso constitucional, y b) «de todas las actuaciones», porque ello implicaría la paralización del conflicto jurisdiccional, lo que se contradice con los intereses generales, que imponen dar una solución al conflicto, que sería lo que hipotéticamente podría determinar la existencia o no de la lesión del derecho fundamental. Por su parte, la representación de las demandantes se opone a la petición de suspensión de las actuaciones de la Jurisdicción laboral en otros procedimientos, mientras que se solicita la suspensión del trámite actual de la cuestión de competencia, suspensión que debe permanecer hasta que se dicte sentencia por la Sala. </w:t>
      </w:r>
    </w:p>
    <w:p w:rsidR="001C705E" w:rsidRDefault="001C705E" w:rsidP="001C705E">
      <w:pPr>
        <w:pStyle w:val="TextoNormal"/>
      </w:pPr>
      <w:r>
        <w:t>Esta, por providencia de 23 de febrero de 1985, acordó no haber lugar a lo que se pide en el otrosí primero del escrito de la Procuradora señora Montes Agustí, con señalamiento para la deliberación y votación del presente recurso de amparo para el día 17 de abril de 1985.</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Aun cuando el presente recurso de amparo fue admitido sin más trámites en la Resolución de 28 de marzo del pasado año, no es impertinente hacer al respecto alguna observación dadas las alegaciones que al respecto hace el Ministerio Fiscal. Las solicitantes de amparo, en los dos recursos acumulados, sostienen que lo que impugnan, por la vía del art. 43 de la Ley orgánica del Tribunal Constitucional, es el acto del Presidente de la Junta de Andalucía por el que se planteó un conflicto jurisdiccional y se requirió de inhibición a la Magistratura de Trabajo núm. 2 de Sevilla, y que las Resoluciones de la Magistratura de Trabajo mencionadas, en las cuales ésta se opuso al requerimiento de inhibición y desestimó un recurso de reposición interpuesto por las actuales solicitantes de amparo supusieron el agotamiento de la vía judicial previa, que, de acuerdo con el mencionado art. 43 de la Ley orgánica de este Tribunal, es necesario seguir antes de reclamar el amparo constitucional, toda vez que, en opinión de las solicitantes del amparo, no hay control jurisdiccional contencioso-administrativo contra el acto del Presidente de la Junta de Andalucía, por la propia naturaleza y estructura de la regulación legal de la cuestión de competencia, pues ello supondría la subordinación de la Administración a la Jurisdicción, criterio que choca con la Ley de Conflictos Jurisdiccionales de 17 de junio de 1948.</w:t>
      </w:r>
    </w:p>
    <w:p w:rsidR="001C705E" w:rsidRDefault="001C705E" w:rsidP="001C705E">
      <w:pPr>
        <w:pStyle w:val="TextoNormal"/>
      </w:pPr>
      <w:r>
        <w:t xml:space="preserve">Las razones apuntadas no resultan convincentes. Las razones esgrimidas por los actuales solicitantes de amparo ante la Magistratura de Trabajo núm. 2 de Sevilla frente a quien </w:t>
      </w:r>
      <w:r>
        <w:lastRenderedPageBreak/>
        <w:t>el conflicto jurisdiccional se había planteado y a quien se había requerido de inhibición, no pueden considerarse en modo alguno como una vía judicial previa al amparo constitucional seguida contra el discutido acuerdo del Presidente de la Junta de Andalucía, pues no constituyeron pretensión de anulación o de modificación de dicho acuerdo, sino la más concreta pretensión de que no fuese atendido por el órgano jurisdiccional, de suerte que no puede ser la vía judicial previa de que habla el art. 43 de la Ley orgánica del Tribunal Constitucional; y tampoco es convincente decir que no hay control jurisdiccional contencioso-administrativo contra el actual Presidente de la Junta de Andalucía por la naturaleza y estructura de la cuestión de competencia y el criterio de la Ley de Conflictos Jurisdiccionales, pues, prescindiendo de la contradicción que este razonamiento encierra con el que en seguida examinaremos en punto a la constitucionalidad de la Ley de 17 de julio de 1948, es lo cierto que, tratándose de protección jurisdiccional de los derechos fundamentales, el mecanismo a poner en juego no es el recurso contencioso-administrativo de carácter ordinario, sino el establecido en los arts. 6 y siguientes de la Ley 62/1978, de 26 de diciembre, cuyo ámbito de aplicación se extiende a todos los derechos y libertades a que se refiere el art. 53.2 de la Constitución en virtud de lo dispuesto en la disposición transitoria segunda, 2, de la Ley orgánica de este Tribunal. Existía, pues, una vía judicial previa frente al acto de los poderes públicos impugnado, que no ha sido seguida.</w:t>
      </w:r>
    </w:p>
    <w:p w:rsidR="001C705E" w:rsidRDefault="001C705E" w:rsidP="001C705E">
      <w:pPr>
        <w:pStyle w:val="TextoNormal"/>
      </w:pPr>
    </w:p>
    <w:p w:rsidR="001C705E" w:rsidRDefault="001C705E" w:rsidP="001C705E">
      <w:pPr>
        <w:pStyle w:val="TextoNormal"/>
      </w:pPr>
      <w:r w:rsidRPr="001C705E">
        <w:rPr>
          <w:rStyle w:val="NumeroAFNegritaCaracter"/>
        </w:rPr>
        <w:t>2</w:t>
      </w:r>
      <w:r>
        <w:t>. No obstante todo ello, si entrásemos en el fondo del asunto, tendríamos que decir que el primero de los agravios que las solicitantes del amparo esgrimen contra la Resolución del Presidente de la Junta de Andalucía, de que ha quedado hecho mérito, es la vulneración del derecho reconocido en el art.  24.1 de la Constitución y esta pretendida violación trata de buscar cobijo en la idea de que la Administración no puede evitar que la Jurisdicción laboral siga entendiendo de un procedimiento en curso y en la inconstitucionalidad de que adolece, en opinión de las solicitantes de amparo, la Ley de Conflictos Jurisdiccionales de 17 de junio de 1948. La primera de las razones esgrimidas -que la Administración no puede evitar que la Jurisdicción laboral siga entendiendo de un procedimiento en curso- no puede ser acogida. pues la Administración no ha pretendido clausurar el procedimiento judicial ni apoderarse de él, tramitarlo ella o resolverlo. La ejecución de sentencia, que ante sí tramita la Magistratura de Trabajo núm. 2 de Sevilla, continúa encontrándose ante dicho órgano jurisdiccional, que sigue siendo el organismo llamado a concluirlo. El problema que ha surgido no es el impedimento de que la Jurisdicción siga entendiendo del procedimiento en curso, sino el obstáculo que a la ejecución puede suponer la ineficacia de un concreto embargo en el supuesto de que los derechos embargados sean el único bien existente en el patrimonio del deudor ejecutado, cosa que en el presente caso no se nos ha acreditado, pero que tampoco constituye violación del derecho reconocido en el art. 24 de la Constitución, cuando quien reclama frente a un embargo lo hace en el ejercicio de un legítimo derecho subjetivo o de una potestad administrativa.</w:t>
      </w:r>
    </w:p>
    <w:p w:rsidR="001C705E" w:rsidRDefault="001C705E" w:rsidP="001C705E">
      <w:pPr>
        <w:pStyle w:val="TextoNormal"/>
      </w:pPr>
    </w:p>
    <w:p w:rsidR="001C705E" w:rsidRDefault="001C705E" w:rsidP="001C705E">
      <w:pPr>
        <w:pStyle w:val="TextoNormal"/>
      </w:pPr>
      <w:r w:rsidRPr="001C705E">
        <w:rPr>
          <w:rStyle w:val="NumeroAFNegritaCaracter"/>
        </w:rPr>
        <w:t>3</w:t>
      </w:r>
      <w:r>
        <w:t>. La razón sustancial que se esgrime en el recurso para considerar vulnerado el derecho consagrado por el art. 24 de la Constitución es la inconstitucionalidad de la Ley de Conflictos Jurisdiccionales de 17 de julio de 1948, inconstitucionalidad que trata de fundarse en la inconciliabilidad de dicha Ley con la Monarquía Parlamentaria y con la necesidad de refrendo de los actos del Rey, que chocan palmariamente con lo dispuesto en el art. 1 de la citada Ley de 17 de julio de 1948, según el cual corresponde al Jefe del Estado decidir las cuestiones de competencia, positivas o negativas, que se susciten entre la Administración y los Jueces y Tribunales ordinarios y especiales, como asimismo los conflic</w:t>
      </w:r>
      <w:r>
        <w:lastRenderedPageBreak/>
        <w:t>tos de atribuciones que se promuevan entre los Departamentos ministeriales o los órganos delegados de los mismos.  Es manifiesto que el precepto mencionado dimana de un régimen político muy distinto del que funda la Constitución de 1978, que se caracterizaba entre otras cosas por la asunción del Jefe del Estado de todos los poderes de éste.</w:t>
      </w:r>
    </w:p>
    <w:p w:rsidR="001C705E" w:rsidRDefault="001C705E" w:rsidP="001C705E">
      <w:pPr>
        <w:pStyle w:val="TextoNormal"/>
      </w:pPr>
      <w:r>
        <w:t>Puede igualmente admitirse que el precepto recordado es difícilmente encajable en el sistema de la Constitución de 1978, ni aun en el caso de que los actos del Rey presenten, con o sin previo acuerdo del Consejo de Ministros, el refrendo del Presidente del Gobierno. Sin embargo, estas razones, y las que en relación con ellas se contienen en los escritos de planteamiento de los recursos de amparo acumulados, podrían ser decisivos si lo aquí impugnado fuera la decisión del conflicto jurisdiccional o de la cuestión de competencia, pero pierden toda trascendencia, cuando, como ocurre en el caso actual, la impugnación se dirige contra el acto administrativo de iniciación del conflicto, pues es manifiesto que de la mácula de inconstitucionalidad que se pudiera lanzar contra el art. 1 de la Ley de 17 de julio de 1948, no se podría nunca deducir la imposibilidad del planteamiento de cualquier tipo de conflicto cuando la Jurisdicción o la Administración interfiera sus respectivos campos de acción. Esto es, la eventual inconstitucionalidad de la Ley produciría un vacío normativo en el momento de la decisión, pero no afectaría al momento de la iniciación.</w:t>
      </w:r>
    </w:p>
    <w:p w:rsidR="001C705E" w:rsidRDefault="001C705E" w:rsidP="001C705E">
      <w:pPr>
        <w:pStyle w:val="TextoNormal"/>
      </w:pPr>
      <w:r>
        <w:t>Tiene por ello razón el Fiscal cuando dice que la resolución de la autoridad administrativa que formuló el requerimiento y planteó la cuestión de competencia no ha podido vulnerar ninguno de los derechos fundamentales invocados, porque se limitó a ejercer una facultad -la de conseguir el respeto para sus propias competencias y para los intereses a ella encomendados- y no habría tenido otra virtualidad que la de deferir a un órgano superior la pacificación y la solución del conflicto.</w:t>
      </w:r>
    </w:p>
    <w:p w:rsidR="001C705E" w:rsidRDefault="001C705E" w:rsidP="001C705E">
      <w:pPr>
        <w:pStyle w:val="TextoNormal"/>
      </w:pPr>
      <w:r>
        <w:t>Todo ello, por otra parte, es independiente de que la pretensión de la Junta de Andalucía de hacer ineficaz el embargo decretado y de impedir un determinado destino de las subvenciones, debiera articularse como conflicto jurisdiccional o por cualquier otra vía procesal pensable, como la intervención tercerista en el proceso; e igualmente es independiente de que al requerir la Administración de inhibición y de abstención, se limitaría a reclamar del órgano jurisdiccional una conducta negativa o implícitamente confirmara sus potestades en el gobierno y en el destino de las subvenciones; pues todos ellos son temas ajenos al presente proceso, en el que la única cuestión a debatir es la eventual vulneración de los derechos constitucionales de las señoras solicitantes del amparo, que en la línea ahora reparada no se han producido.</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Se ha alegado también, en este proceso, la violación del derecho a la igualdad ante la Ley proclamada por el art. 14 de la Constitución. Pretende fundarse esta alegación en el hecho de que en fechas similares y por diferentes Magistraturas de Trabajo de Sevilla se embargaron subvenciones a la enseñanza gratuita sin que mediara ningún tipo de reacción de las autoridades administrativas. Sin embargo, esta alegación no puede ser acogida, pues prescindiendo de las dificultades que siempre plantea la igualdad en la aplicación de la Ley, cuando no se trata de un mismo órgano decisor, pues no puede en nuestro ordenamiento jurídico sostenerse una plena vinculación a los precedentes ajenos, que constituiría una notoria modificación del sistema de fuentes del Derecho, es lo cierto que se ha omitido toda prueba y toda explicación sobre las singularidades que los casos podían tener y, por consiguiente, sobre las diferencias que los podían separar, si se tiene en cuenta que una de las características de los hechos que han dado origen a este proceso es el cambio de la titularidad del Colegio y el intento de la Administración de conseguir que la subvención </w:t>
      </w:r>
      <w:r>
        <w:lastRenderedPageBreak/>
        <w:t>permita la continuidad en el funcionamiento del centro docente, cosa que no se sabe que ocurriera en los demás casos.</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Desestimar los recursos de amparo acumulados formulados por doña María Dolores Marchena Delgado y doña María Luisa Jiménez García.</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veintidós de abril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59" w:name="SENTENCIA_1985_56"/>
      <w:r>
        <w:lastRenderedPageBreak/>
        <w:t>SENTENCIA 56/1985, de 29 de abril de 1985</w:t>
      </w:r>
    </w:p>
    <w:bookmarkEnd w:id="59"/>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119, de 18 de mayo de 1985)</w:t>
      </w:r>
    </w:p>
    <w:p w:rsidR="001C705E" w:rsidRDefault="001C705E" w:rsidP="001C705E">
      <w:pPr>
        <w:pStyle w:val="TtuloBOE"/>
      </w:pPr>
    </w:p>
    <w:p w:rsidR="001C705E" w:rsidRDefault="001C705E" w:rsidP="001C705E">
      <w:pPr>
        <w:pStyle w:val="SntesisDescriptiva"/>
      </w:pPr>
      <w:r>
        <w:t>ECLI:ES:TC:1985:56</w:t>
      </w:r>
    </w:p>
    <w:p w:rsidR="001C705E" w:rsidRDefault="001C705E" w:rsidP="001C705E">
      <w:pPr>
        <w:pStyle w:val="SntesisDescriptiva"/>
      </w:pPr>
    </w:p>
    <w:p w:rsidR="001C705E" w:rsidRDefault="001C705E" w:rsidP="001C705E">
      <w:pPr>
        <w:pStyle w:val="SntesisDescriptiva"/>
      </w:pPr>
      <w:r>
        <w:t>Recurso de amparo 264/1984. Emplazamiento personal de quienes pueden comparecer como demandados en el proceso contencioso-administrativo.</w:t>
      </w:r>
    </w:p>
    <w:p w:rsidR="001C705E" w:rsidRDefault="001C705E" w:rsidP="001C705E">
      <w:pPr>
        <w:pStyle w:val="SntesisDescriptiva"/>
      </w:pPr>
    </w:p>
    <w:p w:rsidR="001C705E" w:rsidRDefault="001C705E" w:rsidP="001C705E">
      <w:pPr>
        <w:pStyle w:val="SntesisAnaltica"/>
      </w:pPr>
      <w:r>
        <w:t>Falta de diligencia del recurrente</w:t>
      </w:r>
    </w:p>
    <w:p w:rsidR="001C705E" w:rsidRDefault="001C705E" w:rsidP="001C705E">
      <w:pPr>
        <w:pStyle w:val="SntesisAnaltica"/>
      </w:pPr>
    </w:p>
    <w:p w:rsidR="001C705E" w:rsidRDefault="001C705E" w:rsidP="001C705E">
      <w:pPr>
        <w:pStyle w:val="Extracto"/>
      </w:pPr>
      <w:r>
        <w:t>1.</w:t>
      </w:r>
      <w:r>
        <w:tab/>
        <w:t xml:space="preserve">La ausencia de notificación personal del emplazamiento a las personas a cuyo favor reconoció derechos un acto administrativo impugnado en sede contencioso-administrativa puede dar lugar a verdadera indefensión, que puede y debe ser corregida en vía de amparo, aun a costa de sacrificar el principio de santidad de la cosa juzgada. </w:t>
      </w:r>
    </w:p>
    <w:p w:rsidR="001C705E" w:rsidRDefault="001C705E" w:rsidP="001C705E">
      <w:pPr>
        <w:pStyle w:val="Extracto"/>
      </w:pPr>
    </w:p>
    <w:p w:rsidR="001C705E" w:rsidRDefault="001C705E" w:rsidP="001C705E">
      <w:pPr>
        <w:pStyle w:val="Extracto"/>
      </w:pPr>
      <w:r>
        <w:t>2.</w:t>
      </w:r>
      <w:r>
        <w:tab/>
        <w:t xml:space="preserve">La falta de emplazamiento personal es una infracción que sólo deviene lesión constitucional cuando, pese a haber mantenido el ciudadano una actitud diligente, se ve colocado en una situación de indefensión. Pero cuando tal diligencia no existe, la lesión tampoco, pues, de otro modo, la protección ilimitada del derecho del no emplazado conllevaría, en su automatismo, el sacrificio del derecho a la tutela judicial efectiva de quien, actuando de buena fe, fue parte en el proceso contencioso-administrativo y se creía protegido por la paz y seguridad jurídica que implica la institución de la cosa juzgada.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lastRenderedPageBreak/>
        <w:t>SENTENCIA</w:t>
      </w:r>
    </w:p>
    <w:p w:rsidR="001C705E" w:rsidRDefault="001C705E" w:rsidP="001C705E">
      <w:pPr>
        <w:pStyle w:val="TextoNormalCentrado"/>
        <w:keepNext/>
      </w:pPr>
    </w:p>
    <w:p w:rsidR="001C705E" w:rsidRDefault="001C705E" w:rsidP="001C705E">
      <w:pPr>
        <w:pStyle w:val="TextoNormalCentrado"/>
        <w:keepNext/>
      </w:pPr>
      <w:r>
        <w:t xml:space="preserve">En el recurso de amparo núm. 264/1984, formulado por el Procurador de los Tribunales don Santos de Gandarillas Carmona, en nombre y representación de don Manuel Arteaga Gurruchaga, contra la Sentencia dictada por la Sala de lo Contencioso-Administrativo de la Audiencia Territorial de Pamplona el 7 de abril de 1981, en el recurso contencioso-administrativo núm. 261/1978, interpuesto por don Manuel Aizpuru Lasa contra resoluciones de la Alcaldía-Presidencia del Ayuntamiento de Azpeitia de 29 de diciembre de 1977 y 29 de marzo de 1978. </w:t>
      </w:r>
    </w:p>
    <w:p w:rsidR="001C705E" w:rsidRDefault="001C705E" w:rsidP="001C705E">
      <w:pPr>
        <w:pStyle w:val="TextoNormal"/>
      </w:pPr>
      <w:r>
        <w:t>Han comparecido en el recurso el Ministerio Fiscal y el Procurador don Manuel Ayuso Tejerizo en nombre y representación de don Manuel Aizpuru Lasa. Ha sido Ponente el Magistrado don Francisco Rubio Llorente,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El 12 de abril de 1984 el Procurador de los Tribunales don Santos de Gandarillas Carmona interpone recurso de amparo constitucional en nombre de don Manuel Arteaga Gurruchaga contra la Sentencia de la Sala de lo Contencioso-Administrativo de la Audiencia Territorial de Pamplona de 7 de abril de 1981, dictada en recurso contencioso-administrativo núm. 261/1978 interpuesto por don Manuel Aizpuru Lasa contra resoluciones de la Alcaldía-Presidencia del Ayuntamiento de Azpeitia de 29 de diciembre de 1977 y 29 de marzo de 1978. La referida Sentencia devino firme en virtud de Auto de la Sala Cuarta del Tribunal Supremo de 2 de abril de 1982, por el que se declaró desistida a la parte apelante del recurso de apelación interpuesto. </w:t>
      </w:r>
    </w:p>
    <w:p w:rsidR="001C705E" w:rsidRDefault="001C705E" w:rsidP="001C705E">
      <w:pPr>
        <w:pStyle w:val="TextoNormal"/>
      </w:pPr>
      <w:r>
        <w:t>El solicitante de amparo no fue emplazado en el meritado proceso, pese a ostentar interés personal y directo en la cuestión debatida. En consecuencia pide que se declare la nulidad de la Sentencia impugnada y que se retrotraigan las actuaciones al momento procesal oportuno para que don Manuel Arteaga Gurruchaga pueda contestar a la demanda. Por otrosí pide también la suspensión de la ejecución de la Sentencia judicial impugnada, ya que dicha ejecución ocasionaría a don Manuel Arteaga el perjuicio inmediato de tener que demoler unas obras realizadas en su bar-restaurante. Este perjuicio es el que se pretende evitar con la demanda de amparo y, al provocar el cese en la actividad que realiza, haría peligrar la estabilidad económica del recurrente y de las personas que de él dependen.</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demanda se fundamenta en los siguientes hechos: </w:t>
      </w:r>
    </w:p>
    <w:p w:rsidR="001C705E" w:rsidRDefault="001C705E" w:rsidP="001C705E">
      <w:pPr>
        <w:pStyle w:val="TextoNormal"/>
      </w:pPr>
      <w:r>
        <w:t xml:space="preserve">Con fecha de 29 de diciembre de 1977, por Decreto del Alcalde-Presidente del Ayuntamiento de Azpeitia, se legalizó la apertura de un negocio de bar-bodegón que el ahora demandante de amparo venía explotando en dicha localidad. </w:t>
      </w:r>
    </w:p>
    <w:p w:rsidR="001C705E" w:rsidRDefault="001C705E" w:rsidP="001C705E">
      <w:pPr>
        <w:pStyle w:val="TextoNormal"/>
      </w:pPr>
      <w:r>
        <w:t xml:space="preserve">Interpuesto recurso de reposición contra dicho Decreto por un vecino (el señor Aizpuru Lasa) en solicitud de que se anulara tal legalización y se ordenara la demolición de las obras correspondientes, fue desestimado por resolución de la referida Alcaldía de 29 de marzo de 1978, de la que se dio traslado al señor Arteaga Gurruchaga. </w:t>
      </w:r>
    </w:p>
    <w:p w:rsidR="001C705E" w:rsidRDefault="001C705E" w:rsidP="001C705E">
      <w:pPr>
        <w:pStyle w:val="TextoNormal"/>
      </w:pPr>
      <w:r>
        <w:t xml:space="preserve">Con fecha de 29 de marzo de 1984 el ahora solicitante de amparo recibió un oficio del referido Ayuntamiento en el que se le requiere al cumplimiento de la Sentencia firme de la Sala de lo Contencioso-Administrativo de la Audiencia Territorial de Pamplona, por la que se anularon los acuerdos citados del Ayuntamiento, concediéndole un plazo de diez días hábiles para que proceda a la demolición de las obras de habilitación del susodicho </w:t>
      </w:r>
      <w:r>
        <w:lastRenderedPageBreak/>
        <w:t xml:space="preserve">bar-bodegón, advirtiéndole al mismo tiempo que, en caso contrario, se procederá por el propio Ayuntamiento a llevar a cabo la referida demolición. </w:t>
      </w:r>
    </w:p>
    <w:p w:rsidR="001C705E" w:rsidRDefault="001C705E" w:rsidP="001C705E">
      <w:pPr>
        <w:pStyle w:val="TextoNormal"/>
      </w:pPr>
      <w:r>
        <w:t xml:space="preserve">El señor Arteaga señala que ha sido por medio del mencionado oficio como ha llegado a tener noticia por primera vez de una Sentencia -de 7 de abril de 1981 -, que ha adquirido firmeza -al ser declarada desierta la apelación por Auto del Tribunal Supremo de 2 de abril de 1982- y que anula el acto municipal de legalización de su industria sin haber podido comparecer en el correspondiente proceso. </w:t>
      </w:r>
    </w:p>
    <w:p w:rsidR="001C705E" w:rsidRDefault="001C705E" w:rsidP="001C705E">
      <w:pPr>
        <w:pStyle w:val="TextoNormal"/>
      </w:pPr>
      <w:r>
        <w:t xml:space="preserve">A partir de la copia de la citada Sentencia remitida por el Ayuntamiento al señor Arteaga reconstruye éste dicho proceso, que ha seguido, según relata, los siguientes pasos: Interpuesto recurso por el señor Aizpuru Lasa el 20 de junio de 1978, fue anunciado en el «Diario Oficial» en virtud del art. 64.1 de la L.J., recibiéndose el pleito a prueba el 15 de enero de 1979 y dictándose Sentencia estimatoria del recurso por la Audiencia Territorial de Pamplona el 7 de abril de 1981; recurrida en apelación por el Abogado del Estado, por Auto de 2 de abril de 1982, la Sala Cuarta del Tribunal Supremo declaró desistida del recurso a dicha parte, ordenando la devolución de las actuaciones y expediente a la Audiencia Territorial de procedencia a fin de que se llevase a cabo la ejecución de la resolución apelada. </w:t>
      </w:r>
    </w:p>
    <w:p w:rsidR="001C705E" w:rsidRDefault="001C705E" w:rsidP="001C705E">
      <w:pPr>
        <w:pStyle w:val="TextoNormal"/>
      </w:pPr>
      <w:r>
        <w:t>Finalmente, por escrito de 12 de abril de 1984, el señor Arteaga interpone recurso de amparo ante este Tribunal.</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Los fundamentos jurídicos de la demanda son los siguientes: </w:t>
      </w:r>
    </w:p>
    <w:p w:rsidR="001C705E" w:rsidRDefault="001C705E" w:rsidP="001C705E">
      <w:pPr>
        <w:pStyle w:val="TextoNormal"/>
      </w:pPr>
      <w:r>
        <w:t xml:space="preserve">Por lo que respecta a la pretensión principal, consistente en que se declare la nulidad de la Sentencia impugnada, el señor Arteaga considera que la citada resolución judicial ha violado su derecho a la tutela judicial efectiva, consagrado en el art. 24. 1 de la Constitución, causándole, en consecuencia, indefensión, en la medida en que no ha sido emplazado personalmente en el proceso resuelto por la citada Sentencia pese a ser titular de la autorización administrativa impugnada en el mismo y constar sus datos personales, incluido el domicilio, en el expediente administrativo. </w:t>
      </w:r>
    </w:p>
    <w:p w:rsidR="001C705E" w:rsidRDefault="001C705E" w:rsidP="001C705E">
      <w:pPr>
        <w:pStyle w:val="TextoNormal"/>
      </w:pPr>
      <w:r>
        <w:t xml:space="preserve">Señala también el demandante que a lo anterior no empece la circunstancia de que el proceso en cuestión se iniciase antes de la entrada en vigor de la Constitución, ya que antes de agotarse el período expositivo del pleito y abrirse la fase de prueba fue publicado el texto constitucional. </w:t>
      </w:r>
    </w:p>
    <w:p w:rsidR="001C705E" w:rsidRDefault="001C705E" w:rsidP="001C705E">
      <w:pPr>
        <w:pStyle w:val="TextoNormal"/>
      </w:pPr>
      <w:r>
        <w:t xml:space="preserve">Tampoco puede ser obstáculo a su pretensión -afirma, asimismo, el solicitante de amparo- el que la Sentencia impugnada haya obtenido firmeza, pues este Tribunal se ha inclinado por extremar la preocupación por la justicia del caso concreto y por declarar la invalidez de todos los actos de los poderes públicos que desconozcan los derechos fundamentales o que sean resultado, como sucede en el presente caso, de un procedimiento en el curso del cual hayan sido ignorados. </w:t>
      </w:r>
    </w:p>
    <w:p w:rsidR="001C705E" w:rsidRDefault="001C705E" w:rsidP="001C705E">
      <w:pPr>
        <w:pStyle w:val="TextoNormal"/>
      </w:pPr>
      <w:r>
        <w:t>Por lo que concierne a la petición de suspensión, el señor Arteaga, tras argumentar sobre los perjuicios que le causaría la ejecución de la Sentencia impugnada, de los que se ha hecho mérito, y afirmar que la suspensión no supondría perturbación de intereses generales o de derechos fundamentales o libertades públicas de un tercero, ofrece, espontáneamente, de concedérsele la suspensión, el afianzamiento que le fuese exigido, si así lo estimase necesario este Tribunal.</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Por providencia de 16 de mayo de 1984 la Sección Cuarta acordó poner de manifiesto al solicitante de amparo y al Ministerio Fiscal la posible existencia de las siguientes causas de inadmisibilidad: 1.ª) La del art. 50.2 b) de la Ley orgánica de este Tribunal </w:t>
      </w:r>
      <w:r>
        <w:lastRenderedPageBreak/>
        <w:t>(LOTC), por cuanto la demanda pudiera carecer manifiestamente de contenido que justifique una decisión por parte del Tribunal Constitucional; 2.ª) La del art. 50.1 a) en relación con el 44.2 de la misma Ley orgánica.</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El solicitante de amparo presenta escrito de alegaciones de 29 de mayo de 1984. Entiende que no concurre la causa de inadmisión prevista en el art. 50.2 b) de la LOTC. La actividad judicial que determina la violación que se denuncia estriba en que don Manuel Arteaga estaba legitimado para comparecer en las actuaciones de un proceso cuya Sentencia podía privarle -como así ocurrió- nominativa y personalmente, de un derecho adquirido en virtud del acto administrativo objeto del recurso, y en el que siendo factible el emplazamiento personal en las actuaciones seguidas ante la Sala de la Audiencia Territorial de Pamplona, tal emplazamiento no se hizo, pese a que, antes de abrirse el período de prueba, estaba ya vigente el texto de la Constitución. </w:t>
      </w:r>
    </w:p>
    <w:p w:rsidR="001C705E" w:rsidRDefault="001C705E" w:rsidP="001C705E">
      <w:pPr>
        <w:pStyle w:val="TextoNormal"/>
      </w:pPr>
      <w:r>
        <w:t xml:space="preserve">Tampoco entiende que concurra la causa de inadmisión prevista en el art. 50.1 a), en relación con el 44.2 de la LOTC, esto es, la presentación de la demanda fuera del plazo de los veinte días computados a partir de la notificación de la resolución recaída. Se insiste en que, al no haber sido parte el señor Arteaga en el proceso contencioso-administrativo, ni le fue notificada la Sentencia recaída en la primera instancia, ni tampoco la declaración de firmeza que de la misma efectuó el Tribunal Supremo. </w:t>
      </w:r>
    </w:p>
    <w:p w:rsidR="001C705E" w:rsidRDefault="001C705E" w:rsidP="001C705E">
      <w:pPr>
        <w:pStyle w:val="TextoNormal"/>
      </w:pPr>
      <w:r>
        <w:t>El primer conocimiento que dice haber tenido de dichas resoluciones, que no tampoco de su contenido íntegro, lo fue en virtud de la comunicación que el Ayuntamiento de Azpeitia le hizo el 29 de marzo de 1984, y cuya copia fue presentada con el escrito de demanda. Esta fue presentada el siguiente día 12 de abril de 1984, esto es, sin que hubieran transcurrido los veinte días hábiles que señala el art. 44.2 de la LOTC.</w:t>
      </w:r>
    </w:p>
    <w:p w:rsidR="001C705E" w:rsidRDefault="001C705E" w:rsidP="001C705E">
      <w:pPr>
        <w:pStyle w:val="TextoNormal"/>
      </w:pPr>
    </w:p>
    <w:p w:rsidR="001C705E" w:rsidRDefault="001C705E" w:rsidP="001C705E">
      <w:pPr>
        <w:pStyle w:val="TextoNormal"/>
      </w:pPr>
      <w:r w:rsidRPr="001C705E">
        <w:rPr>
          <w:rStyle w:val="NumeroAFNegritaCaracter"/>
        </w:rPr>
        <w:t>6</w:t>
      </w:r>
      <w:r>
        <w:t xml:space="preserve">. El Fiscal, en escrito de 25 de mayo de 1984, estima que no hay constancia de que la demanda sea extemporánea, salvo que, por otros medios, se justifique que el actor fue conocedor del proceso y posteriormente de la Sentencia y mantuvo una pasividad procesal interesada. </w:t>
      </w:r>
    </w:p>
    <w:p w:rsidR="001C705E" w:rsidRDefault="001C705E" w:rsidP="001C705E">
      <w:pPr>
        <w:pStyle w:val="TextoNormal"/>
      </w:pPr>
      <w:r>
        <w:t xml:space="preserve">Tampoco considera el Fiscal que la demanda carece manifiestamente de contenido que justifique una decisión por parte del Tribunal Constitucional. La Sentencia del Tribunal Constitucional 63/1982, de 20 de octubre, que, además de entrar en el fondo, otorgó el amparo impide inadmitir el recurso toda vez que la semejanza entre el presente caso y el allí fallado hace aconsejable un régimen análogo. </w:t>
      </w:r>
    </w:p>
    <w:p w:rsidR="001C705E" w:rsidRDefault="001C705E" w:rsidP="001C705E">
      <w:pPr>
        <w:pStyle w:val="TextoNormal"/>
      </w:pPr>
      <w:r>
        <w:t>En conclusión, solicita el Ministerio Fiscal que la demanda sea admitida a trámite.</w:t>
      </w:r>
    </w:p>
    <w:p w:rsidR="001C705E" w:rsidRDefault="001C705E" w:rsidP="001C705E">
      <w:pPr>
        <w:pStyle w:val="TextoNormal"/>
      </w:pPr>
    </w:p>
    <w:p w:rsidR="001C705E" w:rsidRDefault="001C705E" w:rsidP="001C705E">
      <w:pPr>
        <w:pStyle w:val="TextoNormal"/>
      </w:pPr>
      <w:r w:rsidRPr="001C705E">
        <w:rPr>
          <w:rStyle w:val="NumeroAFNegritaCaracter"/>
        </w:rPr>
        <w:t>7</w:t>
      </w:r>
      <w:r>
        <w:t xml:space="preserve">. La Sección Cuarta, por providencia de 27 de junio de 1984, acordó admitir a trámite la demanda. En aplicación de lo dispuesto en el art. 51 de la LOTC, recabó de la Sala de lo Contencioso-Administrativo de la Audiencia Territorial de Pamplona las actuaciones del procedimiento contencioso-administrativo tramitado bajo el número 261/1978, instando, asimismo, que se emplazara a quienes hubieran sido parte en el indicado procedimiento para que, en el plazo de diez días, pudieran ante el Tribunal Constitucional en el recurso de amparo. </w:t>
      </w:r>
    </w:p>
    <w:p w:rsidR="001C705E" w:rsidRDefault="001C705E" w:rsidP="001C705E">
      <w:pPr>
        <w:pStyle w:val="TextoNormal"/>
      </w:pPr>
      <w:r>
        <w:t>Abierta la correspondiente pieza separada de suspensión, se acorto, por Auto de 11 de julio de 1984, acceder a la suspensión solicitada.</w:t>
      </w:r>
    </w:p>
    <w:p w:rsidR="001C705E" w:rsidRDefault="001C705E" w:rsidP="001C705E">
      <w:pPr>
        <w:pStyle w:val="TextoNormal"/>
      </w:pPr>
    </w:p>
    <w:p w:rsidR="001C705E" w:rsidRDefault="001C705E" w:rsidP="001C705E">
      <w:pPr>
        <w:pStyle w:val="TextoNormal"/>
      </w:pPr>
      <w:r w:rsidRPr="001C705E">
        <w:rPr>
          <w:rStyle w:val="NumeroAFNegritaCaracter"/>
        </w:rPr>
        <w:lastRenderedPageBreak/>
        <w:t>8</w:t>
      </w:r>
      <w:r>
        <w:t>. El 26 de septiembre de 1984 la Sección acordó acusar recibo a la Audiencia Territorial de Pamplona de las actuaciones remitidas en cumplimiento de lo proveído el 27 de junio anterior. Acordó, asimismo, tener por personado y parte en el proceso de amparo a don Manuel Aizpuru Lasa, y en su nombre y representación al Procurador don Manuel Ayuso Tejerizo. De conformidad con lo dispuesto en el art. 52.1 de la LOTC se dio, finalmente, vista de las actuaciones al Ministerio Fiscal y a los comparecidos en el proceso para que, en el plazo de veinte días, formulasen las alegaciones que estimaren pertinentes.</w:t>
      </w:r>
    </w:p>
    <w:p w:rsidR="001C705E" w:rsidRDefault="001C705E" w:rsidP="001C705E">
      <w:pPr>
        <w:pStyle w:val="TextoNormal"/>
      </w:pPr>
    </w:p>
    <w:p w:rsidR="001C705E" w:rsidRDefault="001C705E" w:rsidP="001C705E">
      <w:pPr>
        <w:pStyle w:val="TextoNormal"/>
      </w:pPr>
      <w:r w:rsidRPr="001C705E">
        <w:rPr>
          <w:rStyle w:val="NumeroAFNegritaCaracter"/>
        </w:rPr>
        <w:t>9</w:t>
      </w:r>
      <w:r>
        <w:t xml:space="preserve">. El solicitante de amparo, en escrito de 18 de octubre de 1984, reitera la existencia de una vulneración del art. 24.1 de la Constitución, toda vez que de las actuaciones remitidas se desprende que la Audiencia Territorial de Pamplona se limitó a llevar a efecto un único emplazamiento que, de acuerdo con lo prevenido en el art. 64 de la Ley reguladora de la Jurisdicción Contencioso-Administrativa, se verificó mediante publicación en el «Boletín Oficial» de la provincia de 10 de julio de 1978. Si bien el proceso se inició antes de la entrada en vigor de la Constitución, fue en parte tramitado y concluido vigente la misma. Pero, a pesar de ello, no se llevó a cabo ningún otro emplazamiento de carácter personal y directo como se pudo y debió hacer por tener el hoy recurrente interés de parte en el referido proceso, como posible codemandado de la Administración, ya que la acción estaba dirigida a obtener la nulidad de un acto administrativo declarativo de derechos en su favor. </w:t>
      </w:r>
    </w:p>
    <w:p w:rsidR="001C705E" w:rsidRDefault="001C705E" w:rsidP="001C705E">
      <w:pPr>
        <w:pStyle w:val="TextoNormal"/>
      </w:pPr>
      <w:r>
        <w:t>Considera, por tanto, que se le ha producido una auténtica indefensión en el juicio. De acuerdo con la jurisprudencia de este Tribunal procede dictar sentencia estimatoria de su recurso de amparo.</w:t>
      </w:r>
    </w:p>
    <w:p w:rsidR="001C705E" w:rsidRDefault="001C705E" w:rsidP="001C705E">
      <w:pPr>
        <w:pStyle w:val="TextoNormal"/>
      </w:pPr>
    </w:p>
    <w:p w:rsidR="001C705E" w:rsidRDefault="001C705E" w:rsidP="001C705E">
      <w:pPr>
        <w:pStyle w:val="TextoNormal"/>
      </w:pPr>
      <w:r w:rsidRPr="001C705E">
        <w:rPr>
          <w:rStyle w:val="NumeroAFNegritaCaracter"/>
        </w:rPr>
        <w:t>10</w:t>
      </w:r>
      <w:r>
        <w:t xml:space="preserve">. El Ministerio Fiscal, en su escrito de alegaciones de 19 de octubre de 1984, considera que el emplazamiento edictal que ordena el art. 60 de la LJCA no cumple con los requisitos exigidos por el art. 24.1 de la C.E. según la doctrina de este Tribunal constante e invariable desde la Sentencia 9/1981 hasta la Sentencia 86/1984, de 27 de julio (R.A. 263/1983). </w:t>
      </w:r>
    </w:p>
    <w:p w:rsidR="001C705E" w:rsidRDefault="001C705E" w:rsidP="001C705E">
      <w:pPr>
        <w:pStyle w:val="TextoNormal"/>
      </w:pPr>
      <w:r>
        <w:t xml:space="preserve">El recurrente tenía la consideración de parte demandada, ya que fue impugnado un acto administrativo del que era beneficiario. Consta que sólo se produjo el llamamiento edictal previsto en la Ley, pero no el emplazamiento personal, pese a estar perfectamente identificado. Por tanto estima que se ha producido la lesión constitucional que se denuncia. </w:t>
      </w:r>
    </w:p>
    <w:p w:rsidR="001C705E" w:rsidRDefault="001C705E" w:rsidP="001C705E">
      <w:pPr>
        <w:pStyle w:val="TextoNormal"/>
      </w:pPr>
      <w:r>
        <w:t xml:space="preserve">Los problemas de temporalidad que pueden suscitarse, ya que el procedimiento fue iniciado antes de la Constitución aunque siguió su tramitación después de que ésta fuera promulgada, han sido resueltos por este Tribunal en las Sentencias 63/1983 y 86/1984. A tenor de la doctrina contenida en estas resoluciones resulta que el recurrente pudo y debió ser emplazado personalmente. </w:t>
      </w:r>
    </w:p>
    <w:p w:rsidR="001C705E" w:rsidRDefault="001C705E" w:rsidP="001C705E">
      <w:pPr>
        <w:pStyle w:val="TextoNormal"/>
      </w:pPr>
      <w:r>
        <w:t>En méritos de lo expuesto, el Fiscal pide que, previa declaración de nulidad de la Sentencia impugnada, se declare que se ha producido la vulneración de la garantía fundamental que se invoca y se reconozca el derecho del recurrente a ser emplazado de forma personal y directa en el procedimiento seguido ante la Sala de lo Contencioso-Administrativo de la Audiencia de Pamplona.</w:t>
      </w:r>
    </w:p>
    <w:p w:rsidR="001C705E" w:rsidRDefault="001C705E" w:rsidP="001C705E">
      <w:pPr>
        <w:pStyle w:val="TextoNormal"/>
      </w:pPr>
    </w:p>
    <w:p w:rsidR="001C705E" w:rsidRDefault="001C705E" w:rsidP="001C705E">
      <w:pPr>
        <w:pStyle w:val="TextoNormal"/>
      </w:pPr>
      <w:r w:rsidRPr="001C705E">
        <w:rPr>
          <w:rStyle w:val="NumeroAFNegritaCaracter"/>
        </w:rPr>
        <w:t>11</w:t>
      </w:r>
      <w:r>
        <w:t xml:space="preserve">. La representación de don Manuel Aizpuru Lasa se opone a la pretensión de amparo en escrito de 24 de octubre de 1984 con las siguientes alegaciones: </w:t>
      </w:r>
    </w:p>
    <w:p w:rsidR="001C705E" w:rsidRDefault="001C705E" w:rsidP="001C705E">
      <w:pPr>
        <w:pStyle w:val="TextoNormal"/>
      </w:pPr>
      <w:r>
        <w:t xml:space="preserve">1.ª El señor Arteaga Gurruchaga afirma que hasta el día 29 de marzo de 1984 no tuvo cabal y exacto conocimiento del proceso contencioso-administrativo núm. 261/1978 y de </w:t>
      </w:r>
      <w:r>
        <w:lastRenderedPageBreak/>
        <w:t xml:space="preserve">la Sentencia de 7 de abril de 1981, dictada en el mismo por la Sala de lo Contencioso-Administrativo de la Audiencia Territorial de Pamplona. </w:t>
      </w:r>
    </w:p>
    <w:p w:rsidR="001C705E" w:rsidRDefault="001C705E" w:rsidP="001C705E">
      <w:pPr>
        <w:pStyle w:val="TextoNormal"/>
      </w:pPr>
      <w:r>
        <w:t xml:space="preserve">Y en base a que no concurrió al citado procedimiento, por no haber sido emplazado personalmente, es por lo que el señor Arteaga Gurruchaga promueve el presente recurso de amparo fundado en el art. 24 de la C.E. </w:t>
      </w:r>
    </w:p>
    <w:p w:rsidR="001C705E" w:rsidRDefault="001C705E" w:rsidP="001C705E">
      <w:pPr>
        <w:pStyle w:val="TextoNormal"/>
      </w:pPr>
      <w:r>
        <w:t xml:space="preserve">Sin embargo -se afirma- existen hechos anteriores, coetáneos y posteriores que prueban que el señor Arteaga Gurruchaga tuvo conocimiento de la existencia del aludido proceso contencioso-administrativo y también de la Sentencia dictada en el mismo; acreditándose a su través que el hoy recurrente se apartó voluntariamente del conocimiento del curso de aquel proceso, actitud que obviamente no puede ahora beneficiarle y, menos aún, en perjuicio de tercero. </w:t>
      </w:r>
    </w:p>
    <w:p w:rsidR="001C705E" w:rsidRDefault="001C705E" w:rsidP="001C705E">
      <w:pPr>
        <w:pStyle w:val="TextoNormal"/>
      </w:pPr>
      <w:r>
        <w:t xml:space="preserve">Estos hechos serían los siguientes: </w:t>
      </w:r>
    </w:p>
    <w:p w:rsidR="001C705E" w:rsidRDefault="001C705E" w:rsidP="001C705E">
      <w:pPr>
        <w:pStyle w:val="TextoNormal"/>
      </w:pPr>
      <w:r>
        <w:t xml:space="preserve">a) Anteriores.-Con anterioridad al proceso contencioso-administrativo núm. 261/1978, el señor Aizpuru Lasa promovió recurso contencioso-administrativo núm. 322/1976 sobre denuncia al Alcalde-Presidente del Ayuntamiento de Azpeitia de la apertura ilegal al público por don Manuel Arteaga Gurruchaga de un bodegón-restaurante en la denominada Casa Bizker de aquella villa, solicitando que se procediera a la clausura del establecimiento y se impusiera al denunciado la sanción reglamentaria; recurso que fue declarado inadmisible por la Sala de Pamplona por Sentencia de 22 de diciembre de 1977. Promovida apelación por el señor Aizpuru, la Sala Cuarta del Tribunal Supremo dicta Sentencia de 2 de mayo de 1981 estimando en parte la apelación y desestimando el recurso contencioso-administrativo, por estar tramitándose expediente de legalización de aquella actividad, «sin perjuicio de las acciones que pueda ejercitar en su día para impugnar la resolución que el Ayuntamiento adopte en dicho proceso de legalización»» (considerando 2. ). </w:t>
      </w:r>
    </w:p>
    <w:p w:rsidR="001C705E" w:rsidRDefault="001C705E" w:rsidP="001C705E">
      <w:pPr>
        <w:pStyle w:val="TextoNormal"/>
      </w:pPr>
      <w:r>
        <w:t xml:space="preserve">En este recurso núm. 332/1976 sí compareció como codemandado el señor Arteaga Gurruchaga, según resulta de la Sentencia dictada por la Sala de Pamplona en los indicados Autos. Y ello (la comparecencia), aunque el hoy recurrente no fue emplazado personalmente; esto es, el señor Arteaga Gurruchaga, pese a la falta de emplazamiento personal, tuvo conocimiento de la sustanciación del proceso y compareció en él en calidad de parte codemandada. </w:t>
      </w:r>
    </w:p>
    <w:p w:rsidR="001C705E" w:rsidRDefault="001C705E" w:rsidP="001C705E">
      <w:pPr>
        <w:pStyle w:val="TextoNormal"/>
      </w:pPr>
      <w:r>
        <w:t xml:space="preserve">b) Coetáneos.-Del acto municipal de 29 de marzo de 1978, objeto del recurso contencioso-administrativo núm. 261/1978 y del que tuvo conocimiento el ahora demandante de amparo, se desprenden dos datos que ponen de manifiesto que el señor Arteaga Gurruchaga tuvo conocimiento de la posibilidad de que por el señor Aizpuru Lasa se promoviese este recurso núm. 261/1978, y que, por tanto, el actual actor actuó, en su caso, negligentemente, sin que su falta de diligencia pueda perjudicar al señor Aizpuru. </w:t>
      </w:r>
    </w:p>
    <w:p w:rsidR="001C705E" w:rsidRDefault="001C705E" w:rsidP="001C705E">
      <w:pPr>
        <w:pStyle w:val="TextoNormal"/>
      </w:pPr>
      <w:r>
        <w:t xml:space="preserve">En este sentido, los dos datos que destacan en la citada resolución municipal son los siguientes: El primero, la explícita referencia que dicho acto efectúa a la Sentencia dictada en primera instancia en el recurso núm. 332/1976; y, el segundo, el ofrecimiento en la notificación del acto del recurso contencioso-administrativo. </w:t>
      </w:r>
    </w:p>
    <w:p w:rsidR="001C705E" w:rsidRDefault="001C705E" w:rsidP="001C705E">
      <w:pPr>
        <w:pStyle w:val="TextoNormal"/>
      </w:pPr>
      <w:r>
        <w:t xml:space="preserve">Una actuación normalmente diligente del señor Arteaga Gurruchaga le hubiera permitido -como ya antes le permitió en el recurso num. 332/1976- comparecer en el recurso contencioso-administrativo núm. 261/1978, pese a no haber sido emplazado personalmente. </w:t>
      </w:r>
    </w:p>
    <w:p w:rsidR="001C705E" w:rsidRDefault="001C705E" w:rsidP="001C705E">
      <w:pPr>
        <w:pStyle w:val="TextoNormal"/>
      </w:pPr>
      <w:r>
        <w:t>c) Posteriores.-Resulta inverosímil que el señor Arteaga Gurruchaga no tuviera conocimiento de la Sentencia frente a la que promueve el amparo hasta cuando había transcurrido casi dos años desde su firmeza. Y ello más aún, si se tiene en cuenta que ese conocimiento coincide temporalmente con el momento en que, tras un largo rosario de actua</w:t>
      </w:r>
      <w:r>
        <w:lastRenderedPageBreak/>
        <w:t xml:space="preserve">ciones encaminadas a su ejecución, el Ayuntamiento de Azpeitia se viese compelido a ejecutar aquélla. </w:t>
      </w:r>
    </w:p>
    <w:p w:rsidR="001C705E" w:rsidRDefault="001C705E" w:rsidP="001C705E">
      <w:pPr>
        <w:pStyle w:val="TextoNormal"/>
      </w:pPr>
      <w:r>
        <w:t xml:space="preserve">A la vista de tales circunstancias, es insólita la sorpresa con que el 29 de marzo de 1984 el señor Arteaga Gurruchaga dice acoger la noticia de la existencia de la Sentencia contra la que ahora se alza en amparo. </w:t>
      </w:r>
    </w:p>
    <w:p w:rsidR="001C705E" w:rsidRDefault="001C705E" w:rsidP="001C705E">
      <w:pPr>
        <w:pStyle w:val="TextoNormal"/>
      </w:pPr>
      <w:r>
        <w:t xml:space="preserve">Incluso los medios de comunicación de Guipúzcoa dieron cumplida noticia a mediados del año 1982 de la existencia de la calendada Sentencia en la crónica local de Azpeitia. </w:t>
      </w:r>
    </w:p>
    <w:p w:rsidR="001C705E" w:rsidRDefault="001C705E" w:rsidP="001C705E">
      <w:pPr>
        <w:pStyle w:val="TextoNormal"/>
      </w:pPr>
      <w:r>
        <w:t xml:space="preserve">Por todo ello considera que el recurrente de amparo no cumplió el requisito establecido en el art. 44.2 de la Ley orgánica de este Tribunal, que fija un plazo para la interposición del recurso de veinte días hábiles a contar desde la notificación de la resolución recaída en el proceso judicial. </w:t>
      </w:r>
    </w:p>
    <w:p w:rsidR="001C705E" w:rsidRDefault="001C705E" w:rsidP="001C705E">
      <w:pPr>
        <w:pStyle w:val="TextoNormal"/>
      </w:pPr>
      <w:r>
        <w:t xml:space="preserve">El señor Arteaga Gurruchaga tuvo conocimiento de la Sentencia de la Sala de lo Contencioso-Administrativo de la Audiencia Territorial de Pamplona con anterioridad a la fecha indicada en s u escrito de demanda, esto es, el 29 de marzo de 1984; y por consiguiente, si se tiene en cuenta que ya a mediados de 1982 o, en el peor de los casos, en 1983 el demandante de amparo tuvo conocimiento de la meritada Sentencia, es obvio que ha transcurrido con exceso el plazo fijado por el art. 44.2 de la LOTC para interponer el recurso de amparo contra un acto y omisión de un órgano judicial que pueda constituir violación de los derechos y libertades susceptibles de amparo constitucional. </w:t>
      </w:r>
    </w:p>
    <w:p w:rsidR="001C705E" w:rsidRDefault="001C705E" w:rsidP="001C705E">
      <w:pPr>
        <w:pStyle w:val="TextoNormal"/>
      </w:pPr>
      <w:r>
        <w:t xml:space="preserve">Por ello, debe ser desestimado el recurso de amparo, por haber sido presentado fuera del plazo legalmente establecido. </w:t>
      </w:r>
    </w:p>
    <w:p w:rsidR="001C705E" w:rsidRDefault="001C705E" w:rsidP="001C705E">
      <w:pPr>
        <w:pStyle w:val="TextoNormal"/>
      </w:pPr>
      <w:r>
        <w:t xml:space="preserve">2.ª No existe una violación de derechos y libertades susceptibles de amparo constitucional. </w:t>
      </w:r>
    </w:p>
    <w:p w:rsidR="001C705E" w:rsidRDefault="001C705E" w:rsidP="001C705E">
      <w:pPr>
        <w:pStyle w:val="TextoNormal"/>
      </w:pPr>
      <w:r>
        <w:t xml:space="preserve">El recurrente de amparo fundamenta éste en la violación por la calendada Sentencia del derecho fundamental recogido en el art. 24.1 de la Constitución, en cuanto proclama que todas las personas tienen derecho a obtener la tutela efectiva de los jueces y tribunales en el ejercicio de sus derechos e intereses legítimos, sin que en ningún caso pueda producirse indefensión. </w:t>
      </w:r>
    </w:p>
    <w:p w:rsidR="001C705E" w:rsidRDefault="001C705E" w:rsidP="001C705E">
      <w:pPr>
        <w:pStyle w:val="TextoNormal"/>
      </w:pPr>
      <w:r>
        <w:t xml:space="preserve">La falta de emplazamiento personal no conlleva inexcusablemente la indefensión; es decir, la indefensión no tiene por qué ser siempre consecuencia necesaria de la ausencia de emplazamiento personal en el recurso contencioso-administrativo. </w:t>
      </w:r>
    </w:p>
    <w:p w:rsidR="001C705E" w:rsidRDefault="001C705E" w:rsidP="001C705E">
      <w:pPr>
        <w:pStyle w:val="TextoNormal"/>
      </w:pPr>
      <w:r>
        <w:t xml:space="preserve">Prueba de ello es que el propio recurrente de amparo, pese a no haber sido emplazado personalmente, compareció en el recurso contencioso-administrativo núm. 322/1976, interpuesto respecto de igual asunto al posteriormente debatido en el recurso núm. 261/1978. </w:t>
      </w:r>
    </w:p>
    <w:p w:rsidR="001C705E" w:rsidRDefault="001C705E" w:rsidP="001C705E">
      <w:pPr>
        <w:pStyle w:val="TextoNormal"/>
      </w:pPr>
      <w:r>
        <w:t xml:space="preserve">El señor Arteaga Gurruchaga tuvo -o, en otro caso, pudo tener actuando con la normal diligencia- conocimiento de la interposición del recurso contencioso-administrativo 622 concurrir a la defensa de sus intereses legítimos. </w:t>
      </w:r>
    </w:p>
    <w:p w:rsidR="001C705E" w:rsidRDefault="001C705E" w:rsidP="001C705E">
      <w:pPr>
        <w:pStyle w:val="TextoNormal"/>
      </w:pPr>
      <w:r>
        <w:t xml:space="preserve">3.ª El recurso contencioso-administrativo núm. 261/1978 resuelto por dicha Sentencia fue iniciado con anterioridad a la entrada en vigor de la Constitución Española. </w:t>
      </w:r>
    </w:p>
    <w:p w:rsidR="001C705E" w:rsidRDefault="001C705E" w:rsidP="001C705E">
      <w:pPr>
        <w:pStyle w:val="TextoNormal"/>
      </w:pPr>
      <w:r>
        <w:t xml:space="preserve">La interposición del recurso fue anunciada en forma legal antes de la promulgación de la Constitución e, incluso, los trámites de demanda y contestación a la demanda son previos a la vigencia de nuestra Ley Fundamental. </w:t>
      </w:r>
    </w:p>
    <w:p w:rsidR="001C705E" w:rsidRDefault="001C705E" w:rsidP="001C705E">
      <w:pPr>
        <w:pStyle w:val="TextoNormal"/>
      </w:pPr>
      <w:r>
        <w:t xml:space="preserve">Si la acción u omisión del órgano judicial que presuntamente constituye una violación del derecho fundamental acaeció antes de la promulgación del texto fundamental. resultaba absolutamente imposible violar un precepto constitucional (art. 24.1 de la C.E.) que no se hallaba vigente. </w:t>
      </w:r>
    </w:p>
    <w:p w:rsidR="001C705E" w:rsidRDefault="001C705E" w:rsidP="001C705E">
      <w:pPr>
        <w:pStyle w:val="TextoNormal"/>
      </w:pPr>
      <w:r>
        <w:lastRenderedPageBreak/>
        <w:t xml:space="preserve">El principio de irretroactividad de las normas procesales, así como el principio de preclusión procesal de los trámites, impiden el renacimiento ulterior de aquellos trámites o fases procedimentales ya superados y practicados conforme a la norma procesal vigente en cada momento. </w:t>
      </w:r>
    </w:p>
    <w:p w:rsidR="001C705E" w:rsidRDefault="001C705E" w:rsidP="001C705E">
      <w:pPr>
        <w:pStyle w:val="TextoNormal"/>
      </w:pPr>
      <w:r>
        <w:t xml:space="preserve">Además, el principio de seguridad jurídica (art. 9.3 de la C.E.) exige la protección de los legítimos derechos e intereses de la persona -en este caso, el señor Aizpuru Lasaque ha obtenido una resolución judicial favorable, a través de un proceso en el que se han observado escrupulosamente las normas procesales vigentes. </w:t>
      </w:r>
    </w:p>
    <w:p w:rsidR="001C705E" w:rsidRDefault="001C705E" w:rsidP="001C705E">
      <w:pPr>
        <w:pStyle w:val="TextoNormal"/>
      </w:pPr>
      <w:r>
        <w:t xml:space="preserve">4.ª La pretensión del amparo pretende desconocer el derecho fundamental que ostenta el señor Aizpuru Lasa a obtener la tutela efectiva de los jueces y tribunales en el ejercicio de sus derechos e intereses legítimos. </w:t>
      </w:r>
    </w:p>
    <w:p w:rsidR="001C705E" w:rsidRDefault="001C705E" w:rsidP="001C705E">
      <w:pPr>
        <w:pStyle w:val="TextoNormal"/>
      </w:pPr>
      <w:r>
        <w:t xml:space="preserve">Ante el incumplimiento del fallo judicial por el Ayuntamiento de Azpeitia, el señor Aizpuru promovió un incidente jurisdiccional de ejecución de Sentencia ante la Sala de Pamplona. Pese a sus intentos de lograr aquella ejecución y pese también a los acuerdos de la Sala sentenciadora en idéntico sentido, el Ayuntamiento de Azpeitia no procedió al cumplimiento del fallo judicial. </w:t>
      </w:r>
    </w:p>
    <w:p w:rsidR="001C705E" w:rsidRDefault="001C705E" w:rsidP="001C705E">
      <w:pPr>
        <w:pStyle w:val="TextoNormal"/>
      </w:pPr>
      <w:r>
        <w:t xml:space="preserve">Y precisamente cuando ante la denuncia de que tal incumplimiento vulneraba el derecho fundamental que le reconoce el citado art. 24.1 es cuando inopinadamente surge la sorpresa del presente recurso de amparo. </w:t>
      </w:r>
    </w:p>
    <w:p w:rsidR="001C705E" w:rsidRDefault="001C705E" w:rsidP="001C705E">
      <w:pPr>
        <w:pStyle w:val="TextoNormal"/>
      </w:pPr>
      <w:r>
        <w:t xml:space="preserve">En suma, quien padece la violación del mencionado derecho fundamental se ve sorprendido por la supuesta violación de igual derecho de quien ha adoptado una actitud pasiva, cómoda e indiligente; resultándole increíble que, tras el largo lapso transcurrido, no sólo no se ejecuta la Sentencia, sino que, además, ésta es cuestionada nada más ni nada menos sobre la base del mismo derecho fundamental al que él se cree acogido. </w:t>
      </w:r>
    </w:p>
    <w:p w:rsidR="001C705E" w:rsidRDefault="001C705E" w:rsidP="001C705E">
      <w:pPr>
        <w:pStyle w:val="TextoNormal"/>
      </w:pPr>
      <w:r>
        <w:t xml:space="preserve">Es inexplicable para un ciudadano que, iniciado un proceso en el año 1978 (antes de la Constitución Española) y lograda una Sentencia firme cuatro años después (1982), después de otros casi dos años de infructuosas actuaciones en orden a su ejecución (1984), se promueve en esta fecha un recurso de amparo que pretende anular lo que para él ha sido -y sigue siendo- un arduo o costoso proceso. </w:t>
      </w:r>
    </w:p>
    <w:p w:rsidR="001C705E" w:rsidRDefault="001C705E" w:rsidP="001C705E">
      <w:pPr>
        <w:pStyle w:val="TextoNormal"/>
      </w:pPr>
      <w:r>
        <w:t xml:space="preserve">El señor Aizpuru reclama la protección de su derecho, también fundamental, a un proceso público sin dilaciones indebidas (art. 24.2 de la C.E.), a cuyo través consiga la pronta ejecución de un fallo judicial que le es favorable. </w:t>
      </w:r>
    </w:p>
    <w:p w:rsidR="001C705E" w:rsidRDefault="001C705E" w:rsidP="001C705E">
      <w:pPr>
        <w:pStyle w:val="TextoNormal"/>
      </w:pPr>
      <w:r>
        <w:t xml:space="preserve">Todo ello trae consigo la procedencia de desestimar el recurso de amparo promovido por el señor Arteaga Gurruchaga, ya que el señor Aizpuru Lasa es titular de los derechos fundamentales contenidos en el art. 24.1 y 2 de la C.E., derechos que no pueden quedar desprotegidos ni pueden ser tampoco violados. </w:t>
      </w:r>
    </w:p>
    <w:p w:rsidR="001C705E" w:rsidRDefault="001C705E" w:rsidP="001C705E">
      <w:pPr>
        <w:pStyle w:val="TextoNormal"/>
      </w:pPr>
      <w:r>
        <w:t>Por otrosí solicita la representación del señor Aizpuru el recibimiento a prueba del recurso, indicando, como extremos sobre los que habría de versar, la Sentencia de la Audiencia Provincial de Pamplona dictada en el recurso 332/1976; la información publicada en los medios de comunicación social sobre la existencia de la referida Sentencia y cualquier otro extremo que pudiera tener relación con el recurso.</w:t>
      </w:r>
    </w:p>
    <w:p w:rsidR="001C705E" w:rsidRDefault="001C705E" w:rsidP="001C705E">
      <w:pPr>
        <w:pStyle w:val="TextoNormal"/>
      </w:pPr>
    </w:p>
    <w:p w:rsidR="001C705E" w:rsidRDefault="001C705E" w:rsidP="001C705E">
      <w:pPr>
        <w:pStyle w:val="TextoNormal"/>
      </w:pPr>
      <w:r w:rsidRPr="001C705E">
        <w:rPr>
          <w:rStyle w:val="NumeroAFNegritaCaracter"/>
        </w:rPr>
        <w:t>12</w:t>
      </w:r>
      <w:r>
        <w:t>. La Sección, por providencia de 21 de noviembre de 1984, acordó dar traslado al recurrente y al Ministerio Fiscal de la solicitud de recibimiento a prueba formulada por la representación del señor Aizpuru Lasa. El solicitante de amparo no formuló alegación alguna; el Ministerio Fiscal mostró su conformidad con el recibimiento a prueba. Por providencia de 19 de diciembre de 1984 la Sección acordó recibir a prueba el presente recurso por plazo común de treinta días, aunque referido exclusivamente a la información publica</w:t>
      </w:r>
      <w:r>
        <w:lastRenderedPageBreak/>
        <w:t>da en los medios de comunicación social sobre la existencia de la Sentencia sobre la que se promueve el recurso de amparo.</w:t>
      </w:r>
    </w:p>
    <w:p w:rsidR="001C705E" w:rsidRDefault="001C705E" w:rsidP="001C705E">
      <w:pPr>
        <w:pStyle w:val="TextoNormal"/>
      </w:pPr>
    </w:p>
    <w:p w:rsidR="001C705E" w:rsidRDefault="001C705E" w:rsidP="001C705E">
      <w:pPr>
        <w:pStyle w:val="TextoNormal"/>
      </w:pPr>
      <w:r w:rsidRPr="001C705E">
        <w:rPr>
          <w:rStyle w:val="NumeroAFNegritaCaracter"/>
        </w:rPr>
        <w:t>13</w:t>
      </w:r>
      <w:r>
        <w:t xml:space="preserve">. Por escrito de 10 de enero de 1985, la representación de don Manuel Aizpuru Lasa pide que se ordene la práctica de la prueba documental, consistente en dirigir oficio o comunicación a la Dirección del periódico «El Diario Vasco», a fin de que facilite a la Sala ejemplar de dicho periódico correspondiente al día 28 de mayo de 1982 en que se hizo público el acuerdo del Ayuntamiento de Azpeitia sobre la Sentencia impugnada. La Sección, por providencia de 20 de febrero de 1985, admitió la propuesta y concedió a la representación de la parte proponente un plazo de catorce días para que aportase, por sí misma, el ejemplar del periódico que había indicado. </w:t>
      </w:r>
    </w:p>
    <w:p w:rsidR="001C705E" w:rsidRDefault="001C705E" w:rsidP="001C705E">
      <w:pPr>
        <w:pStyle w:val="TextoNormal"/>
      </w:pPr>
      <w:r>
        <w:t xml:space="preserve">El 11 de marzo de 1985 la representación del señor Aizpuru aportó fotocopia de la página 16 del periódico «El Diario Vasco» correspondiente al viernes 28 de mayo de 1982, en el que figura una crónica del corresponsal en Azpeitia, señor Elziru, referente al extracto de los acuerdos adoptados por el Ayuntamiento de la indicada localidad en su última sesión anterior. </w:t>
      </w:r>
    </w:p>
    <w:p w:rsidR="001C705E" w:rsidRDefault="001C705E" w:rsidP="001C705E">
      <w:pPr>
        <w:pStyle w:val="TextoNormal"/>
      </w:pPr>
      <w:r>
        <w:t xml:space="preserve">Entre dichos acuerdos se indica el de «enterarse y obtener informaciones necesarias respecto a Sentencia de la Sala de lo Contencioso-Administrativo de la Audiencia Territorial de Pamplona, dictada en recurso núm. 261 de 1978, así como de Auto del Tribunal Supremo en el mismo recurso». </w:t>
      </w:r>
    </w:p>
    <w:p w:rsidR="001C705E" w:rsidRDefault="001C705E" w:rsidP="001C705E">
      <w:pPr>
        <w:pStyle w:val="TextoNormal"/>
      </w:pPr>
      <w:r>
        <w:t xml:space="preserve">La Sección, por providencia de 20 de marzo de 1985, acordó unir a las actuaciones el escrito presentado junto con el documento que a él se adjunta y dio traslado al Ministerio Fiscal y a la representación de la parte demandante para que, en el plazo de tres días, manifestasen si reconocían como admisible, legítimo y eficaz el indicado documento, o las razones que tuvieren para impugnarlo. </w:t>
      </w:r>
    </w:p>
    <w:p w:rsidR="001C705E" w:rsidRDefault="001C705E" w:rsidP="001C705E">
      <w:pPr>
        <w:pStyle w:val="TextoNormal"/>
      </w:pPr>
      <w:r>
        <w:t xml:space="preserve">El Fiscal, por escrito de 25 de marzo de 1985, estima ineficaz la fotocopia de un periódico diario como medio probatorio. </w:t>
      </w:r>
    </w:p>
    <w:p w:rsidR="001C705E" w:rsidRDefault="001C705E" w:rsidP="001C705E">
      <w:pPr>
        <w:pStyle w:val="TextoNormal"/>
      </w:pPr>
      <w:r>
        <w:t xml:space="preserve">A la publicación de una reseña municipal en la crónica local de un diario no puede otorgársele una virtualidad notificativa superior a la de las publicaciones edictales en los periódicos oficiales. Si éstas son inoperantes para reputar que el interesado conoce de forma suficiente la existencia de un proceso que le afecta, lo mismo hay que decir de las noticias de prensa. </w:t>
      </w:r>
    </w:p>
    <w:p w:rsidR="001C705E" w:rsidRDefault="001C705E" w:rsidP="001C705E">
      <w:pPr>
        <w:pStyle w:val="TextoNormal"/>
      </w:pPr>
      <w:r>
        <w:t xml:space="preserve">Por tanto, la fotocopia del diario aportada no permite concluir, como pretende el demandado, que el recurrente supiera con anterioridad, casi dos años antes, la existencia de la Sentencia que ahora se impugna en amparo. Ello sin perjuicio de que es difícil no convenir con dicho demandado «que resulta inverosímil que el señor Arteaga no tuviera conocimiento de la Sentencia», dadas las reclamaciones previas en que intervino y la forzosa noticia que de una resolución de este tipo se tiene en una localidad de no mucha población. </w:t>
      </w:r>
    </w:p>
    <w:p w:rsidR="001C705E" w:rsidRDefault="001C705E" w:rsidP="001C705E">
      <w:pPr>
        <w:pStyle w:val="TextoNormal"/>
      </w:pPr>
      <w:r>
        <w:t>La representación del recurrente no formuló alegación alguna.</w:t>
      </w:r>
    </w:p>
    <w:p w:rsidR="001C705E" w:rsidRDefault="001C705E" w:rsidP="001C705E">
      <w:pPr>
        <w:pStyle w:val="TextoNormal"/>
      </w:pPr>
    </w:p>
    <w:p w:rsidR="001C705E" w:rsidRDefault="001C705E" w:rsidP="001C705E">
      <w:pPr>
        <w:pStyle w:val="TextoNormal"/>
      </w:pPr>
      <w:r w:rsidRPr="001C705E">
        <w:rPr>
          <w:rStyle w:val="NumeroAFNegritaCaracter"/>
        </w:rPr>
        <w:t>14</w:t>
      </w:r>
      <w:r>
        <w:t>. Por providencia de 17 de abril de 1985 se señaló para la deliberación y votación del recurso el día 25 del mismo mes y año.</w:t>
      </w:r>
    </w:p>
    <w:p w:rsidR="001C705E" w:rsidRDefault="001C705E" w:rsidP="001C705E">
      <w:pPr>
        <w:pStyle w:val="TextoNormal"/>
      </w:pPr>
    </w:p>
    <w:p w:rsidR="001C705E" w:rsidRDefault="001C705E" w:rsidP="001C705E">
      <w:pPr>
        <w:pStyle w:val="TextoNormalNegritaCentrado"/>
        <w:keepNext/>
      </w:pPr>
      <w:r>
        <w:lastRenderedPageBreak/>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La pretensión formulada en el presente recurso de amparo es la de que declaremos la nulidad de la Sentencia dictada por la Audiencia Territorial de Pamplona el 7 de abril de 1981 en el recurso interpuesto por don Manuel Aizpuru Lasa contra dos resoluciones del Ayuntamiento de Azpeitia por las que se legalizaban unas obras realizadas en el bar-restaurante de don Manuel Arteaga Gurruchaga.</w:t>
      </w:r>
    </w:p>
    <w:p w:rsidR="001C705E" w:rsidRDefault="001C705E" w:rsidP="001C705E">
      <w:pPr>
        <w:pStyle w:val="TextoNormal"/>
      </w:pPr>
      <w:r>
        <w:t>De acuerdo con el contenido del derecho a una tutela judicial efectiva reconocido por el art. 24.1 de la Constitución, declarado por este Tribunal en numerosas ocasiones, el recurrente estima que debió ser emplazado personalmente ante la Audiencia Territorial de Pamplona, en la que constaba su domicilio y datos personales, antes de enjuiciar dos actos administrativos que reconocían derechos subjetivos en su favor. Todo ello porque el período expositivo del pleito tuvo lugar una vez entrada en vigor la Constitución y la consiguiente tutela de su art. 24.1 que -dice- ha sido vulnerada.</w:t>
      </w:r>
    </w:p>
    <w:p w:rsidR="001C705E" w:rsidRDefault="001C705E" w:rsidP="001C705E">
      <w:pPr>
        <w:pStyle w:val="TextoNormal"/>
      </w:pPr>
      <w:r>
        <w:t>Don Manuel Aizpuru Lasa, que también ha comparecido en este recurso, se opone tajantemente a las pretensiones del solicitante de amparo. Ha intentado probar que el señor Arteaga tuvo conocimiento de la existencia del proceso contencioso-administrativo con anterioridad a la fecha del 29 de marzo de 1984; que el recurrente ha mantenido una actitud poco diligente en la defensa de sus intereses y que, en fin, conceder el amparo que se impetra produciría un grave perjuicio al señor Aizpuru, hasta el punto de pararle una auténtica lesión del derecho -que también posea una tutela judicial efectiva.</w:t>
      </w:r>
    </w:p>
    <w:p w:rsidR="001C705E" w:rsidRDefault="001C705E" w:rsidP="001C705E">
      <w:pPr>
        <w:pStyle w:val="TextoNormal"/>
      </w:pPr>
    </w:p>
    <w:p w:rsidR="001C705E" w:rsidRDefault="001C705E" w:rsidP="001C705E">
      <w:pPr>
        <w:pStyle w:val="TextoNormal"/>
      </w:pPr>
      <w:r w:rsidRPr="001C705E">
        <w:rPr>
          <w:rStyle w:val="NumeroAFNegritaCaracter"/>
        </w:rPr>
        <w:t>2</w:t>
      </w:r>
      <w:r>
        <w:t>. La ausencia de notificación personal del emplazamiento a las personas a cuyo favor reconoció derechos un acto administrativo impugnado en sede contencioso-administrativa puede dar lugar a casos de verdadera indefensión.  Así lo ha venido estimando este Tribunal, en su doctrina referente al art. 64 de la Ley reguladora de la Jurisdicción Contencioso-Administrativa, alegada por las partes en el presente caso y que es ocioso recordar aquí. Esta indefensión, examinada a la luz del art. 24. 1 de la Constitución, puede implicar una lesión constitucional del derecho a una tutela judicial efectiva que puede, y debe, ser corregida en esta vía de amparo, aun a costa de sacrificar el principio de santidad de la cosa juzgada.</w:t>
      </w:r>
    </w:p>
    <w:p w:rsidR="001C705E" w:rsidRDefault="001C705E" w:rsidP="001C705E">
      <w:pPr>
        <w:pStyle w:val="TextoNormal"/>
      </w:pPr>
      <w:r>
        <w:t>Es obvio que los actos municipales impugnados en el proceso contencioso de que trae causa el presente recurso reconocían derechos subjetivos en favor del señor Arteaga Gurruchaga. En consecuencia, a tenor de lo dispuesto en el art.  29.1 b) de la LJCA, el recurrente debió ostentar la condición de parte demandada en aquel proceso. Por otra parte, la circunstancia, debidamente acreditada, de que el legitimado como parte demandada era conocido e identificable, a partir de los datos que obraron en autos, nos obliga a examinar si efectivamente se ha producido, o no, una lesión constitucional del derecho a una tutela judicial efectiva del recurrente, toda vez que, antes de concluir el proceso, entró en vigor la Constitución Española de 1978 y su haz de garantías jurisdiccionales.</w:t>
      </w:r>
    </w:p>
    <w:p w:rsidR="001C705E" w:rsidRDefault="001C705E" w:rsidP="001C705E">
      <w:pPr>
        <w:pStyle w:val="TextoNormal"/>
      </w:pPr>
    </w:p>
    <w:p w:rsidR="001C705E" w:rsidRDefault="001C705E" w:rsidP="001C705E">
      <w:pPr>
        <w:pStyle w:val="TextoNormal"/>
      </w:pPr>
      <w:r w:rsidRPr="001C705E">
        <w:rPr>
          <w:rStyle w:val="NumeroAFNegritaCaracter"/>
        </w:rPr>
        <w:t>3</w:t>
      </w:r>
      <w:r>
        <w:t>. Con carácter previo se ha de examinar si efectivamente concurre en el presente caso la causa de inadmisión que fue puesta de manifiesto por nuestra providencia de 16 de mayo de 1984, y en la que ha insistido la representación del señor Aizpuru Lasa; en concreto, si la demanda ha de ser considerada como extemporánea por interpuesta fuera del plazo de veinte días que dice el art.  44.2 de la LOTC. Como se ha afirmado en nuestra reciente sentencia de 26 de marzo de 1985 (R.A. 378/1983), dicho plazo ha de ser computado des</w:t>
      </w:r>
      <w:r>
        <w:lastRenderedPageBreak/>
        <w:t>de el momento en que el demandante tuvo conocimiento suficiente de la existencia de la Sentencia frente a la que se interpone el recurso de amparo. Aunque, como también reconoce El Ministerio Fiscal, resulta poco creíble que el señor Arteaga Gurruchaga no tuviera conocimiento de una Sentencia dictada dos años antes de la fecha del 29 de marzo de 1984 por él reconocida como de primera noticia -y no completa- de la precitada resolución; aunque también resulte poco verosímil esa falta de noticias en una localidad de las dimensiones de Azpeitia, respecto de un asunto del que se ocuparon los medios de comunicación social, hay que convenir en que el codemandado, señor Aizpuru, no ha logrado probar en forma fehaciente que el recurrente haya conocido la resolución de la Audiencia Territorial con anterioridad a la precitada fecha de 29 de marzo de 1984. No podemos, en consecuencia, estimar que concurre en este caso la extemporaneidad del recurso que ha aducido como excepción el señor Aizpuru.</w:t>
      </w:r>
    </w:p>
    <w:p w:rsidR="001C705E" w:rsidRDefault="001C705E" w:rsidP="001C705E">
      <w:pPr>
        <w:pStyle w:val="TextoNormal"/>
      </w:pPr>
      <w:r>
        <w:t>Sin embargo, sí es preciso dejar constancia de la conducta procesal del señor Arteaga Gurruchaga en el presente recurso, en el que, a partir del momento de la solicitud de recibimiento a prueba, de la que se le dio traslado por providencia de 21 de noviembre de 1984, ha omitido toda intervención y todo alegato en defensa de sus derechos, en los que se dice indefenso. Es éste un aspecto importante a los efectos de la decisión de la presente litis.</w:t>
      </w:r>
    </w:p>
    <w:p w:rsidR="001C705E" w:rsidRDefault="001C705E" w:rsidP="001C705E">
      <w:pPr>
        <w:pStyle w:val="TextoNormal"/>
      </w:pPr>
    </w:p>
    <w:p w:rsidR="001C705E" w:rsidRDefault="001C705E" w:rsidP="001C705E">
      <w:pPr>
        <w:pStyle w:val="TextoNormal"/>
      </w:pPr>
      <w:r w:rsidRPr="001C705E">
        <w:rPr>
          <w:rStyle w:val="NumeroAFNegritaCaracter"/>
        </w:rPr>
        <w:t>4</w:t>
      </w:r>
      <w:r>
        <w:t>. La falta de emplazamiento personal es una infracción que sólo deviene lesión constitucional cuando, pese a haber mantenido el ciudadano una actitud diligente, se ve colocado en una situación de indefensión. Pero cuando tal diligencia no existe, la lesión tampoco,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w:t>
      </w:r>
    </w:p>
    <w:p w:rsidR="001C705E" w:rsidRDefault="001C705E" w:rsidP="001C705E">
      <w:pPr>
        <w:pStyle w:val="TextoNormal"/>
      </w:pPr>
      <w:r>
        <w:t>Hay que acoger, en este caso, las alegaciones del codemandado señor Aizpuru sobre la conducta indiligente del señor Arteaga. Y es que no puede invocar válidamente indefensión, en esta vía constitucional, quien ha mantenido una conducta procesal errática y abusiva. El solicitante de amparo se debe ver vinculado por sus propios actos a lo largo del muy dilatado proceso seguido en vía administrativa y contenciosa frente al señor Aizpuru.</w:t>
      </w:r>
    </w:p>
    <w:p w:rsidR="001C705E" w:rsidRDefault="001C705E" w:rsidP="001C705E">
      <w:pPr>
        <w:pStyle w:val="TextoNormal"/>
      </w:pPr>
      <w:r>
        <w:t>Hay que hacer mérito, en primer lugar, de que el 21 de enero de 1976 el Alcalde de Azpeitia ordenó la suspensión de las obras que el señor Arteaga venía realizando sin licencia. Dicha orden de suspensión fue consentida por el hoy solicitante de amparo, que no recurrió contra ella, por lo que devino firme, como declara la Sentencia de la Audiencia Territorial. Ello no impidió al señor Arteaga hacer caso omiso de la orden de suspensión, continuando las obras hasta su total terminación. No por ello abandonó la defensa puntual de sus intereses, hasta el punto de comparecer como codemandado en el recurso contencioso-administrativo núm. 261/1978, también promovido por el señor Aizpuru, pese a no haber sido -tampoco en este caso- emplazado personalmente.  Sin embargo no compareció en el recurso contencioso cuya Sentencia impugna y, todo ello, pese a haberle sido notificada personalmente la resolución del recurso de reposición previa al mismo.</w:t>
      </w:r>
    </w:p>
    <w:p w:rsidR="001C705E" w:rsidRDefault="001C705E" w:rsidP="001C705E">
      <w:pPr>
        <w:pStyle w:val="TextoNormal"/>
      </w:pPr>
      <w:r>
        <w:t>Tan sólo dos años después de que la jurisdicción contenciosa reconociera la necesidad de demoler las obras por él realizadas es cuando el señor Arteaga reacciona y se ve sorprendido por esta nueva resolución, frente a la que invoca indefensión. Y una vez entablado el presente recurso de amparo -y obtenida la suspensión de la ejecución de la Senten</w:t>
      </w:r>
      <w:r>
        <w:lastRenderedPageBreak/>
        <w:t>cia- omite la colaboración procesal debida a este Tribunal, declinando formular alegaciones sobre la prueba solicitada.</w:t>
      </w:r>
    </w:p>
    <w:p w:rsidR="001C705E" w:rsidRDefault="001C705E" w:rsidP="001C705E">
      <w:pPr>
        <w:pStyle w:val="TextoNormal"/>
      </w:pPr>
      <w:r>
        <w:t>De todo lo expuesto resulta, con meridiana claridad, que frente a la tenaz y constante defensa de sus derechos, que ha practicado el señor Aizpuru, el recurrente ha tenido una conducta indiligente que nos lleva a excluir que se haya visto lesionado en su derecho fundamental a una tutela judicial efectiva.  Basta, para declararlo así, comprobar que le fue notificado personalmente el recurso de reposición previo al contencioso-administrativo que se siguió ante la Audiencia Territorial de Pamplona, como ya dejamos indicado en nuestra citada Sentencia de 26 de marzo de 1985, el conocimiento por parte del administrado de que el acto administrativo por el que se ve beneficiado ha sido recurrido en vía administrativa (y más en un recurso de reposición previo al contencioso) impone sobre él una obligación de especial diligencia para seguir el curso del procedimiento. Diligencia que el señor Arteaga supo utilizar en el recurso contencioso núm. 261/1978, y que debió emplear en el presente caso.</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Denegar el amparo solicitado por don Manuel Arteaga Gurruchaga y el levantamiento de la suspensión de la ejecución de la Sentencia de la Audiencia Territorial de Pamplona de 7 de abril de 1981.</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veintinueve de abril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60" w:name="SENTENCIA_1985_57"/>
      <w:r>
        <w:lastRenderedPageBreak/>
        <w:t>SENTENCIA 57/1985, de 29 de abril de 1985</w:t>
      </w:r>
    </w:p>
    <w:bookmarkEnd w:id="60"/>
    <w:p w:rsidR="001C705E" w:rsidRDefault="001C705E" w:rsidP="001C705E">
      <w:pPr>
        <w:pStyle w:val="TtuloResolucin"/>
      </w:pPr>
      <w:r>
        <w:t>Sala Segunda</w:t>
      </w:r>
    </w:p>
    <w:p w:rsidR="001C705E" w:rsidRDefault="001C705E" w:rsidP="001C705E">
      <w:pPr>
        <w:pStyle w:val="TtuloResolucin"/>
      </w:pPr>
    </w:p>
    <w:p w:rsidR="001C705E" w:rsidRDefault="001C705E" w:rsidP="001C705E">
      <w:pPr>
        <w:pStyle w:val="TtuloBOE"/>
      </w:pPr>
      <w:r>
        <w:t>("BOE" núm. 119, de 18 de mayo de 1985)</w:t>
      </w:r>
    </w:p>
    <w:p w:rsidR="001C705E" w:rsidRDefault="001C705E" w:rsidP="001C705E">
      <w:pPr>
        <w:pStyle w:val="TtuloBOE"/>
      </w:pPr>
    </w:p>
    <w:p w:rsidR="001C705E" w:rsidRDefault="001C705E" w:rsidP="001C705E">
      <w:pPr>
        <w:pStyle w:val="SntesisDescriptiva"/>
      </w:pPr>
      <w:r>
        <w:t>ECLI:ES:TC:1985:57</w:t>
      </w:r>
    </w:p>
    <w:p w:rsidR="001C705E" w:rsidRDefault="001C705E" w:rsidP="001C705E">
      <w:pPr>
        <w:pStyle w:val="SntesisDescriptiva"/>
      </w:pPr>
    </w:p>
    <w:p w:rsidR="001C705E" w:rsidRDefault="001C705E" w:rsidP="001C705E">
      <w:pPr>
        <w:pStyle w:val="SntesisDescriptiva"/>
      </w:pPr>
      <w:r>
        <w:t>Recurso de amparo 549/1984. Contra Sentencia de la Sala Sexta del Tribunal Supremo que desestimó recurso de casación por infracción de ley con base a la supuesta infracción de determinados requisitos procesales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libertad para enjuiciar, para interpretar y para aplicar las normas que tienen los Jueces y Tribunales permite que un mismo órgano judicial, ante supuestos ya no semejantes, sino incluso idénticos, modifique su propia interpretación de unos mismos preceptos legales, siempre que razone su nueva interpretación en términos de Derecho para que su cambio hermenéutico no resulte ni inadvertido para él mismo, que debe ser consciente de que cambia y de por qué cambia de criterio, ni arbitrario por no razonado y, en este sentido, discriminatorio. </w:t>
      </w:r>
    </w:p>
    <w:p w:rsidR="001C705E" w:rsidRDefault="001C705E" w:rsidP="001C705E">
      <w:pPr>
        <w:pStyle w:val="Extracto"/>
      </w:pPr>
    </w:p>
    <w:p w:rsidR="001C705E" w:rsidRDefault="001C705E" w:rsidP="001C705E">
      <w:pPr>
        <w:pStyle w:val="Extracto"/>
      </w:pPr>
      <w:r>
        <w:t>2.</w:t>
      </w:r>
      <w:r>
        <w:tab/>
        <w:t xml:space="preserve">Las Cortes Generales son libres para modificar las leyes, y no hay razón para inferir de cada modificación llevada a cabo la inconstitucionalidad del texto precedente, pues el cambio legislativo puede obedecer a muy otros propósitos del legislador, cuya política legislativa, dentro del marco de la Constitución, puede moverse con toda libertad. </w:t>
      </w:r>
    </w:p>
    <w:p w:rsidR="001C705E" w:rsidRDefault="001C705E" w:rsidP="001C705E">
      <w:pPr>
        <w:pStyle w:val="Extracto"/>
      </w:pPr>
    </w:p>
    <w:p w:rsidR="001C705E" w:rsidRDefault="001C705E" w:rsidP="001C705E">
      <w:pPr>
        <w:pStyle w:val="Extracto"/>
      </w:pPr>
      <w:r>
        <w:t>3.</w:t>
      </w:r>
      <w:r>
        <w:tab/>
        <w:t xml:space="preserve">La naturaleza de la casación, en cuanto recurso extraordinario que sólo podrá fundarse en causas determinadas (art. 1.691 L.E.C.) admite unos requisitos formales como los del párrafo segundo del art. 1.720, bien entendido que ese párrafo es instrumental respecto al primero y, sobre todo, que desde la promulgación de la Constitución todo el art. 1.720 debe ser interpretado a la luz del art. 24.1 C.E. </w:t>
      </w:r>
    </w:p>
    <w:p w:rsidR="001C705E" w:rsidRDefault="001C705E" w:rsidP="001C705E">
      <w:pPr>
        <w:pStyle w:val="Extracto"/>
      </w:pPr>
    </w:p>
    <w:p w:rsidR="001C705E" w:rsidRDefault="001C705E" w:rsidP="001C705E">
      <w:pPr>
        <w:pStyle w:val="Extracto"/>
      </w:pPr>
      <w:r>
        <w:t>4.</w:t>
      </w:r>
      <w:r>
        <w:tab/>
        <w:t xml:space="preserve">El defecto formal cometido por el recurrente consiste tan sólo en que alegó interpretación errónea y, subsidiaria o subsiguientemente, indebida aplicación de las normas en cada motivo citadas. La exigencia de la separación y numeración en párrafos distintos de los dos conceptos no es necesaria para la intelección por parte del órgano judicial de cuáles son los motivos del recurso, ya que las expresiones «subsidiariamente» y «subsiguientemente» permiten aclarar, sin lugar a duda razonable, el enunciado de cada uno de ellos. </w:t>
      </w:r>
    </w:p>
    <w:p w:rsidR="001C705E" w:rsidRDefault="001C705E" w:rsidP="001C705E">
      <w:pPr>
        <w:pStyle w:val="Extracto"/>
      </w:pPr>
    </w:p>
    <w:p w:rsidR="001C705E" w:rsidRDefault="001C705E" w:rsidP="001C705E">
      <w:pPr>
        <w:pStyle w:val="Extracto"/>
      </w:pPr>
      <w:r>
        <w:t>5.</w:t>
      </w:r>
      <w:r>
        <w:tab/>
        <w:t xml:space="preserve">El respeto al derecho fundamental a la tutela judicial efectiva debió conducir a que el órgano judicial supliese con una interpretación suya no sólo posible, sino sencilla y segura, el imperfecto cumplimiento de los requisitos del art. 1.720 L.E.C., para que la primacía de aquel derecho no sufriere en aras de una exigencia formal, en este caso innecesaria.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La Sala Segunda del Tribunal Constitucional, compuesta por don Jerónimo Arozamena Sierra, Presidente; don Luis Díez-Picazo y Ponce de León, don Francisco Tomás y Valiente,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el recurso de amparo núm. 549/1984, promovido por don John Sabatini Prior, representado por el Procurador don José Luis Herranz Moreno, y bajo la dirección del Letrado don José Luis González Martínez, respecto de la Sentencia de la Sala Sexta del Tribunal Supremo que desestima recurso de casación contra la dictada por la Magistratura de Trabajo número 11 de Madrid, que declaró procedente el despido, y en el que ha comparecido el Ministerio Fiscal, así como el Instituto Católico de Artes e Industrias, representado por el Procurador don José Fernández Rubio Martínez, asistido del Letrado don Emilio del Sol Fernández, siendo el ponente el Magistrado don Francisco Tomás y Valiente, quien expresa el parecer de la Sala.</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Don John Sabatini Prior, debidamente representado y dirigido técnicamente por Letrado, interpuso demanda de amparo contra la Sentencia de la Sala Sexta del Tribunal Supremo de 18 de mayo de 1984 que desestimó el recurso de casación interpuesto por el mismo contra la Sentencia de la Magistratura de Trabajo numero 11 de las de Madrid, a 11 de octubre de 1983, en demanda por despido deducida en su día por el señor Sabatini contra el Instituto Católico de Artes e Industrias (ICAI), en el que prestaba sus servicios desde octubre de 1971 como Profesor titular. El recurrente pide amparo porque entiende que la Sentencia impugnada «infringe el contenido del art. 24.1 de la Constitución por violación del derecho a la tutela judicial efectiva» y asimismo infringe el contenido del art. 14 por violación del principio de igualdad. </w:t>
      </w:r>
    </w:p>
    <w:p w:rsidR="001C705E" w:rsidRDefault="001C705E" w:rsidP="001C705E">
      <w:pPr>
        <w:pStyle w:val="TextoNormal"/>
      </w:pPr>
      <w:r>
        <w:t xml:space="preserve">El recurrente sitúa la violación contra su derecho a la tutela judicial efectiva en el fallo y en el segundo considerando de la Sentencia de la Sala Sexta. En éste, la Sala indica que los motivos segundo y tercero del recurso de casación, formulados al amparo del art. 167.1 de la LPL, «adolecen de un defecto insubsanable al estar mal formalizados», porque aluden «a formas distintas de infringir la Ley», ya que las invocadas «interpretación errónea» y «aplicación indebida», son «conceptos incompatibles entre sí», por lo que, al incluirlos, el recurrente, en un mismo motivo. ha conculcado el art. 1.720 de la Ley de Enjuiciamiento Civil, de aplicación supletoria en lo laboral, incurriendo así en una causa de inadmisión de su recurso, que en aquel trámite se convierte en causa de desestimación. En la demanda de amparo se argumenta que la redacción de los motivos segundo y tercero del recurso de casación, lejos de contravenir el art. 1.720 de la L.E.C., está de acuerdo con la jurisprudencia de la misma Sala del Tribunal Supremo, que en su Sentencia de 1 de julio de 1982 </w:t>
      </w:r>
      <w:r>
        <w:lastRenderedPageBreak/>
        <w:t>admitió y estimó un recurso de casación, uno de cuyos motivos estaba redactado en términos idénticos al del caso presente. El demandante de amparo formula unas extensas consideraciones sobre la jurisprudencia como fuente de derecho, para concluir que «lo que no puede hacer el T.S., en contradicción con su propia doctrina y actos es dictar una Sentencia que, basada en presupuestos idénticos, tenga validez en un caso y no la tenga en otro, produciéndose en este sentido una falta de tutela efectiva en su caso, con violación del art. 24». Además, y con apoyo en la misma Sentencia de 1 de julio de 1982, entiende el recurrente que se ha producido una violación de su derecho a la igualdad, puesto que la Sentencia que él impugna falla en sentido opuesto un caso cuyas características revisten «una similitud extraordinaria» con el resuelto en la Sentencia de la misma Sala de 1 de julio de 1982. En el suplico de la demanda, el recurrente pide que declaremos la nulidad de la Sentencia del Tribunal Supremo de 18 de mayo de 1984, que se le reconozca su derecho «a la correcta formulación de los motivos de casación contenidos en el recurso» de casación y que se devuelvan las actuaciones al Tribunal Supremo a fin de que entre a conocer del fondo del recurso de casación.</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La Sección Cuarta, por providencia de 3 de octubre de 1984, acordó admitir a trámite el recurso, así como que se dirigieran las correspondientes comunicaciones al excelentísimo señor Presidente del Tribunal Supremo y a la Magistratura de Trabajo número 11 de las de Madrid, interesándoles la remisión de las respectivas actuaciones, e indicándole a la citada Magistratura que emplazara a cuantos hubieren sido parte en los expresados autos para que, en el plazo de diez días, pudieran comparecer ante este Tribunal Constitucional. </w:t>
      </w:r>
    </w:p>
    <w:p w:rsidR="001C705E" w:rsidRDefault="001C705E" w:rsidP="001C705E">
      <w:pPr>
        <w:pStyle w:val="TextoNormal"/>
      </w:pPr>
      <w:r>
        <w:t>La misma Sección Cuarta, por providencia de 5 de diciembre de 1984, acordó acusar recibo a la Sala Sexta del Tribunal Supremo y a la Magistratura de Trabajo número 11 de las de Madrid de las actuaciones por ellas remitidas; tener por personado en este proceso constitucional al ICAI y, finalmente, y de conformidad con el art. 52.1 de la LOTC, dar vista de las actuaciones al Ministerio Fiscal, al recurrente y al ICAI en cuanto demandado en el orden laboral, para que, dentro del plazo común señalado, pudieran presentar las alegaciones que estimaren convenientes, lo que en efecto hicieron el Ministerio Fiscal y la representación procesal del ICAI.</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El representante del ICAI formula unas extensas consideraciones respecto al problema laboral entre dicho Instituto y el Profesor Sabatini Prior, y a la Sentencia de la citada Magistratura que resolvió la demanda por despido deducida, entonces, por el hoy recurrente en amparo. Entrando ya en las cuestiones planteadas ante este Tribunal, la representación del ICAI replica a la «construcción doctrinal y filosófica» elaborada en la demanda a propósito del valor de la jurisprudencia como fuente de Derecho, afirmando, en relación con la Sentencia de 1 de julio de 1982, que, según reiterada doctrina del propio Tribunal Supremo, una sola resolución no es suficiente para sentar jurisprudencia, mientras que, por el contrario, son muy numerosas las Sentencias del Tribunal Supremo en las que se sienta la doctrina de que no se puede invocar en un mismo motivo de casación la aplicación indebida y la interpretación errónea. A tal efecto se citan las Sentencias de 4 de febrero de 1963, 3 de diciembre del mismo año, 3 y 24 de enero de 1964, 20 de febrero de 1964, 5 de marzo de 1964, 24 de febrero de 1965 y 19 de abril 1965, más las Sentencias de 10 de octubre de 1975, 6 de octubre de 1977, 6 de diciembre de 1980 y 29 de octubre de 1981, citadas por la Sala Sexta del Tribunal Supremo en la Sentencia de 18 de mayo de 1984, aquí impugnada, para confirmar su doctrina sobre la incompatibilidad de invocación en un mismo motivo de casación entre interpretación errónea y aplicación indebida. Por todo </w:t>
      </w:r>
      <w:r>
        <w:lastRenderedPageBreak/>
        <w:t>ello, y porque, a su juicio; no son idénticos el caso resuelto en la Sentencia de 18 de mayo de 1984 y el que dio lugar a la de 1 de julio de 1982, la representación del ICAI sostiene que no ha podido haber y no ha habido infracción del art. 24 de la Constitución. En manera alguna se ha violado el derecho a la tutela judicial efectiva, ya que éste supone que los recurrentes sean oídos y tengan derecho a una resolución fundada, todo lo cual ha sucedido en el caso presente, aunque en sentido contrario a lo pedido por el señor Sabatini. En orden a la violación del derecho a la igualdad reconocido en el art. 14 de la Constitución, el representante del ICAI niega también que se haya dado, pues, como se dijo, ni hay identidad entre los supuestos resueltos en las Sentencias de 1 de julio de 1982 y 18 de mayo de 1984, ni el hoy recurrente en amparo puede considerarse discriminado, puesto que la Sentencia que él impugna ha sido dictada con una fundamentación legal y jurisprudencial amplia y coherente con la Sentencia recurrida. En consecuencia pide la desestimación del amparo.</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Fiscal ante el Tribunal Constitucional concluye su escrito de alegaciones pidiendo la estimación del amparo, por violación del derecho a una tutela judicial efectiva, y, en consecuencia, la declaración de nulidad de la resolución impugnada. Los principales argumentos del Ministerio Fiscal son los siguientes: </w:t>
      </w:r>
    </w:p>
    <w:p w:rsidR="001C705E" w:rsidRDefault="001C705E" w:rsidP="001C705E">
      <w:pPr>
        <w:pStyle w:val="TextoNormal"/>
      </w:pPr>
      <w:r>
        <w:t xml:space="preserve">A) El invocado art. 14 de la C.E. no ha sido infringido por la Sentencia impugnada, pues la existencia de la de 1 de julio de 1982, que ciertamente contiene una interpretación no formalista del art. 1.720 de la L.E.C., constituye una excepción a la doctrina reiteradamente mantenida por el Tribunal Supremo sobre el mismo precepto y el mismo problema. Según el Ministerio Fiscal, «el término de comparación aportado no supone un cambio razonado del sentido de la jurisprudencia, sino una excepción a dicho sentido», por lo que si bien en su día pudo ser atacada la Sentencia de 1 de julio de 1982 por vulnerar el principio de igualdad en la aplicación de la Ley, en modo alguno puede servir para que la misma vulneración se impute a la Sentencia de 18 de mayo de 1984, contraria a ella, pero conforme con la línea jurisprudencial reiterada en tantas otras Sentencias. </w:t>
      </w:r>
    </w:p>
    <w:p w:rsidR="001C705E" w:rsidRDefault="001C705E" w:rsidP="001C705E">
      <w:pPr>
        <w:pStyle w:val="TextoNormal"/>
      </w:pPr>
      <w:r>
        <w:t xml:space="preserve">B) En orden a la tutela judicial efectiva como derecho reconocido por el art. 24.1 de la C.E., y a su aplicación en relación con los recursos existentes en el ordenamiento, el Fiscal ante el Tribunal Constitucional recuerda, como doctrina establecida por éste, que el legislador es libre para ordenar en materia laboral el sistema de recursos que estime preferible, así como también para condicionar el acceso a cada recurso al cumplimiento de determinados requisitos. Ahora bien, es exigencia derivada del art. 24.1 de la C.E. que tales requisitos no sean producto de formalismos innecesarios, que sean coincidentes con la justicia y proporcionados a las finalidades para que se establecen, y asimismo que sean interpretados de la manera más favorable para la efectividad del derecho fundamental. </w:t>
      </w:r>
    </w:p>
    <w:p w:rsidR="001C705E" w:rsidRDefault="001C705E" w:rsidP="001C705E">
      <w:pPr>
        <w:pStyle w:val="TextoNormal"/>
      </w:pPr>
      <w:r>
        <w:t xml:space="preserve">C) En principio, el art. 1.720 de la L.E.C. debe ser interpretado por los jueces y tribunales del poder judicial (art. 117 de la C.E.), pero en cuanto que su aplicación a un caso determinado pueda implicar la violación de un derecho fundamental como en este caso sucede con el de la tutela judicial efectiva, la interpretación del art. 1.720 de la L.E.C. deviene, desde esa perspectiva, materia propia de este Tribunal Constitucional. En el caso presente hay que dilucidar si la interpretación del art. 1.720 llevada a cabo por la Sala Sexta del Tribunal Supremo ha sido o no formalista, esto es, ha incurrido o no «en formalismo innecesario y excesivo», porque, de ser positiva la respuesta, se habría creado un obstáculo a la tutela judicial efectiva, con lesión del derecho fundamental reconocido por el art. 24.1 de la C.E. </w:t>
      </w:r>
    </w:p>
    <w:p w:rsidR="001C705E" w:rsidRDefault="001C705E" w:rsidP="001C705E">
      <w:pPr>
        <w:pStyle w:val="TextoNormal"/>
      </w:pPr>
      <w:r>
        <w:lastRenderedPageBreak/>
        <w:t>D) El art. 1.720 de la L.E.C. exige que se determine con claridad y precisión la ley o doctrina legal infringida y el concepto en que lo haya sido. La Sentencia impugnada, en su considerando segundo, entiende violado el art. 1.720 al haberse formulado por el recurrente los motivos segundo y tercero del recurso de casación «por interpretación errónea y subsidiariamente por indebida aplicación» de determinados preceptos. A juicio del Tribunal se han mezclado en un mismo motivo conceptos incompatibles entre sí, pero es lo cierto, según alega el Ministerio Fiscal, que el recurrente en casación estableció «por la propia lógica del lenguaje» dos fundamentos distintos del recurso, pues la palabra «subsidiariamente» significa sucesión en el tiempo, es decir, separación clara y precisa de los motivos alegados. El hecho de que esos dos motivos no se hayan plasmado en párrafos numerados, según exige el art. 1.720, 2. , de la L.E.C., es sin duda un defecto de forma, pero «elevar dicha falta de forma de carácter meramente accidental a motivo de inadmisión constituye una interpretación formalista de carácter excesivo e innecesario», con lo cual la Sentencia viola el derecho del art. 24.1 de la C.E. a una tutela judicial efectiva, por lo que debe ser anulada.</w:t>
      </w:r>
    </w:p>
    <w:p w:rsidR="001C705E" w:rsidRDefault="001C705E" w:rsidP="001C705E">
      <w:pPr>
        <w:pStyle w:val="TextoNormal"/>
      </w:pPr>
    </w:p>
    <w:p w:rsidR="001C705E" w:rsidRDefault="001C705E" w:rsidP="001C705E">
      <w:pPr>
        <w:pStyle w:val="TextoNormal"/>
      </w:pPr>
      <w:r w:rsidRPr="001C705E">
        <w:rPr>
          <w:rStyle w:val="NumeroAFNegritaCaracter"/>
        </w:rPr>
        <w:t>5</w:t>
      </w:r>
      <w:r>
        <w:t>. La Sala Segunda, por providencia de 27 de febrero de 1985, señaló para la deliberación y votación del presente recurso de amparo el día 17 de abril de 1985.</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La invocación del derecho a la igualdad en la aplicación de la ley llevada a cabo por los jueces y tribunales resulta en este caso carente de todo fundamento. Para llegar a tal conclusión no es preciso aclarar si entre los casos resueltos por las Sentencias de 1 de julio de 1982 y 18 de mayo de 1984 se da una «similitud extraordinaria», lo cual podría no ser bastante para tomar aquélla como término de comparación, o si se trata de «presupuestos idénticos», expresión que, como la anterior se contiene en la demanda. Aun dando por cierta la identidad o igualdad sustancial, la diferente solución dada por el mismo órgano judicial a uno y otro caso no bastaría para considerar como discriminatoria la Sentencia de 18 de mayo de 1984, que se encuentra precedida de una larga serie de fallos en los que se contiene una interpretación del art.  1.720 de la L.E.C. llevada a cabo por el Tribunal Supremo en términos de los que no difiere en nada la Sentencia ahora impugnada. Ello tampoco significa que en el caso presente la Sala Sexta no hubiera podido apartarse del criterio jurisprudencial hasta entonces por ella misma seguido, ni que no pudiera hacer eso mismo (como en efecto lo hizo) la propia Sala en el caso resuelto por su Sentencia de 1 de julio de 1982. La libertad para enjuiciar, para interpretar y para aplicar las normas que tienen los jueces y tribunales permite que un mismo órgano judicial, ante supuestos ya no semejantes, sino incluso idénticos, modifique su propia interpretación de unos mismos preceptos legales, siempre que razone su nueva interpretación en términos de Derecho para que su cambio hermenéutico no resulte ni inadvertido para él mismo, que debe ser consciente de que cambia y de por qué cambia de criterio, ni arbitrario por no razonado y, en este sentido, discriminatorio. Nada de esto se da en relación con la Sentencia de 18 de mayo de 1984, aunque conviene tener en cuenta que el distinto criterio seguido y razonado en la Sentencia de 1 de julio de 1982 (considerando primero), si bien no constituye fundamento suficiente para invocar, como hemos dicho, el derecho a la igualdad en la aplicación jurisdiccional de la ley, permite advertir que una más flexible interpretación de los requisitos formales del art. 1.720 de la L.E.C. era posible incluso sin tener expresamente </w:t>
      </w:r>
      <w:r>
        <w:lastRenderedPageBreak/>
        <w:t>en cuenta la perspectiva constitucional emanada del art.  24.1 de la C.E., no observada en aquella Sentencia de 1 de julio de 1982, pero que es para nosotros el obligado y único ángulo de enfoque del caso presente.</w:t>
      </w:r>
    </w:p>
    <w:p w:rsidR="001C705E" w:rsidRDefault="001C705E" w:rsidP="001C705E">
      <w:pPr>
        <w:pStyle w:val="TextoNormal"/>
      </w:pPr>
    </w:p>
    <w:p w:rsidR="001C705E" w:rsidRDefault="001C705E" w:rsidP="001C705E">
      <w:pPr>
        <w:pStyle w:val="TextoNormal"/>
      </w:pPr>
      <w:r w:rsidRPr="001C705E">
        <w:rPr>
          <w:rStyle w:val="NumeroAFNegritaCaracter"/>
        </w:rPr>
        <w:t>2</w:t>
      </w:r>
      <w:r>
        <w:t>. Para resolver la pretensión sobre violación del derecho fundamental a la tutela efectiva hay dos argumentos que, aun habiendo sido suscitados en este proceso, son irrelevantes. El primero de ellos es el de si la jurisprudencia del Tribunal Supremo es o no fuente de Derecho y el de si, suponiendo que lo sea, una sola Sentencia crea o no a esos efectos una doctrina con fuerza obligatoria. El debate sostenido sobre ese problema entre la parte demandante y la representación del ICAI es de todo punto intrascendente aquí y ahora, pues el fundamento para sostener la pretensión deducida no puede consistir en la existencia de la citada Sentencia de 1 de julio de 1982, sino en el alcance del derecho a obtener una tutela judicial efectiva reconocido por el art.  24 de la Constitución. Desechado, como ya se ha hecho, en el fundamento jurídico anterior, el valor de tal Sentencia, en orden a la justificación del derecho a la igualdad en la aplicación de la Ley, hay que reconducir el problema a la interpretación de este derecho fundamental, para lo cual las teorías sobre las fuentes del Derecho y sobre la inclusión o no entre ellas de la jurisprudencia del Tribunal Supremo es una cuestión por completo irrelevante.</w:t>
      </w:r>
    </w:p>
    <w:p w:rsidR="001C705E" w:rsidRDefault="001C705E" w:rsidP="001C705E">
      <w:pPr>
        <w:pStyle w:val="TextoNormal"/>
      </w:pPr>
      <w:r>
        <w:t>Tampoco ayuda a resolver este caso el hecho de que el legislador, después de la aplicación del art. 1.720 de la L.E.C. por la Sala Sexta del Tribunal Supremo en la Sentencia aquí impugnada, haya modificado el citado artículo, tal como ciertamente lo ha hecho en el actual art. 1.707 de la L.E.C. vigente, suprimiendo de él la exigencia de que los fundamentos o motivos del recurso de casación hayan de expresarse (como se decía en el derogado 1.720, vigente cuando se pronuncio la Sentencia impugnada) «en párrafos separados y numerados». Las Cortes Generales son libres para modificar las leyes, y no hay razón para inferir de cada modificación llevada a cabo la inconstitucionalidad del texto precedente, pues el cambio legislativo puede obedecer a muy otros propósitos del legislador, cuya política legislativa, dentro del marco de la Constitución, puede moverse con toda libertad. En el caso presente hay que enjuiciar, viéndolo desde la perspectiva del art. 24 de la C.E., el art. 1.720 de la L.E.C.  entonces vigente, así como también la aplicación que de él hizo en su Sentencia la Sala Sexta del Tribunal Supremo, olvidándonos de un hecho posterior, en aquel momento no producido y por todo ello irrelevante para nuestra actual tarea interpretativa del art. 24 y del derecho a una tutela judicial efectiva.</w:t>
      </w:r>
    </w:p>
    <w:p w:rsidR="001C705E" w:rsidRDefault="001C705E" w:rsidP="001C705E">
      <w:pPr>
        <w:pStyle w:val="TextoNormal"/>
      </w:pPr>
    </w:p>
    <w:p w:rsidR="001C705E" w:rsidRDefault="001C705E" w:rsidP="001C705E">
      <w:pPr>
        <w:pStyle w:val="TextoNormal"/>
      </w:pPr>
      <w:r w:rsidRPr="001C705E">
        <w:rPr>
          <w:rStyle w:val="NumeroAFNegritaCaracter"/>
        </w:rPr>
        <w:t>3</w:t>
      </w:r>
      <w:r>
        <w:t>. En relación con este derecho, y como oportunamente recuerda el Ministerio Fiscal, el Tribunal ha sostenido la libertad del legislador para ordenar el proceso y el sistema de recursos en el proceso laboral e incluso para, dentro del sistema por él elegido, exigir el cumplimiento por el recurrente de determinados requisitos y formalidades, ya que «las formas y requisitos procesales cumplen un papel de capital importancia para la ordenación del proceso» (STC 19/1983, de 14 de marzo, FJ cuarto; STC 40/1983, de 18 de mayo, Sala Segunda, FJ segundo; STC 114/1983, de 6 de diciembre, Sala Primera, FJ tercero). Ahora bien, aunque en principio las formas en que se estructura un determinado proceso o una instancia o un recurso no constituyen una cuestión de alcance constitucional, el Tribunal, en defensa y reconocimiento del derecho a una tutela judicial efectiva, ha insistido con reiteración en varias ideas que constituyen al mismo tiempo criterios hermenéuticos para decidir sobre la constitucionalidad de un determinado requisito o de una interpretación jurisdiccional del mismo. En este sentido el Tribunal ha insistido en que ningún requisito formal puede convertirse en «obstáculo que impida injustificadamente un pronunciamien</w:t>
      </w:r>
      <w:r>
        <w:lastRenderedPageBreak/>
        <w:t>to sobre el fondo» (STC 36/1984, de 4 de marzo, Sala Segunda, FJ segundo; STC 57/1984, de 8 de mayo, Sala Segunda, FJ tercero; STC 74/1983, de 30 de julio, Sala Primera, FJ tercero), y ha dicho también que, desde la perspectiva de la constitucionalidad, «no son admisibles aquellos obstáculos que puedan estimarse excesivos, que sean producto de un formalismo y que no se compaginen con el innecesario derecho a la justicia, o que no aparezcan como justificados y proporcionados conforme a las finalidades» para que se establecen, que deben, en todo caso, ser adecuadas a la Constitución (STC Pleno 3/1983, de 25 de enero, FJ cuarto, repetida luego en numerosas Sentencias que no es preciso citar de forma individualizada).  Conviene, por último, insistir en que tales criterios han de ser empleados tanto para enjuiciar la exigencia legal de un requisito como para juzgar sobre su aplicación en un caso concreto, pues, como ha dicho esta Sala en su Sentencia 57/1984 ya citada, el derecho fundamental del que estamos tratando «no puede ser comprometido u obstaculizado mediante la imposición de formalismos enervantes o acudiendo a interpretaciones o aplicaciones de reglas disciplinadoras de los requisitos y formas de las secuencias procesales, en sentidos que, aunque puedan parecer acomodados al tenor literal del texto en que se encierra la norma, son contrarios al espíritu y a la finalidad de ésta, y, desde luego, no ajustados a una consideración de tales reglas reinterpretadas a la luz del art. 24.1 de la C.E.».</w:t>
      </w:r>
    </w:p>
    <w:p w:rsidR="001C705E" w:rsidRDefault="001C705E" w:rsidP="001C705E">
      <w:pPr>
        <w:pStyle w:val="TextoNormal"/>
      </w:pPr>
    </w:p>
    <w:p w:rsidR="001C705E" w:rsidRDefault="001C705E" w:rsidP="001C705E">
      <w:pPr>
        <w:pStyle w:val="TextoNormal"/>
      </w:pPr>
      <w:r w:rsidRPr="001C705E">
        <w:rPr>
          <w:rStyle w:val="NumeroAFNegritaCaracter"/>
        </w:rPr>
        <w:t>4</w:t>
      </w:r>
      <w:r>
        <w:t>. La exigencia del art. 1.720 de la L.E.C. es diversa en su formulación, aunque tiende a un único fin, que es la precisión y claridad, tanto respecto a por qué número del art. 1.692 de la L.E.C. se plantea el recurso de casación como respecto a cuál es la ley o doctrina legal que se invocan como infringidas. La naturaleza de la casación, en cuanto recurso extraordinario que sólo podrá fundarse en causas determinadas (art. 1.691 de la L.E.C.)  admite unos requisitos formales como los del párrafo segundo del art. 1.720, bien entendido que ese párrafo es instrumental respecto al primero y, sobre todo, que desde la promulgación de la Constitución todo el art. 1.720 debe ser interpretado a la luz del art. 24.1 en la línea y por las razones expuestas en las Sentencias de este Tribunal antes citadas.</w:t>
      </w:r>
    </w:p>
    <w:p w:rsidR="001C705E" w:rsidRDefault="001C705E" w:rsidP="001C705E">
      <w:pPr>
        <w:pStyle w:val="TextoNormal"/>
      </w:pPr>
      <w:r>
        <w:t xml:space="preserve">En el caso que nos ocupa el recurrente en casación separó los tres motivos de su recurso; indicó que el motivo primero se formulaba al amparo del núm. 5 del art. 167 de la Ley de Procedimiento Laboral (que hay que entender cumple la función del art.  1.692 de la L.E.C.), y tanto en el motivo segundo como en el tercero se amparó en el número primero del mismo art. 167 de la LPL; a pesar de que ambos motivos se amparaban en el art. 167.1 de la LPL, el recurrente los separó correctamente, puesto que los preceptos legales que consideraba infringidos eran distintos; individualizó con precisión y claridad la ley infringida (art. 1.720, párrafo primero), y así lo entendió el Tribunal Supremo, como lo admite en la Sentencia impugnada. El defecto formal cometido por el recurrente consiste tan sólo en que, en ambos motivos, alega interpretación errónea y, subsidiaria o subsiguientemente, indebida aplicación de las normas en cada motivo citadas. Es cierto que el art. 167.1 de la LPL menciona los citados conceptos como alternativos, sin indicación expresa de su incompatible inclusión en un solo motivo, y, sobre todo, que en el caso que nos ocupa no se invocan como conceptos a analizar simultáneamente. lo que sin duda los haría incompatibles en buena lógica, sino como analizables uno tras el otro, pues la «indebida aplicación» es invocada en ambos casos como subsidiaria o subsiguiente respecto a la «interpretación errónea». Y aquí es donde debió entrar en juego el art. 24.1 de la Constitución, por las razones que en un caso semejante al actual resolvió la Sala Primera de este Tribunal por medio de su Sentencia estimatoria 17/1985, de 9 de febrero («Boletín Oficial del Estado» de 5 de marzo). En efecto: la exigencia de la separación y numeración en párrafos distintos </w:t>
      </w:r>
      <w:r>
        <w:lastRenderedPageBreak/>
        <w:t>de los dos conceptos invocados en cada uno de los motivos segundo y tercero no es necesaria para la intelección por parte del órgano judicial de cuáles son los motivos del recurso, ya que las expresiones «subsidiariamente» y «subsiguiente» permiten aclarar, sin lugar a duda razonable, el enunciado de cada uno de los motivos, y al no serlo, es desproporcionada la consecuencia que se hace derivar de tal defecto formal. El respeto al derecho fundamental a la tutela judicial efectiva debió conducir a que el órgano judicial supliese con una interpretación suya no sólo posible (y no puede dudarse de tal posibilidad, pues el mismo órgano la había llevado a cabo en su Sentencia de 1 de julio de 1982, considerando primero), sino sencilla y segura, el imperfecto cumplimiento de los requisitos del art.  1.720 de la L.E.C., para que la primacía de aquel derecho fundamental no sufriese en aras de una exigencia formal en este caso innecesaria para la recta comprensión de los motivos del recurso de casación. Al actuar como lo hizo, la Sala Sexta dio primacía a lo secundario en detrimento de lo fundamental, y por consiguiente su interpretación formalista del párrafo segundo del art. 1.720 de la L.E.C. lesionó el derecho de quien recurría en casación a una tutela judicial efectiva, derecho que ahora debemos amparar en el presente proceso constitucional, con la correspondiente declaración de nulidad de la Sentencia impugnada.</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Otorgar el amparo a don John Sabatini Prior, y en consecuencia:</w:t>
      </w:r>
    </w:p>
    <w:p w:rsidR="001C705E" w:rsidRDefault="001C705E" w:rsidP="001C705E">
      <w:pPr>
        <w:pStyle w:val="TextoNormal"/>
      </w:pPr>
      <w:r>
        <w:t>1.  Anular la Sentencia de la Sala Sexta (Sala de lo Social) del Tribunal Supremo de 18 de mayo de 1984.</w:t>
      </w:r>
    </w:p>
    <w:p w:rsidR="001C705E" w:rsidRDefault="001C705E" w:rsidP="001C705E">
      <w:pPr>
        <w:pStyle w:val="TextoNormal"/>
      </w:pPr>
      <w:r>
        <w:t>2.  Reconocer a don John Sabatini Prior su derecho fundamental a obtener en el caso una resolución sobre el fondo de su recurso de casación, en aplicación de su derecho a una tutela judicial efectiva.</w:t>
      </w:r>
    </w:p>
    <w:p w:rsidR="001C705E" w:rsidRDefault="001C705E" w:rsidP="001C705E">
      <w:pPr>
        <w:pStyle w:val="TextoNormal"/>
      </w:pPr>
      <w:r>
        <w:t>3.  Retrotraer las actuaciones en el recurso de casación por él interpuesto en los autos núm. 70558/1983 al momento inmediatamente anterior al pronunciamiento de la Sentencia para que la Sala, en una nueva Sentencia, resuelva sobre el fondo del recurso de casación.</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1C705E">
      <w:pPr>
        <w:pStyle w:val="TextoNormal"/>
      </w:pPr>
      <w:r>
        <w:t>Dada en Madrid, a veintinueve de abril de mil novecientos ochenta y cinco.</w:t>
      </w:r>
    </w:p>
    <w:p w:rsidR="001C705E" w:rsidRDefault="001C705E">
      <w:pPr>
        <w:rPr>
          <w:rFonts w:ascii="Times New Roman" w:eastAsia="Times New Roman" w:hAnsi="Times New Roman" w:cs="Times New Roman"/>
          <w:sz w:val="24"/>
          <w:szCs w:val="24"/>
          <w:lang w:eastAsia="es-ES"/>
        </w:rPr>
      </w:pPr>
      <w:r>
        <w:br w:type="page"/>
      </w:r>
    </w:p>
    <w:p w:rsidR="001C705E" w:rsidRDefault="001C705E" w:rsidP="001C705E">
      <w:pPr>
        <w:pStyle w:val="TtuloResolucin"/>
      </w:pPr>
      <w:bookmarkStart w:id="61" w:name="SENTENCIA_1985_58"/>
      <w:r>
        <w:lastRenderedPageBreak/>
        <w:t>SENTENCIA 58/1985, de 30 de abril de 1985</w:t>
      </w:r>
    </w:p>
    <w:bookmarkEnd w:id="61"/>
    <w:p w:rsidR="001C705E" w:rsidRDefault="001C705E" w:rsidP="001C705E">
      <w:pPr>
        <w:pStyle w:val="TtuloResolucin"/>
      </w:pPr>
      <w:r>
        <w:t>Pleno</w:t>
      </w:r>
    </w:p>
    <w:p w:rsidR="001C705E" w:rsidRDefault="001C705E" w:rsidP="001C705E">
      <w:pPr>
        <w:pStyle w:val="TtuloResolucin"/>
      </w:pPr>
    </w:p>
    <w:p w:rsidR="001C705E" w:rsidRDefault="001C705E" w:rsidP="001C705E">
      <w:pPr>
        <w:pStyle w:val="TtuloBOE"/>
      </w:pPr>
      <w:r>
        <w:t>("BOE" núm. 134, de 5 de junio de 1985)</w:t>
      </w:r>
    </w:p>
    <w:p w:rsidR="001C705E" w:rsidRDefault="001C705E" w:rsidP="001C705E">
      <w:pPr>
        <w:pStyle w:val="TtuloBOE"/>
      </w:pPr>
    </w:p>
    <w:p w:rsidR="001C705E" w:rsidRDefault="001C705E" w:rsidP="001C705E">
      <w:pPr>
        <w:pStyle w:val="SntesisDescriptiva"/>
      </w:pPr>
      <w:r>
        <w:t>ECLI:ES:TC:1985:58</w:t>
      </w:r>
    </w:p>
    <w:p w:rsidR="001C705E" w:rsidRDefault="001C705E" w:rsidP="001C705E">
      <w:pPr>
        <w:pStyle w:val="SntesisDescriptiva"/>
      </w:pPr>
    </w:p>
    <w:p w:rsidR="001C705E" w:rsidRDefault="001C705E" w:rsidP="001C705E">
      <w:pPr>
        <w:pStyle w:val="SntesisDescriptiva"/>
      </w:pPr>
      <w:r>
        <w:t>Cuestión de inconstitucionalidad 170/1983. En relación con la Disposición adicional quinta, segundo párrafo, de la Ley 8/1980, de 10 de mayo del Estatuto de los Trabajadores</w:t>
      </w:r>
    </w:p>
    <w:p w:rsidR="001C705E" w:rsidRDefault="001C705E" w:rsidP="001C705E">
      <w:pPr>
        <w:pStyle w:val="SntesisDescriptiva"/>
      </w:pPr>
    </w:p>
    <w:p w:rsidR="001C705E" w:rsidRDefault="001C705E" w:rsidP="001C705E">
      <w:pPr>
        <w:pStyle w:val="SntesisAnaltica"/>
      </w:pPr>
    </w:p>
    <w:p w:rsidR="001C705E" w:rsidRDefault="001C705E" w:rsidP="001C705E">
      <w:pPr>
        <w:pStyle w:val="SntesisAnaltica"/>
      </w:pPr>
    </w:p>
    <w:p w:rsidR="001C705E" w:rsidRDefault="001C705E" w:rsidP="001C705E">
      <w:pPr>
        <w:pStyle w:val="Extracto"/>
      </w:pPr>
      <w:r>
        <w:t>1.</w:t>
      </w:r>
      <w:r>
        <w:tab/>
        <w:t xml:space="preserve">La presente cuestión de inconstitucionalidad se plantea por el Magistrado de Trabajo al entender que el párrafo segundo de la disposición adicional quinta del Estatuto de los Trabajadores, al permitir a la negociación colectiva la fijación de una jubilación forzosa, es contraria a la Constitución al afectar al derecho que se juzga personalísimo de permanecer en un puesto de trabajo. </w:t>
      </w:r>
    </w:p>
    <w:p w:rsidR="001C705E" w:rsidRDefault="001C705E" w:rsidP="001C705E">
      <w:pPr>
        <w:pStyle w:val="Extracto"/>
      </w:pPr>
    </w:p>
    <w:p w:rsidR="001C705E" w:rsidRDefault="001C705E" w:rsidP="001C705E">
      <w:pPr>
        <w:pStyle w:val="Extracto"/>
      </w:pPr>
      <w:r>
        <w:t>2.</w:t>
      </w:r>
      <w:r>
        <w:tab/>
        <w:t xml:space="preserve">La integración de los convenios colectivos en el sistema formal de fuentes del Derecho, resultado del principio de unidad del ordenamiento jurídico, supone, entre otras consecuencias, el respeto por la norma pactada del Derecho necesario establecido por la Ley que, en razón de la superior posición que ocupa en la jerarquía normativa, puede desplegar una virtualidad limitadora de la negociación colectiva y puede, igualmente de forma excepcional, reservarse para sí determinadas materias que quedan excluidas, por tanto, de la negociación colectiva. Pero lo que no resulta posible es asimilar las relaciones entre Ley y convenio colectivo a las que se instauran entre norma delegante y norma delegada. </w:t>
      </w:r>
    </w:p>
    <w:p w:rsidR="001C705E" w:rsidRDefault="001C705E" w:rsidP="001C705E">
      <w:pPr>
        <w:pStyle w:val="Extracto"/>
      </w:pPr>
    </w:p>
    <w:p w:rsidR="001C705E" w:rsidRDefault="001C705E" w:rsidP="001C705E">
      <w:pPr>
        <w:pStyle w:val="Extracto"/>
      </w:pPr>
      <w:r>
        <w:t>3.</w:t>
      </w:r>
      <w:r>
        <w:tab/>
        <w:t xml:space="preserve">La facultad que poseen los representantes de los trabajadores y empresarios ( art. 37.1 de la C.E.) de regular sus intereses recíprocos mediante la negociación colectiva es una facultad no derivada de la Ley, sino propia, que encuentra su expresión jurídica en el texto constitucional. </w:t>
      </w:r>
    </w:p>
    <w:p w:rsidR="001C705E" w:rsidRDefault="001C705E" w:rsidP="001C705E">
      <w:pPr>
        <w:pStyle w:val="Extracto"/>
      </w:pPr>
    </w:p>
    <w:p w:rsidR="001C705E" w:rsidRDefault="001C705E" w:rsidP="001C705E">
      <w:pPr>
        <w:pStyle w:val="Extracto"/>
      </w:pPr>
      <w:r>
        <w:t>4.</w:t>
      </w:r>
      <w:r>
        <w:tab/>
        <w:t xml:space="preserve">La garantía constitucional de la fuerza vinculante implica la atribución a los convenios colectivos de una eficacia jurídica en virtud de la cual el contenido normativo de aquellos se impone a las relaciones individuales de trabajo incluidas en sus ámbitos de aplicación de manera automática, sin precisar el auxilio de técnicas de contractualización ni necesitar el complemento de voluntades individuales. </w:t>
      </w:r>
    </w:p>
    <w:p w:rsidR="001C705E" w:rsidRDefault="001C705E" w:rsidP="001C705E">
      <w:pPr>
        <w:pStyle w:val="Extracto"/>
      </w:pPr>
    </w:p>
    <w:p w:rsidR="001C705E" w:rsidRDefault="001C705E" w:rsidP="001C705E">
      <w:pPr>
        <w:pStyle w:val="Extracto"/>
      </w:pPr>
      <w:r>
        <w:t>5.</w:t>
      </w:r>
      <w:r>
        <w:tab/>
        <w:t xml:space="preserve">Del texto constitucional no se deriva expresa o implícitamente ningún principio que con carácter general sustraiga a la negociación colectiva la regulación de las condiciones de ejercicio de los derechos fundamentales. Si la jubilación forzosa, dentro de determinadas condiciones, resulta posible, y a ello no puso objeciones este Tribunal en su STC 22/1981, quiere decirse que no vulnera ningún precepto constitucional, incluidos los definidores de derechos fundamentales, y ello sucederá tanto cuando sea establecida por Ley como cuando lo sea por convenio colectivo. </w:t>
      </w:r>
    </w:p>
    <w:p w:rsidR="001C705E" w:rsidRDefault="001C705E" w:rsidP="001C705E">
      <w:pPr>
        <w:pStyle w:val="Extracto"/>
      </w:pPr>
    </w:p>
    <w:p w:rsidR="001C705E" w:rsidRDefault="001C705E" w:rsidP="001C705E">
      <w:pPr>
        <w:pStyle w:val="Extracto"/>
      </w:pPr>
      <w:r>
        <w:t>6.</w:t>
      </w:r>
      <w:r>
        <w:tab/>
        <w:t xml:space="preserve">En un sistema constitucional de relaciones laborales como el español, asentado sobre el pluralismo social, la libertad sindical y la libertad de empresa en el marco de la economía de mercado, la satisfacción de una serie de intereses individuales se obtiene a través de la negociación colectiva, que no sólo no es incompatible con ámbitos de libertad personal, sino que los asegura, contribuyendo decisivamente tanto a la mejora de las condiciones de trabajo y de vida de los trabajadores como al bienestar social general. </w:t>
      </w:r>
    </w:p>
    <w:p w:rsidR="001C705E" w:rsidRDefault="001C705E" w:rsidP="001C705E">
      <w:pPr>
        <w:pStyle w:val="Extracto"/>
      </w:pPr>
    </w:p>
    <w:p w:rsidR="001C705E" w:rsidRDefault="001C705E" w:rsidP="001C705E">
      <w:pPr>
        <w:pStyle w:val="Extracto"/>
      </w:pPr>
      <w:r>
        <w:t>7.</w:t>
      </w:r>
      <w:r>
        <w:tab/>
        <w:t xml:space="preserve">Siendo la Ley, en este caso, la que determina la extensión de los derechos individuales, así como el ámbito de actuación de la negociación colectiva, no puede considerarse inconstitucional que se permita que mediante el convenio pueda fijarse un límite temporal al derecho individual, en la medida en que no se establezca sin compensación para el afectado, que pasa a percibir la pensión de jubilación. </w:t>
      </w:r>
    </w:p>
    <w:p w:rsidR="001C705E" w:rsidRDefault="001C705E" w:rsidP="001C705E">
      <w:pPr>
        <w:pStyle w:val="Extracto"/>
      </w:pPr>
    </w:p>
    <w:p w:rsidR="001C705E" w:rsidRDefault="001C705E" w:rsidP="001C705E">
      <w:pPr>
        <w:pStyle w:val="Extracto"/>
      </w:pPr>
    </w:p>
    <w:p w:rsidR="001C705E" w:rsidRDefault="001C705E" w:rsidP="001C705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1C705E" w:rsidRDefault="001C705E" w:rsidP="001C705E">
      <w:pPr>
        <w:pStyle w:val="TextoNormal"/>
      </w:pPr>
    </w:p>
    <w:p w:rsidR="001C705E" w:rsidRDefault="001C705E" w:rsidP="001C705E">
      <w:pPr>
        <w:pStyle w:val="TextoNormalCentrado"/>
        <w:keepNext/>
      </w:pPr>
      <w:r>
        <w:t>EN NOMBRE DEL REY</w:t>
      </w:r>
    </w:p>
    <w:p w:rsidR="001C705E" w:rsidRDefault="001C705E" w:rsidP="001C705E">
      <w:pPr>
        <w:pStyle w:val="TextoNormalCentrado"/>
        <w:keepNext/>
      </w:pPr>
    </w:p>
    <w:p w:rsidR="001C705E" w:rsidRDefault="001C705E" w:rsidP="001C705E">
      <w:pPr>
        <w:pStyle w:val="TextoNormalCentrado"/>
        <w:keepNext/>
      </w:pPr>
    </w:p>
    <w:p w:rsidR="001C705E" w:rsidRDefault="001C705E" w:rsidP="001C705E">
      <w:pPr>
        <w:pStyle w:val="TextoNormal"/>
      </w:pPr>
      <w:r>
        <w:t>la siguiente</w:t>
      </w:r>
    </w:p>
    <w:p w:rsidR="001C705E" w:rsidRDefault="001C705E" w:rsidP="001C705E">
      <w:pPr>
        <w:pStyle w:val="TextoNormal"/>
      </w:pPr>
    </w:p>
    <w:p w:rsidR="001C705E" w:rsidRDefault="001C705E" w:rsidP="001C705E">
      <w:pPr>
        <w:pStyle w:val="TextoNormalCentrado"/>
        <w:keepNext/>
      </w:pPr>
      <w:r>
        <w:t>SENTENCIA</w:t>
      </w:r>
    </w:p>
    <w:p w:rsidR="001C705E" w:rsidRDefault="001C705E" w:rsidP="001C705E">
      <w:pPr>
        <w:pStyle w:val="TextoNormalCentrado"/>
        <w:keepNext/>
      </w:pPr>
    </w:p>
    <w:p w:rsidR="001C705E" w:rsidRDefault="001C705E" w:rsidP="001C705E">
      <w:pPr>
        <w:pStyle w:val="TextoNormal"/>
      </w:pPr>
      <w:r>
        <w:t>En la cuestión de inconstitucionalidad núm. 170/1983, promovida por la Magistratura de Trabajo núm. 11 de Madrid contra la disposición adicional quinta, segundo párrafo, de la Ley 8/1980, de 10 de marzo, del Estatuto de los Trabajadores. Han comparecido en el proceso el Ministerio Fiscal y el Abogado del Estado, y ha sido Ponente el Magistrado don Angel Escudero del Corral, quien expresa el parecer del Tribunal.</w:t>
      </w:r>
    </w:p>
    <w:p w:rsidR="001C705E" w:rsidRDefault="001C705E" w:rsidP="001C705E">
      <w:pPr>
        <w:pStyle w:val="TextoNormal"/>
      </w:pPr>
    </w:p>
    <w:p w:rsidR="001C705E" w:rsidRDefault="001C705E" w:rsidP="001C705E">
      <w:pPr>
        <w:pStyle w:val="TextoNormalNegritaCentrado"/>
        <w:keepNext/>
      </w:pPr>
      <w:r>
        <w:t>I. Antecedentes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xml:space="preserve">. Con fecha 12 de noviembre de 1982 don Pedro Castilla de los Ríos, don José Moncayo Sanz, don Bernardo de la Fuente Cruz, don Tomás Hernández Lorenzo y don Donato Centol Ibarreta formularon demandas, posteriormente acumuladas, por despido contra la Subsecretaría de Aviación Civil del Ministerio de Transportes, Turismo y Comunicaciones como consecuencia de la decisión de la Empresa de proceder a su jubilación forzosa por edad en virtud de lo dispuesto en el segundo Convenio Colectivo de Aviación Civil publicado en el «Boletín Oficial del Estado» de 3 de septiembre de 1982. </w:t>
      </w:r>
    </w:p>
    <w:p w:rsidR="001C705E" w:rsidRDefault="001C705E" w:rsidP="001C705E">
      <w:pPr>
        <w:pStyle w:val="TextoNormal"/>
      </w:pPr>
      <w:r>
        <w:lastRenderedPageBreak/>
        <w:t>Celebrado el juicio, y tras la preceptiva audiencia a las partes y al Ministerio Fiscal, el Magistrado acordó promover cuestión de inconstitucionalidad al amparo del art. 35 de la Ley Orgánica del Tribunal Constitucional mediante Auto de 12 de marzo de 1983 que concretaba la cuestión en los siguientes términos: «Se estima puede ser contrario a la Constitución en sus arts. 35, 14 y 9, el párrafo segundo de la disposición adicional quinta de la Ley 8/1980, de 10 de marzo, en relación con los arts. 85.1 y 82.2 de la misma, pudiéndose extender por conexión o analogía la cuestión al art. 51, aparts. 2 y 5, de la repetida Ley.»</w:t>
      </w:r>
    </w:p>
    <w:p w:rsidR="001C705E" w:rsidRDefault="001C705E" w:rsidP="001C705E">
      <w:pPr>
        <w:pStyle w:val="TextoNormal"/>
      </w:pPr>
    </w:p>
    <w:p w:rsidR="001C705E" w:rsidRDefault="001C705E" w:rsidP="001C705E">
      <w:pPr>
        <w:pStyle w:val="TextoNormal"/>
      </w:pPr>
      <w:r w:rsidRPr="001C705E">
        <w:rPr>
          <w:rStyle w:val="NumeroAFNegritaCaracter"/>
        </w:rPr>
        <w:t>2</w:t>
      </w:r>
      <w:r>
        <w:t xml:space="preserve">. En su extenso Auto, que consta de 25 considerandos, el Magistrado de Trabajo fundamenta la cuestión comenzando por señalar que el problema que se plantea es si una Comisión negociadora de un Convenio puede imponer en contra de la voluntad de los representados una jubilación forzosa o una separación de la Empresa afectando al derecho al trabajo y a la libre elección de profesión y oficio. Ya el Tribunal Constitucional declaró la inconstitucionalidad del párrafo primero de la disposición adicional quinta del Estatuto de los Trabajadores y, en virtud de ello, no puede sostenerse la validez de un Convenio Colectivo que establezca la jubilación forzosa, pues, sí la fuerza vinculante del Convenio deriva de la Ley y ésta no puede limitar el ejercicio del derecho al trabajo, sostener otra cosa llevaría al absurdo de que lo que no puede hacerse por el delegante -Poder legislativo- podría hacerse por el delegado -negociación colectiva-. Esto no supone negar la fuerza vinculante del Convenio, sino establecer sus limites en función de la peculiaridad de la representación, de forma que lo que se discute es si la representación configurada en los arts. 87 y 88 del Estatuto de los Trabajadores es suficiente para pactar una jubilación o, si se quiere, si el contenido de la facultad representativa puede comprender el derecho personalísimo a permanecer en un puesto de trabajo. </w:t>
      </w:r>
    </w:p>
    <w:p w:rsidR="001C705E" w:rsidRDefault="001C705E" w:rsidP="001C705E">
      <w:pPr>
        <w:pStyle w:val="TextoNormal"/>
      </w:pPr>
      <w:r>
        <w:t xml:space="preserve">El legislador del Código Civil tuvo gran cuidado en evitar que actos personalísimos o que entrañen el ejercicio de facultades dispositivas puedan ser ejercitados por otro amparado en un mandato general. Partiendo de ello es difícil admitir que un órgano que actúa por mayoría del 60 por 100 pueda presumirse autorizado para tales actos actuando incluso contra la voluntad de los afectados. La aceptación sin más del amplio conjunto de facultades otorgado por el Estatuto a las Comisiones negociadoras puede convertir a los trabajadores en sujetos tutelados con menores garantías incluso que los individuos sometidos a tutela, pues pueden ser víctimas de actuaciones irreflexivas o fraudulentas. Admitir que pueda acordarse la jubilación de quien no ha prestado su consentimiento sería afirmar que existe una representación con mayor virtualidad que la parlamentaria, pues a ésta le negó el Tribunal Constitucional la posibilidad de establecer una edad determinada para la jubilación. </w:t>
      </w:r>
    </w:p>
    <w:p w:rsidR="001C705E" w:rsidRDefault="001C705E" w:rsidP="001C705E">
      <w:pPr>
        <w:pStyle w:val="TextoNormal"/>
      </w:pPr>
      <w:r>
        <w:t xml:space="preserve">El propio Tribunal Constitucional ha dicho en su Sentencia de 29 de noviembre de 1982 que la actuación del Sindicato se estructura ««a través de los esquemas de apoderamiento y de la representación de Derecho privado», debiendo entenderse que no existe otra representación que la del Derecho privado y que para determinar su contenido ha de estarse al Código Civil. </w:t>
      </w:r>
    </w:p>
    <w:p w:rsidR="001C705E" w:rsidRDefault="001C705E" w:rsidP="001C705E">
      <w:pPr>
        <w:pStyle w:val="TextoNormal"/>
      </w:pPr>
      <w:r>
        <w:t xml:space="preserve">La representación de Comités, Comisiones negociadoras, Sindicatos, etc., no puede, pues, decidir algo que afecte a los concretos individuos, pues recae sobre derechos que sólo pueden disponerse por su titular o por persona a quien expresamente autorice. Lo único permitido que no vulnera la Constitución es pactar una oferta de jubilación, quedando a la libre voluntad del afectado acogerse o no a ella. Entendido de esta forma el párrafo segundo de la disposición adicional quinta, el precepto no atenta al derecho constitucional. </w:t>
      </w:r>
    </w:p>
    <w:p w:rsidR="001C705E" w:rsidRDefault="001C705E" w:rsidP="001C705E">
      <w:pPr>
        <w:pStyle w:val="TextoNormal"/>
      </w:pPr>
      <w:r>
        <w:lastRenderedPageBreak/>
        <w:t xml:space="preserve">El art. 37 de la Constitución establece una reserva de Ley con la finalidad de que ésta garantice la negociación colectiva que deberá efectuarse entre los representantes de los trabajadores y empresarios. Interpretado correctamente dicho precepto, significa que la Ley ha de garantizar la negociación llevada a cabo en forma tal que no deteriore los derechos constitucionales y que, estando vinculada la negociación a la representatividad, sin ésta no puede haber convenio válido, teniendo en cuenta que la medida de la representatividad ha de hacerse según los esquemas del apoderamiento y de la representación del Derecho privado. Todo ello conduce a entender que la facultad representativa no puede abarcar derechos constitucionales individuales cuyo ejercicio requiere mandato especial expreso o ratificación del titular. </w:t>
      </w:r>
    </w:p>
    <w:p w:rsidR="001C705E" w:rsidRDefault="001C705E" w:rsidP="001C705E">
      <w:pPr>
        <w:pStyle w:val="TextoNormal"/>
      </w:pPr>
      <w:r>
        <w:t>El Magistrado de Trabajo concluye afirmando que la cuestión puede afectar por conexión al art. 51, párrafos 2 y 5, del Estatuto, pues conforme a él, uno o más trabajadores pueden perder su puesto de trabajo por decisión de sus representantes, lo que vulnera igualmente el art. 35 de la Constitución.</w:t>
      </w:r>
    </w:p>
    <w:p w:rsidR="001C705E" w:rsidRDefault="001C705E" w:rsidP="001C705E">
      <w:pPr>
        <w:pStyle w:val="TextoNormal"/>
      </w:pPr>
    </w:p>
    <w:p w:rsidR="001C705E" w:rsidRDefault="001C705E" w:rsidP="001C705E">
      <w:pPr>
        <w:pStyle w:val="TextoNormal"/>
      </w:pPr>
      <w:r w:rsidRPr="001C705E">
        <w:rPr>
          <w:rStyle w:val="NumeroAFNegritaCaracter"/>
        </w:rPr>
        <w:t>3</w:t>
      </w:r>
      <w:r>
        <w:t xml:space="preserve">. Admitida a trámite la cuestión por providencia de 28 de abril de 1983, la Sección Segunda acordó dar traslado de la misma al Congreso de los Diputados y al Senado, al Gobierno y al Fiscal general del Estado para que en el plazo de quince días pudieran personarse en el procedimiento y formular sus alegaciones, así como la publicación en el «Boletín Oficial del Estado». </w:t>
      </w:r>
    </w:p>
    <w:p w:rsidR="001C705E" w:rsidRDefault="001C705E" w:rsidP="001C705E">
      <w:pPr>
        <w:pStyle w:val="TextoNormal"/>
      </w:pPr>
      <w:r>
        <w:t>Cumplido ello, el Presidente del Congreso de Diputados comunicó que no haría uso de las facultades que le confiere el art. 37.2 de la LOTC y el del Senado solicitó se le tuviera por personado y por ofrecida su colaboración, presentándose escritos de 17 de mayo del Ministerio Fiscal y de 19 de mayo del Abogado del Estado en los que formulaban sus alegaciones. La interposición de la cuestión se publicó en el ««Boletín Oficial del Estado» núm. 114, de 13 de mayo de 1983.</w:t>
      </w:r>
    </w:p>
    <w:p w:rsidR="001C705E" w:rsidRDefault="001C705E" w:rsidP="001C705E">
      <w:pPr>
        <w:pStyle w:val="TextoNormal"/>
      </w:pPr>
    </w:p>
    <w:p w:rsidR="001C705E" w:rsidRDefault="001C705E" w:rsidP="001C705E">
      <w:pPr>
        <w:pStyle w:val="TextoNormal"/>
      </w:pPr>
      <w:r w:rsidRPr="001C705E">
        <w:rPr>
          <w:rStyle w:val="NumeroAFNegritaCaracter"/>
        </w:rPr>
        <w:t>4</w:t>
      </w:r>
      <w:r>
        <w:t xml:space="preserve">. El Ministerio Fiscal expone que, no obstante lo afirmado en la providencia por la que se acuerda seguir el trámite señalado en el art. 35 de la LOTC, no consta que dicha providencia se haya notificado a la parte demandada, ni por su representación, el Abogado del Estado, se formuló alegación alguna, lo que equivale a un defecto formal que comporta la inadmisión de la cuestión. </w:t>
      </w:r>
    </w:p>
    <w:p w:rsidR="001C705E" w:rsidRDefault="001C705E" w:rsidP="001C705E">
      <w:pPr>
        <w:pStyle w:val="TextoNormal"/>
      </w:pPr>
      <w:r>
        <w:t xml:space="preserve">La cuestión básica a determinar es si los Convenios Colectivos pueden válidamente y sin lesionar los derechos laborales constitucionalmente reconocidos fijar edades de jubilación cuyo cumplimiento determine imperativamente la cesación de la relación laboral. Parte dicho problema de la disposición adicional quinta del Estatuto de los Trabajadores, cuyo párrafo segundo no hace sino concretar uno de los aspectos susceptibles de negociación dentro de la amplia libertad que se configura en el art. 85 del Estatuto. </w:t>
      </w:r>
    </w:p>
    <w:p w:rsidR="001C705E" w:rsidRDefault="001C705E" w:rsidP="001C705E">
      <w:pPr>
        <w:pStyle w:val="TextoNormal"/>
      </w:pPr>
      <w:r>
        <w:t xml:space="preserve">El Tribunal Constitucional, en relación con el párrafo primero de dicha disposición adicional, ya declaró que es inconstitucional ««interpretada como norma que establece la incapacitación para trabajar a los sesenta y nueve años y de forma directa e incondicionada la extinción de la relación laboral a esa edad»», de forma que el precepto permanece vigente pero en su aplicación no deberá hacerse uso de interpretación que conduzca a los resultados cuya interdicción postula el Tribunal. En la propia Sentencia del Tribunal Constitucional se contienen salvedades, que es preciso tomar en consideración, relacionadas con el tema actual, como son que es posible utilizar la jubilación forzosa como instrumento de una política de empleo y que dentro de ese marco pueden pactarse libremente edades de jubilación en la negociación colectiva, de forma que en tales términos la introducción </w:t>
      </w:r>
      <w:r>
        <w:lastRenderedPageBreak/>
        <w:t xml:space="preserve">de una jubilación forzosa no se opondría al derecho al trabajo consagrado en la Constitución. </w:t>
      </w:r>
    </w:p>
    <w:p w:rsidR="001C705E" w:rsidRDefault="001C705E" w:rsidP="001C705E">
      <w:pPr>
        <w:pStyle w:val="TextoNormal"/>
      </w:pPr>
      <w:r>
        <w:t xml:space="preserve">El Convenio Colectivo es el medio a través del cual se va a regular la relación laboral con virtualidad de vincular a todos, cuidando el Estatuto de exigir para ello una mayoría cualificada en la Comisión negociadora. Así pues, si el Convenio válidamente alcanzado es expresión de la voluntad colectiva y vincula a todos no parece admisible que, sin impugnarlo, sea posible una derogación a título particular si cualquiera de los representados juzga que no le favorece. El carácter de norma paccionada del Convenio impide la pretensión en tal sentido, pues admitir la disconformidad personal haría quebrar la seguridad jurídica al remitir la efectividad del Convenio a la voluntad de cualquier sujeto, suprimiendo la fuerza vinculante que según el art. 37 de la C.E. ha de garantizársele. </w:t>
      </w:r>
    </w:p>
    <w:p w:rsidR="001C705E" w:rsidRDefault="001C705E" w:rsidP="001C705E">
      <w:pPr>
        <w:pStyle w:val="TextoNormal"/>
      </w:pPr>
      <w:r>
        <w:t xml:space="preserve">Si se compara el Convenio hoy cuestionado con las exigencias que el Tribunal Constitucional configuró para la admisibilidad de la jubilación forzosa se observará que tal jubilación se conecta en el Convenio de la Aviación Civil a una política de empleo que promueve la promoción y ascenso de los trabajadores de menor categoría y facilita el acceso al trabajo a quienes se encuentran en situación de desempleo. La constitucionalidad de tal política de empleo no es cuestionable, pues se produce una voluntaria aceptación por parte de los afectados a través de su legítima representación. </w:t>
      </w:r>
    </w:p>
    <w:p w:rsidR="001C705E" w:rsidRDefault="001C705E" w:rsidP="001C705E">
      <w:pPr>
        <w:pStyle w:val="TextoNormal"/>
      </w:pPr>
      <w:r>
        <w:t xml:space="preserve">La remisión efectuada por el Auto de planteamiento de la cuestión al principio de igualdad no puede prosperar, pues la desigualdad prohibida es la injustificada que no se da en el presente caso, por cuanto lo que se tiende es a hacer posible que el derecho al trabajo se ejercite por todos, compensando mediante la seguridad Social a los afectados por la jubilación. En cuanto a la obligación contenida en el art. 9.2 de la Constitución, no puede estimarse que surja porque se regulen unas relaciones jurídicas en cierto sentido y con aceptación voluntaria de límites al ejercicio de determinados derechos, teniendo siempre en cuenta el control judicial existente sobre el Convenio Colectivo si lesiona la legalidad o el interés de terceros. </w:t>
      </w:r>
    </w:p>
    <w:p w:rsidR="001C705E" w:rsidRDefault="001C705E" w:rsidP="001C705E">
      <w:pPr>
        <w:pStyle w:val="TextoNormal"/>
      </w:pPr>
      <w:r>
        <w:t>Por todo ello, el Fiscal solicita que se declare la incorrecta tramitación de la cuestión por falta de audiencia de una de las partes o, de entrar a conocer sobre el fondo, se declare improcedente por no ser opuesta la disposición adicional quinta, párrafo segundo, a lo establecido en los art. 14.9 y 35 de la Constitución.</w:t>
      </w:r>
    </w:p>
    <w:p w:rsidR="001C705E" w:rsidRDefault="001C705E" w:rsidP="001C705E">
      <w:pPr>
        <w:pStyle w:val="TextoNormal"/>
      </w:pPr>
    </w:p>
    <w:p w:rsidR="001C705E" w:rsidRDefault="001C705E" w:rsidP="001C705E">
      <w:pPr>
        <w:pStyle w:val="TextoNormal"/>
      </w:pPr>
      <w:r w:rsidRPr="001C705E">
        <w:rPr>
          <w:rStyle w:val="NumeroAFNegritaCaracter"/>
        </w:rPr>
        <w:t>5</w:t>
      </w:r>
      <w:r>
        <w:t xml:space="preserve">. El Abogado del Estado expone, por su parte, que el razonamiento del Magistrado está centrado en los siguientes puntos: 1) La disposición adicional quinta, párrafo segundo, autoriza a fijar en Convenio jubilaciones forzosas por edad; 2) El derecho al trabajo es un derecho individual que no puede ser limitado en base únicamente a la edad; 3) Una Comisión negociadora no puede pactar una limitación al derecho al trabajo e imponerla a quienes no han dado su consentimiento. </w:t>
      </w:r>
    </w:p>
    <w:p w:rsidR="001C705E" w:rsidRDefault="001C705E" w:rsidP="001C705E">
      <w:pPr>
        <w:pStyle w:val="TextoNormal"/>
      </w:pPr>
      <w:r>
        <w:t xml:space="preserve">De estos tres puntos sólo el primero posee trascendencia, pues sólo de él depende el fallo y los restantes sirven si acaso para fortalecer la tesis de que la norma cuestionada no puede autorizar a un Convenio a fijar jubilaciones forzosas por edad. Esto sentado, es muy discutible que la disposición adicional quinta, párrafo segundo, sirva de apoyo a la imposición en Convenio de jubilaciones forzosas por edad, pues sólo se refiere a la jubilación. El Magistrado está pidiendo que se declare la inconstitucionalidad del precepto no por sí mismo sino en cuanto pueda entenderse que en Convenio colectivo se pacten jubilaciones forzosas por edad; y, desde el momento en que no es eso lo que dice la disposición no hay inconveniente alguno para que el Magistrado resuelva libremente sin sentirse vinculado por un contenido normativo imaginado. </w:t>
      </w:r>
    </w:p>
    <w:p w:rsidR="001C705E" w:rsidRDefault="001C705E" w:rsidP="001C705E">
      <w:pPr>
        <w:pStyle w:val="TextoNormal"/>
      </w:pPr>
      <w:r>
        <w:lastRenderedPageBreak/>
        <w:t xml:space="preserve">A mayor abundamiento, debe decirse que el Tribunal Constitucional en su sentencia de 2 de julio de 1981 ha dado ya una interpretación que desautoriza cabalmente cualquier pretensión de apoyar en su texto la posibilidad de dar por extinguida una relación laboral por el hecho exclusivo de la edad. Al Magistrado de Trabajo le corresponde valorar la cláusula del Convenio colectivo a la luz del ordenamiento jurídico y de la interpretación del Tribunal Constitucional y decidir, por sí, sobre su adecuación o inadecuación a la Ley. </w:t>
      </w:r>
    </w:p>
    <w:p w:rsidR="001C705E" w:rsidRDefault="001C705E" w:rsidP="001C705E">
      <w:pPr>
        <w:pStyle w:val="TextoNormal"/>
      </w:pPr>
      <w:r>
        <w:t>Nos encontramos, en suma, ante un caso de utilización de la cuestión de inconstitucionalidad para obtener pronunciamientos inaccesorios o indiferentes para la decisión del proceso, lo que debe conducir a la inadmisibilidad por no depender el fallo de la validez de la norma cuestionada o, alternativamente, a la desestimación por existir previo pronunciamiento del Tribunal sobre la misma norma.</w:t>
      </w:r>
    </w:p>
    <w:p w:rsidR="001C705E" w:rsidRDefault="001C705E" w:rsidP="001C705E">
      <w:pPr>
        <w:pStyle w:val="TextoNormal"/>
      </w:pPr>
    </w:p>
    <w:p w:rsidR="001C705E" w:rsidRDefault="001C705E" w:rsidP="001C705E">
      <w:pPr>
        <w:pStyle w:val="TextoNormal"/>
      </w:pPr>
      <w:r w:rsidRPr="001C705E">
        <w:rPr>
          <w:rStyle w:val="NumeroAFNegritaCaracter"/>
        </w:rPr>
        <w:t>6</w:t>
      </w:r>
      <w:r>
        <w:t>. El Pleno acordó fijar para deliberación y votación de esta sentencia, mediante providencia de 7 de marzo de 1985, el 14 del mismo mes de marzo, y por otra providencia de 28 de dicho mes de marzo se amplió el plazo para dictar sentencia en treinta días más.</w:t>
      </w:r>
    </w:p>
    <w:p w:rsidR="001C705E" w:rsidRDefault="001C705E" w:rsidP="001C705E">
      <w:pPr>
        <w:pStyle w:val="TextoNormal"/>
      </w:pPr>
    </w:p>
    <w:p w:rsidR="001C705E" w:rsidRDefault="001C705E" w:rsidP="001C705E">
      <w:pPr>
        <w:pStyle w:val="TextoNormalNegritaCentrado"/>
        <w:keepNext/>
      </w:pPr>
      <w:r>
        <w:t>II. Fundamentos jurídicos</w:t>
      </w:r>
    </w:p>
    <w:p w:rsidR="001C705E" w:rsidRDefault="001C705E" w:rsidP="001C705E">
      <w:pPr>
        <w:pStyle w:val="TextoNormalNegritaCentrado"/>
        <w:keepNext/>
      </w:pPr>
    </w:p>
    <w:p w:rsidR="001C705E" w:rsidRDefault="001C705E" w:rsidP="001C705E">
      <w:pPr>
        <w:pStyle w:val="TextoNormal"/>
      </w:pPr>
      <w:r w:rsidRPr="001C705E">
        <w:rPr>
          <w:rStyle w:val="NumeroAFNegritaCaracter"/>
        </w:rPr>
        <w:t>1</w:t>
      </w:r>
      <w:r>
        <w:t>. El Ministerio Fiscal opone a la admisibilidad de la cuestión el hecho de que no existe constancia de que se diera audiencia a una de las partes del proceso -la Subsecretaría de Aviación Civil- cuando el Magistrado decidió su planteamiento, originándose un defecto de tramitación que impediría el pronunciamiento sobre el fondo; debiendo precisarse en relación a esta alegación, que si bien es cierto que en las actuaciones remitidas, que incluyen las alegaciones efectuadas por los demandantes y el Ministerio Fiscal en el trámite de audiencia, no figuran alegaciones de la parte demandada ni consta se le notificara la providencia que ordenó dicho trámite, al pie de dicha providencia que manda oír a las partes y al Ministerio Fiscal obra diligencia del Secretario en que se hace constar que «seguidamente se cumple lo ordenado», declaración que, dotada de fe judicial, debe admitirse como cierta.</w:t>
      </w:r>
    </w:p>
    <w:p w:rsidR="001C705E" w:rsidRDefault="001C705E" w:rsidP="001C705E">
      <w:pPr>
        <w:pStyle w:val="TextoNormal"/>
      </w:pPr>
      <w:r>
        <w:t>Por su parte, el Abogado del Estado impugna igualmente la admisibilidad por razones de fondo, negando que del párrafo segundo de la disposición adicional quinta del Estatuto de los Trabajadores pueda desprenderse la posibilidad de que la negociación colectiva fije jubilaciones forzosas por edad, y entendiendo que la solución del conflicto planteado ante Magistratura remite a un simple problema de aplicación de la Sentencia núm. 22/1981, de 2 de julio («Boletín Oficial del Estado» de 20 de julio) del Pleno del Tribunal Constitucional, de forma que al no tenerlo en cuenta el Magistrado pretende obtener un pronunciamiento innecesario o indiferente de este Tribunal.</w:t>
      </w:r>
    </w:p>
    <w:p w:rsidR="001C705E" w:rsidRDefault="001C705E" w:rsidP="001C705E">
      <w:pPr>
        <w:pStyle w:val="TextoNormal"/>
      </w:pPr>
      <w:r>
        <w:t xml:space="preserve">Es evidente, sin embargo, que para el Magistrado proponente el precepto citado debe interpretarse como norma que autoriza a la negociación colectiva la fijación de jubilaciones forzosas, y que tal interpretación constituye el presupuesto para el planteamiento de la cuestión y, en la medida en que se realiza sobre la legalidad ordinaria, el presupuesto también para el pronunciamiento de este Tribunal. Por lo demás, dicha interpretación coincide con la que está siendo realizada por los Tribunales superiores (Central y Supremo) del orden laboral y parece la adecuada a una consideración unitaria de la disposición adicional y a una valoración de la función que ésta cumple en el sistema español de jubilación laboral. En éste, con escasas excepciones de valoración discutida, la jubilación se ha considerado siempre un derecho del trabajador que, al alcanzar la edad prefijada podía libremente </w:t>
      </w:r>
      <w:r>
        <w:lastRenderedPageBreak/>
        <w:t>cesar en el trabajo para pasar a percibir la pensión. Partiendo de ello es indudable que el precepto legal no pretende únicamente atribuir a la negociación colectiva la facultad de facilitar la jubilación voluntaria a través de una regulación promocional que no era preciso autorizar, pues nunca había sido negada y era frecuentemente ejercitada, sino superar el precedente obstáculo legal convirtiendo en disponible por la negociación colectiva un derecho que con anterioridad no lo era.</w:t>
      </w:r>
    </w:p>
    <w:p w:rsidR="001C705E" w:rsidRDefault="001C705E" w:rsidP="001C705E">
      <w:pPr>
        <w:pStyle w:val="TextoNormal"/>
      </w:pPr>
      <w:r>
        <w:t>Así lo entendió también este Tribunal cuando en la Sentencia a que se refiere el Abogado del Estado declaró en el fundamento jurídico décimo que la «disposición adicional quinta tiene el sentido de autorizar, o bien al Gobierno (párrafo primero) para establecer un límite de edad cuyas consecuencias son análogas a las de la jubilación forzosa aplicada a todo tipo de relación laboral sujeta al Estatuto de los Trabajadores, bien a las partes que intervienen en la negociación colectiva (párrafo segundo) para establecer edades de jubilación en sectores productivos concretos».</w:t>
      </w:r>
    </w:p>
    <w:p w:rsidR="001C705E" w:rsidRDefault="001C705E" w:rsidP="001C705E">
      <w:pPr>
        <w:pStyle w:val="TextoNormal"/>
      </w:pPr>
    </w:p>
    <w:p w:rsidR="001C705E" w:rsidRDefault="001C705E" w:rsidP="001C705E">
      <w:pPr>
        <w:pStyle w:val="TextoNormal"/>
      </w:pPr>
      <w:r w:rsidRPr="001C705E">
        <w:rPr>
          <w:rStyle w:val="NumeroAFNegritaCaracter"/>
        </w:rPr>
        <w:t>2</w:t>
      </w:r>
      <w:r>
        <w:t>. Como señala el Abogado del Estado, el Tribunal ha declarado ya que resulta inadmisible desde el punto de vista constitucional la extinción del contrato de trabajo por el hecho exclusivo de la edad, pero ello no impide la resolución de la cuestión ahora planteada, pues, al margen del dato formal de que el pronunciamiento del Tribunal se hizo sobre el párrafo primero de la disposición adicional, ni es ello lo que expresa el segundo párrafo, ni es tal la causa por la que el Magistrado propone la cuestión.  Lo primero resulta claro con la simple lectura del precepto, que no alude a la extinción por edad sino a la jubilación, incluyendo obviamente en el concepto la percepción de pensión por el trabajador, todo ello por supuesto sin perjuicio de lo que disponga la Seguridad Social a tales efectos, pues el convenio no puede modificar ni afectar la normativa propia de ésta, lo que garantiza que el cese forzoso no es posible por esa causa si en virtud de la normativa de Seguridad Social no procede el pase a la situación de jubilado. Lo segundo deriva también sin dificultad del complejo Auto de promoción de la cuestión, en el que el Magistrado de Trabajo no se plantea sin más la problemática relativa a la jubilación forzosa y a su admisibilidad constitucional, para la que cree encontrar respuesta en la Sentencia que este Tribunal dedicó al párrafo primero de la disposición adicional quinta, sino el hecho de su fijación en Convenio Colectivo en relación con la representación que ostentan los negociadores, lo que constituye un problema no planteado ni resuelto en aquella ocasión.</w:t>
      </w:r>
    </w:p>
    <w:p w:rsidR="001C705E" w:rsidRDefault="001C705E" w:rsidP="001C705E">
      <w:pPr>
        <w:pStyle w:val="TextoNormal"/>
      </w:pPr>
      <w:r>
        <w:t>Para terminar de configurar el tema conviene añadir que el problema estricto de la admisibilidad constitucional de la jubilación forzosa como figura jurídica y su eventual contradicción con los arts. 9, 14 y 35 de la Constitución, no necesita ya de nuevo planteamiento y resolución por el Tribunal. En la Sentencia 22/1981, de 2 de julio, al tiempo que se excluía la incapacitación para el trabajo a los sesenta y nueve años y el establecimiento de forma directa e incondicionada de la extinción de la relación laboral a esa edad no se rechazaba la existencia de una jubilación forzosa que no se consideraba contraria a los preceptos indicados. En la medida en que lo cuestionado ahora fuera también la propia admisibilidad de la jubilación forzosa, bastaría con referirse a aquella Sentencia.</w:t>
      </w:r>
    </w:p>
    <w:p w:rsidR="001C705E" w:rsidRDefault="001C705E" w:rsidP="001C705E">
      <w:pPr>
        <w:pStyle w:val="TextoNormal"/>
      </w:pPr>
    </w:p>
    <w:p w:rsidR="001C705E" w:rsidRDefault="001C705E" w:rsidP="001C705E">
      <w:pPr>
        <w:pStyle w:val="TextoNormal"/>
      </w:pPr>
      <w:r w:rsidRPr="001C705E">
        <w:rPr>
          <w:rStyle w:val="NumeroAFNegritaCaracter"/>
        </w:rPr>
        <w:t>3</w:t>
      </w:r>
      <w:r>
        <w:t>. En el conjunto del Auto de planteamiento de la cuestión de inconstitucionalidad, y de forma expresa en algunos de sus considerandos, subyace una comprensión reductora de la negociación colectiva que, sin duda, incide en la consideración del Magistrado sobre la incompatibilidad con la Constitución de la disposición que autoriza al Convenio a la fijación de edades de jubilación.</w:t>
      </w:r>
    </w:p>
    <w:p w:rsidR="001C705E" w:rsidRDefault="001C705E" w:rsidP="001C705E">
      <w:pPr>
        <w:pStyle w:val="TextoNormal"/>
      </w:pPr>
      <w:r>
        <w:lastRenderedPageBreak/>
        <w:t>Ciertamente que la integración de los Convenios Colectivos en el sistema formal de fuentes del Derecho, resultado del principio de unidad del ordenamiento jurídico, supone, entre otras consecuencias que no hace al caso señalar, el respeto por la norma pactada del derecho necesario establecido por la Ley, que, en razón de la superior posición que ocupa en la jerarquía normativa, puede desplegar una virtualidad limitadora de la negociación colectiva y puede, igualmente, de forma excepcional reservarse para sí determinadas materias que quedan excluidas, por tanto, de la contratación colectiva. Pero lo que no resulta posible, como pretende el Magistrado, es asimilar las relaciones entre ley y Convenio a las que se instauran entre norma delegante y norma delegada. A los efectos de la resolución de la cuestión, no interesa exponer el complejo cuadro de interrelaciones existentes entre estos dos tipos de normas; sí conviene indicar, no obstante, que el mandato que el art. 37.1 de la Constitución formula a la Ley de garantizar ««la fuerza vinculante de los Convenios» no significa que esta fuerza venga atribuida ex lege Antes al contrario, la misma emana de la Constitución, que garantiza con carácter vinculante los Convenios, al tiempo que ordena garantizarla de manera imperativa al legislador ordinario. La facultad que poseen "los representantes de los trabajadores y empresarios" (art. 37.1 de la C.E.)  de regular sus intereses recíprocos mediante la negociación colectiva es una facultad no derivada de la Ley, sino propia que encuentra su expresión jurídica en el texto constitucional.</w:t>
      </w:r>
    </w:p>
    <w:p w:rsidR="001C705E" w:rsidRDefault="001C705E" w:rsidP="001C705E">
      <w:pPr>
        <w:pStyle w:val="TextoNormal"/>
      </w:pPr>
      <w:r>
        <w:t>De otra parte la garantía constitucional de la fuerza vinculante implica, en su versión primera y esencial, la atribución a los Convenios Colectivos de una eficacia jurídica en virtud de la cual el contenido normativo de aquéllos se impone a las relaciones individuales de trabajo incluidas en sus ámbitos de aplicación de manera automática, sin precisar el auxilio de técnicas de contractualización ni necesitar el complemento de voluntades individuales.  Por ello, resulta del todo ajeno a la configuración constitucional de la negociación colectiva la exigencia de una aceptación individual de lo pactado, con independencia de que la práctica, como sucede en ocasiones, haga aconsejable la participación de los propios afectados en la negociación colectiva a través de las fórmulas que los negociadores decidan y sin que, en ningún caso, puedan considerarse como jurídicamente condicionantes del Convenio o se las pueda asignar efectos integrativos en lo que concierne a la eficacia propia del pacto.</w:t>
      </w:r>
    </w:p>
    <w:p w:rsidR="001C705E" w:rsidRDefault="001C705E" w:rsidP="001C705E">
      <w:pPr>
        <w:pStyle w:val="TextoNormal"/>
      </w:pPr>
    </w:p>
    <w:p w:rsidR="001C705E" w:rsidRDefault="001C705E" w:rsidP="001C705E">
      <w:pPr>
        <w:pStyle w:val="TextoNormal"/>
      </w:pPr>
      <w:r w:rsidRPr="001C705E">
        <w:rPr>
          <w:rStyle w:val="NumeroAFNegritaCaracter"/>
        </w:rPr>
        <w:t>4</w:t>
      </w:r>
      <w:r>
        <w:t>. La presunta inconstitucionalidad de la disposición adicional quinta del Estatuto de los Trabajadores se fundamenta, en la opinión del Magistrado proponente de la cuestión, en que las facultades representativas de la Comisión negociadora -recte, de las partes negociadoras o alcanzan a cubrir la limitación de derechos fundamentales individuales. Para el Magistrado, la facultad negociadora de que disponen los representantes de los trabajadores y empresarios no comprende «el derecho que se juzga personalísimo de permanecer en un puesto de trabajo» o, dicho de otro modo, la representación que ejercen Sindicatos y otras instancias organizativas «no abarca el cese en el ejercicio del derecho subjetivo constitucional al trabajo sin merma de su contenido». La línea argumental aprestada por el Juez para cuestionar la constitucionalidad del párrafo segundo de la citada norma se arma, en verdad, a partir de una trasposición de los esquemas de apoderamiento y representación del Derecho privado al ámbito de la negociación colectiva. Configurado el «poder que la Comisión negociadora tiene otorgado por el Estatuto (arts. 82.2 y 85)» como «un mandato general», la conclusión que se deduce es que «conforme a los principios informadores del art.  1.713 del Código Civil no podría nunca dicha Comisión pactar la jubilación de alguien que no hubiera prestado su consentimiento para ello».</w:t>
      </w:r>
    </w:p>
    <w:p w:rsidR="001C705E" w:rsidRDefault="001C705E" w:rsidP="001C705E">
      <w:pPr>
        <w:pStyle w:val="TextoNormal"/>
      </w:pPr>
      <w:r>
        <w:lastRenderedPageBreak/>
        <w:t>Esta visión privatista de las facultades representativas de las partes negociadoras y, más en general, de la negociación colectiva que subyace en el auto de planteamiento de la cuestión de inconstitucionalidad no se acomoda, sin embargo, con la función y el alcance que la propia negociación colectiva y su expresión normativa tienen en el ordenamiento jurídico español. La Constitución Española ha reconocido a los «representantes de los trabajadores y empresarios» un poder de regulación afectado a un concreto fin, cual es la ordenación de las relaciones laborales en su conjunto, que actúa, en un sistema de negociación colectiva como el instituido por el Estatuto de los Trabajadores, a través de la representación institucional que ostentan los Sindicatos y Comités de Empresa, de un lado, y las asociaciones empresariales, de otro. Como ha tenido ocasión de señalar este Tribunal, la representación que los arts. 87 y 88 del Estatuto de los Trabajadores otorgan a las partes negociadoras de los Convenios Colectivos de eficacia general es una representación institucional y por tanto representación de intereses y no de voluntades. De ahí, que el juicio sobre la conformidad o disconformidad de los pactos sobre jubilación forzosa a la Constitucion es una cuestión que conviene estudiar no tanto desde el examen de los límites y contenido de la representación cuanto del análisis de los límites y contenido de la negociación colectiva. Dicho en otros términos, el juicio sobre las presuntas inconstitucionalidades de cláusulas pactadas por quienes, sin extravasar el ámbito subjetivo de su representación, tienen legitimación para negociar con arreglo a las reglas de derecho necesario que rigen esta materia ha de deducirse, en su caso, de la extralimitación por las partes negociadoras del ejercicio del poder de autorregulación en que el derecho a la negociación colectiva laboral consiste.</w:t>
      </w:r>
    </w:p>
    <w:p w:rsidR="001C705E" w:rsidRDefault="001C705E" w:rsidP="001C705E">
      <w:pPr>
        <w:pStyle w:val="TextoNormal"/>
      </w:pPr>
    </w:p>
    <w:p w:rsidR="001C705E" w:rsidRDefault="001C705E" w:rsidP="001C705E">
      <w:pPr>
        <w:pStyle w:val="TextoNormal"/>
      </w:pPr>
      <w:r w:rsidRPr="001C705E">
        <w:rPr>
          <w:rStyle w:val="NumeroAFNegritaCaracter"/>
        </w:rPr>
        <w:t>5</w:t>
      </w:r>
      <w:r>
        <w:t>. Al resolver la presente cuestión de inconstitucionalidad es evidente que a este Tribunal no le corresponde formular una teoría general sobre la extensión y límites de la negociación colectiva, tarea ésta que han de ir elaborando paulatinamente doctrina y jurisprudencia laborales a la vista de las concretas experiencias contractuales y de los cambios y vicisitudes de la legalidad infraconstitucional y del entorno económico y social en que dicha legalidad se desenvuelve. Nuestro cometido se circunscribe a determinar la validez constitucional del párrafo segundo de la disposición adicional quinta del Estatuto de los Trabajadores, entendida como norma que posibilita a la negociación colectiva a fijar una edad de jubilación obligatoria.</w:t>
      </w:r>
    </w:p>
    <w:p w:rsidR="001C705E" w:rsidRDefault="001C705E" w:rsidP="001C705E">
      <w:pPr>
        <w:pStyle w:val="TextoNormal"/>
      </w:pPr>
      <w:r>
        <w:t>Para el Magistrado proponente de la cuestión, el desajuste constitucional de la norma citada traería su causa en las restricciones que los pactos de jubilación forzosa impondrían al derecho al trabajo, derecho fundamental proclamado en el art. 35.1 de la Constitución, queriendo de este modo situar el problema planteado en el plano de las conexiones entre autonomía colectiva y derechos fundamentales. Pero este enfoque no arroja resultados definitivos, ya que del texto constitucional no se deriva expresa o implícitamente ningún principio que con carácter general sustraiga a la negociación colectiva la regulación de las condiciones de ejercicio de los derechos fundamentales.  Si la jubilación forzosa, dentro de determinadas condiciones, resulta posible, y a ello no puso objeciones este Tribunal en su Sentencia núm. 22/1981, quiere decirse que no vulnera ningún precepto constitucional, incluidos los definidores de derechos fundamentales, y ello sucederá tanto cuando sea establecida por ley como cuando lo sea por Convenio Colectivo, de modo que para el problema que el Magistrado plantea resulta indiferente el carácter fundamental o no del derecho afectado. Lo característico por el contrario, según deriva del propio auto judicial, es que el derecho afectado se configura como un derecho perteneciente al trabajador indivi</w:t>
      </w:r>
      <w:r>
        <w:lastRenderedPageBreak/>
        <w:t>dualmente considerado, situando así el problema en la relación entre autonomía colectiva y esfera individual.</w:t>
      </w:r>
    </w:p>
    <w:p w:rsidR="001C705E" w:rsidRDefault="001C705E" w:rsidP="001C705E">
      <w:pPr>
        <w:pStyle w:val="TextoNormal"/>
      </w:pPr>
    </w:p>
    <w:p w:rsidR="001C705E" w:rsidRDefault="001C705E" w:rsidP="001C705E">
      <w:pPr>
        <w:pStyle w:val="TextoNormal"/>
      </w:pPr>
      <w:r w:rsidRPr="001C705E">
        <w:rPr>
          <w:rStyle w:val="NumeroAFNegritaCaracter"/>
        </w:rPr>
        <w:t>6</w:t>
      </w:r>
      <w:r>
        <w:t>. El tema de la regulación por la negociación colectiva de los derechos individuales constituye, de seguro, una de las cuestiones más complejas y delicadas en el Derecho del Trabajo y que no es dable resolver aduciendo meramente la imposibilidad de la disposición de derechos personalísimos por sujetos ajenos a su titular. Semejante conclusión está implícita en la propia definición del derecho como personalísimo, y lo que importa es precisar si un concreto derecho es o no susceptible de ordenación por la negociación colectiva.</w:t>
      </w:r>
    </w:p>
    <w:p w:rsidR="001C705E" w:rsidRDefault="001C705E" w:rsidP="001C705E">
      <w:pPr>
        <w:pStyle w:val="TextoNormal"/>
      </w:pPr>
      <w:r>
        <w:t>Desde un punto de vista general, los problemas derivados de las relaciones entre autonomía colectiva y autonomía individual han de solventarse mediante la conjunción de dos principios básicos: Primero, que la negociación colectiva no pueda anular la autonomía individual, pues ésta, garantía de la libertad personal, ha de contar con un margen de actuación incluso en unos ámbitos como los de la Empresa en los que exigencias de índole económica, técnica o productiva reclaman una conformación colectiva de condiciones uniformes; y segundo, que no puede en modo alguno negarse la capacidad de incidencia del Convenio en el terreno de los derechos o intereses individuales, pues ello equivaldría a negar toda virtualidad a la negociación colectiva, en contra de la precisión constitucional que la configura como un instrumento esencial para la ordenación de las relaciones de trabajo, y contradiría el propio significado del Convenio en cuya naturaleza está el predominio de la voluntad colectiva sobre la individual y de los intereses de la colectividad sobre los concretos de los individuos que la componen, siendo en ocasiones preciso la limitación de algunos de éstos para la efectiva promoción de aquéllos. Incluso más aún.  En un sistema constitucional de relaciones laborales como el español, asentado sobre el pluralismo social, la libertad sindical y la libertad de empresa en el marco de la economía de mercado, la satisfacción de una serie de intereses individuales se obtiene por sus titulares a través de la negociación colectiva, la cual no sólo no es incompatible con ámbitos de libertad personal, sino que los asegura, actuando como garantía básica de situaciones jurídicas individualizadas y contribuyendo decisivamente tanto a la mejora de las condiciones de trabajo y de vida de los trabajadores como al bienestar social general. Entre otros dos principios básicos, la solución de cada problema dudoso planteado es cuestión a realizar caso por caso valorando y ponderando la totalidad de circunstancias concurrentes.</w:t>
      </w:r>
    </w:p>
    <w:p w:rsidR="001C705E" w:rsidRDefault="001C705E" w:rsidP="001C705E">
      <w:pPr>
        <w:pStyle w:val="TextoNormal"/>
      </w:pPr>
    </w:p>
    <w:p w:rsidR="001C705E" w:rsidRDefault="001C705E" w:rsidP="001C705E">
      <w:pPr>
        <w:pStyle w:val="TextoNormal"/>
      </w:pPr>
      <w:r w:rsidRPr="001C705E">
        <w:rPr>
          <w:rStyle w:val="NumeroAFNegritaCaracter"/>
        </w:rPr>
        <w:t>7</w:t>
      </w:r>
      <w:r>
        <w:t>. En el presente caso, no se trata de analizar una concreta disposición de un Convenio Colectivo, enfrentada con la autonomía individual de cada trabajador afectado, y cuya validez resulta dudosa, sino un precepto legal que, modificando la situación preexistente, autoriza a la negociación colectiva a regular una materia que con anterioridad se había considerado excluida de la misma. Quiere decirse que es el propio legislador quien, en ejercicio de una competencia que no puede negársele, ha realizado el ajuste entre los principios aludidos ponderando las circunstancias concurrentes en un momento determinado de evolución de la negociación colectiva y de equilibrio de los intereses afectados por la permanencia en los puestos de trabajo o la jubilación forzosa. Siendo la Ley, en este caso, la que determina la extensión de los derechos individuales, así como el ámbito de actuación de la negociación colectiva, no puede considerarse inconstitucional que se permita que mediante el Convenio pueda fijarse un límite temporal al derecho individual, en la medida en que no se establezca sin compensación para el afectado, que pasa a percibir la pensión de jubilación.</w:t>
      </w:r>
    </w:p>
    <w:p w:rsidR="001C705E" w:rsidRDefault="001C705E" w:rsidP="001C705E">
      <w:pPr>
        <w:pStyle w:val="TextoNormal"/>
      </w:pPr>
    </w:p>
    <w:p w:rsidR="001C705E" w:rsidRDefault="001C705E" w:rsidP="001C705E">
      <w:pPr>
        <w:pStyle w:val="TextoNormalCentrado"/>
        <w:keepNext/>
      </w:pPr>
      <w:r>
        <w:t>FALLO</w:t>
      </w:r>
    </w:p>
    <w:p w:rsidR="001C705E" w:rsidRDefault="001C705E" w:rsidP="001C705E">
      <w:pPr>
        <w:pStyle w:val="TextoNormalCentrado"/>
        <w:keepNext/>
      </w:pPr>
    </w:p>
    <w:p w:rsidR="001C705E" w:rsidRDefault="001C705E" w:rsidP="001C705E">
      <w:pPr>
        <w:pStyle w:val="TextoNormal"/>
      </w:pPr>
      <w:r>
        <w:t>En atención a todo lo expuesto, el Tribunal Constitucional, POR LA AUTORIDAD QUE LE CONFIERE LA CONSTITUCION DE LA NACION ESPAÑOLA,</w:t>
      </w:r>
    </w:p>
    <w:p w:rsidR="001C705E" w:rsidRDefault="001C705E" w:rsidP="001C705E">
      <w:pPr>
        <w:pStyle w:val="TextoNormal"/>
      </w:pPr>
    </w:p>
    <w:p w:rsidR="001C705E" w:rsidRDefault="001C705E" w:rsidP="001C705E">
      <w:pPr>
        <w:pStyle w:val="TextoNormalCentrado"/>
        <w:keepNext/>
      </w:pPr>
      <w:r>
        <w:t>Ha decidido</w:t>
      </w:r>
    </w:p>
    <w:p w:rsidR="001C705E" w:rsidRDefault="001C705E" w:rsidP="001C705E">
      <w:pPr>
        <w:pStyle w:val="TextoNormalCentrado"/>
        <w:keepNext/>
      </w:pPr>
    </w:p>
    <w:p w:rsidR="001C705E" w:rsidRDefault="001C705E" w:rsidP="001C705E">
      <w:pPr>
        <w:pStyle w:val="TextoNormal"/>
      </w:pPr>
      <w:r>
        <w:t>Declarar que el párrafo segundo de la disposición adicional quinta de la Ley 8/1980, de 10 de marzo, no es inconstitucional.</w:t>
      </w:r>
    </w:p>
    <w:p w:rsidR="001C705E" w:rsidRDefault="001C705E" w:rsidP="001C705E">
      <w:pPr>
        <w:pStyle w:val="TextoNormal"/>
      </w:pPr>
    </w:p>
    <w:p w:rsidR="001C705E" w:rsidRDefault="001C705E" w:rsidP="001C705E">
      <w:pPr>
        <w:pStyle w:val="TextoNormal"/>
      </w:pPr>
      <w:r>
        <w:t>Publíquese esta Sentencia en el «Boletín Oficial del Estado».</w:t>
      </w:r>
    </w:p>
    <w:p w:rsidR="001C705E" w:rsidRDefault="001C705E" w:rsidP="00256EE9">
      <w:pPr>
        <w:pStyle w:val="TextoNormal"/>
      </w:pPr>
      <w:r>
        <w:t>Dada en Madrid, a treinta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1C705E">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ParrafoNormal"/>
      </w:pPr>
    </w:p>
    <w:p w:rsidR="00256EE9" w:rsidRDefault="00256EE9" w:rsidP="00256EE9">
      <w:pPr>
        <w:pStyle w:val="CabeceraApartado"/>
      </w:pPr>
      <w:r>
        <w:t>AUTOS</w:t>
      </w:r>
    </w:p>
    <w:p w:rsidR="00256EE9" w:rsidRDefault="00256EE9">
      <w:pPr>
        <w:rPr>
          <w:rFonts w:ascii="Times New Roman" w:eastAsia="Times New Roman" w:hAnsi="Times New Roman" w:cs="Times New Roman"/>
          <w:sz w:val="48"/>
          <w:szCs w:val="24"/>
          <w:lang w:eastAsia="es-ES"/>
        </w:rPr>
      </w:pPr>
      <w:r>
        <w:br w:type="page"/>
      </w:r>
    </w:p>
    <w:p w:rsidR="00256EE9" w:rsidRDefault="00256EE9" w:rsidP="00256EE9">
      <w:pPr>
        <w:pStyle w:val="TtuloResolucin"/>
      </w:pPr>
      <w:bookmarkStart w:id="62" w:name="AUTO_1985_1"/>
      <w:r>
        <w:lastRenderedPageBreak/>
        <w:t>AUTO 1/1985, de 9 de enero de 1985</w:t>
      </w:r>
    </w:p>
    <w:bookmarkEnd w:id="62"/>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341/1984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Luis Izquierdo Romero de Avila presentó el pasado 5 de mayo escrito por el que solicita la designación de Abogado, en turno de oficio a fin de interponer recurso de amparo constitucional contra el Auto del Tribunal Central de Trabajo de 15 de marzo de 1984, por el que se declara la inadmisión por razón de la cuantía del recurso de suplicación interpuesto por el actor contra Sentencia dictada por la Magistratura de Trabajo de Ciudad Real en 30 de septiembre de 1983, en reclamación por revisión de invalidez permanente. </w:t>
      </w:r>
    </w:p>
    <w:p w:rsidR="00256EE9" w:rsidRDefault="00256EE9" w:rsidP="00256EE9">
      <w:pPr>
        <w:pStyle w:val="TextoNormal"/>
      </w:pPr>
      <w:r>
        <w:t xml:space="preserve">De la larga y prolija exposición de hechos narrados en el escrito, al que se acompaña un total de 55 documentos, pueden extraerse como más signi ficativos los siguientes: </w:t>
      </w:r>
    </w:p>
    <w:p w:rsidR="00256EE9" w:rsidRDefault="00256EE9" w:rsidP="00256EE9">
      <w:pPr>
        <w:pStyle w:val="TextoNormal"/>
      </w:pPr>
      <w:r>
        <w:t xml:space="preserve">a) En agosto de 1952, el exponente, estando prestando servicios como peón de albañil por cuenta de don Francisco Castaño Arroyo, sufrió un accidente laboral al desplomarse parte del edificio en construcción, resultando con diversas lesiones. </w:t>
      </w:r>
    </w:p>
    <w:p w:rsidR="00256EE9" w:rsidRDefault="00256EE9" w:rsidP="00256EE9">
      <w:pPr>
        <w:pStyle w:val="TextoNormal"/>
      </w:pPr>
      <w:r>
        <w:t xml:space="preserve">La Entidad aseguradora «Hispania», con la que el señor Castaño tenía sustituidas sus obligaciones patronales en orden a los accidentes de trabajo, prestó al accidentado asistencia médico-farmacéutica, abonándole igualmente durante un determinado período la correspondiente prestación económica. </w:t>
      </w:r>
    </w:p>
    <w:p w:rsidR="00256EE9" w:rsidRDefault="00256EE9" w:rsidP="00256EE9">
      <w:pPr>
        <w:pStyle w:val="TextoNormal"/>
      </w:pPr>
      <w:r>
        <w:t xml:space="preserve">En fecha que no consta, al compareciente se le presentó una «escoliosis» que él estimó causada por el accidente padecido. Promovida acción ante la jurisdicción laboral, la Magistratura de Trabajo de Ciudad Real pronunció Sentencia el 20 de marzo de 1953, en cuyo fallo se condenaba a la aseguradora al pago de una indemnización diaria «hasta la total sanidad del accidentado, la declaración en su caso de que se encuentra afecto a incapacidad permanente para el trabajo o, también alternativamente, hasta llegar el 24 de agosto del año actual». </w:t>
      </w:r>
    </w:p>
    <w:p w:rsidR="00256EE9" w:rsidRDefault="00256EE9" w:rsidP="00256EE9">
      <w:pPr>
        <w:pStyle w:val="TextoNormal"/>
      </w:pPr>
      <w:r>
        <w:t xml:space="preserve">b) En fecha que tampoco consta, el señor Izquierdo Romero promovió nueva acción judicial contra la Compañía aseguradora, solicitando la declaración de incapacidad permanente absoluta para el trabajo. Dictada Sentencia el 20 de enero de 1954, la misma reconoció al actor la situación de incapacidad permanente parcial. Recurrida esta resolución judicial en casación por ambas partes, el Tribunal Supremo, en Sentencia de 19 de octubre de 1955, estimó el recurso interpuesto por «Hispania», declarando que la deformidad dorsal aparecida («escoliosis») no podía atribuirse al accidente padecido por el señor Izquierdo en 1952 y, por consiguiente, revocó la Sentencia de instancia que había concedido al actor la mencionada situación de incapacidad permanente parcial. </w:t>
      </w:r>
    </w:p>
    <w:p w:rsidR="00256EE9" w:rsidRDefault="00256EE9" w:rsidP="00256EE9">
      <w:pPr>
        <w:pStyle w:val="TextoNormal"/>
      </w:pPr>
      <w:r>
        <w:lastRenderedPageBreak/>
        <w:t xml:space="preserve">c) En abril de 1980, el señor Izquierdo Romero presentó escrito ante la Mutualidad Laboral de la Construcción en solicitud de revisión de expediente de incapacidad como consecuencia del accidente acaecido en la reseñada fecha de 25 de agosto de 1952, suplicando le fuera concedida la incapacidad permanente absoluta para todo tipo de trabajo. Por Resolución de 10 de junio de 1980, la Comisión Técnica Calificadora Provincial de Ciudad Real denegó dicha solicitud, siendo confirmada esta decisión por Resolución de la Comisión Técnica Calificadora Central de 12 de mayo de 1982. </w:t>
      </w:r>
    </w:p>
    <w:p w:rsidR="00256EE9" w:rsidRDefault="00256EE9" w:rsidP="00256EE9">
      <w:pPr>
        <w:pStyle w:val="TextoNormal"/>
      </w:pPr>
      <w:r>
        <w:t xml:space="preserve">d) Planteada demanda ante el orden jurisdiccional laboral contra la anterior resolución, la Magistratura de Trabajo de Ciudad Real, en Sentencia dictada en 30 de septiembre de 1983, la desestima, alegando -tras manifestar las «grandes inexactitudes» apreciadas en el caso de autos, motivadas «quizás por el transcurso del tiempo»- que, si la Sentencia ya citada del Tribunal Supremo de 19 de octubre de 1955 señaló que «la deformidad ósea no puede atribuirse al accidente sufrido», no puede el actor «solicitar una declaración de invalidez derivada de accidente de trabajo por agravación, y ello sin perjuicio de que pudiera instar tal situación, derivada de enfermedad común». </w:t>
      </w:r>
    </w:p>
    <w:p w:rsidR="00256EE9" w:rsidRDefault="00256EE9" w:rsidP="00256EE9">
      <w:pPr>
        <w:pStyle w:val="TextoNormal"/>
      </w:pPr>
      <w:r>
        <w:t>Interpuesto recurso de suplicación, el Tribunal Central de Trabajo, por Auto de 15 de marzo de 1984, lo declara inadmisible por no alcanzar la cuantía real del litigio la cantidad mínima requerida de 200.000 pesetas.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del pasado día 13 de junio se acordó acceder a la solicitud de nombramiento de Abogado y Procurador de oficio, y por la de 11 de julio siguiente se tuvo por designados, respectivamente, al Procurador don Fernando Díaz-Zorita y Canto y al Letrado don Carlos Larios Lledó, concediéndoseles un plazo de veinte días para la formalización de la demanda. </w:t>
      </w:r>
    </w:p>
    <w:p w:rsidR="00256EE9" w:rsidRDefault="00256EE9" w:rsidP="00256EE9">
      <w:pPr>
        <w:pStyle w:val="TextoNormal"/>
      </w:pPr>
      <w:r>
        <w:t xml:space="preserve">Formalizada ésta dentro del indicado plazo, por nueva providencia de 14 de noviembre pasado se abrió el trámite de admisión, señalando la posible existencia de la causa de inadmisión a que se refiere el art. 50.2 b) de la LOTC. </w:t>
      </w:r>
    </w:p>
    <w:p w:rsidR="00256EE9" w:rsidRDefault="00256EE9" w:rsidP="00256EE9">
      <w:pPr>
        <w:pStyle w:val="TextoNormal"/>
      </w:pPr>
      <w:r>
        <w:t xml:space="preserve">En las subsiguientes alegaciones, la representación del recurrente insiste en la indefensión en que el mismo se encuentra a consecuencia de la defectuosa apreciación y valoración de las pruebas, tanto por parte de la Magistratura de Trabajo como por parte del Tribunal Central de Trabajo, que han dictado «Sentencia a todas luces inadecuada a las dramáticas circunstancias» del recurrente. </w:t>
      </w:r>
    </w:p>
    <w:p w:rsidR="00256EE9" w:rsidRDefault="00256EE9" w:rsidP="00256EE9">
      <w:pPr>
        <w:pStyle w:val="TextoNormal"/>
      </w:pPr>
      <w:r>
        <w:t>El Ministerio Fiscal, por su parte, entiende que la cuestión que en el presente recurso se suscita carece manifiestamente de contenido constitucional, puesto que el Auto del Tribunal Central de Trabajo que declara la inadmisión llegó a tal decisión en aplicación de una norma legal ordinaria (art. 153 de la Ley de Procedimiento Laboral) que no afecta a ninguno de los derechos fundamentales garantizados por la Constitución ni regula el acceso a una segunda instancia que sea constitucionalmente necesaria. El Tribunal Central de Trabajo se limita, en efecto, a considerar que la diferencia que media entre la pensión que actualmente percibe el recurrente y la que, si tuviera éxito su petición, tendría derecho a percibir no excede a 200.000 pesetas.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 xml:space="preserve">Unico.  Aunque la mayor parte de la argumentación que apoya la petición del recurrente en el presente caso va dirigida a demostrar la injusticia de la que éste cree haber sido víctima en virtud de una defectuosa apreciación de los hechos por parte de los Tribunales </w:t>
      </w:r>
      <w:r>
        <w:lastRenderedPageBreak/>
        <w:t>del orden laboral, injusticia que en rigor tendría su origen en la Sentencia del Tribunal Supremo de 19 de octubre de 1955, que anuló la anteriormente dictada por la Magistratura de Trabajo en 20 de enero de 1954, es claro que hemos de reducir nuestras consideraciones a lo que es el objeto único del recurso, es decir, al Auto del Tribunal Central de Trabajo de 15 de marzo de 1948, por el que se declara inadmisible el recurso de suplicación que el actor intentaba contra la Sentencia de la Magistratura de Trabajo de Ciudad Real de 30 de septiembre de 1983.</w:t>
      </w:r>
    </w:p>
    <w:p w:rsidR="00256EE9" w:rsidRDefault="00256EE9" w:rsidP="00256EE9">
      <w:pPr>
        <w:pStyle w:val="TextoNormal"/>
      </w:pPr>
      <w:r>
        <w:t>Dicho Auto no hace pronunciamiento alguno sobre el fondo de la pretensión, limitándose a declarar inadmisible el recurso de suplicación intentado por insuficiencia de la cuantía, de manera que la única lesión que a tal Auto cabría imputar sería la que resultara de haber cerrado al recurrente el paso a una segunda instancia a la que éste tuviera derecho.</w:t>
      </w:r>
    </w:p>
    <w:p w:rsidR="00256EE9" w:rsidRDefault="00256EE9" w:rsidP="00256EE9">
      <w:pPr>
        <w:pStyle w:val="TextoNormal"/>
      </w:pPr>
      <w:r>
        <w:t>Reiteradamente hemos dicho, en efecto, que el acceso a los recursos previstos en el ordenamiento forma parte del derecho constitucionalmente garantizado a la tutela judicial efectiva y que, en consecuencia, dicho acceso no puede ser impedido u obstaculizado de manera arbitraria o por razones carentes de apoyo en el ordenamiento. En el presente caso, aunque la demanda mediante la que el Letrado designado de oficio formula el recurso de amparo no es especialmente clara, parece que el defecto que se imputa al Auto en cuestión es el de «ser a todas luces inadecuado a las dramáticas circunstancias del recurrente», argumento que, como es patente, no evidencia la probabilidad de existencia de una vulneración del derecho a una tutela judicial efectiva.</w:t>
      </w:r>
    </w:p>
    <w:p w:rsidR="00256EE9" w:rsidRDefault="00256EE9" w:rsidP="00256EE9">
      <w:pPr>
        <w:pStyle w:val="TextoNormal"/>
      </w:pPr>
      <w:r>
        <w:t>De la lectura de la documentación que acompaña al escrito inicial del recurrente parece desprenderse una cierta divergencia entre los hechos que éste afirma y que aparecen corroborados por los documentos que aporta, y los hechos de los que el Tribunal Central de Trabajo arranca para fundamentar su decisión.  Parece claro, en efecto, que a partir de la Sentencia del Tribunal Supremo antes mencionada, el señor Izquierdo Romero de Avila no percibe pensión alguna por causa de incapacidad laboral y, en consecuencia, carece de sentido la afirmación de que la diferencia entre la pensión actualmente percibida y la que en su caso tendría derecho a percibir es inferior a 200.000 pesetas, afirmación que sólo tendría sentido si hubiera alcanzado firmeza la Sentencia de la Magistratura de Trabajo de 1954 antes mencionada.</w:t>
      </w:r>
    </w:p>
    <w:p w:rsidR="00256EE9" w:rsidRDefault="00256EE9" w:rsidP="00256EE9">
      <w:pPr>
        <w:pStyle w:val="TextoNormal"/>
      </w:pPr>
      <w:r>
        <w:t>Aunque tal divergencia fuera real y el Auto de inadmisión partiera de un error, tampoco habría, sin embargo, vulneración alguna del derecho constitucional a la tutela judicial efectiva, pues la inadmisión se habría producido como consecuencia de la aplicación de una norma legal ordinaria, aplicación que es competencia exclusiva de los Tribunales ordinarios que, como en el presente caso, no la han interpretado de manera contraria a la Constitución, aunque puedan haber incurrido en un error al determinar los hechos que constituyen el supuesto propio de tal norma.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todo lo expuesto, la Sección acuerda la inadmisión del presente recurso.</w:t>
      </w:r>
    </w:p>
    <w:p w:rsidR="00256EE9" w:rsidRDefault="00256EE9" w:rsidP="00256EE9">
      <w:pPr>
        <w:pStyle w:val="TextoNormal"/>
      </w:pPr>
    </w:p>
    <w:p w:rsidR="00256EE9" w:rsidRDefault="00256EE9" w:rsidP="00256EE9">
      <w:pPr>
        <w:pStyle w:val="TextoNormal"/>
      </w:pPr>
      <w:r>
        <w:t>Madrid, a nueve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63" w:name="AUTO_1985_2"/>
      <w:r>
        <w:lastRenderedPageBreak/>
        <w:t>AUTO 2/1985, de 9 de enero de 1985</w:t>
      </w:r>
    </w:p>
    <w:bookmarkEnd w:id="63"/>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Francisco Pera Verdaguer.</w:t>
      </w:r>
    </w:p>
    <w:p w:rsidR="00256EE9" w:rsidRDefault="00256EE9" w:rsidP="00256EE9">
      <w:pPr>
        <w:pStyle w:val="SntesisDescriptiva"/>
      </w:pPr>
    </w:p>
    <w:p w:rsidR="00256EE9" w:rsidRDefault="00256EE9" w:rsidP="00256EE9">
      <w:pPr>
        <w:pStyle w:val="SntesisDescriptiva"/>
      </w:pPr>
      <w:r>
        <w:t>Desestimando recurso de súplica contra Auto 627/1984 en el recurso de amparo 464/1984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Juan Carlos Estévez Fernández-Novoa presentó, en nombre y representación de «La Sud América», demanda de amparo constitucional contra la Sentencia dictada por la Sala Sexta del Tribunal Supremo en 22 de mayo de 1984, en el recurso de casación por infracción de Ley interpuesto contra Sentencia de la Magistratura de Trabajo de Alava, Sentencia que condenaba a «La Sud América» al pago de cantidad como consecuencia de incapacidad total y permanente de un trabajador de «Vidrieras Llodrio». </w:t>
      </w:r>
    </w:p>
    <w:p w:rsidR="00256EE9" w:rsidRDefault="00256EE9" w:rsidP="00256EE9">
      <w:pPr>
        <w:pStyle w:val="TextoNormal"/>
      </w:pPr>
      <w:r>
        <w:t xml:space="preserve">Este Tribunal, en 31 de octubre pasado, dictó Auto de inadmisión de dicha demanda, y estimando la utilización del recurso de amparo de forma temeraria, condenó a la recurrente al pago de las costas y a una sanción de 10.000 pesetas. </w:t>
      </w:r>
    </w:p>
    <w:p w:rsidR="00256EE9" w:rsidRDefault="00256EE9" w:rsidP="00256EE9">
      <w:pPr>
        <w:pStyle w:val="TextoNormal"/>
      </w:pPr>
      <w:r>
        <w:t>La demandante de amparo presentó escrito, por el que hacía constar su discrepancia de la condena en costas e imposición de sanción. El recurso de amparo se había presentado dada la contradicción entre la Sentencia de la Magistratura de Trabajo y la del Tribunal Supremo, y para conocer el criterio de la Sala de este Tribunal, ante la posibilidad de casos parecidos en el futuro, teniendo en cuenta que se trata de una Compañía de Seguros sobre la Vida, sin que todo ello suponga falta de respeto para la Sala que justificara la admonición que supone la sanción pecuniaria acordada, ni la imposición de las costas. Interesaba se dictara resolución en la que se dejara sin efecto la condena en costas e imposición de sanción de 10.000 pesetas reflejadas en el Auto de 31 de octubre de 1984.</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Admitido a trámite el recurso de súplica, se dio traslado al Ministerio Fiscal por término de tercero día. </w:t>
      </w:r>
    </w:p>
    <w:p w:rsidR="00256EE9" w:rsidRDefault="00256EE9" w:rsidP="00256EE9">
      <w:pPr>
        <w:pStyle w:val="TextoNormal"/>
      </w:pPr>
      <w:r>
        <w:t>En el plazo indicado, el Fiscal General del Estado presentó escrito en el que manifiesta que la sanción se impone de manera razonada, por la falta de contenido constitucional, la claridad de dicha falta de contenido de la demanda y el carácter dilatorio que tiene el recurso. Las razones que expone el recurrente en su escrito de recurso de súplica no desvirtúan las del Tribunal para la imposición de la sanción, sino que las ratifican. El recurso de amparo podrá deducirse únicamente cuando exista violación de un derecho constitucional o cuando se crea razonablemente que la podía haber. Su finalidad no es la pretendida por el recurrente. La simple contradicción de dos Sentencias dentro del mismo proceso no acredita esa violación. De todo ello se deduce la falta palmaria de contenido constitucio</w:t>
      </w:r>
      <w:r>
        <w:lastRenderedPageBreak/>
        <w:t>nal, que lleva consigo la sanción impuesta al recurrente que pretende otra finalidad distinta de la del recurso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condena en costas -y la sanción pecuniaria- es una consecuencia de haber sostenido una pretensión improcedente, en el marco del proceso de amparo, sabiendo que lo es, o que el demandante hubiera podido saberlo si hubiera indagado con más diligencia, desde una consideración de lo que es el amparo, los fundamentos de tal pretensión. No es la valoración desde una perspectiva de la legalidad ordinaria la que debe hacerse al efecto; se trata de que no pueden traerse al amparo pretensiones que manifiestamente carecen de contenido constitucional, y que cuando esto se hace faltando a esa diligencia, debe corregirse tal exceso en los términos que establece el art. 95.3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Sala desestima el recurso de súplica interpuesto por «La Sud América», Compañía de Seguros sobre la Vida, contra el Auto de 31 de octubre de 1984, en la parte que le condena en costas y a una sanción pecuniaria, y aplíquese la</w:t>
      </w:r>
    </w:p>
    <w:p w:rsidR="00256EE9" w:rsidRDefault="00256EE9" w:rsidP="00256EE9">
      <w:pPr>
        <w:pStyle w:val="TextoNormal"/>
      </w:pPr>
      <w:r>
        <w:t>consignación efectuada al ingreso en el Tesoro Público del importe de la sanción.</w:t>
      </w:r>
    </w:p>
    <w:p w:rsidR="00256EE9" w:rsidRDefault="00256EE9" w:rsidP="00256EE9">
      <w:pPr>
        <w:pStyle w:val="TextoNormal"/>
      </w:pPr>
    </w:p>
    <w:p w:rsidR="00256EE9" w:rsidRDefault="00256EE9" w:rsidP="00256EE9">
      <w:pPr>
        <w:pStyle w:val="TextoNormal"/>
      </w:pPr>
      <w:r>
        <w:t>Madrid, a nueve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64" w:name="AUTO_1985_3"/>
      <w:r>
        <w:lastRenderedPageBreak/>
        <w:t>AUTO 3/1985, de 9 de enero de 1985</w:t>
      </w:r>
    </w:p>
    <w:bookmarkEnd w:id="64"/>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ECLI:ES:TC:1985:3A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588/1984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Gregori Giménez Cabañero, don José Gómez Jobani y don Salvador Vicente Hinojo, miembros del Comité de trabajadores de la empresa «Magi Pellicer Blay», presentaron el día 30 de julio pasado, ante este Tribunal, escrito por el que formulaban demanda de recurso de amparo constitucional en base a los siguientes hechos: a) Se recurre contra el Auto de 4 de junio de 1984 de la Magistratura de Trabajo núm. 9 de Barcelona. b) Dicho Auto desestima el recurso de reposición interpuesto contra la providencia de 15 de mayo de 1984, denegatoria de la petición inicial de 3 de mayo de 1984. </w:t>
      </w:r>
    </w:p>
    <w:p w:rsidR="00256EE9" w:rsidRDefault="00256EE9" w:rsidP="00256EE9">
      <w:pPr>
        <w:pStyle w:val="TextoNormal"/>
      </w:pPr>
      <w:r>
        <w:t>c) Al no autorizarse por la Magistratura la apertura de la tienda solicitada, se violan los derechos constitucionales de los recurrentes reconocidos en el artículo 24.1 de la Constitución. d) En el tercer considerando del Auto recurrido se razona que las prendas de vestir masculinas tienen una vigencia en el tiempo que excede de una anualidad, y que objetivamente no se puede pensar que las prendas embargadas vayan a experimentar una disminución de valor apreciable si hubieren de ser realizadas dentro de un año o, incluso, de un período de tiempo mayor. e) Con este razonamiento y por cuestión de sexo, el Auto impugnado discrimina a los trabajadores y trabajadoras de la Empresa al seguir privándoles de su derecho al puesto de trabajo. f) Ponen de manifiesto los recurrentes la posible inconstitucionalidad del apartado 7 del art. 49 del Estatuto de los Trabajadores, en relación con el art. 14 de la Constitución. Por medio de otrosíes designan Abogado para su defensa en el presente recurso y solicitan el nombramiento de Procurador de oficio para que les represente.</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de 31 de julio pasado, concedió a los recurrentes un plazo de diez días para que comparecieran por medio de Procurador o acreditaran haber gozado del beneficio de pobreza en el proceso previo, o que reúnen las condiciones previstas en los arts. 14 y siguientes de la L. E. C.</w:t>
      </w:r>
    </w:p>
    <w:p w:rsidR="00256EE9" w:rsidRDefault="00256EE9" w:rsidP="00256EE9">
      <w:pPr>
        <w:pStyle w:val="TextoNormal"/>
      </w:pPr>
    </w:p>
    <w:p w:rsidR="00256EE9" w:rsidRDefault="00256EE9" w:rsidP="00256EE9">
      <w:pPr>
        <w:pStyle w:val="TextoNormal"/>
      </w:pPr>
      <w:r w:rsidRPr="00256EE9">
        <w:rPr>
          <w:rStyle w:val="NumeroAFNegritaCaracter"/>
        </w:rPr>
        <w:t>3</w:t>
      </w:r>
      <w:r>
        <w:t>. Por escrito presentado ante este Tribunal el día 12 de septiembre de 1984, los recurrentes hacen constar que el Título IV del Libro Primero del vigente Texto Refundido de Procedimiento Laboral establece que las partes disfrutarán de los beneficios de pobreza, sin necesidad de declaración judicial expresa, por lo que estiman innecesaria esta declaración en el proceso de amparo, ya que se disfrutó de la misma en la Magistratura de instan</w:t>
      </w:r>
      <w:r>
        <w:lastRenderedPageBreak/>
        <w:t>cia. Insisten en la petición de designación de Procurador del turno de oficio para que los represente en la tramitación del recurso presentado.</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dictó providencia en 26 de septiembre pasado declarando no haber lugar al nombramiento de Procurador de oficio que se solicita y concediendo un plazo de diez días a los recurrentes para que comparezcan por medio de Procurador o, si estuvieren en situación de pobreza, lo solicitaren de este Tribunal.</w:t>
      </w:r>
    </w:p>
    <w:p w:rsidR="00256EE9" w:rsidRDefault="00256EE9" w:rsidP="00256EE9">
      <w:pPr>
        <w:pStyle w:val="TextoNormal"/>
      </w:pPr>
    </w:p>
    <w:p w:rsidR="00256EE9" w:rsidRDefault="00256EE9" w:rsidP="00256EE9">
      <w:pPr>
        <w:pStyle w:val="TextoNormal"/>
      </w:pPr>
      <w:r w:rsidRPr="00256EE9">
        <w:rPr>
          <w:rStyle w:val="NumeroAFNegritaCaracter"/>
        </w:rPr>
        <w:t>5</w:t>
      </w:r>
      <w:r>
        <w:t>. Los recurrentes de amparo por medio de un nuevo escrito insistieron en su alegación anteriormente formulada de entender que, habiendo sido defendidos por pobres en la vía judicial precedente a que se refieren los artículos 43 y 44 de la Ley Orgánica del Tribunal Constitucional, tienen derecho a gozar de este beneficio en el proceso de amparo.</w:t>
      </w:r>
    </w:p>
    <w:p w:rsidR="00256EE9" w:rsidRDefault="00256EE9" w:rsidP="00256EE9">
      <w:pPr>
        <w:pStyle w:val="TextoNormal"/>
      </w:pPr>
    </w:p>
    <w:p w:rsidR="00256EE9" w:rsidRDefault="00256EE9" w:rsidP="00256EE9">
      <w:pPr>
        <w:pStyle w:val="TextoNormal"/>
      </w:pPr>
      <w:r w:rsidRPr="00256EE9">
        <w:rPr>
          <w:rStyle w:val="NumeroAFNegritaCaracter"/>
        </w:rPr>
        <w:t>6</w:t>
      </w:r>
      <w:r>
        <w:t>. En 7 de noviembre, la Sección concedió a los recurrentes y al Ministerio Fiscal un plazo común de diez días para alegaciones sobre la posible existencia de las causas de inadmisión reguladas en los arts. 50.1 b), en relación con el 81.1 de la Ley Orgánica del Tribunal Constitucional; la del 50.1 b), por no indicarse si los comparecientes lo hacen en nombre del Comité de Empresa o a título personal; la del 50.1 b), en relación con el 44.1 c), y la del 50.2 b), todos ellos de la LOTC.</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Dentro del plazo concedido, los demandantes presentaron escrito de alegaciones en las que reiteran sus manifestaciones anteriores con respecto al nombramiento de Procurador de oficio; dicen actuar y haber actuado siempre en su calidad de miembros del Comité de trabajadores de la empresa «Magi Pellicer Blay»; la invocación del derecho constitucional que estiman vulnerado la hicieron al tener conocimiento del Auto de 4 de junio de 1984, cuyo considerando tercero resulta anticonstitucional, por lo que presentaron escrito de fecha 24 de julio de 1984, en el que consta dicha preceptiva invocación constitucional; de todo lo alegado entienden que se infiere que la demanda encierra contenido claramente constitucional y referido a derechos y libertades susceptibles de recurso de amparo. </w:t>
      </w:r>
    </w:p>
    <w:p w:rsidR="00256EE9" w:rsidRDefault="00256EE9" w:rsidP="00256EE9">
      <w:pPr>
        <w:pStyle w:val="TextoNormal"/>
      </w:pPr>
      <w:r>
        <w:t xml:space="preserve">El Fiscal General del Estado estima que la demanda carece de contenido que justifique una decisión de este Tribunal, toda vez que el art. 24.1 no fue infringido porque la resolución impugnada resuelve la cuestión planteada de forma motivada y fundada, aunque no fuera favorable a los recurrentes de amparo. La referencia que se hace en el escrito inicial al art. 14 de la Constitución parece puramente formularia, sin que, por otra parte, se establezca, ni remotamente, el obligado tertium comparationis. Los recurrentes no aprovecharon el plazo de diez días que se les concedió para justificar su situación de pobreza, ni han conferido la representación a Procurador, por lo que la demanda incide en la causa de inadmisión prevista en el art. 50.1 b). </w:t>
      </w:r>
    </w:p>
    <w:p w:rsidR="00256EE9" w:rsidRDefault="00256EE9" w:rsidP="00256EE9">
      <w:pPr>
        <w:pStyle w:val="TextoNormal"/>
      </w:pPr>
      <w:r>
        <w:t>Tampoco han justificado los recurrentes su representación para actuar en nombre del Comité de Empresa. Por último, dice el Fiscal, se ha incumplido lo exigido en el art. 44.1 c), pues el recurso de reforma contra la providencia era el momento oportuno para invocar los derechos constitucionales que se dicen vulnerados. Por todo ello, solicita se dicte Auto acordando la inadmisibilidad de la demanda.</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Sólo a la persistencia de la defensa de los recurrentes en el equivocado criterio de que la gratuidad del proceso laboral, y los beneficios que en orden a la postulación esto representa según lo prevenido en el art.  12 de la Ley de Procedimiento Laboral, deben llevar, sin más, a proporcionarles la representación de Procurador del turno de oficio, es la que ha conducido a que ahora el recurso de amparo esté incurso en la causa de inadmisión del artículo 50.1 b), en relación con el art. 81 de la LOTC. Con flexibilidad e instruyendo adecuadamente a los recurrentes -y a la defensa letrada que ellos mismos han designado- ya señalamos el camino que debían seguir, y este camino ha sido obstinadamente desatendido por dicha parte.</w:t>
      </w:r>
    </w:p>
    <w:p w:rsidR="00256EE9" w:rsidRDefault="00256EE9" w:rsidP="00256EE9">
      <w:pPr>
        <w:pStyle w:val="TextoNormal"/>
      </w:pPr>
    </w:p>
    <w:p w:rsidR="00256EE9" w:rsidRDefault="00256EE9" w:rsidP="00256EE9">
      <w:pPr>
        <w:pStyle w:val="TextoNormal"/>
      </w:pPr>
      <w:r w:rsidRPr="00256EE9">
        <w:rPr>
          <w:rStyle w:val="NumeroAFNegritaCaracter"/>
        </w:rPr>
        <w:t>2</w:t>
      </w:r>
      <w:r>
        <w:t>. También en lo que se refiere a la representación ha incurrido la defensa de los actores en el error de definir -y justificar- quién es la parte actora y cómo se articula su representación.  Si la parte demandante es el Comité de Empresa, y no alguno de sus miembros a título personal, debió articularse la demanda a nombre del Comité, actuando por él los que acreditando pertenecer al mismo, constituyeran quorum suficiente para comprometer en el proceso a dicho Comité. Ha creído la defensa de los trabajadores que el amparo es una prolongación de la vía judicial y que, con las acreditaciones obrantes en el proceso laboral quedaba dispensado de justificar aquí la representación del Comité.  Esto no es así, pues el proceso de amparo se inicia por demanda (art.  49.1 de la LOTC) y uno de los documentos a acompañar [lo dice el art. 49.2 a)] es el que acredita la representación y cuando no se hace, y se persiste en el defecto, a pesar de las posibilidades sanatorias brindadas, el recurso es inadmisible, a tenor del art. 50.1 b)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Si la protección jurisdiccional de los derechos y libertades compete, en primer lugar, a los Jueces y Tribunales, y sólo cuando en el proceso precedente no se obtiene la satisfacción de esos derechos, o es en el mismo proceso, donde se encuentra el acto lesivo en los términos que resultan del art. 44 de la LOTC, es claro que debe darse cumplimiento a la regla del apartado 1 c) de este precepto tan pronto como, una vez conocida la violación, hubiere lugar para ello.  Esto es, cabalmente, lo que no se ha hecho en el presente caso, pues si la lesión es imputable a la providencia del 15 de mayo, fue el recurso de reposición el acto hábil para denunciar la hipotética violación del art. 24.1 de la Constitución.</w:t>
      </w:r>
    </w:p>
    <w:p w:rsidR="00256EE9" w:rsidRDefault="00256EE9" w:rsidP="00256EE9">
      <w:pPr>
        <w:pStyle w:val="TextoNormal"/>
      </w:pPr>
      <w:r>
        <w:t>Pretende el demandante que la violación se encuentra no en la providencia, sino en el acto resolutorio de la reposición, y no, en verdad, en la decisión, puesto que confirma la providencia recurrida, sino en uno de los fundamentos del Auto, en el que parecen ver los actores una argumentación contraria al art. 14 de la Constitución y, en concreto, una discriminación por razón de sexo.  El alegato no es afortunado y muestra -como pasamos a estudiar- un extravagante enfoque del tema.  De todos modos es claro que no se ha cumplido lo dispuesto en el art. 44.1 c) de la LOTC, pues la lesión, de existir, estaría en la providencia ratificada por el Auto.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Con ser todas las indicadas razones suficientes para que inadmitamos el recurso por aplicación del art. 50.1 b) de la LOTC, vamos también a fundarlo en la manifiesta falta de contenido constitucional que, a tenor del artículo 50.2 b) de la LOTC, es otra de las causas de inadmisión. Para ver que este es el caso del recurso, basta decir que sostuvieron los actores que al embargo preventivo de elementos de una Empresa en la que trabajaban, se </w:t>
      </w:r>
      <w:r>
        <w:lastRenderedPageBreak/>
        <w:t>aplicara la administración judicial que autoriza y regula el Decreto-ley 18/1969, de 20 de octubre, cuando para la salvaguardia del interés general, sea conveniente esta medida.  Por considerar que no concurrían los requisitos establecidos al efecto, fue rechazada tal pretensión, y se dice ahora que tal decisión quebranta el art.  24.1, y también el art. 14, ambos de la Constitución, porque -esto ultimo- al analizar el Magistrado de Trabajo la naturaleza de los bienes para inferir si aconsejaban la introducción de la indicada medida de administración, consideró, entre otros aspectos, que la inmovilización de los bienes embargados no generaba esa situación que reclamara la medida de administración, añadiendo que «a pesar de la influencia que desde el punto de vista de su valor sobre ellos ejerce la temporada y la moda, al tratarse de prendas de vestir en su mayoría, pues no hay que olvidar que dichas prendas son masculinas y que esta moda tiene una vigencia en el tiempo que excede de una anualidad».  Por sorprendente que parezca, es aquí donde los demandantes quieren ver un atentado a la igualdad y una discriminación por razón del sexo.  No es menester añadir nada más para concluir que el recurso carece de contenido, y aun de toda coherencia jurídica, tanto desde el ángulo del art.  24.1 como del art.  14.</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la inadmisión del presente recurso.</w:t>
      </w:r>
    </w:p>
    <w:p w:rsidR="00256EE9" w:rsidRDefault="00256EE9" w:rsidP="00256EE9">
      <w:pPr>
        <w:pStyle w:val="TextoNormal"/>
      </w:pPr>
    </w:p>
    <w:p w:rsidR="00256EE9" w:rsidRDefault="00256EE9" w:rsidP="00256EE9">
      <w:pPr>
        <w:pStyle w:val="TextoNormal"/>
      </w:pPr>
      <w:r>
        <w:t>Madrid, a nueve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65" w:name="AUTO_1985_4"/>
      <w:r>
        <w:lastRenderedPageBreak/>
        <w:t>AUTO 4/1985, de 9 de enero de 1985</w:t>
      </w:r>
    </w:p>
    <w:bookmarkEnd w:id="65"/>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592/1984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Procuradora doña María Dolores Girón Arjonilla, en nombre y representación de doña María Justa Valmayor Muiña, formuló demanda de amparo constitucional contra la Sentencia de la Magistratura de Trabajo número 1 de Lugo, de 28 de junio de 1984, que fijó la cuantía correspondiente a las pensiones de jubilación y viudedad de la actora. La demanda se fundamenta en los siguientes hechos: a) Desde el día 2 de enero de 1982 la actora venía percibiendo una pensión de viudedad cuya cuantía, con el incremento de 1983, era de 17.925 pesetas mensuales. Su desglose era el siguiente: Pensión, 1.510 pesetas; mejoras, 8.587 pesetas, y mínimos, 7.830 pesetas. En octubre de 1983 solicitó la pensión de jubilación, siéndole reconocida en cuantía de 15.197 pesetas. b) El Instituto Nacional de la Seguridad Social estimó que la cuantía que le correspondía percibir por las pensiones era inferior, por lo que formuló demanda contra la señora Valmayor para obtener la supresión de la cantidad de 7.830 pesetas, señalada como complemento para mínimos en la pensión de viudedad, así como la devolución de las cantidades indebidamente percibidas. La pretensión se funda en el carácter absorbible de los mínimos en el supuesto de concurrencia de pensiones. c) El Magistrado de Trabajo del núm. 1 de Lugo dictó Sentencia en 28 de junio de 1984, estimando parcialmente la demanda, acordó la reducción de la pensión de viudedad en la cuantía reclamada y denegó la devolución solicitada. En la Sentencia se declara que el complemento otorgado para alcanzar el mínimo tiene el carácter de absorbible con cualquier incremento que puedan experimentar las percepciones del interesado y ha de suprimirse o reducirse por el reconocimiento de nuevas pensiones. La demandante estima vulnerado el art. 14 de la Constitución, toda vez que el complemento de pensión se le suprime por reconocérsele una pensión de jubilación y no se le hubiera suprimido si el incremento de ingresos se derivara de fuente distinta a la pensión, ya que este complemento por mínimos es compatible con rentas de capital o trabajo que superen las 415.000 pesetas anuales, mientras que es incompatible con rentas procedentes de otra pensión de cuantía inferior. (Orden de 17 de marzo de 1983.).</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Tercera, por providencia de 31 de julio pasado, concedió un plazo de diez días a la representación de la actora y al Ministerio Fiscal para que alegaran lo que estiman procedente en orden a la posible existencia de las causas de inadmisión que regu</w:t>
      </w:r>
      <w:r>
        <w:lastRenderedPageBreak/>
        <w:t>lan los arts. 50.1 b), en relación con el 49.2 a) y 50.1 b), en relación con el 49.2 b), todos ellos de la Ley Orgánica de este Tribunal.</w:t>
      </w:r>
    </w:p>
    <w:p w:rsidR="00256EE9" w:rsidRDefault="00256EE9" w:rsidP="00256EE9">
      <w:pPr>
        <w:pStyle w:val="TextoNormal"/>
      </w:pPr>
    </w:p>
    <w:p w:rsidR="00256EE9" w:rsidRDefault="00256EE9" w:rsidP="00256EE9">
      <w:pPr>
        <w:pStyle w:val="TextoNormal"/>
      </w:pPr>
      <w:r w:rsidRPr="00256EE9">
        <w:rPr>
          <w:rStyle w:val="NumeroAFNegritaCaracter"/>
        </w:rPr>
        <w:t>3</w:t>
      </w:r>
      <w:r>
        <w:t>. Acreditada por la Procuradora de la demandante la representación que decía ostentar y presentada copia de la resolución recurrida, la Sección, por providencia de 16 de octubre pasado, puso de manifiesto la posible existencia de la causa de inadmisión regulada por el art. 50.2 b) de la LOTC y concedió nuevamente un plazo de diez días para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representación de la parte demandante presentó escrito en el que insiste en el contenido de su demanda, manifestando que, a su juicio, se está produciendo una violación del principio de igualdad ante la Ley de todos los españoles, puesto que se da un trato desigual a quienes son pensionistas de la Seguridad Social y a quienes perciben pensiones por idéntico hecho causante e idéntica cuantía, según el origen que tengan las nuevas percepciones económicas que puedan disfrutar. El art. 1 de la Orden de 17 de marzo de 1983 es de profundo contenido discriminatorio: al beneficiario pensionista y rentista a la vez no se le inquieta su pensión en tanto no supere 415.000 pesetas anuales de renta de capital; al beneficiario exclusivamente pensionista, por no gozar de rentas de capital alguno, cualquier incremento de su pensión está condenado a la absorción o compensación sin que entre en juego la cantidad tope de 415.000 pesetas exentas para el pensionista-rentista. La reducción de las pensiones de la Seguridad Social, por las que se ha cotizado en su día, representa una discriminación por razón de circunstancias personales, que es precisamente lo que trata de evitar el principio recogido en el art. 14 de nuestra Ley Fundamental. </w:t>
      </w:r>
    </w:p>
    <w:p w:rsidR="00256EE9" w:rsidRDefault="00256EE9" w:rsidP="00256EE9">
      <w:pPr>
        <w:pStyle w:val="TextoNormal"/>
      </w:pPr>
      <w:r>
        <w:t>El Fiscal General del Estado, en su escrito de alegaciones, se refiere a la diferencia que existe entre «percepción» en el sentido especifico de la seguridad social e «ingresos» que pueda percibir el pensionista, procedentes de bienes propios, e incluso de su trabajo. El legislador -a quien también vincula el mandato del art. 14 de la C. E.- ha contemplado situaciones distintas: compatibilidad en las cuantías de varias pensiones hasta unos límites y compatibilidad de una pensión con ingresos de otra naturaleza, con lo que resulta claro que existe un elemento diferenciador de trascendencia jurídica, sin que se haya demostrado otro hecho idéntico que sirviera, inexcusablemente, de término de comparación. La demanda carece, según el Fiscal, de contenido constitucional e incide en la causa de inadmisión prevista en el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Después de subsanadas las omisiones que fueron advertidas en nuestra providencia del 31 de julio último, respecto a la no presentación con la demanda de los documentos que dice el art. 49.2 (en los dos apartados de esta regla) de la LOTC, la cuestión se centra -y se contrae- en si la demanda contiene una pretensión con contenido constitucional, y no cualquier contenido constitucional, sino de los que tienen acceso a la vía de amparo que la Constitución [arts. 53.2 y 161.1 b)] y la citada Ley Orgánica establece como salvaguarda última de los derechos y libertades fundamentales.  Quiere decirse que no proporciona contenido constitucional visto desde el ámbito de los derechos y libertades fundamentales lo que pudiera argüirse -y a lo que en algunos pasajes de la demanda alude la recurrente- acerca de la insuficiencia de las prestaciones sociales concedidas para atender a sus necesidades, y todo ello, decimos, desde el ángulo del art. 41 de la Constitución, pues con no estar este precepto en el catálogo de los que configuran derechos susceptibles de amparo, </w:t>
      </w:r>
      <w:r>
        <w:lastRenderedPageBreak/>
        <w:t>el mismo consagra un principio que debe inspirar la legislación positiva (art. 53.3) y que, ciertamente, en el área de la seguridad social impone, dentro de los objetivos de un Estado social, el prestar una adecuada atención a los que se encuentran en la tercera edad, pero no configura un derecho, pues los derechos de prestación -en el caso, los de la seguridad social- son los definidos en la legislación positiva.</w:t>
      </w:r>
    </w:p>
    <w:p w:rsidR="00256EE9" w:rsidRDefault="00256EE9" w:rsidP="00256EE9">
      <w:pPr>
        <w:pStyle w:val="TextoNormal"/>
      </w:pPr>
    </w:p>
    <w:p w:rsidR="00256EE9" w:rsidRDefault="00256EE9" w:rsidP="00256EE9">
      <w:pPr>
        <w:pStyle w:val="TextoNormal"/>
      </w:pPr>
      <w:r w:rsidRPr="00256EE9">
        <w:rPr>
          <w:rStyle w:val="NumeroAFNegritaCaracter"/>
        </w:rPr>
        <w:t>2</w:t>
      </w:r>
      <w:r>
        <w:t>. Así lo ha comprendido la defensa letrada de la recurrente cuando discurriendo por el camino de la igualdad en la Ley y ante la Ley, que consagra el art.  14 en la medida que proscribe las discriminaciones, ha querido ver una discriminación en el distinto trato -diceque a los pensionistas que tienen también rentas de capital o rentas de trabajo, para los que se establece el límite cuantitativo de incompatibilidad en niveles más altos que en aquellos casos de concurrencia de pensiones. El alegato, sin embargo, no es válido para configurar una pretensión fundada en el art.  14, pues con no detectarse propiamente una discriminación de las que en la fórmula abierta del art.  14 están proscritas, se trata de situaciones heterogéneas que no dan pie a una comparación como las que desde el mismo planteamiento de la recurrente presupone el precepto invocado.  Siendo esto así, el amparo está desprovisto de contenido constitucional y no permite conducir el caso por los cauces del amparo, en el que se acusa, no una interpretación o aplicación errónea de las normas atinentes al régimen de las pensiones, sino una extensión del régimen del art. 6.2 del Real Decreto 93/1983, a casos que no están comprendidos en el mismo. Procede, pues, declarar que el recurso es inadmisible según lo previsto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que el recurso planteado por doña María Justa Valmayor Muiña es inadmisible.</w:t>
      </w:r>
    </w:p>
    <w:p w:rsidR="00256EE9" w:rsidRDefault="00256EE9" w:rsidP="00256EE9">
      <w:pPr>
        <w:pStyle w:val="TextoNormal"/>
      </w:pPr>
    </w:p>
    <w:p w:rsidR="00256EE9" w:rsidRDefault="00256EE9" w:rsidP="00256EE9">
      <w:pPr>
        <w:pStyle w:val="TextoNormal"/>
      </w:pPr>
      <w:r>
        <w:t>Madrid, a nueve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66" w:name="AUTO_1985_5"/>
      <w:r>
        <w:lastRenderedPageBreak/>
        <w:t>AUTO 5/1985, de 9 de enero de 1985</w:t>
      </w:r>
    </w:p>
    <w:bookmarkEnd w:id="66"/>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ECLI:ES:TC:1985:5A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702/1984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Doña Evangelina Calvo Alfonso, representada por la Procuradora de los Tribunales doña Rosa María Alvarez Alonso y asistida del Letrado don José Antonio Jiménez Tovar, ha formulado demanda de amparo constitucional contra la Sentencia del Tribunal Central de Trabajo de 21 de julio de 1984, que denegó a la demandante pensión de viudedad, por presunta vulneración del art. 14 de la Constitución. De la demanda de amparo y de la Sentencia que con ella se acompaña se desprenden los siguientes hechos: a) La actora, nacida el 14 de agosto de 1927, estuvo casada con don Clodomiro Seijas Casas, trabajador autónomo del campo afiliado a la Mutualidad Nacional de Previsión Social Agraria, hasta su fallecimiento, ocurrido el 1 de julio de 1964, sin que, debido a la normativa entonces vigente, la actora tuviera derecho a pensión de viudedad. b) Cuando la Ley 1/1980, de 4 de enero, suprimió el requisito de edad mínima de cincuenta años para causar pensión de viudedad en caso de muerte, producida con anterioridad a 1 de julio de 1975, de trabajador por cuenta propia o pensionista del Régimen Especial Agrario de la Seguridad Social, la actora solicitó la pensión de viudedad, que le fue denegada por Resolución de 10 de septiembre de 1981, fundada en que su marido no perteneció nunca al Régimen Especial Agrario, por haber fallecido antes de la entrada en vigor de éste el 1 de enero de 1967. c) La actora formuló demanda judicial que fue estimada por Sentencia de la Magistratura de Trabajo núm. 9 de Madrid de 23 de noviembre de 1982; mas interpuesto recurso de suplicación por el Instituto Nacional de Seguridad Social, el Tribunal Central de Trabajo revocó la Sentencia de instancia, considerando que la Ley 1/1980 sólo comprende los supuestos de fallecimientos ocurridos entre la entrada en vigor del Régimen Especial Agrario y el 1 de julio de 1975. La demandante denuncia la vulneración del art. 14 de la Constitución por considerar discriminación el distinto tratamiento dado a supuestos iguales exclusivamente por el hecho del momento del fallecimiento y de la afiliación del trabajador al Régimen Especial o a su antecedente. Estima que la interpretación de la Ley 1/1980 no puede ser la restrictiva establecida por el Tribunal Central de Trabajo, tanto por ser el Régimen Especial continuador de la Mutualidad Nacional de Previsión cuyas cotizaciones se computan para aquél, como porque los requisitos exigidos para la pensión de viudedad sólo pueden cumplirse partiendo de la afiliación a dicha Mutualidad.</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xml:space="preserve">. La Sección Cuarta, en su reunión del día 21 de noviembre pasado, acordó incorporar a las actuaciones copia de la Sentencia 70/1983, de 26 de julio, de este Tribunal, publicada en el «Boletín Oficial del Estado» de 18 de agosto de 1983 y poner de manifiesto la posible concurrencia en el presente recurso de la causa de inadmisión que regula el art. 50.2 c) de la Ley Orgánica de este Tribunal, por lo que, conforme a lo dispuesto en el art. 50, apartados 1 y 2 de dicha Ley, otorgó un plazo al demandante del amparo y al Ministerio Fiscal de diez días para que dentro de él pudieran realizar las oportunas alegaciones. </w:t>
      </w:r>
    </w:p>
    <w:p w:rsidR="00256EE9" w:rsidRDefault="00256EE9" w:rsidP="00256EE9">
      <w:pPr>
        <w:pStyle w:val="TextoNormal"/>
      </w:pPr>
      <w:r>
        <w:t xml:space="preserve">La solicitante del amparo, en su escrito de alegaciones, insiste en sus iniciales pretensiones, afirmando que la recordada Sentencia de este Tribunal reviste similitud con su caso, en cuanto a que en aquél y en éste se trata de situaciones de viudedad de trabajadores del campo, Régimen Especial Agrario y Ley de 4 de enero de 1980, pero los supuestos de hechos no son sustancialmente iguales, como se desprende de los antecedentes recogidos en la Sentencia 70/1983 de este Tribunal y los relacionados en nuestro escrito de recurso de amparo. La Ley de 4 de enero de 1980 dispuso que en caso de muerte anterior al 1 de julio de 1975 se otorgaría pensión a la viuda del trabajador por cuenta propia o pensionista del Régimen Especial Agrario de la Seguridad Social, que reuniendo en aquel momento los demás requisitos exigidos para el disfrute de esta prestación, tuvieran menos de cincuenta años a la fecha del fallecimiento del esposo. </w:t>
      </w:r>
    </w:p>
    <w:p w:rsidR="00256EE9" w:rsidRDefault="00256EE9" w:rsidP="00256EE9">
      <w:pPr>
        <w:pStyle w:val="TextoNormal"/>
      </w:pPr>
      <w:r>
        <w:t xml:space="preserve">Crea desigualdad el resultado de la aplicación de la Ley 1 del mes de enero de 1980 respecto de las viudas de trabajadores fallecidos antes del año 1967, a las que se deniega la prestación cumpliendo todos los requisitos legales, violando garantías constitucionales que afectan a los derechos fundamentales protegidos en los arts. 14 al 29 de la Constitución, habiéndose pronunciado ya este Tribunal en Sentencia de 5 de mayo de 1982, en cuanto a los supuestos en que se plantee la tensión entre la temporalidad y desigualdad, considerando que no es un motivo suficiente para establecer un trato diferente el dato de que el hecho causante se haya producido antes o después de una determinada fecha. </w:t>
      </w:r>
    </w:p>
    <w:p w:rsidR="00256EE9" w:rsidRDefault="00256EE9" w:rsidP="00256EE9">
      <w:pPr>
        <w:pStyle w:val="TextoNormal"/>
      </w:pPr>
      <w:r>
        <w:t xml:space="preserve">Es una desigualdad patente que se sufre en la persona de la viuda, y sobre todo en sus hijos, en la que la temporalidad de la norma no desmembra la esencial, sino al contrario, debido al carácter cada vez más social y progresivo que la Constitución protege o contempla en sus normas. </w:t>
      </w:r>
    </w:p>
    <w:p w:rsidR="00256EE9" w:rsidRDefault="00256EE9" w:rsidP="00256EE9">
      <w:pPr>
        <w:pStyle w:val="TextoNormal"/>
      </w:pPr>
      <w:r>
        <w:t xml:space="preserve">Y no debe tratarse de que haya identidad o separación entre la interpretación del juzgador y el criterio del legislador. El juzgador inicial, la Magistratura de Trabajo, en su Sentencia de primera instancia, interpretó la norma adecuadamente en su vinculación a la Constitución, con el respeto a la misma, contemplando directamente los hechos y la particular situación creada. </w:t>
      </w:r>
    </w:p>
    <w:p w:rsidR="00256EE9" w:rsidRDefault="00256EE9" w:rsidP="00256EE9">
      <w:pPr>
        <w:pStyle w:val="TextoNormal"/>
      </w:pPr>
      <w:r>
        <w:t xml:space="preserve">Hay desigualdad que implícitamente se reconoce en el fundamento jurídico 2 de la Sentencia de 26 de julio de 1983, al expresar éste que no es sino la derivada del distinto tratamiento temporal de situaciones iguales, motivadas por la sucesión normativa, y precisamente lo que consagra el art. 14 de la Constitución es la igualdad de tratamiento legal y jurídico ante las situaciones iguales, por lo que el criterio legislativo pudo ser equivocado y es en tal supuesto regresivo socialmente a la vista de los mandatos de la propia Constitución, en sus arts. 1.1 y 9.2, capítulo III, etc., pudiendo en estos supuestos darse el caso, y se da, de mujeres que han quedado viudas a los cuarenta y nueve años, sin derecho a pensión hasta no alcanzar la edad de sesenta y cinco, y que fallezcan a los sesenta y cuatro años, por ejemplo, viéndose privadas por ello de percibir una pensión justa y mínima para la que se realizaron todas las prestaciones. </w:t>
      </w:r>
    </w:p>
    <w:p w:rsidR="00256EE9" w:rsidRDefault="00256EE9" w:rsidP="00256EE9">
      <w:pPr>
        <w:pStyle w:val="TextoNormal"/>
      </w:pPr>
      <w:r>
        <w:t xml:space="preserve">El Fiscal General del Estado, en sus alegaciones, señala que la causa de inadmisión del art. 50.2 c) de la LOTC ha sido acotada por la jurisprudencia de este Tribunal en cuanto a </w:t>
      </w:r>
      <w:r>
        <w:lastRenderedPageBreak/>
        <w:t xml:space="preserve">su contenido, requisitos y efectos de una manera muy precisa. El Auto de la Sala Primera de 10 de noviembre de 1982 los establece en la siguiente forma: que el proceso constitucional verse sobre el fondo del asunto, cualquiera que sea la forma que la resolución adopte (Auto o Sentencia); no exigencia de identidad subjetiva; supuesto sustancialmente igual, es decir identidad del petitum. Si se dan estos extremos se podrá aplicar la causa de inadmisión de este artículo. En el supuesto que contemplamos la Sentencia de la Sala Segunda del Tribunal Constitucional, de fecha 26 de julio de 1983, resuelve un supuesto que presenta «igualdad sustancial» con el que es objeto del recurso de amparo que examinamos. </w:t>
      </w:r>
    </w:p>
    <w:p w:rsidR="00256EE9" w:rsidRDefault="00256EE9" w:rsidP="00256EE9">
      <w:pPr>
        <w:pStyle w:val="TextoNormal"/>
      </w:pPr>
      <w:r>
        <w:t xml:space="preserve">El supuesto de hecho consistía en la solicitud de reconocimiento del derecho a pensión de viudedad causada por un trabajador autónomo del campo, afiliado a la Mutualidad Nacional Agraria, cuyo fallecimiento se produjo el 11 de julio de 1965, dejando viuda con una edad inferior a sesenta y cinco años y no teniendo derecho a reclamarla por no haber cumplido los cincuenta años en el momento del óbito. La Sentencia del Tribunal Central de Trabajo denegó el derecho a la reclamación de la pensión absolviendo al Instituto Nacional de la Seguridad Social. </w:t>
      </w:r>
    </w:p>
    <w:p w:rsidR="00256EE9" w:rsidRDefault="00256EE9" w:rsidP="00256EE9">
      <w:pPr>
        <w:pStyle w:val="TextoNormal"/>
      </w:pPr>
      <w:r>
        <w:t xml:space="preserve">El recurso de amparo se interpuso contra la misma en base a la presunta violación del art. 14 de la Constitución. </w:t>
      </w:r>
    </w:p>
    <w:p w:rsidR="00256EE9" w:rsidRDefault="00256EE9" w:rsidP="00256EE9">
      <w:pPr>
        <w:pStyle w:val="TextoNormal"/>
      </w:pPr>
      <w:r>
        <w:t xml:space="preserve">La Sentencia del Tribunal Constitucional denegó el amparo solicitado por entender que no se había violado el art. 14 de la Constitución. </w:t>
      </w:r>
    </w:p>
    <w:p w:rsidR="00256EE9" w:rsidRDefault="00256EE9" w:rsidP="00256EE9">
      <w:pPr>
        <w:pStyle w:val="TextoNormal"/>
      </w:pPr>
      <w:r>
        <w:t xml:space="preserve">La pretensión deducida en el recurso de amparo que ahora se estudia es exactamente igual al contemplado en la Sentencia que hemos mencionado. </w:t>
      </w:r>
    </w:p>
    <w:p w:rsidR="00256EE9" w:rsidRDefault="00256EE9" w:rsidP="00256EE9">
      <w:pPr>
        <w:pStyle w:val="TextoNormal"/>
      </w:pPr>
      <w:r>
        <w:t xml:space="preserve">El supuesto de hecho sólo presenta la variación de la fecha del fallecimiento, pero ambas son anteriores al año 1967. El derecho constitucional invocado es el mismo: el principio de igualdad del art. 14 de la Constitución. </w:t>
      </w:r>
    </w:p>
    <w:p w:rsidR="00256EE9" w:rsidRDefault="00256EE9" w:rsidP="00256EE9">
      <w:pPr>
        <w:pStyle w:val="TextoNormal"/>
      </w:pPr>
      <w:r>
        <w:t>Se dan, pues, los requisitos exigidos por el Tribunal Constitucional para la concurrencia de la causa de inadmisión del art. 50.2 c) de la LOTC, por lo que procede su aplicación.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Sin necesidad de entrar a valorar la imprecisión en relación al acto recurrido, que debió ser la Resolución del Instituto Nacional de Seguridad Social, que denegó la pensión de viudedad, y no la Sentencia del Tribunal Central de Trabajo, basta para inadmitir la presente demanda de amparo con recurrir a la causa prevista por el art. 50.2 c) de la Ley Orgánica del Tribunal Constitucional por haberse desestimado en el fondo un recurso de amparo en supuesto sustancialmente igual.</w:t>
      </w:r>
    </w:p>
    <w:p w:rsidR="00256EE9" w:rsidRDefault="00256EE9" w:rsidP="00256EE9">
      <w:pPr>
        <w:pStyle w:val="TextoNormal"/>
      </w:pPr>
      <w:r>
        <w:t>En efecto, la Sentencia de la Sala Segunda núm. 70/1983, de 26 de julio («Boletín Oficial del Estado» de 18 de agosto), declaró inexistente la pretendida vulneración del principio de igualdad, pues la Ley 1/1980 limitaba su alcance, como se deducía con claridad de los antecedente.s, a los fallecimientos de trabajadores pertenecientes al Régimen Especial Agrario de la Seguridad Social ocurridos entre 1967 y 1975, no extendiéndose a los anteriores de pertenecientes a la Mutualidad de Previsión Social Agraria, sin que la diferenciación efectuada pudiera estimarse inconstitucional al existir una diferencia real entre los afiliados a uno y otro régimen con una distinta normativa.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afirmación que realiza la representación de doña Evangelina Calvo Alfonso en el trámite de alegaciones que se le confirió en relación con la causa de inadmisión propuesta, en el sentido de que los supuestos de hecho de la Sentencia 70/1983 de este Tribunal y los </w:t>
      </w:r>
      <w:r>
        <w:lastRenderedPageBreak/>
        <w:t>relacionados en su recurso de amparo, no son sustancialmente iguales, no puede ser admitida.  La actora, como se ha dicho en los antecedentes, nació el 14 de agosto de 1927 y estuvo casada con don Clodomiro Seijas Casas, trabajador autónomo del campo, afiliado a la Mutualidad Nacional de Previsión Agraria hasta su fallecimiento, ocurrido el 1 de julio de 1964, y no tuvo derecho a la pensión de viudedad en razón a la normativa entonces vigente.  En el caso de la Sentencia 70/1983 la allí recurrente había nacido el 17 de abril de 1928 y había estado casada con un trabajador agrícola por cuenta propia afiliado a la Mutualidad Nacional de Previsión Agraria, hasta que falleció el 11 de julio de 1965.  Una u otra formularon su reclamación al suprimir la Ley 1/1980, de 4 de enero, sobre Seguridad Social Agraria, el requisito de los cincuenta años para tener derecho a pensión de viudedad. Por consiguiente, dada la sustancial identidad de los supuestos, cuanto se dijo en la precitada Sentencia 70/1983 puede repetirse ahora y es además incuestionable la aplicación de lo dispuesto en el articulo 50.2 c) que exonera a este Tribunal de la total tramitación del recurso de amparo, con el pronunciamiento final de una Sentencia, facultándole para inadmitir el asunto cuando hubiera ya desestimado un recurso o cuestión de inconstitucionalidad o un recurso de amparo en supuesto sustancialmente igual.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la inadmisibilidad del recurso promovido por doña Evangelina Calvo Alfonso.</w:t>
      </w:r>
    </w:p>
    <w:p w:rsidR="00256EE9" w:rsidRDefault="00256EE9" w:rsidP="00256EE9">
      <w:pPr>
        <w:pStyle w:val="TextoNormal"/>
      </w:pPr>
    </w:p>
    <w:p w:rsidR="00256EE9" w:rsidRDefault="00256EE9" w:rsidP="00256EE9">
      <w:pPr>
        <w:pStyle w:val="TextoNormal"/>
      </w:pPr>
      <w:r>
        <w:t>Madrid, a nueve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67" w:name="AUTO_1985_6"/>
      <w:r>
        <w:lastRenderedPageBreak/>
        <w:t>AUTO 6/1985, de 9 de enero de 1985</w:t>
      </w:r>
    </w:p>
    <w:bookmarkEnd w:id="67"/>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ECLI:ES:TC:1985:6A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705/1984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que ha tenido entrada en este Tribunal el día 13 de octubre de 1984, el Procurador de los Tribunales don Julián Zapata Díaz, en nombre y representación del Ayuntamiento de Zugarramurdi y de don Angel Urteaga Echenique, don Jesús Bidegain Olagaray, don Miguel Iribarren Aisa, don Benito Suhas Migueltorena, don Miguel Aritzia Carricaburu, don Antonio Orgambide, don Antonio Echeverría Arraztoa, doña María Luisa Tomasena Mihura, don Juan Martín Echenique Berasain, don Anastasio Goyeneche Olandegui, doña Juana Mendiburu Gaztambide, don Carlos Goño Echaide, don Juan Indart Bello, don Bartolomé Camino Echenique, don Lucio Echenique Adansa, doña María Fagoaga Echenique, don Eugenio Sanisñena Elizagoyen, don Juan Mihura Zubieta, don Martín Dainciart Irigoyen, doña Juana Bidegain Echeverría, doña María Marta Echeveste Tomasena, don Francisco Echeverría Arbea, don Juan Urrutia Erramuzpe, doña Genoveva Iribarren Adansa, doña Isidora Agesta Barandiarán, doña María Josefa Beola Sagarzazu, don Víctor Irazoqui Laurencena, doña Felisa Iturbide Juanicotena, doña Victoria Echenique Fagoaga y don José María Camino Echenique, interpone recurso de amparo constitucional contra el Acuerdo de la Excma. Diputación Foral de Navarra, de 29 de marzo de 1979, confirmado tácitamente en reposición, y contra la Sentencia dictada por la Sala Cuarta del Tribunal Supremo de 2 de julio de 1984, cuya nulidad solicita, así como la de las demás actuaciones de los expedientes y recursos en los que recayeron, invocando la vulneración del art. 24 de la Constitución, en cuanto se ha producido indefensión.</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que dan lugar al presente recurso son los siguientes: </w:t>
      </w:r>
    </w:p>
    <w:p w:rsidR="00256EE9" w:rsidRDefault="00256EE9" w:rsidP="00256EE9">
      <w:pPr>
        <w:pStyle w:val="TextoNormal"/>
      </w:pPr>
      <w:r>
        <w:t xml:space="preserve">A principios del año 1889, con la conformidad, al parecer, de los Ayuntamientos de Zugarramurdi y del Noble Valle y Universidad del Baztán, 58 caseríos y sus pertenecidos, enclavados dentro del término jurisdiccional de este último Municipio, se consideraban, a efectos contributivos, como pertenecientes al Ayuntamiento de Zugarramurdi, figurando en la Hoja Catastral de éste, apareciendo sus ocupantes inscritos en el padrón de vecinos del citado Ayuntamiento y figurando como tales a efectos judiciales y de actuación electoral. </w:t>
      </w:r>
    </w:p>
    <w:p w:rsidR="00256EE9" w:rsidRDefault="00256EE9" w:rsidP="00256EE9">
      <w:pPr>
        <w:pStyle w:val="TextoNormal"/>
      </w:pPr>
      <w:r>
        <w:t xml:space="preserve">Por aquellas fechas, los referidos caseríos fueron agregados, por efecto de los trabajos de los Servicios de Estadística de la Excma. </w:t>
      </w:r>
    </w:p>
    <w:p w:rsidR="00256EE9" w:rsidRDefault="00256EE9" w:rsidP="00256EE9">
      <w:pPr>
        <w:pStyle w:val="TextoNormal"/>
      </w:pPr>
      <w:r>
        <w:lastRenderedPageBreak/>
        <w:t xml:space="preserve">Diputación Foral y Provincial al Municipio del Valle del Baztán, lo que motivó un escrito del Ayuntamiento de Zugarramurdi solicitando el restablecimiento de la anterior situación, con declaración de que los 58 caseríos con sus pertenencias sean y se entiendan en lo sucesivo, para todos los efectos, de su jurisdicción municipal. </w:t>
      </w:r>
    </w:p>
    <w:p w:rsidR="00256EE9" w:rsidRDefault="00256EE9" w:rsidP="00256EE9">
      <w:pPr>
        <w:pStyle w:val="TextoNormal"/>
      </w:pPr>
      <w:r>
        <w:t xml:space="preserve">Tal solicitud fue resuelta por un Decreto de la Diputación, de 14 de di ciembre de 1889, en el sentido que «los 58 caseríos a que este expediente se refiere deben figurar como parte integrante del Municipio de Zugarramurdi para los efectos de la tributación». </w:t>
      </w:r>
    </w:p>
    <w:p w:rsidR="00256EE9" w:rsidRDefault="00256EE9" w:rsidP="00256EE9">
      <w:pPr>
        <w:pStyle w:val="TextoNormal"/>
      </w:pPr>
      <w:r>
        <w:t xml:space="preserve">Esta situación fue alterada ya en época más cercana, a solicitud del Ayuntamiento de Baztán, por Acuerdo de la Excma. Diputación Foral, de 29 de marzo de 1979, que ordenó la modificación de las Hojas Catastrales, causando baja en la de Zugarramurdi, los 58 caseríos y sus pertenecidos, pasando a figurar en la del Ayuntamiento de Baztán «para todos los efectos y según corresponde, quedando así modificada la anterior situación irregular». </w:t>
      </w:r>
    </w:p>
    <w:p w:rsidR="00256EE9" w:rsidRDefault="00256EE9" w:rsidP="00256EE9">
      <w:pPr>
        <w:pStyle w:val="TextoNormal"/>
      </w:pPr>
      <w:r>
        <w:t xml:space="preserve">Contra este Acuerdo se interpuso por la Corporación ahora demandante recurso de reposición, y contra la desestimación tácita, por silencio, se formalizó el correspondiente recurso contencioso-administrativo ante la Sala de la Audiencia Territorial de Pamplona, la cual tramitó y resolvió el recurso estimándolo y anulando el Acuerdo de la Diputación Foral. </w:t>
      </w:r>
    </w:p>
    <w:p w:rsidR="00256EE9" w:rsidRDefault="00256EE9" w:rsidP="00256EE9">
      <w:pPr>
        <w:pStyle w:val="TextoNormal"/>
      </w:pPr>
      <w:r>
        <w:t>Apelada la Sentencia de la Audiencia Territorial por el Ayuntamiento del Valle de Baztán, la Sala Cuarta del Tribunal Supremo dictó Sentencia el 2 de julio de 1984 -notificada el 20 de septiembre- estimatoria del recurso de apelación, revocando la dictada por la Audiencia Territorial y manteniendo el Acuerdo de la Diputación Foral, por estimarlo conforme a Derecho.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del pasado 14 de noviembre de 1984, la Sección Tercera de este Tribunal puso de manifiesto la posible existencia de las siguientes causas de inadmisión: </w:t>
      </w:r>
    </w:p>
    <w:p w:rsidR="00256EE9" w:rsidRDefault="00256EE9" w:rsidP="00256EE9">
      <w:pPr>
        <w:pStyle w:val="TextoNormal"/>
      </w:pPr>
      <w:r>
        <w:t xml:space="preserve">a) La del art. 50.1 b) en relación con el 44.1 c), ambos de la LOTC, por no haberse invocado en el proceso previo la lesión del derecho constitucional que ahora se invoca. </w:t>
      </w:r>
    </w:p>
    <w:p w:rsidR="00256EE9" w:rsidRDefault="00256EE9" w:rsidP="00256EE9">
      <w:pPr>
        <w:pStyle w:val="TextoNormal"/>
      </w:pPr>
      <w:r>
        <w:t xml:space="preserve">b) La del art. 50.2 b) de la LOTC por manifiesta carencia de contenido constitucional. </w:t>
      </w:r>
    </w:p>
    <w:p w:rsidR="00256EE9" w:rsidRDefault="00256EE9" w:rsidP="00256EE9">
      <w:pPr>
        <w:pStyle w:val="TextoNormal"/>
      </w:pPr>
      <w:r>
        <w:t xml:space="preserve">Dentro del plazo señalado por la indicada providencia han presentado sus escritos la representación de los recurrentes y el Ministerio Fiscal. </w:t>
      </w:r>
    </w:p>
    <w:p w:rsidR="00256EE9" w:rsidRDefault="00256EE9" w:rsidP="00256EE9">
      <w:pPr>
        <w:pStyle w:val="TextoNormal"/>
      </w:pPr>
      <w:r>
        <w:t xml:space="preserve">La representación de los recurrentes sostiene que no se da ninguna de las dos mencionadas causas de inadmisión. La primera de ellas no se daría, en efecto, porque residiendo justamente la lesión en el hecho de que los recurrentes no fueron notificados de la existencia de un procedimiento contencioso-administrativo, en el que no fueron citados ni emplazados, mal puede reprochárseles el que no hayan invocado en él el derecho constitucional que ahora se dice vulnerado. </w:t>
      </w:r>
    </w:p>
    <w:p w:rsidR="00256EE9" w:rsidRDefault="00256EE9" w:rsidP="00256EE9">
      <w:pPr>
        <w:pStyle w:val="TextoNormal"/>
      </w:pPr>
      <w:r>
        <w:t xml:space="preserve">Cita en apoyo de esta tesis numerosas Sentencias y Autos tanto del Pleno como de las dos Salas de este Tribunal. </w:t>
      </w:r>
    </w:p>
    <w:p w:rsidR="00256EE9" w:rsidRDefault="00256EE9" w:rsidP="00256EE9">
      <w:pPr>
        <w:pStyle w:val="TextoNormal"/>
      </w:pPr>
      <w:r>
        <w:t xml:space="preserve">Tampoco se da, piensa la mencionada representación, la segunda de las causas de inadmisión señaladas, puesto que de acuerdo con la doctrina sentada por este Tribunal en numerosas Sentencias, la falta de notificación o emplazamiento a los interesados produce indefensión y esa falta de emplazamiento, que no puede ser suplida por la publicación de anuncios en el «Boletín Oficial del Estado», es la que se ha producido en el presente caso. </w:t>
      </w:r>
    </w:p>
    <w:p w:rsidR="00256EE9" w:rsidRDefault="00256EE9" w:rsidP="00256EE9">
      <w:pPr>
        <w:pStyle w:val="TextoNormal"/>
      </w:pPr>
      <w:r>
        <w:t xml:space="preserve">Esa falta de emplazamiento es tanto más de lamentar cuanto que, tanto en el expediente administrativo como en las actuaciones ante la jurisdicción contenciosa estaban perfectamente identificados el nombre y la dirección de los hoy recurrentes. </w:t>
      </w:r>
    </w:p>
    <w:p w:rsidR="00256EE9" w:rsidRDefault="00256EE9" w:rsidP="00256EE9">
      <w:pPr>
        <w:pStyle w:val="TextoNormal"/>
      </w:pPr>
      <w:r>
        <w:t xml:space="preserve">El Ministerio Fiscal, por su parte, comienza por precisar que si bien el artículo constitucional cuya infracción se invoca es el 24, el recurso se dice formulado al amparo de lo </w:t>
      </w:r>
      <w:r>
        <w:lastRenderedPageBreak/>
        <w:t xml:space="preserve">dispuesto en el art. 43 de la LOTC, solicitándose también la anulación del Acuerdo de la Diputación de Navarra. De hecho, el recurrente parece imputar la indefensión tanto al acto administrativo como a la decisión judicial, pero es claro que la vulneración del art. 24 sólo puede imputarse a esta última y que si los recurrentes, teniendo derecho a ser oídos en el expediente administrativo no lo fueron, podrán impugnar el Acuerdo de la Administración por esta causa, pero no tratar de convertirla en fundamento de un recurso de amparo constitucional. La única indefensión que dentro de éste se puede considerar es la que se imputa a los órganos jurisdiccionales por la falta de notificación o emplazamiento. </w:t>
      </w:r>
    </w:p>
    <w:p w:rsidR="00256EE9" w:rsidRDefault="00256EE9" w:rsidP="00256EE9">
      <w:pPr>
        <w:pStyle w:val="TextoNormal"/>
      </w:pPr>
      <w:r>
        <w:t xml:space="preserve">En segundo término, señala el Ministerio Fiscal que es sorprendente la presencia como actor del presente recurso, del Ayuntamiento de Zugarramurdi, que fue parte en el expediente tramitado ante la Diputación y luego demandante ante la Audiencia Territorial de Pamplona en el recurso contencioso-administrativo y recurrido en apelación contra el mismo ante el Tribunal Supremo. En modo alguno puede sostener este Ayuntamiento que no ha sido parte en unas actuaciones judiciales que le afectaban. </w:t>
      </w:r>
    </w:p>
    <w:p w:rsidR="00256EE9" w:rsidRDefault="00256EE9" w:rsidP="00256EE9">
      <w:pPr>
        <w:pStyle w:val="TextoNormal"/>
      </w:pPr>
      <w:r>
        <w:t>La única cuestión a dilucidar en el recurso de amparo sería, pues, la de si existió o no lesión de los derechos constitucionales de los restantes recurrentes por no haber sido emplazados de forma personal y directa en el recurso contencioso-administrativo, emplazamiento que ha de extenderse a todos aquellos que tengan derecho o interés en el acto impugnado. Sucede en el presente caso, sin embargo, que el enfrentamiento tanto, primero, en el expediente administrativo seguido por la Diputación Foral como, después, en el recurso contencioso-administrativo, se produce sólo entre municipios, sin que afectara para nada a los vecinos de los mismos, pues éstos podrán inclinarse más a una u otra solución en cuanto son vecinos, pero carecen de un interés propio, jurídicamente protegido, que exija su presencia en todo proceso en el que sea parte el Municipio a que pertenecen. Respecto de ellos, por tanto, el recurso carece de contenido constitucional.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Conviene aclarar, en primer término, la muy distinta condición de quienes aparecen conjuntamente como actores en el presente recurso de amparo, pues los fundamentos que para el mismo se aducen, si tienen alguna solidez, al menos aparente, respecto de alguno de ellos, carecen incluso de ese valor aparencial respecto de otros, cuya actitud procesal cabe calificar ya desde ahora como temeraria.</w:t>
      </w:r>
    </w:p>
    <w:p w:rsidR="00256EE9" w:rsidRDefault="00256EE9" w:rsidP="00256EE9">
      <w:pPr>
        <w:pStyle w:val="TextoNormal"/>
      </w:pPr>
      <w:r>
        <w:t>Es claro, en efecto, que fundamentándose el presente recurso de amparo en la presunta vulneración del art. 24 de la Constitución por no haber sido emplazados los recurrentes en el recurso contencioso-administrativo seguido contra el Acuerdo de 29 de marzo de 1979, de la Excma. Diputación Foral de Navarra, carece de todo sentido la presencia en él, como actor, del Ayuntamiento de Zugarramurdi, que fue, precisamente, quien interpuso el mencionado recurso contencioso-administrativo.  Respecto de este recurrente, el recurso carece manifiestamente de contenido constitucional e incluso, cabría decir, de la indispensable seriedad.  Excusado es decir, por lo demás, que en la tramitación de ese recurso contencioso-administrativo, en las dos instancias a que el mismo dio lugar, el Ayuntamiento de Zugarramurdi no invocó, en modo alguno, la presunta vulneración del derecho constitucional que ahora alega y que, por tanto, cabe también oponerle la causa de inadmisión que resulta conjuntamente de los arts. 50.1 b) y 44.1 c), ambos de la Ley Orgánica del Tribunal Constitucional (LOTC).</w:t>
      </w:r>
    </w:p>
    <w:p w:rsidR="00256EE9" w:rsidRDefault="00256EE9" w:rsidP="00256EE9">
      <w:pPr>
        <w:pStyle w:val="TextoNormal"/>
      </w:pPr>
      <w:r>
        <w:t xml:space="preserve">En lo que toca a los vecinos, al resto de los recurrentes, el recurso carece también manifiestamente de contenido constitucional, pues sin entrar a discutir las consideraciones que </w:t>
      </w:r>
      <w:r>
        <w:lastRenderedPageBreak/>
        <w:t>expone el Ministerio Fiscal en cuanto a la titularidad o no de intereses legítimos, es lo cierto que en modo alguno pudieron ser parte, para defender sus intereses, en el recurso contencioso-administrativo ante la Audiencia de Pamplona y, claro está, como consecuencia de ello, tampoco en el recurso de apelación frente a la Sentencia dictada por la Audiencia Territorial.  Dicho recurso contencioso-administrativo se intenta, en efecto, por el Ayuntamiento de Zugarramurdi contra la Diputación Foral de Navarra, que había resuelto en favor de lo sostenido por el Ayuntamiento de Baztán.  Como nuestro ordenamiento sólo permite la presencia en el proceso contencioso-administrativo de coadyuvantes de la Administración demandada, es obvio que los hoy recurrentes sólo hubieran podido comparecer allí para sostener la postura de la Diputación Foral y del Ayuntamiento de Nuevo Baztán, es decir, en definitiva, para sostener la postura que creen contraria a sus propios intereses y que ahora pretenden invalidar a través del presente recurso de amparo, aduciendo indefensión por falta de emplazamiento, aunque es evidente que, de haberse hecho tales emplazamientos, no hubieran podido tampoco concurrir al proceso contencioso-administrativo si no es en contra de sus propios intereses.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todo lo dicho, la Sección acuerda la inadmisión del presente recurso, con imposición de las costas del mismo al Ayuntamiento de Zugarramurdi.</w:t>
      </w:r>
    </w:p>
    <w:p w:rsidR="00256EE9" w:rsidRDefault="00256EE9" w:rsidP="00256EE9">
      <w:pPr>
        <w:pStyle w:val="TextoNormal"/>
      </w:pPr>
    </w:p>
    <w:p w:rsidR="00256EE9" w:rsidRDefault="00256EE9" w:rsidP="00256EE9">
      <w:pPr>
        <w:pStyle w:val="TextoNormal"/>
      </w:pPr>
      <w:r>
        <w:t>Madrid, a nueve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68" w:name="AUTO_1985_7"/>
      <w:r>
        <w:lastRenderedPageBreak/>
        <w:t>AUTO 7/1985, de 9 de enero de 1985</w:t>
      </w:r>
    </w:p>
    <w:bookmarkEnd w:id="68"/>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ECLI:ES:TC:1985:7A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725/1984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Clemente Naranjo Alvarez, funcionario del Cuerpo Superior de Policía, no fue incluido en la relación de los designados por turno de antigüedad, por Orden General de 13 de diciembre de 1979, para realizar el curso de capacitación para el acceso a la Escala de Mando. Presentada reclamación y posterior recurso en vía administrativa, el interesado acudió a la vía contenciosa solicitando la nulidad de las resoluciones recurridas (de la Junta de Seguridad de 18 de enero de 1980 y de la Dirección General de Seguridad de 27 de marzo del mismo año), pidiendo que se declarase su derecho a ser incluido en la relación para el acceso a la Escala de Mando del Cuerpo Superior de Policía por el turno de antigüedad escalafonal, con todos los efectos administrativos, reglamentarios y económicos desde la fecha en que fue promovido para dicho turno el que le seguía en el escalafón que fue promovido a Comisario con antigüedad de 19 de octubre de 1979. </w:t>
      </w:r>
    </w:p>
    <w:p w:rsidR="00256EE9" w:rsidRDefault="00256EE9" w:rsidP="00256EE9">
      <w:pPr>
        <w:pStyle w:val="TextoNormal"/>
      </w:pPr>
      <w:r>
        <w:t>Con fecha 16 de mayo de 1984, la Sala Segunda de lo Contencioso-Administrativo de la Audiencia Territorial de Madrid dictó Sentencia estimando el recurso interpuesto y declarando el derecho del recurrente a ser incluido en la relación para el acceso a la Escala de Mando del Cuerpo Superior de Policía en turno de antigüedad. El interesado solicitó de dicha Sala aclaración de la Sentencia exponiendo que en el «suplico» de la demanda figuraba la petición del reconocimiento «con todos los efectos administrativos, reglamentarios y económicos desde la fecha en que fue promovido para dicho turno al que le seguía en el escalafón don Angel Domingo Blasco», que fue promovido a Comisario el 19 de octubre de 1979, no consta el fallo en ningún sentido, lo que podría determinar una interpretación lesiva para el recurrente. El recurso de aclaración fue resuelto por Auto de 7 de julio de 1984, cuyo segundo considerando expresaba que «la conclusión última del fallo dice que el recurrente tiene derecho a ser incluido en la relación para el acceso a la Escala de Mando del Cuerpo Superior de Policía en turno de antigüedad, se entiende el reglamentario curso de especialización que ordena el Decreto 2038/1975, de 17 de julio, sin que la Sentencia pueda añadir otro pronunciamiento porque ello sería pronunciarse sobre una expectativa»; y en la parte dispositiva el Auto precisaba haber lugar a «manifestar por esta Sala lo que se dice en el considerando anterior al entender como único pronunciamiento el derecho del recurrente a ser incluido en el curso de especialización».</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Don José Clemente Naranjo Alvarez presentó ante este Tribunal, el 23 de octubre de 1984, demanda de amparo contra la Sentencia indicada alegando sustancialmente la vulneración del art. 24.1 de la Constitución porque la Sentencia impugnada, pese a ser estimatoria, no recoge todo lo pedido por el recurrente, lo cual supone un vicio de incongruencia y una denegación de justicia por haberse pedido aclaración y habérsele denegado.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14 de noviembre se acordó oír al recurrente y al Ministerio Fiscal acerca de la posible carencia en la demanda de contenido que justifique una decisión de este Tribunal. </w:t>
      </w:r>
    </w:p>
    <w:p w:rsidR="00256EE9" w:rsidRDefault="00256EE9" w:rsidP="00256EE9">
      <w:pPr>
        <w:pStyle w:val="TextoNormal"/>
      </w:pPr>
      <w:r>
        <w:t xml:space="preserve">El recurrente ha alegado que el contenido constitucional de su pretensión de amparo viene dado por la vulneración del art. 24 de la Constitución al no habérsele otorgado una efectiva tutela jurisdiccional. </w:t>
      </w:r>
    </w:p>
    <w:p w:rsidR="00256EE9" w:rsidRDefault="00256EE9" w:rsidP="00256EE9">
      <w:pPr>
        <w:pStyle w:val="TextoNormal"/>
      </w:pPr>
      <w:r>
        <w:t>El Ministerio Fiscal expone que se pretende de este Tribunal una declaración propia de una segunda instancia judicial e impropia de la presente constitucional.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Frente a la petición deducida en vía contencioso-administrativa de que se declare «que el recurrente tiene derecho y, en consecuencia, debe ser incluido, en la relación para el acceso a la Escala de Mando del Cuerpo Superior de Policía por el turno de antigüedad escalafonal, y debe entenderse promovido al mismo con todos los efectos administrativos, reglamentarios y económicos desde la fecha en que fue promovido en dicho turno el que le seguía en el escalafón: don Angel Domingo Blasco, que fue promovido a Comisario con la antigüedad de 19 de octubre de 1979», la Sentencia de la Sala de la Audiencia Nacional declaró «que el recurrente tiene derecho a ser incluido en la relación para el acceso a la Escala de Mando del Cuerpo Superior de Policía en turno de antigüedad», Sentencia aclarada mediante Auto en el sentido de «entender como único pronunciamiento el derecho del recurrente a ser incluido en el curso de especialización», y ello -según explica el propio Auto en razón a que la Sentencia no puede añadir otro pronunciamiento porque ello sería pronunciarse sobre una expectativa.</w:t>
      </w:r>
    </w:p>
    <w:p w:rsidR="00256EE9" w:rsidRDefault="00256EE9" w:rsidP="00256EE9">
      <w:pPr>
        <w:pStyle w:val="TextoNormal"/>
      </w:pPr>
      <w:r>
        <w:t>Así pues, si el Tribunal de lo Contencioso entendió y razonó que el restablecimiento de la situación jurídica individualizada alcanzaba, tras la anulación de las correspondientes resoluciones administrativas que decretó, a la proclamación del derecho del recurrente a ser incluido en la relación para el acceso a la Escala de Mando del Cuerpo de que se trata, en turno de antigüedad, pero no a reputarle promovido, con el alcance y efectos postulados por el interesado, ya que esto último equivaldría a «pronunciarse sobre una expectativa», sin duda porque la admisión a un curso de especialización no prejuzga el resultado del mismo, es claro lo manifiesto de la carencia de contenido constitucional de la demanda de amparo, basada en violación del art.  24.1 de la C. E., ya que la tutela judicial efectiva ha sido dispensada de modo suficiente a los fines que estamos considerando, bien que las resoluciones jurisdiccionales sean discrepantes de las mantenidas por el recurrente, cuya demanda de amparo incide pues en la causa de inadmisibilidad prevista en el art. 50.2 b) de la LOTC, sin que sea menester, por ello, decisión alguna en cuanto a la solicitud de suspensión en su día también deducida.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La Sección acuerda la inadmisibilidad de esta demanda de amparo.</w:t>
      </w:r>
    </w:p>
    <w:p w:rsidR="00256EE9" w:rsidRDefault="00256EE9" w:rsidP="00256EE9">
      <w:pPr>
        <w:pStyle w:val="TextoNormal"/>
      </w:pPr>
    </w:p>
    <w:p w:rsidR="00256EE9" w:rsidRDefault="00256EE9" w:rsidP="00256EE9">
      <w:pPr>
        <w:pStyle w:val="TextoNormal"/>
      </w:pPr>
      <w:r>
        <w:t>Madrid, a nueve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69" w:name="AUTO_1985_8"/>
      <w:r>
        <w:lastRenderedPageBreak/>
        <w:t>AUTO 8/1985, de 9 de enero de 1985</w:t>
      </w:r>
    </w:p>
    <w:bookmarkEnd w:id="69"/>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ECLI:ES:TC:1985:8A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750/1984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Tribunal Constitucional el 29 de octubre de 1984, don Eduardo Morales Price, Procurador de los Tribunales, interpone recurso de amparo constitucional en nombre y representación de la Sociedad mercantil «Juan Vinyas, Ingeniero Industrial y Cía., S. A.», contra Sentencia del Tribunal Central de Trabajo de 12 de julio de 1984, recaída en el recurso especial de suplicación núm. 529/1984, interpuesto por el Comité de Empresa de la referida Entidad mercantil contra la Sentencia de Magistratura de Trabajo núm. 10, de las de Barcelona, de 11 de mayo de 1984. </w:t>
      </w:r>
    </w:p>
    <w:p w:rsidR="00256EE9" w:rsidRDefault="00256EE9" w:rsidP="00256EE9">
      <w:pPr>
        <w:pStyle w:val="TextoNormal"/>
      </w:pPr>
      <w:r>
        <w:t xml:space="preserve">Pide que se declare la nulidad de la Sentencia impugnada y se reconozca que dicha Sentencia «ha violado la facultad que le asiste a la recurrente de ejercitar el derecho a iniciar conflicto colectivo para interpretar la Sentencia del mismo Tribunal Central de fecha 25 de mayo de 1983». Por otrosí, pide la suspensión de la Sentencia del T. C. T. de 12 de julio de 1984. </w:t>
      </w:r>
    </w:p>
    <w:p w:rsidR="00256EE9" w:rsidRDefault="00256EE9" w:rsidP="00256EE9">
      <w:pPr>
        <w:pStyle w:val="TextoNormal"/>
      </w:pPr>
      <w:r>
        <w:t xml:space="preserve">La demanda se fundamenta en los siguientes hechos: a) La Magistratura de Trabajo núm. 12, de las de Barcelona, dictó Sentencia el 9 de febrero de 1983 en autos de proceso laboral especial de conflicto colectivo promovido por el Comité de Empresa de la Sociedad mercantil «Juan Vinyas, Ingeniero Industrial y Cia., S. A.», en la que se declaró el derecho de los trabajadores de dicha Empresa a treinta minutos diarios, retribuidos, de aseo personal y otros extremos. Dicha Sentencia fue confirmada por el Tribunal Central de Trabajo el 25 de mayo de 1983. b) Consideró la recurrente que la meritada Sentencia planteaba serias dudas en cuanto a su interpretación (por no precisar a qué personal de la Empresa había de aplicarse). Por ello, al amparo del art. 18.1 b) del Real Decreto-ley 17/1977, de 4 de marzo, inició el 2 de septiembre de 1983 expediente administrativo de conflicto colectivo para la interpretación de la meritada resolución judicial, de conformidad con lo previsto en el art. 25, apartado a), del mismo Decreto-ley, por tener aquella Sentencia el carácter de normativa. c) Intentada sin efecto la conciliación y mediación, la autoridad laboral remitió las actuaciones a la Magistratura dictando Sentencia la núm. 10 de las de Barcelona el 11 de mayo de 1984, estimando la pretensión de la recurrente. El Comité de Empresa recurrió esta resolución en recurso de suplicación ante el Tribunal Central de Trabajo. </w:t>
      </w:r>
    </w:p>
    <w:p w:rsidR="00256EE9" w:rsidRDefault="00256EE9" w:rsidP="00256EE9">
      <w:pPr>
        <w:pStyle w:val="TextoNormal"/>
      </w:pPr>
      <w:r>
        <w:t xml:space="preserve">El 12 de julio de 1984, dictó Sentencia este Tribunal, revocando la Sentencia impugnada. Entendió el Tribunal Central de Trabajo que, en virtud del principio de santidad de la cosa juzgada que establece el art. 1.252 del Código Civil, había que declarar la firmeza de </w:t>
      </w:r>
      <w:r>
        <w:lastRenderedPageBreak/>
        <w:t>la Sentencia de 9 de febrero de 1983, dado que la litis se había entablado entre las mismas partes, con igual objeto e idéntica causa de pedir y que, a mayor abundamiento, no se había utilizado en su momento el cauce del recurso de aclaración que regula el art. 188 de la Ley de Procedimiento Laboral. Los fundamentos jurídicos de la demanda son que se ha vulnerado el art. 24.1 de la Constitución, toda vez que la recurrente ha visto obstaculizado el derecho que le asiste a que, por el cauce del conflicto colectivo, se dé una interpretación más ajustada a Derecho de la Sentencia de 25 de mayo de 1983. Tal Sentencia tiene carácter normativo, por lo que no puede serle de aplicación la excepción perentoria que establece el art. 1.252 del Código Civil.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por providencia de 14 de noviembre de 1984, puso de manifiesto a las partes la posible concurrencia de la causa de inadmisibilidad del art. 50.2 b) de la LOTC. Asimismo acordó la Sección formar pieza separada de suspensión sobre la solicitada por la recurrente. Dentro del plazo otorgado al efecto, la representación procesal de la parte actora presentó su escrito de alegaciones que termina con la reiteración del petitum de fondo y la petición de que previamente se declare admisible su recurso. En favor de su tesis de admisibilidad alega que las Sentencias que resuelven procesos especiales de conflicto colectivo no tienen contenido declarativo sino naturaleza normativa, argumento que desarrolla por extenso, reiterando en lo sustancial la fundamentación que expuso ya en la demanda. Apoya todo ello en la naturaleza normativa de los convenios colectivos con los cuales se equiparan aquellas Sentencias, por todo lo cual tiene derecho a instar un conflicto colectivo para obtener por Sentencia la interpretación de la Sentencia del T. C. T. de 25 de mayo de 1983. </w:t>
      </w:r>
    </w:p>
    <w:p w:rsidR="00256EE9" w:rsidRDefault="00256EE9" w:rsidP="00256EE9">
      <w:pPr>
        <w:pStyle w:val="TextoNormal"/>
      </w:pPr>
      <w:r>
        <w:t>El Fiscal ante el Tribunal Constitucional pide en su escrito de alegaciones que la Sección declare por Auto la inadmisión del recurso por concurrir la causa del art. 50.2 b).</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extensa fundamentación que de su pretensión expone la parte recurrente se basa casi por entero en argumentos relativos a la legislación y las resoluciones laborales, para con tal fundamento rechazar el efecto de cosa juzgada de las Sentencias dictadas en los procesos especiales que, dentro del citado orden, resuelven conflictos colectivos.  Tal argumentación contrasta con la interpretación contenida en las resoluciones del Tribunal Central de Trabajo que, junto con los demás órganos del Poder Judicial, tiene conferida por la Constitución (art.  117.3) la potestad jurisdiccional.  Por otra parte, es esa una cuestión que no trasciende del marco de la legalidad ordinaria para entrar en el de la Constitución, paso que la representación de la recurrente no demuestra que se dé, por lo que este Tribunal, carente el caso de dimensión constitucional, no puede ni debe entrar a dilucidar cuestiones de la competencia exclusiva de los Jueces y Tribunales. Por lo demás, es evidente que, por lo que atañe al art.  24.1 de la Constitución, único invocado (bien que de modo tangencial y no reflejado en el «suplico», donde sólo se pide a este Tribunal que declare la facultad de la recurrente a iniciar conflicto colectivo para interpretar la Sentencia del T. C. T. de 25 de mayo de 1983) por la parte actora como supuestamente vulnerado, lo cierto es que no existe indicio alguno de tal lesión y sí evidencia de lo contrario, puesto que la recurrente ha obtenido varias resoluciones judiciales sobre la pretensión deducida, sin que pueda constituir lesión del art.  24 que la última Sentencia -la impugnada- haya sido contraria a las expectativas y a la tesis jurídico-laboral de la recurrente.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la inadmisión del recurso, lo que hace innecesario que se pronuncie sobre la suspensión solicitada.</w:t>
      </w:r>
    </w:p>
    <w:p w:rsidR="00256EE9" w:rsidRDefault="00256EE9" w:rsidP="00256EE9">
      <w:pPr>
        <w:pStyle w:val="TextoNormal"/>
      </w:pPr>
    </w:p>
    <w:p w:rsidR="00256EE9" w:rsidRDefault="00256EE9" w:rsidP="00256EE9">
      <w:pPr>
        <w:pStyle w:val="TextoNormal"/>
      </w:pPr>
      <w:r>
        <w:t>Madrid, a nueve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0" w:name="AUTO_1985_9"/>
      <w:r>
        <w:lastRenderedPageBreak/>
        <w:t>AUTO 9/1985, de 10 de enero de 1985</w:t>
      </w:r>
    </w:p>
    <w:bookmarkEnd w:id="70"/>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ECLI:ES:TC:1985:9A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404/1983</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8 de junio de 1983 tuvo entrada en este Tribunal Constitucional recurso de amparo formulado por el Procurador de los Tribunales don Enrique Sorribes Torra, en nombre y representación de doña María Paz Briones Godino, contra Sentencia dictada por la Sala Cuarta del Tribunal Supremo. El recurso de amparo se basa, en sustancia, en los hechos siguientes: </w:t>
      </w:r>
    </w:p>
    <w:p w:rsidR="00256EE9" w:rsidRDefault="00256EE9" w:rsidP="00256EE9">
      <w:pPr>
        <w:pStyle w:val="TextoNormal"/>
      </w:pPr>
      <w:r>
        <w:t xml:space="preserve">A) Con fecha 16 de octubre de 1975, la Dirección General de Sanidad, previo informe favorable del Colegio Oficial de Farmacéuticos de Barcelona, acordó autorizar a doña María Paz Briones Godino, hoy demandante de amparo, la instalación de una oficina de farmacia en la ciudad de Badalona. </w:t>
      </w:r>
    </w:p>
    <w:p w:rsidR="00256EE9" w:rsidRDefault="00256EE9" w:rsidP="00256EE9">
      <w:pPr>
        <w:pStyle w:val="TextoNormal"/>
      </w:pPr>
      <w:r>
        <w:t xml:space="preserve">Frente a este acuerdo, doña María Teresa Vidal Cortada interpuso recurso de reposición, que fue desestimado mediante nueva resolución de la Dirección General de Sanidad, de fecha 8 de mayo de 1976, por lo que la señora Briones Godino procedió a abrir la oficina de farmacia por ella solicitada. </w:t>
      </w:r>
    </w:p>
    <w:p w:rsidR="00256EE9" w:rsidRDefault="00256EE9" w:rsidP="00256EE9">
      <w:pPr>
        <w:pStyle w:val="TextoNormal"/>
      </w:pPr>
      <w:r>
        <w:t xml:space="preserve">B) Contra los anteriores acuerdos administrativos, interpuso la señora Vidal Cortada recurso contencioso-administrativo, solicitando que la correspondiente medición de distancias respecto de la oficina de farmacia más próxima -de la que era titular- se realizase por el paso exclusivamente peatonal y que, en consecuencia, por no existir la reglamentaria distancia mínima de 500 metros, se revocase la autorización concedida a la señora Briones Godino. El Abogado del Estado y la señora Briones Godino se opusieron a la demanda, en la que, con fecha 3 de abril de 1981, recayó Sentencia de la Sala de lo Contencioso-Administrativo, Sección Primera, de la Audiencia Nacional, por la que se confirmaron íntegramente los actos administrativos objeto del recurso. </w:t>
      </w:r>
    </w:p>
    <w:p w:rsidR="00256EE9" w:rsidRDefault="00256EE9" w:rsidP="00256EE9">
      <w:pPr>
        <w:pStyle w:val="TextoNormal"/>
      </w:pPr>
      <w:r>
        <w:t>C) Frente a la anterior Sentencia, interpuso recurso de apelación la señora Vidal Cortada, que fue admitido a un solo efecto, y en la que, mediante Sentencia de la Sala Cuarta del Tribunal Supremo, de fecha 21 de marzo de 1983, y notificada el 17 de mayo siguiente, se estimaron las pretensiones deducidas por la actora de la apelación y se declaró, en consecuencia, la nulidad de las resoluciones administrativas impugnadas, en base a que la correspondiente medición de distancias, realizada según el paso peatonal, resultaba ser de 463 metros y 75 centímetros.</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La presente demanda de amparo se dirige frente a la referida Sentencia de la Sala Cuarta del Tribunal Supremo, y se fundamenta en una presunta vulneración de los derechos a la libre elección de profesión y a la igualdad, reconocidos, respectivamente, por los arts. 35 y 14 de la C. E. Según se alega en la demanda de amparo, el primero de tales derechos se habría lesionado en la medida que la demandante encuentra prohibida la posibilidad de ejercer su profesión como farmacéutica, con oficina abierta al público; el segundo, en la medida que la demandante padece desigualdad respecto de otros farmacéuticos que, con idénticos estudios universitarios, realizan su función como dispensadores de productos destinados a la salud pública.</w:t>
      </w:r>
    </w:p>
    <w:p w:rsidR="00256EE9" w:rsidRDefault="00256EE9" w:rsidP="00256EE9">
      <w:pPr>
        <w:pStyle w:val="TextoNormal"/>
      </w:pPr>
    </w:p>
    <w:p w:rsidR="00256EE9" w:rsidRDefault="00256EE9" w:rsidP="00256EE9">
      <w:pPr>
        <w:pStyle w:val="TextoNormal"/>
      </w:pPr>
      <w:r w:rsidRPr="00256EE9">
        <w:rPr>
          <w:rStyle w:val="NumeroAFNegritaCaracter"/>
        </w:rPr>
        <w:t>3</w:t>
      </w:r>
      <w:r>
        <w:t>. Se solicita de este Tribunal Constitucional que tenga por interpuesto el recurso de amparo contra la Sentencia de la Sala Cuarta del Tribunal Supremo, de fecha 21 de marzo de 1983, y que, de conformidad con lo previsto en el art. 56 de la Ley Orgánica del Tribunal Constitucional (LOTC), acuerde la suspensión de la ejecución de dicha Sentencia.</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mediante providencia de 13 de julio de 1983, acordó, a tenor de lo dispuesto en el art. 50 de la LOTC, conceder un plazo común de diez días al Ministerio Fiscal y a la solicitante de amparo para que alegasen lo que estimasen pertinente en relación con la posible existencia del siguiente motivo de inadmisión: carecer la demanda manifiestamente de contenido que justifique una decisión por parte de este Tribunal, de conformidad con lo prevenido en el art. 50.2 b) de la citada Ley Orgánica.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Dentro del plazo conferido por la anterior providencia, el Ministerio Fiscal presentó escrito en el que se interesa de este Tribunal la inadmisión del recurso de amparo, en base al vicio señalado por dicha providencia, al entender lo siguiente: a) que el art. 35 de la C. E. no forma parte del cuerpo de preceptos reconocedores de derechos protegidos por la vía de amparo, como se desprende de lo establecido en los arts. 53.2 y 161.1 b) de la misma C. E. y 41 de la LOTC; b) que la vulneración del derecho a la igualdad tampoco puede ser tomada en consideración, pues para ello sería necesaria la posibilidad de obtener un término de comparación, trayendo a colación supuestos en los que, ante la misma Ley y en las mismas circunstancias, hubiere sido reconocido el derecho a ejercer cierta actividad, que a la interesada, por la vía de la decisión judicial, le fue negado. Con independencia de estas consideraciones, plantea, por último, el Ministerio Fiscal el problema de si la Sala Cuarta del Tribunal Supremo debió continuar o suspender la tramitación del recurso de apelación interpuesto por la hoy solicitante de amparo, toda vez que con anterioridad al momento de dictar Sentencia, se hizo público en el «Boletín Oficial del Estado» el planteamiento de la cuestión de inconstitucionalidad núm. 80/1983, relativa a la Base XVI, párrafo 9, de la Ley de Bases de la Sanidad Nacional, de 25 de noviembre de 1944, de cuya decisión podía depender el fallo de aquel recurso. </w:t>
      </w:r>
    </w:p>
    <w:p w:rsidR="00256EE9" w:rsidRDefault="00256EE9" w:rsidP="00256EE9">
      <w:pPr>
        <w:pStyle w:val="TextoNormal"/>
      </w:pPr>
      <w:r>
        <w:t>Dentro del mismo plazo, la representación de la solicitante de amparo formuló escrito de alegaciones en el que reitera, básicamente, las ya articuladas en su escrito inicial de solicitud de amparo y acaba suplicando la admisión a trámite de éste.</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problema que ha de resolverse con carácter previo es el planteado por el Ministerio Fiscal en su escrito de alegaciones, cuando señala la posibilidad de que la Sala Cuarta del Tribunal Supremo, antes de dictar la Sentencia que aquí se impugna en amparo hubiera debido suspender la tramitación del proceso, al hacerse público el planteamiento de una cuestión de inconstitucionalidad relativa a un precepto legal -la Base XVI, párrafo 9, de la Ley de Bases de la Sanidad Nacional, de 25 de noviembre de 1944-, de cuya validez podía depender el fallo en aquel proceso.</w:t>
      </w:r>
    </w:p>
    <w:p w:rsidR="00256EE9" w:rsidRDefault="00256EE9" w:rsidP="00256EE9">
      <w:pPr>
        <w:pStyle w:val="TextoNormal"/>
      </w:pPr>
      <w:r>
        <w:t>Ha de indicarse, en tal sentido, que dicha cuestión de inconstitucionalidad ha quedado resuelta por Sentencia parcialmente estimatoria de este Tribunal Constitucional núm. 83/1984, de 24 de julio, que entre otras cosas declara, en su fundamento jurídico 2, que la cuestión «se refiere a una norma legal preconstitucional, cuya posible contradicción con el ordenamiento constitucional posterior pudo ser examinada y resuelta por el Tribunal ordinario proponente, aunque éste ha optado por diferir la cuestión a esta jurisdicción constitucional».</w:t>
      </w:r>
    </w:p>
    <w:p w:rsidR="00256EE9" w:rsidRDefault="00256EE9" w:rsidP="00256EE9">
      <w:pPr>
        <w:pStyle w:val="TextoNormal"/>
      </w:pPr>
      <w:r>
        <w:t>Este mismo criterio sirve para desechar la objeción aquí suscitada por el Ministerio Fiscal, puesto que la conformidad con la Constitución del referido precepto legal es asunto que perfectamente pudo ser examinado y resuelto por la jurisdicción ordinaria competente, y ello aun en el supuesto -que no deriva con evidencia de la Sentencia ahora impugnada- de que dicho precepto hubiera sido de necesaria aplicación por esa jurisdicción para solucionar el caso ante la misma planteado.</w:t>
      </w:r>
    </w:p>
    <w:p w:rsidR="00256EE9" w:rsidRDefault="00256EE9" w:rsidP="00256EE9">
      <w:pPr>
        <w:pStyle w:val="TextoNormal"/>
      </w:pPr>
    </w:p>
    <w:p w:rsidR="00256EE9" w:rsidRDefault="00256EE9" w:rsidP="00256EE9">
      <w:pPr>
        <w:pStyle w:val="TextoNormal"/>
      </w:pPr>
      <w:r w:rsidRPr="00256EE9">
        <w:rPr>
          <w:rStyle w:val="NumeroAFNegritaCaracter"/>
        </w:rPr>
        <w:t>2</w:t>
      </w:r>
      <w:r>
        <w:t>. La demanda de amparo, en apoyo de su pretensión, invoca, en primer término, el derecho a la libre elección de profesión, reconocido por el artículo 35.1 de la C. E. El problema de fondo, relativo a la conformidad entre este mandato constitucional y las limitaciones legales y reglamentarias que se oponían a la apertura de oficinas de farmacias, ya ha sido examinado por la referida Sentencia de este Tribunal Constitucional núm. 83/1984, de 24 de julio, en términos de los que se extrajeron las oportunas consecuencias jurídicas respecto a la cuestión entonces suscitada.  En el presente caso, ha de señalarse, sin embargo, que los derechos reconocidos por el art. 35 de la C. E. no figuran entre los que, según lo establecido en los arts. 53.2 y 161.1 b) de la misma C. E. y 41.1 de la LOTC, resultan susceptibles de tutela por la vía del amparo constitucional, de manera que la demanda ahora formulada resulta inadmisible en la medida que se fundamenta en una presunta violación del derecho a la libre elección de profesión que en el apartado 1 de aquel precepto constitucional se reconoce, de modo que tan sólo sería posible admitir la relevancia de este precepto a los efectos del recurso de amparo, si se mostrase que su lesión objetivamente se vincula a la violación del derecho a la igualdad que, por otra parte, se invoca.</w:t>
      </w:r>
    </w:p>
    <w:p w:rsidR="00256EE9" w:rsidRDefault="00256EE9" w:rsidP="00256EE9">
      <w:pPr>
        <w:pStyle w:val="TextoNormal"/>
      </w:pPr>
    </w:p>
    <w:p w:rsidR="00256EE9" w:rsidRDefault="00256EE9" w:rsidP="00256EE9">
      <w:pPr>
        <w:pStyle w:val="TextoNormal"/>
      </w:pPr>
      <w:r w:rsidRPr="00256EE9">
        <w:rPr>
          <w:rStyle w:val="NumeroAFNegritaCaracter"/>
        </w:rPr>
        <w:t>3</w:t>
      </w:r>
      <w:r>
        <w:t>. El presunto contraste entre el derecho a la igualdad ante la Ley, consagrado por el art. 14 de la C. E., y entendido como igualdad en la Ley, y las limitaciones normativas al establecimiento de oficinas de farmacia fue, asimismo, examinado, por la tantas veces mencionada Sentencia de este Tribunal núm. 83/1984. Resulta ocioso reproducir las consideraciones que, en aquel caso, se formularon, puesto que la presente demanda de amparo parece orientarse, más bien, hacia una dimensión diferente del mismo derecho fundamental, como es la del derecho a la igualdad en la aplicación de la Ley por parte de órganos jurisdiccionales.</w:t>
      </w:r>
    </w:p>
    <w:p w:rsidR="00256EE9" w:rsidRDefault="00256EE9" w:rsidP="00256EE9">
      <w:pPr>
        <w:pStyle w:val="TextoNormal"/>
      </w:pPr>
      <w:r>
        <w:lastRenderedPageBreak/>
        <w:t>En este sentido, para apreciar la vulneración constitucional que se alega, hubiera sido necesario, según reiterada jurisprudencia de este Tribunal Constitucional, aportar supuestos en que, ante la misma Ley y en las mismas circunstancias, se hubiere reconocido por el mismo órgano superior de la jurisdicción ordinaria, al que corresponde la garantía de la igualdad uniformando la interpretación de la Ley, el derecho a ejercer la actividad profesional que a la solicitante de amparo le fue negada por dicho órgano, y que esta disparidad de criterios carezca de una justificación objetiva y razonable.</w:t>
      </w:r>
    </w:p>
    <w:p w:rsidR="00256EE9" w:rsidRDefault="00256EE9" w:rsidP="00256EE9">
      <w:pPr>
        <w:pStyle w:val="TextoNormal"/>
      </w:pPr>
      <w:r>
        <w:t>Las resoluciones que en la demanda de amparo se proponen, como término de comparación, corresponden a una determinada Audiencia Territorial, y la única que, pronunciada por el Tribunal Supremo, se aporta -y ello en el escrito de alegaciones formulado tras el escrito inicial de amparo-, es una Sentencia de este último órgano judicial, de fecha 21 de diciembre de 1981, respecto a la que no se acredita haber recaído en un supuesto de hecho sustancialmente idéntico.  Y es que, en efecto, lo que interpretó y aplicó dicha Sentencia fue la normativa reglamentaria sobre apertura de farmacias en cuanto a determinados requisitos relativos a los locales en que las nuevas farmacias pretenden instalarse. En el presente caso, de lo que se trataba, más bien, era de fijar el criterio para la medición de las distancias mínimas entre locales destinados a farmacias, asimismo requeridas por esa normativa. No encontramos, por tanto, la igualdad de supuestos de hecho, a partir de los cuales pudiera alegarse la existencia de desigualdad infundada en la aplicación de la Ley.</w:t>
      </w:r>
    </w:p>
    <w:p w:rsidR="00256EE9" w:rsidRDefault="00256EE9" w:rsidP="00256EE9">
      <w:pPr>
        <w:pStyle w:val="TextoNormal"/>
      </w:pPr>
    </w:p>
    <w:p w:rsidR="00256EE9" w:rsidRDefault="00256EE9" w:rsidP="00256EE9">
      <w:pPr>
        <w:pStyle w:val="TextoNormal"/>
      </w:pPr>
      <w:r w:rsidRPr="00256EE9">
        <w:rPr>
          <w:rStyle w:val="NumeroAFNegritaCaracter"/>
        </w:rPr>
        <w:t>4</w:t>
      </w:r>
      <w:r>
        <w:t>. Resulta, en consecuencia, manifiesta la carencia de contenido en la demanda de amparo aquí formulada que justifique una decisión por parte de este Tribunal Constitucional, lo que determina que no sea posible la admisión a trámite de dicha demanda, según lo establecido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ha acordado declarar la inadmisibilidad del recurso de amparo interpuesto por el Procurador de los Tribunales, don Enrique Sorribes Torra, en nombre y representación de doña María Paz Briones Godino.</w:t>
      </w:r>
    </w:p>
    <w:p w:rsidR="00256EE9" w:rsidRDefault="00256EE9" w:rsidP="00256EE9">
      <w:pPr>
        <w:pStyle w:val="TextoNormal"/>
      </w:pPr>
    </w:p>
    <w:p w:rsidR="00256EE9" w:rsidRDefault="00256EE9" w:rsidP="00256EE9">
      <w:pPr>
        <w:pStyle w:val="TextoNormal"/>
      </w:pPr>
      <w:r>
        <w:t>Madrid, a diez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1" w:name="AUTO_1985_10"/>
      <w:r>
        <w:lastRenderedPageBreak/>
        <w:t>AUTO 10/1985, de 10 de enero de 1985</w:t>
      </w:r>
    </w:p>
    <w:bookmarkEnd w:id="71"/>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ECLI:ES:TC:1985:10A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el archivo de las actuaciones en el procedimiento 333/1984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el 7 de mayo de 1984, don Pedro José García Romero, que como autor de un delito de tenencia de hachís fue condenado por Sentencia de 18 de diciembre de 1982, recaída en la causa 18/1982, procedente del Juzgado de Instrucción de Cambados (Pontevedra), manifiesta su propósito de formalizar recurso de amparo en relación con el Auto de la Audiencia Provincial de Pontevedra de 14 de abril de 1984, que a su juicio, vulnera los arts. 14 y 24.1 de la Constitución, al realizar de forma improcedente la rectificación de la pena, en aplicación de la Ley 8/1983, de 25 de junio, de Reforma del Código Penal.</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30 de mayo de 1984, la Sección Primera de la Sala Primera de este Tribunal Constitucional acuerda tener por interpuesto el recurso de amparo y, dado que el recurrente ha disfrutado en el proceso antecedente del beneficio de pobreza, proceder al nombramiento de Abogado y Procurador del turno de oficio para que le defiendan y representen en el presente recurso, dirigiendo a tal efecto sendas comunicaciones al Presidente del Consejo General de la Abogacía y al Decano del Colegio de Procuradores de Madrid.</w:t>
      </w:r>
    </w:p>
    <w:p w:rsidR="00256EE9" w:rsidRDefault="00256EE9" w:rsidP="00256EE9">
      <w:pPr>
        <w:pStyle w:val="TextoNormal"/>
      </w:pPr>
    </w:p>
    <w:p w:rsidR="00256EE9" w:rsidRDefault="00256EE9" w:rsidP="00256EE9">
      <w:pPr>
        <w:pStyle w:val="TextoNormal"/>
      </w:pPr>
      <w:r w:rsidRPr="00256EE9">
        <w:rPr>
          <w:rStyle w:val="NumeroAFNegritaCaracter"/>
        </w:rPr>
        <w:t>3</w:t>
      </w:r>
      <w:r>
        <w:t>. Recibidas las correspondientes comunicaciones por las que se designa Procurador y Letrado en turno de oficio a doña Carmen Hijosa Martínez y a don Francisco de Fuente Arévalo, respectivamente, la Sección, por providencia de 11 de julio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00256EE9" w:rsidRDefault="00256EE9" w:rsidP="00256EE9">
      <w:pPr>
        <w:pStyle w:val="TextoNormal"/>
      </w:pPr>
    </w:p>
    <w:p w:rsidR="00256EE9" w:rsidRDefault="00256EE9" w:rsidP="00256EE9">
      <w:pPr>
        <w:pStyle w:val="TextoNormal"/>
      </w:pPr>
      <w:r w:rsidRPr="00256EE9">
        <w:rPr>
          <w:rStyle w:val="NumeroAFNegritaCaracter"/>
        </w:rPr>
        <w:t>4</w:t>
      </w:r>
      <w:r>
        <w:t>. Por escrito presentado el 10 de agosto de 1984, la Procuradora de los Tribunales doña Carmen Hijosa Martínez manifiesta que el Letrado designado de oficio, una vez instruido de las actuaciones del presente recurso, no considera sostenible la pretensión formulada por el recurrente y solicita se le tenga por excusado de la defensa.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Por providencia de 19 de septiembre de 1984, la Sección, de conformidad con lo dispuesto en el art. 9 de las Normas acerca de la defensa por pobre en los procesos constitucionales, acuerda remitir testimonio de los presentes autos al Consejo General de la Abogacía, a fin de que designe dos Letrados que dictaminen si puede o no sostenerse la acción que se propone entablar el solicitante de amparo.</w:t>
      </w:r>
    </w:p>
    <w:p w:rsidR="00256EE9" w:rsidRDefault="00256EE9" w:rsidP="00256EE9">
      <w:pPr>
        <w:pStyle w:val="TextoNormal"/>
      </w:pPr>
    </w:p>
    <w:p w:rsidR="00256EE9" w:rsidRDefault="00256EE9" w:rsidP="00256EE9">
      <w:pPr>
        <w:pStyle w:val="TextoNormal"/>
      </w:pPr>
      <w:r w:rsidRPr="00256EE9">
        <w:rPr>
          <w:rStyle w:val="NumeroAFNegritaCaracter"/>
        </w:rPr>
        <w:t>6</w:t>
      </w:r>
      <w:r>
        <w:t>. Con fecha 15 de octubre de 1984, el Presidente del Consejo General de la Abogacía remite, de conformidad con lo dispuesto en el art. 38 de la vigente Ley de Enjuiciamiento Civil, el dictamen emitido por el Letrado don Manuel Fraile Alcalde, el cual manifiesta que la pretensión deducida por el recurrente es insostenible, pues la reducción acordada por la Audiencia Provincial que rectifica la pena impuesta al recurrente, si bien no en la cuantía solicitada por éste, es totalmente conforme a Derecho.</w:t>
      </w:r>
    </w:p>
    <w:p w:rsidR="00256EE9" w:rsidRDefault="00256EE9" w:rsidP="00256EE9">
      <w:pPr>
        <w:pStyle w:val="TextoNormal"/>
      </w:pPr>
    </w:p>
    <w:p w:rsidR="00256EE9" w:rsidRDefault="00256EE9" w:rsidP="00256EE9">
      <w:pPr>
        <w:pStyle w:val="TextoNormal"/>
      </w:pPr>
      <w:r w:rsidRPr="00256EE9">
        <w:rPr>
          <w:rStyle w:val="NumeroAFNegritaCaracter"/>
        </w:rPr>
        <w:t>7</w:t>
      </w:r>
      <w:r>
        <w:t>. Por providencia de 31 de octubre de 1984, y a tenor de lo dispuesto en el mencionado art. 38 de la L. E. C., la Sección acuerda dar traslado al Ministerio Fiscal a fin de que emita dictamen en el plazo de seis días sobre si es sostenible o no la acción que pretende entablar el solicitante de amparo.</w:t>
      </w:r>
    </w:p>
    <w:p w:rsidR="00256EE9" w:rsidRDefault="00256EE9" w:rsidP="00256EE9">
      <w:pPr>
        <w:pStyle w:val="TextoNormal"/>
      </w:pPr>
    </w:p>
    <w:p w:rsidR="00256EE9" w:rsidRDefault="00256EE9" w:rsidP="00256EE9">
      <w:pPr>
        <w:pStyle w:val="TextoNormal"/>
      </w:pPr>
      <w:r w:rsidRPr="00256EE9">
        <w:rPr>
          <w:rStyle w:val="NumeroAFNegritaCaracter"/>
        </w:rPr>
        <w:t>8</w:t>
      </w:r>
      <w:r>
        <w:t>. El Ministerio Fiscal, en escrito de 12 de noviembre de 1984, manifiesta que la acción no es sostenible por dos razones: 1.ª, porque, de conformidad con el art. 44.1 a) de la Ley Orgánica del Tribunal Constitucional (LOTC), no se agotó la vía judicial previa, y 2.ª, porque la cuestión planteada, que se reduce a la discrepancia del recurrente en relación con la interpretación que ha hecho el órgano judicial en materia de legalidad ordinaria, carece manifiestamente de contenido que justifique una decisión por parte del Tribunal Constitucional.</w:t>
      </w:r>
    </w:p>
    <w:p w:rsidR="00256EE9" w:rsidRDefault="00256EE9" w:rsidP="00256EE9">
      <w:pPr>
        <w:pStyle w:val="TextoNormal"/>
      </w:pPr>
    </w:p>
    <w:p w:rsidR="00256EE9" w:rsidRDefault="00256EE9" w:rsidP="00256EE9">
      <w:pPr>
        <w:pStyle w:val="TextoNormal"/>
      </w:pPr>
      <w:r w:rsidRPr="00256EE9">
        <w:rPr>
          <w:rStyle w:val="NumeroAFNegritaCaracter"/>
        </w:rPr>
        <w:t>9</w:t>
      </w:r>
      <w:r>
        <w:t>. Por providencia de 28 de noviembre de 1984, la Sección decide dejar sin efecto la defensa acordada por pobre del solicitante de amparo y requerir a éste para que dentro del plazo de diez días se persone en el procedimiento, si así le conviene, con Abogado y Procurador a su cargo, plazo que transcurre con exceso sin que el interesado cumplimente dicho requisito.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256EE9" w:rsidRDefault="00256EE9" w:rsidP="00256EE9">
      <w:pPr>
        <w:pStyle w:val="TextoNormal"/>
      </w:pPr>
    </w:p>
    <w:p w:rsidR="00256EE9" w:rsidRDefault="00256EE9" w:rsidP="00256EE9">
      <w:pPr>
        <w:pStyle w:val="TextoNormal"/>
      </w:pPr>
      <w:r w:rsidRPr="00256EE9">
        <w:rPr>
          <w:rStyle w:val="NumeroAFNegritaCaracter"/>
        </w:rPr>
        <w:t>2</w:t>
      </w:r>
      <w:r>
        <w:t>. En el presente caso, en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w:t>
      </w:r>
      <w:r>
        <w:lastRenderedPageBreak/>
        <w:t>rrente y pronunciarse en el mismo sentido el Abogado designado para dictaminar sobre la cuestión, así como el Ministerio Fiscal, la Sección procedió a dejar sin efecto la defensa acordada por pobre y requerir al demandante para que se personase con Abogado y Procurador a su cargo.</w:t>
      </w:r>
    </w:p>
    <w:p w:rsidR="00256EE9" w:rsidRDefault="00256EE9" w:rsidP="00256EE9">
      <w:pPr>
        <w:pStyle w:val="TextoNormal"/>
      </w:pPr>
    </w:p>
    <w:p w:rsidR="00256EE9" w:rsidRDefault="00256EE9" w:rsidP="00256EE9">
      <w:pPr>
        <w:pStyle w:val="TextoNormal"/>
      </w:pPr>
      <w:r w:rsidRPr="00256EE9">
        <w:rPr>
          <w:rStyle w:val="NumeroAFNegritaCaracter"/>
        </w:rPr>
        <w:t>3</w:t>
      </w:r>
      <w:r>
        <w:t>.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anteriormente expuesto, la Sección acuerda estimar producida la extinción del proceso abierto por el escrito de demanda de amparo de don Pedro José García Romero, y el archivo de las actuaciones.</w:t>
      </w:r>
    </w:p>
    <w:p w:rsidR="00256EE9" w:rsidRDefault="00256EE9" w:rsidP="00256EE9">
      <w:pPr>
        <w:pStyle w:val="TextoNormal"/>
      </w:pPr>
    </w:p>
    <w:p w:rsidR="00256EE9" w:rsidRDefault="00256EE9" w:rsidP="00256EE9">
      <w:pPr>
        <w:pStyle w:val="TextoNormal"/>
      </w:pPr>
      <w:r>
        <w:t>Madrid, a diez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2" w:name="AUTO_1985_11"/>
      <w:r>
        <w:lastRenderedPageBreak/>
        <w:t>AUTO 11/1985, de 10 de enero de 1985</w:t>
      </w:r>
    </w:p>
    <w:bookmarkEnd w:id="72"/>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ECLI:ES:TC:1985:11A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364/1984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22 de mayo de 1984 tuvo entrada en este Tribunal Constitucional (T. C.) escrito de don José Antonio Veiga Ordóñez, remitido por el Gobierno Civil de Valladolid, mediante el que insta recurso de amparo.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dicho escrito efectúa en síntesis las siguientes alegaciones: </w:t>
      </w:r>
    </w:p>
    <w:p w:rsidR="00256EE9" w:rsidRDefault="00256EE9" w:rsidP="00256EE9">
      <w:pPr>
        <w:pStyle w:val="TextoNormal"/>
      </w:pPr>
      <w:r>
        <w:t xml:space="preserve">a) La Audiencia Provincial de Valladolid, en Sentencia de 20 de octubre de 1981, condenó al recurrente en amparo como inductor de un delito de denuncia falsa del art. 325.1 del Código Penal, a la pena de cuatro años, dos meses y un día de presidio menor y multa de 25.000 pesetas y accesorias. </w:t>
      </w:r>
    </w:p>
    <w:p w:rsidR="00256EE9" w:rsidRDefault="00256EE9" w:rsidP="00256EE9">
      <w:pPr>
        <w:pStyle w:val="TextoNormal"/>
      </w:pPr>
      <w:r>
        <w:t>Interpuesto por el ahora recurrente en amparo recurso de casación por quebrantamientode forma e infracción de Ley, la Sala Segunda del Tribunal Supremo, en Auto de 6 de febrero de 1984 inadmitió diez de los catorce motivos invocados, dictando Sentencia con posterioridad, el 24 de abril, en la que declaraba no haber lugar al citado recurso de casación, y b) El recurrente entiende que con el mencionado Auto se le provocó indefensión, por ocurrir que se le negó el «derecho a las pruebas de inocencia» y el derecho a la presunción de inocencia y que los Tribunales deben juzgar con arreglo a las normas de procedimientos preestablecidas. Por lo cual solicita amparo frente a dicha resolución, así como la suspensión de la ejecución de la Sentencia de la Audiencia de Valladolid, interesando, al propio tiempo, el nombramiento del Procurador de oficio, dado que fue declarado pobre en el proceso a que se refiere el presente amparo y no ha encontrado a ningún Procurador dispuesto a representarle, para una vez nombrado proceder a formalizar la demanda, actuando el mismo recurrente como Abogado defensor, al ser Licenciado en Derecho y permitirlo así el art. 81.1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una vez hubo acordado tener por interpuesto el recurso de amparo, concedió un plazo común al Ministerio Fiscal y al solicitante para que formulasen las alegaciones que estimasen oportunas sobre la posible existencia de los motivos de inadmisión siguientes: 1.° no haberse presentado copia de la resolución recurrida, conforme previene el art. 49.2 en conexión con el 50.1 b), ambos de la LOTC; 2.° haberse formulado la demanda fuera de plazo [art. 50.1 a) en relación con el 44.2, también de la LOTC)], y 3.° falta de claridad en la exposición de los hechos [art. 49.1 en relación con el 50.1 b) de la </w:t>
      </w:r>
      <w:r>
        <w:lastRenderedPageBreak/>
        <w:t>LOTC]. En cuanto al nombramiento de Procurador instado, estimó no haber lugar a tal nombramiento por innecesario, al ser Licenciado en Derecho el recurrente (art. 81.1 de la LOTC); y respecto de la petición de suspensión señaló que una vez se resolviera sobre la admisión o inadmisión del recurso se acordaría lo procedente.</w:t>
      </w:r>
    </w:p>
    <w:p w:rsidR="00256EE9" w:rsidRDefault="00256EE9" w:rsidP="00256EE9">
      <w:pPr>
        <w:pStyle w:val="TextoNormal"/>
      </w:pPr>
    </w:p>
    <w:p w:rsidR="00256EE9" w:rsidRDefault="00256EE9" w:rsidP="00256EE9">
      <w:pPr>
        <w:pStyle w:val="TextoNormal"/>
      </w:pPr>
      <w:r w:rsidRPr="00256EE9">
        <w:rPr>
          <w:rStyle w:val="NumeroAFNegritaCaracter"/>
        </w:rPr>
        <w:t>4</w:t>
      </w:r>
      <w:r>
        <w:t>. El demandante, en escrito de 25 de octubre, con el que acompaña copia de la resolución recurrida, procedió a ampliar la demanda, indicando, en primer término, que la Sentencia que puso fin al proceso es la del 24 de abril, por lo que al interponerse el recurso de amparo el 11 de mayo se hizo dentro del plazo dispuesto en el art. 44.2 de la LOTC, y argumentando, a continuación, contra las razones esgrimidas por el Tribunal Supremo para inadmitir determinados motivos de casación, insiste el recurrente en que se han producido las violaciones constitucionales que denunciaba su sentido inicial, trayendo ahora a colación, además, los arts. 14 y 25.2 de la C. E. Finalmente, solicita de este Tribunal Constitucional que pronuncie Sentencia en la que se declare la nulidad del Auto de 6 de febrero de 1984 y se mande retrotraer las actuaciones a tal instante procesal, así como admitir los diez motivos de casación rechazados o aquellos que se considere de Ley para no provocar absoluta indefensión.</w:t>
      </w:r>
    </w:p>
    <w:p w:rsidR="00256EE9" w:rsidRDefault="00256EE9" w:rsidP="00256EE9">
      <w:pPr>
        <w:pStyle w:val="TextoNormal"/>
      </w:pPr>
    </w:p>
    <w:p w:rsidR="00256EE9" w:rsidRDefault="00256EE9" w:rsidP="00256EE9">
      <w:pPr>
        <w:pStyle w:val="TextoNormal"/>
      </w:pPr>
      <w:r w:rsidRPr="00256EE9">
        <w:rPr>
          <w:rStyle w:val="NumeroAFNegritaCaracter"/>
        </w:rPr>
        <w:t>5</w:t>
      </w:r>
      <w:r>
        <w:t>. El Ministerio Fiscal, por su parte, en escrito de 29 de octubre, interesa del Tribunal Constitucional dicte Auto desestimando la demanda de amparo, por incidir en las causas de inadmisión de los arts. 50.1 a) en relación con el 44.2 y 50.1 b) en relación con el 49.1, todos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En providencia de 28 de noviembre de 1984, la Sección acordó, una vez subsanado mediante la aportación de la resolución recurrida el defecto subsanable señalado, conceder un nuevo plazo común de diez días al Ministerio Fiscal y al recurrente para que dentro de dicho término alegaran lo que estimasen pertinente en relación con la posible existencia del motivo de inadmisión previsto en el art. 50.2 b) de la LOTC, es decir que la demanda carecía manifiestamente de contenido.</w:t>
      </w:r>
    </w:p>
    <w:p w:rsidR="00256EE9" w:rsidRDefault="00256EE9" w:rsidP="00256EE9">
      <w:pPr>
        <w:pStyle w:val="TextoNormal"/>
      </w:pPr>
    </w:p>
    <w:p w:rsidR="00256EE9" w:rsidRDefault="00256EE9" w:rsidP="00256EE9">
      <w:pPr>
        <w:pStyle w:val="TextoNormal"/>
      </w:pPr>
      <w:r w:rsidRPr="00256EE9">
        <w:rPr>
          <w:rStyle w:val="NumeroAFNegritaCaracter"/>
        </w:rPr>
        <w:t>7</w:t>
      </w:r>
      <w:r>
        <w:t>. Don José Antonio Veiga Ordóñez, en escritos de 4 y 10 de diciembre, reitera las alegaciones y peticiones formuladas en la demanda.</w:t>
      </w:r>
    </w:p>
    <w:p w:rsidR="00256EE9" w:rsidRDefault="00256EE9" w:rsidP="00256EE9">
      <w:pPr>
        <w:pStyle w:val="TextoNormal"/>
      </w:pPr>
    </w:p>
    <w:p w:rsidR="00256EE9" w:rsidRDefault="00256EE9" w:rsidP="00256EE9">
      <w:pPr>
        <w:pStyle w:val="TextoNormal"/>
      </w:pPr>
      <w:r w:rsidRPr="00256EE9">
        <w:rPr>
          <w:rStyle w:val="NumeroAFNegritaCaracter"/>
        </w:rPr>
        <w:t>8</w:t>
      </w:r>
      <w:r>
        <w:t>. El 7 de diciembre, el Ministerio Fiscal, en su escrito, dice que el único motivo de casación de los rechazados por el Auto que se impugna, que pudiera teóricamente tener dimensión constitucional es el que se refiere a la no aplicación del derecho fundamental a la presunción de inocencia reconocida en el art. 24 de la C. E., por no ser precepto sustantivo penal. Mas comoquiera que en la demanda no se objetiva ninguna clase de datos que permita afirmar que la decisión judicial se produjo sin prueba alguna, sino todo lo contrario, entiende que concurre la causa de inadmisión del art. 50.2 b) respecto del motivo enunciado. En cuanto a los demás motivos de casación, añade el Fiscal que versan igualmente sobre materias de legalidad ordinaria, por lo que propone se inadmita el recurso, además de por las causas señaladas en su anterior escrito de 29 de octubre, por carecer de contenido constitucional.</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demandante sostiene, en relación con el primer motivo de inadmisión que se le puso de manifiesto en la providencia de 17 de octubre, que al ser con la Sentencia de 24 de abril de 1984 con la que finalizó el proceso e interponerse la demanda de amparo el 11 de mayo, se dedujo éste dentro de plazo señalado por el art. 44.2 de la LOTC.</w:t>
      </w:r>
    </w:p>
    <w:p w:rsidR="00256EE9" w:rsidRDefault="00256EE9" w:rsidP="00256EE9">
      <w:pPr>
        <w:pStyle w:val="TextoNormal"/>
      </w:pPr>
      <w:r>
        <w:t>Ahora bien, como la resolución impugnada no es la mencionada Sentencia, sino el Auto de 6 de febrero de 1984, que no admitió los numerosos motivos de casación sobre los que ahora se pretende recurrir en amparo, es evidente que según el art. 892 de la L. E. Cr. contra dicha resolución no se dé recurso alguno, por ser de contenido autónomo, por lo que al esperar a que se dictara la Sentencia de fondo del recurso de fecha 4 de abril de 1984 para formular el recurso de amparo, es lo cierto que lo entabló notoriamente fuera del plazo establecido en el art.  44.2 de la LOTC y por consecuencia es extemporáneo.</w:t>
      </w:r>
    </w:p>
    <w:p w:rsidR="00256EE9" w:rsidRDefault="00256EE9" w:rsidP="00256EE9">
      <w:pPr>
        <w:pStyle w:val="TextoNormal"/>
      </w:pPr>
    </w:p>
    <w:p w:rsidR="00256EE9" w:rsidRDefault="00256EE9" w:rsidP="00256EE9">
      <w:pPr>
        <w:pStyle w:val="TextoNormal"/>
      </w:pPr>
      <w:r w:rsidRPr="00256EE9">
        <w:rPr>
          <w:rStyle w:val="NumeroAFNegritaCaracter"/>
        </w:rPr>
        <w:t>2</w:t>
      </w:r>
      <w:r>
        <w:t>. Otro tanto cabe decir del defecto de carácter insubsanable formulado en la providencia de 17 de octubre de 1984, es decir la falta de claridad en la exposición de los hechos en que se fundamenta la demanda (art. 49.1 de la LOTC).  Ni en el escrito inicial ni en el posterior que esta Sección, en su providencia de 28 de noviembre de 1984, permitió presentar al recurrente, el actor ha precisado el alcance jurídico de sus razonamientos, utilizando expresiones oscuras, inadecuadas e impropias en un escrito jurídico.</w:t>
      </w:r>
    </w:p>
    <w:p w:rsidR="00256EE9" w:rsidRDefault="00256EE9" w:rsidP="00256EE9">
      <w:pPr>
        <w:pStyle w:val="TextoNormal"/>
      </w:pPr>
      <w:r>
        <w:t>Ello ha hecho incumplir el art. 49.1 de la LOTC antes citado e incurrir en la causa de inadmisión que el mismo señala.</w:t>
      </w:r>
    </w:p>
    <w:p w:rsidR="00256EE9" w:rsidRDefault="00256EE9" w:rsidP="00256EE9">
      <w:pPr>
        <w:pStyle w:val="TextoNormal"/>
      </w:pPr>
    </w:p>
    <w:p w:rsidR="00256EE9" w:rsidRDefault="00256EE9" w:rsidP="00256EE9">
      <w:pPr>
        <w:pStyle w:val="TextoNormal"/>
      </w:pPr>
      <w:r w:rsidRPr="00256EE9">
        <w:rPr>
          <w:rStyle w:val="NumeroAFNegritaCaracter"/>
        </w:rPr>
        <w:t>3</w:t>
      </w:r>
      <w:r>
        <w:t>. En cuanto a los motivos rechazados en el Auto combatido, es manifiesto que lo han sido puntual y razonadamente por la Sala Segunda del Tribunal Supremo en el ámbito de su competencia y versan sobre cuestiones de mera legalidad ordinaria.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acordó inadmitir el recurso de amparo formulado por José Antonio Veiga Ordóñez y archivar las actuaciones, sin que proceda, dada la inadmisión del recurso, pronunciarse sobre la suspensión pedida.</w:t>
      </w:r>
    </w:p>
    <w:p w:rsidR="00256EE9" w:rsidRDefault="00256EE9" w:rsidP="00256EE9">
      <w:pPr>
        <w:pStyle w:val="TextoNormal"/>
      </w:pPr>
    </w:p>
    <w:p w:rsidR="00256EE9" w:rsidRDefault="00256EE9" w:rsidP="00256EE9">
      <w:pPr>
        <w:pStyle w:val="TextoNormal"/>
      </w:pPr>
      <w:r>
        <w:t>Madrid, a diez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3" w:name="AUTO_1985_12"/>
      <w:r>
        <w:lastRenderedPageBreak/>
        <w:t>AUTO 12/1985, de 10 de enero de 1985</w:t>
      </w:r>
    </w:p>
    <w:bookmarkEnd w:id="73"/>
    <w:p w:rsidR="00256EE9" w:rsidRDefault="00256EE9" w:rsidP="00256EE9">
      <w:pPr>
        <w:pStyle w:val="TtuloResolucin"/>
      </w:pPr>
      <w:r>
        <w:t>Sala Primera</w:t>
      </w:r>
    </w:p>
    <w:p w:rsidR="00256EE9" w:rsidRDefault="00256EE9" w:rsidP="00256EE9">
      <w:pPr>
        <w:pStyle w:val="TtuloResolucin"/>
      </w:pPr>
    </w:p>
    <w:p w:rsidR="00256EE9" w:rsidRDefault="00256EE9" w:rsidP="00256EE9">
      <w:pPr>
        <w:pStyle w:val="SntesisDescriptiva"/>
      </w:pPr>
      <w:r>
        <w:t>ECLI:ES:TC:1985:12A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don Manuel Díez de Velasco Vallejo, doña Gloria Begué Cantón,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acumulación de los recursos de amparo 645 y 804/1984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22 de agosto de 1984, el Procurador don Santos de Gandarillas Carmona, en nombre de la empresa «Sociedad Anónima para la Fabricación en España de Neumáticos Michelín» (SAFEN-MICHELIN), formuló recurso de amparo, contra el Auto del Tribunal Central de Trabajo de 6 de julio de 1984, que desestima recurso de súplica interpuesto contra el también Auto del mismo Tribunal de 7 de marzo de 1984, que declaró improcedente, por razón de la cuantía, la admisión del recurso de suplicación interpuesto por la propia Sociedad, contra la Sentencia de la Magistratura de Trabajo de Alava de 9 de diciembre de 1982, dictada en Autos núms. 1.461 al 1.474/1981, sobre reclamación de cantidad, por violación de los arts. 24.1 y 14 de la Constitución, y en súplica de que se dejaran sin efecto los Autos recurridos, anulándolos y reponiendo las actuaciones al momento de interponerse el recurso de suplicación contra la Sentencia de la Magistratura de Trabajo indicada, para que por el Tribunal Central de Trabajo se resolviera la cuestión de fondo planteada en el indicado recurso de suplicación. </w:t>
      </w:r>
    </w:p>
    <w:p w:rsidR="00256EE9" w:rsidRDefault="00256EE9" w:rsidP="00256EE9">
      <w:pPr>
        <w:pStyle w:val="TextoNormal"/>
      </w:pPr>
      <w:r>
        <w:t xml:space="preserve">La Sección Segunda, en providencia de 17 de octubre de 1984, en la que acordó admitir la demanda formulada, recabó las actuaciones del Tribunal Central de Trabajo y de la Magistratura de Trabajo de Alava y les encomendó el emplazamiento de las partes que figuraran en los procesos reclamados con excepción del actor. </w:t>
      </w:r>
    </w:p>
    <w:p w:rsidR="00256EE9" w:rsidRDefault="00256EE9" w:rsidP="00256EE9">
      <w:pPr>
        <w:pStyle w:val="TextoNormal"/>
      </w:pPr>
      <w:r>
        <w:t>Recibidas dichas actuaciones, la Sección Segunda, por providencia de 5 de diciembre, acordó abrir el trámite de alegaciones del art. 52.1, dando traslado de las actuaciones al Ministerio Fiscal y a la Entidad recurrente por plazo de veinte días a dicho fin.</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 fecha 22 de noviembre de 1984, el mismo Procurador señor Gandarillas, en nombre de la propia Sociedad Anónima antes citada, formuló recurso de amparo contra el Auto del Tribunal Central de Trabajo de 20 de septiembre de 1984, que desestimaba recurso de súplica interpuesto por la misma Entidad, contra el Auto de dicho Tribunal de 3 de mayo anterior, que declaró improcedente, por razón de la cuantía, la admisión del recurso de suplicación interpuesto por la propia Sociedad Anónima contra la Sentencia de la Magistratura de Trabajo de Alava de 2 de julio de 1982, dictada en Autos núms. </w:t>
      </w:r>
    </w:p>
    <w:p w:rsidR="00256EE9" w:rsidRDefault="00256EE9" w:rsidP="00256EE9">
      <w:pPr>
        <w:pStyle w:val="TextoNormal"/>
      </w:pPr>
      <w:r>
        <w:t xml:space="preserve">1.027 al 1.039/1980, sobre reclamación de cantidad, por violación de los arts. 24.1 y 14 de la Constitución, y a fin de que se dictara Sentencia, estimando el amparo y dejando sin </w:t>
      </w:r>
      <w:r>
        <w:lastRenderedPageBreak/>
        <w:t xml:space="preserve">efecto los Autos recurridos, anulándolos, y reponiendo las actuaciones al momento en que fue interpuesto dicho recurso de suplicación, contra la Sentencia de la Magistratura de Alava de 2 de julio de 1982, para que por el Tribunal Central de Trabajo se resuelva sobre la cuestión de fondo planteada en el antedicho recurso de suplicación. </w:t>
      </w:r>
    </w:p>
    <w:p w:rsidR="00256EE9" w:rsidRDefault="00256EE9" w:rsidP="00256EE9">
      <w:pPr>
        <w:pStyle w:val="TextoNormal"/>
      </w:pPr>
      <w:r>
        <w:t xml:space="preserve">La Sección Segunda, por providencia de 12 de diciembre de 1984, acordó admitir la demanda formulada y recabó las actuaciones del Tribunal Central de Trabajo y de la Magistratura de Trabajo de Alava, encomendándoles la práctica del emplazamiento de las partes procesales, con excepción del actor. </w:t>
      </w:r>
    </w:p>
    <w:p w:rsidR="00256EE9" w:rsidRDefault="00256EE9" w:rsidP="00256EE9">
      <w:pPr>
        <w:pStyle w:val="TextoNormal"/>
      </w:pPr>
      <w:r>
        <w:t>Y a su vez se proveyó al primer otrosí de la demanda sobre acumulación de este último proceso registrado con el núm. 804/1984, al que es objeto del punto primero, registrado con el núm. 645/1984, y se acordó, de conformidad con el art. 83 de la Ley Orgánica de este Tribunal (LOTC), oír a la parte actora en este procedimiento y al Ministerio Fiscal, por plazo de tres días, en orden a la procedencia de dicha acumulación.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Ministerio Fiscal formuló escrito alegando existía una evidente conexión entre el objeto de los procesos de amparo indicados, lo que justificaba que se tramitaran y decidieran conjuntamente, a medio de la oportuna y procedente acumulación, suspendiendo el trámite de los autos que se acumulan, hasta que se encuentren en un mismo estado procesal. </w:t>
      </w:r>
    </w:p>
    <w:p w:rsidR="00256EE9" w:rsidRDefault="00256EE9" w:rsidP="00256EE9">
      <w:pPr>
        <w:pStyle w:val="TextoNormal"/>
      </w:pPr>
      <w:r>
        <w:t>La representación de la parte actora alegó que los dos procesos 645 y 804 de 1984 contemplan el mismo objeto y tienen su base en los mismos hechos, y si las Sentencias de la Magistratura de Trabajo tienen distinta fecha, es debido a que no fueron acumuladas las demandas presentadas por el resto de los trabajadores de la Empresa, pertenecientes a la plantilla del centro de trabajo en Vitoria, suplicando que se dispusiese la acumulación indicada.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Al permitir el art.  83 de la Ley Orgánica de este Tribunal que a instancia de parte, en cualquier momento y previa audiencia de los comparecidos en el proceso constitucional, pueda disponerse la acumulación de aquellos procesos con objetos conexos que justifiquen la unidad de tramitación y decisión, y hallándose conformes la parte actora de los mismos y el Ministerio Fiscal, en estimar concurre en los recursos de amparo 645/1984 y 804/1984, idéntica razón y causa de pedir en las pretensiones que fundamentan a los mismos, afectando a resoluciones del Tribunal Central de Trabajo de idéntico contenido, resulta procedente acordar la acumulación solicitada de ambos procesos, con los efectos determinados en el art.  187 de la Ley de Enjuiciamiento Civil, aplicable en virtud de lo establecido en el artículo 80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Sala acordó la acumulación de los recursos de amparo 645/1984 y 804/1984, para que se tramiten en un solo proceso y se decidan en una misma resolución, suspendiéndose el curso del recurso núm.  645/1984 hasta que alcance el mismo estado el curso del</w:t>
      </w:r>
    </w:p>
    <w:p w:rsidR="00256EE9" w:rsidRDefault="00256EE9" w:rsidP="00256EE9">
      <w:pPr>
        <w:pStyle w:val="TextoNormal"/>
      </w:pPr>
      <w:r>
        <w:t>proceso núm. 804/1984.</w:t>
      </w:r>
    </w:p>
    <w:p w:rsidR="00256EE9" w:rsidRDefault="00256EE9" w:rsidP="00256EE9">
      <w:pPr>
        <w:pStyle w:val="TextoNormal"/>
      </w:pPr>
    </w:p>
    <w:p w:rsidR="00256EE9" w:rsidRDefault="00256EE9" w:rsidP="00256EE9">
      <w:pPr>
        <w:pStyle w:val="TextoNormal"/>
      </w:pPr>
      <w:r>
        <w:t>Madrid, a diez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4" w:name="AUTO_1985_13"/>
      <w:r>
        <w:lastRenderedPageBreak/>
        <w:t>AUTO 13/1985, de 10 de enero de 1985</w:t>
      </w:r>
    </w:p>
    <w:bookmarkEnd w:id="74"/>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ECLI:ES:TC:1985:13A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651/1984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en este Tribunal Constitucional (T. C.) el día 3 del pasado mes de septiembre, el Procurador don Saturnino Estévez Rodríguez interpuso, en nombre de doña Olga Ferrer-Roca, recurso de amparo contra el Acuerdo de 29 de diciembre de 1982 del Consejo de Administración de los Establecimientos Benéficos-Sanitarios del Cabildo Insular de Tenerife, así como contra las Sentencias de 14 de junio de 1983, de la Magistratura de Trabajo de Santa Cruz de Tenerife, y de 6 de julio de 1984, de la Sala de lo Contencioso-Administrativo de la Audiencia Provincial de la misma capital.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antecedentes del presente recurso son en síntesis los siguientes: </w:t>
      </w:r>
    </w:p>
    <w:p w:rsidR="00256EE9" w:rsidRDefault="00256EE9" w:rsidP="00256EE9">
      <w:pPr>
        <w:pStyle w:val="TextoNormal"/>
      </w:pPr>
      <w:r>
        <w:t xml:space="preserve">a) Por Acuerdo de 15 de septiembre de 1982, el Consejo de Administración de los Establecimientos Benéfico-Sanitarios del Cabildo Insular de Tenerife nombró a la ahora recurrente en amparo, a la sazón Profesora Agregada Numeraria de Anatomía Patológica, Jefe del Servicio de esta especialidad del Hospital General y Clínico de Tenerife. </w:t>
      </w:r>
    </w:p>
    <w:p w:rsidR="00256EE9" w:rsidRDefault="00256EE9" w:rsidP="00256EE9">
      <w:pPr>
        <w:pStyle w:val="TextoNormal"/>
      </w:pPr>
      <w:r>
        <w:t xml:space="preserve">b) A raíz de una reclamación presentada por el doctor Martín Herrera, el citado Consejo de Administración acordó, con fecha de 29 de diciembre de 1982, revocar el Acuerdo anterior, reconociendo y declarando el legítimo derecho del doctor Martín Herrera al ejercicio y desempeño de la plaza de Jefe de Servicio de Anatomía Patológica que se le había atribuido por su condición de Profesor Adjunto Numerario en Acuerdo de 16 de abril de 1980. </w:t>
      </w:r>
    </w:p>
    <w:p w:rsidR="00256EE9" w:rsidRDefault="00256EE9" w:rsidP="00256EE9">
      <w:pPr>
        <w:pStyle w:val="TextoNormal"/>
      </w:pPr>
      <w:r>
        <w:t xml:space="preserve">En la notificación del Acuerdo de 29 de diciembre de 1982 se hacía constar que contra el mismo podía interponerse reclamación previa ante el Presidente del aludido Cabildo Insular y que contra la decisión de esta autoridad procedía demanda ante la Magistratura de Trabajo. </w:t>
      </w:r>
    </w:p>
    <w:p w:rsidR="00256EE9" w:rsidRDefault="00256EE9" w:rsidP="00256EE9">
      <w:pPr>
        <w:pStyle w:val="TextoNormal"/>
      </w:pPr>
      <w:r>
        <w:t xml:space="preserve">c) Formulada por la doctora Ferrer-Roca la referida reclamación y posteriormente la oportuna demanda ante Magistratura de Trabajo de Santa Cruz de Tenerife, ésta, por Sentencia de 14 de junio de 1983, desestimó la pretensión de aquélla sobre despido improcedente, basándose en que la demandante había hecho constar en un documento firmado por la misma que con la cantidad recibida con motivo de la rescisión de su contrato con la Corporación se daba por saldada de cuantos conceptos pudieran existir a su favor, incluidas las reclamaciones contra dicho organismo. </w:t>
      </w:r>
    </w:p>
    <w:p w:rsidR="00256EE9" w:rsidRDefault="00256EE9" w:rsidP="00256EE9">
      <w:pPr>
        <w:pStyle w:val="TextoNormal"/>
      </w:pPr>
      <w:r>
        <w:lastRenderedPageBreak/>
        <w:t>d) Solicitado con fecha de 5 de marzo de 1983 por la doctora Ferrer-Roca que se le notificase en forma el Acuerdo del Consejo de Administración de 29 de diciembre de 1982 y denunciada la mora el 14 de junio siguiente, interpuso recurso contencioso-administrativo contra aquél ante la Sala de lo Contencioso-Administrativo de la Audiencia Provincial de Santa Curz de Tenerife que, por Sentencia de 6 de julio de 1984, lo desestimó.</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demandante solicita de este Tribunal Constitucional que dicte Sentencia por la que se otorgue amparo en la que se concrete la violación de los derechos constitucionales invocados y se restablezcan los mismos, declarando que la integridad de éstos o de cualquiera de ellos obliga a declarar la nulidad de lo actuado y, por tanto, a reponer a la doctora Ferrer-Roca en el cargo de Jefe de Servicio de Anatomía Patológica del Hospital General y Clínico de Santa Cruz de Tenerife. </w:t>
      </w:r>
    </w:p>
    <w:p w:rsidR="00256EE9" w:rsidRDefault="00256EE9" w:rsidP="00256EE9">
      <w:pPr>
        <w:pStyle w:val="TextoNormal"/>
      </w:pPr>
      <w:r>
        <w:t xml:space="preserve">La recurrente entiende que en el procedimiento administrativo y en el proceso seguido ante la jurisdicción contencioso-administrativa se han violado los derechos fundamentales de la igualdad ante la Ley y de la tutela judicial efectiva, consagrados, respectivamente, en los arts. 14 y 24 de la C. E. </w:t>
      </w:r>
    </w:p>
    <w:p w:rsidR="00256EE9" w:rsidRDefault="00256EE9" w:rsidP="00256EE9">
      <w:pPr>
        <w:pStyle w:val="TextoNormal"/>
      </w:pPr>
      <w:r>
        <w:t xml:space="preserve">A tal efecto, la solicitante de amparo considera que por un procedimiento extraño y anómalo se le ha privado de la plaza que ocupaba, adjudicándosele a otra persona, de modo que el Consejo de Administración antes aludido actuó en contra de sus propios actos, tratando a una y otro de forma desigual y realizando actos jurídicamente nulos, causando a la doctora Ferrer-Roca indefensión, situación que luego ha mantenido la Sala de lo Contencioso de la Audiencia Provincial de Santa Cruz de Tenerife. </w:t>
      </w:r>
    </w:p>
    <w:p w:rsidR="00256EE9" w:rsidRDefault="00256EE9" w:rsidP="00256EE9">
      <w:pPr>
        <w:pStyle w:val="TextoNormal"/>
      </w:pPr>
      <w:r>
        <w:t>A juicio de la recurrente, la falta de tutela judicial efectiva se evidencia por el hecho tanto de que resuelve la Magistratura de Trabajo una cuestión que no es de su jurisdicción, como que más tarde la jurisdicción contenciosa, que declara la incompetencia de la anterior, considera, no obstante, contradictoria e incongruente, que se ha producido la «rescisión de su contrato con la Administración» y que «no tenía que formular reclamación alguna contra la Corporación por ningún concepto». En esta misma línea insiste la doctora Ferrer-Roca que, por un lado, la Magistratura se ha declarado incompetente y ello por presentar el Cabildo un recibo de cantidad hecho en un tipo claramente laboral de los conocidos como de saldo y finiquito, sin estudiar, como era procedente, su falta de competencia objetiva, circunstancia no alterada por el hecho de que la indicada doctora no hiciera caso omiso de la vía laboral, como pudo hacerlo, pues la declaración de incompetencia de un Tribunal es cuestión de orden público; y, por otro, que la Sala de lo Contencioso ha partido de situaciones no acreditadas en sus resultandos, valorando un documento de alcance laboral cuya relación ha rechazado expresamente, dándole efectos no queridos por la Ley ni por la interesada.</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10 de octubre pasado, la Sección acordó tener por interpuesto recurso de amparo por doña Olga Ferrer-Roca y por personado y parte, en nombre y representación de la misma, al Procurador señor Estévez Rodríguez, y a tenor del art. 85 de la Ley Orgánica del Tribunal Constitucional (LOTC) conceder un plazo de diez días a la solicitante de amparo para que subsane el defecto consistente en no haber acompañado a la demanda la resolución administrativa impugnada (copia del Acuerdo del Consejo de Administración de los Establecimientos Benéfico-Sanitarios del Cabildo Insular de Tenerife, de 29 de diciembre de 1982), conforme a lo establecido en el art. 49.2 b) de la LOTC, advirtiéndole que, verificada dicha subsanación, se podría pasar al trámite de inadmisión que regula el art. 50 de la LOTC, por la posible concurrencia de los siguientes motivos: a) ha</w:t>
      </w:r>
      <w:r>
        <w:lastRenderedPageBreak/>
        <w:t>berse presentado la demanda fuera de plazo, según establece el art. 50.1 a), en relación con el 44.2, ambos de la LOTC, y b) carecer la demanda manifiestamente de contenido que justifique una decisión por parte del Tribunal Constitucional, según lo dispuesto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Por providencia del pasado día 7 de noviembre, la Sección acordó tener por recibido el escrito de la recurrente, con el documento adjunto, y por subsanado el defecto procesal al que se hacía referencia en la anterior providencia, así como, y según lo indicado en la misma providencia, conceder a la recurrente y al Ministerio Fiscal un plazo común de diez días, a fin de que, dentro del mismo, formulasen las alegaciones que estimasen pertinentes sobre los dos motivos de inadmisión de carácter insubsanable a que se hacía también referencia.</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Ministerio Fiscal, en su escrito de alegaciones, interesa de este Tribunal Constitucional que declare la inadmisión del presente recurso por concurrir los motivos previstos en el art. 50.1 a) y 2 b) de su Ley Orgánica. </w:t>
      </w:r>
    </w:p>
    <w:p w:rsidR="00256EE9" w:rsidRDefault="00256EE9" w:rsidP="00256EE9">
      <w:pPr>
        <w:pStyle w:val="TextoNormal"/>
      </w:pPr>
      <w:r>
        <w:t xml:space="preserve">Los argumentos en los que apoya su pretensión el Ministerio Público son, en síntesis, los siguientes: </w:t>
      </w:r>
    </w:p>
    <w:p w:rsidR="00256EE9" w:rsidRDefault="00256EE9" w:rsidP="00256EE9">
      <w:pPr>
        <w:pStyle w:val="TextoNormal"/>
      </w:pPr>
      <w:r>
        <w:t xml:space="preserve">a) La demanda de amparo es, en primer lugar, extemporánea, por haber tenido entrada en el Registro General de este Tribunal Constitucional fuera del plazo legalmente establecido, habida cuenta de que la Sentencia de la Sala de lo Contencioso-Administrativo parece que fue notificada el día 10 de julio de 1984, según resulta de una nota escrita a mano en el primer folio de la misma, y de que el mes de agosto es hábil a efectos del cómputo del plazo que establece el art. 44.2 de la LOTC, según han puesto de manifiesto diversos Autos de este Tribunal Constitucional. </w:t>
      </w:r>
    </w:p>
    <w:p w:rsidR="00256EE9" w:rsidRDefault="00256EE9" w:rsidP="00256EE9">
      <w:pPr>
        <w:pStyle w:val="TextoNormal"/>
      </w:pPr>
      <w:r>
        <w:t xml:space="preserve">b) La demanda hace residir la infracción del art. 14 de la C. E. en el «notorio trato desigual» a la actora y al doctor Martín Herrera, sin que se especifique, sin embargo, en qué consiste ese trato preferencial para el último y en disfavor para la demandante. </w:t>
      </w:r>
    </w:p>
    <w:p w:rsidR="00256EE9" w:rsidRDefault="00256EE9" w:rsidP="00256EE9">
      <w:pPr>
        <w:pStyle w:val="TextoNormal"/>
      </w:pPr>
      <w:r>
        <w:t xml:space="preserve">Ahora bien, en el hecho de revocar una designación a fin de mantener la ya existente no puede verse ninguna desigualdad discriminatoria, única que está proscrita por el art. 14 de la C. E., más aún cuando dicha resolución es adoptada de forma motivada en Derecho. </w:t>
      </w:r>
    </w:p>
    <w:p w:rsidR="00256EE9" w:rsidRDefault="00256EE9" w:rsidP="00256EE9">
      <w:pPr>
        <w:pStyle w:val="TextoNormal"/>
      </w:pPr>
      <w:r>
        <w:t>c) En cuanto a la presunta infracción del art. 24.1 de la C. E. es de notar, por un lado, que el doble conocimiento judicial -Magistratura de Trabajo y Sala de lo Contencioso-Administrativo puede acaso suponer un exceso de jurisdicción pero nunca una falta de tutela judicial, en especial si se tiene en cuenta que la tutela que procedía fue prestada por el órgano competente que era la Sala, y por otro, que habida cuenta de que en la mera discrepancia con una resolución judicial, como ya se sabe, no se puede basar la alegación de vulneración del citado derecho fundamental, si la Sala estimó, en su función propia juzgadora, que el escrito del finiquito firmado por la demandante suponía una renuncia a cualquier reclamación contra el Cabildo Insular, lo que hizo de forma motivada jurídicamente, no puede sostenerse de modo admisible que el fallo rendido suponga una falta de tutela judicial.</w:t>
      </w:r>
    </w:p>
    <w:p w:rsidR="00256EE9" w:rsidRDefault="00256EE9" w:rsidP="00256EE9">
      <w:pPr>
        <w:pStyle w:val="TextoNormal"/>
      </w:pPr>
    </w:p>
    <w:p w:rsidR="00256EE9" w:rsidRDefault="00256EE9" w:rsidP="00256EE9">
      <w:pPr>
        <w:pStyle w:val="TextoNormal"/>
      </w:pPr>
      <w:r w:rsidRPr="00256EE9">
        <w:rPr>
          <w:rStyle w:val="NumeroAFNegritaCaracter"/>
        </w:rPr>
        <w:t>7</w:t>
      </w:r>
      <w:r>
        <w:t>. La demandante, por su parte, alega, en cuanto a la primera causa de inadmisión, que la notificación de la Sentencia de la Sala de lo Contencioso-Administrativo se produjo el día 10 de julio de 1984, según acredita la certificación expedida por el Secretario de dicha Sala que se acompaña, con lo que, según la recurrente, el plazo vencía el día 4 de septiem</w:t>
      </w:r>
      <w:r>
        <w:lastRenderedPageBreak/>
        <w:t xml:space="preserve">bre siguiente, de donde se desprende que al haberse presentado el recurso de amparo el anterior día 3, dicho recurso se ha formulado dentro del plazo previsto en el art. 44.2 de la LOTC. </w:t>
      </w:r>
    </w:p>
    <w:p w:rsidR="00256EE9" w:rsidRDefault="00256EE9" w:rsidP="00256EE9">
      <w:pPr>
        <w:pStyle w:val="TextoNormal"/>
      </w:pPr>
      <w:r>
        <w:t>En cuanto a la segunda causa de inadmisión, la recurrente, tras citar diversas resoluciones de este Tribunal Constitucional que se han pronunciado sobre el alcance y significado de la expresión contenida en el art. 50.2 b) de la LOTC, sostiene que este defecto no concurre en la demanda de amparo y reitera los argumentos expuestos en ésta, solicitando, en consecuencia, se declare la admisibilidad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A juicio de la Sección, en la demanda concurren los dos motivos de inadmisión de naturaleza insubsanable puestos de manifiesto en la providencia de 7 de noviembre pasado.</w:t>
      </w:r>
    </w:p>
    <w:p w:rsidR="00256EE9" w:rsidRDefault="00256EE9" w:rsidP="00256EE9">
      <w:pPr>
        <w:pStyle w:val="TextoNormal"/>
      </w:pPr>
    </w:p>
    <w:p w:rsidR="00256EE9" w:rsidRDefault="00256EE9" w:rsidP="00256EE9">
      <w:pPr>
        <w:pStyle w:val="TextoNormal"/>
      </w:pPr>
      <w:r w:rsidRPr="00256EE9">
        <w:rPr>
          <w:rStyle w:val="NumeroAFNegritaCaracter"/>
        </w:rPr>
        <w:t>2</w:t>
      </w:r>
      <w:r>
        <w:t>. Por lo que respecta al primero de tales motivos -consistente en haberse presentado la demanda fuera del plazo establecido en el art.  43.2 de la LOTC-, cabe señalar que la Sentencia de la Sala de lo Contencioso-Administrativo de la Audiencia Provincial de Santa Cruz de Tenerife fue notificada -según constaba ya en nota a mano en el encabezamiento de la copia de la misma aportada inicialmente a este Tribunal Constitucional y que luego ha venido a confirmar la certificación expedida por el Secretario de dicha Sala, aportada en el período de alegaciones por la demandante- el 10 de julio pasado, con lo que, habida cuenta de que la demanda de amparo se formuló el 3 de septiembre, ha transcurrido con exceso el plazo de veinte días establecido en el art. 43.2 de la LOTC, bien entendido que, como tiene declarado este Tribunal Constitucional en una serie ya numerosa de resoluciones, el mes de agosto, según lo dispuesto en el Acuerdo del Pleno del mismo de 15 de junio de 1984 (publicado en el «Boletín Oficial del Estado» de 2 de julio), es hábil a efectos de iniciación de los distintos procesos atribuidos a la competencia de este Tribunal Constitucional (art. 2).</w:t>
      </w:r>
    </w:p>
    <w:p w:rsidR="00256EE9" w:rsidRDefault="00256EE9" w:rsidP="00256EE9">
      <w:pPr>
        <w:pStyle w:val="TextoNormal"/>
      </w:pPr>
    </w:p>
    <w:p w:rsidR="00256EE9" w:rsidRDefault="00256EE9" w:rsidP="00256EE9">
      <w:pPr>
        <w:pStyle w:val="TextoNormal"/>
      </w:pPr>
      <w:r w:rsidRPr="00256EE9">
        <w:rPr>
          <w:rStyle w:val="NumeroAFNegritaCaracter"/>
        </w:rPr>
        <w:t>3</w:t>
      </w:r>
      <w:r>
        <w:t>. Aunque bastaría con apreciar el motivo señalado para declarar la inadmisión del recurso, es de notar, a mayor abundamiento, que en la demanda concurre también el motivo consistente en la carencia manifiesta de contenido constitucional de la misma.</w:t>
      </w:r>
    </w:p>
    <w:p w:rsidR="00256EE9" w:rsidRDefault="00256EE9" w:rsidP="00256EE9">
      <w:pPr>
        <w:pStyle w:val="TextoNormal"/>
      </w:pPr>
      <w:r>
        <w:t>En primer lugar, no aparece por ningún lado la pretendida infracción del principio de igualdad, ya que de la simple revocación de un nombramiento (el de la doctora Ferrer-Roca) y el consiguiente nuevo nombramiento (o ratificación en el que ya se había producido años antes) en favor de otro médico (el doctor Martín Herrera) no se deduce en absoluto trato discriminatorio en contra de la primera, faltando, en todo caso, la aportación del necesario «término de comparación» por parte de la recurrente que permita vislumbrar a este Tribunal Constitucional la posible existencia de la presunta discriminación.</w:t>
      </w:r>
    </w:p>
    <w:p w:rsidR="00256EE9" w:rsidRDefault="00256EE9" w:rsidP="00256EE9">
      <w:pPr>
        <w:pStyle w:val="TextoNormal"/>
      </w:pPr>
      <w:r>
        <w:t>En segundo término, tampoco puede decirse en absoluto que se haya producido violación del derecho a la tutela judicial efectiva por parte de las Sentencias de la Magistratura de Trabajo y de la Sala de lo Contencioso de la Audiencia Provincial de Santa Cruz de Tenerife.</w:t>
      </w:r>
    </w:p>
    <w:p w:rsidR="00256EE9" w:rsidRDefault="00256EE9" w:rsidP="00256EE9">
      <w:pPr>
        <w:pStyle w:val="TextoNormal"/>
      </w:pPr>
      <w:r>
        <w:t xml:space="preserve">Es cierto que una y otra Sala parecen partir de una concepción diferente en cuanto a la naturaleza jurídica de la relación que mediaba entre el Hospital General y Clínico y la doctora Ferrer-Roca.  No es menos cierto, sin embargo, que ello es irrelevante tanto a los </w:t>
      </w:r>
      <w:r>
        <w:lastRenderedPageBreak/>
        <w:t>efectos de la cuestión ventilada en uno y otro proceso como del presente recurso de amparo.</w:t>
      </w:r>
    </w:p>
    <w:p w:rsidR="00256EE9" w:rsidRDefault="00256EE9" w:rsidP="00256EE9">
      <w:pPr>
        <w:pStyle w:val="TextoNormal"/>
      </w:pPr>
      <w:r>
        <w:t>En efecto, en la demanda sobre despido improcedente, la Magistratura de Trabajo se pronunció en sentido desestimatorio con base en el «finiquito» firmado por la doctora Ferrer-Roca, en el que se daba por satisfecha con la cantidad recibida y renunciaba a cualquier tipo de reclamación contra el ente asistencial; en el recurso contencioso-administrativo interpuesto contra el acuerdo por el que se revocó el nombramiento de la citada doctora y se reconoció el derecho del doctor Martín Herrera al ejercicio de la Jefatura de Servicio cuestionada, la Sala de la Audiencia Provincial desestimó igualmente la pretensión de anulación del acuerdo impugnado sobre la base de la «renuncia al ejercicio de cualquier derecho o acción contra el Cabildo», formulada por la doctora Ferrer-Roca.</w:t>
      </w:r>
    </w:p>
    <w:p w:rsidR="00256EE9" w:rsidRDefault="00256EE9" w:rsidP="00256EE9">
      <w:pPr>
        <w:pStyle w:val="TextoNormal"/>
      </w:pPr>
      <w:r>
        <w:t>Dos decisiones judiciales suficientemente fundadas en Derecho y que si bien no satisfacen en cuanto al fondo los intereses de la ahora demandante de amparo, no por ello vulneran el derecho a la tutela judicial efectiva entendida en los términos y con el alcance que este Tribunal Constitucional ha reiterado hasta la saciedad y sobre los que no es necesario insistir aquí.</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inadmisión del recurso de amparo interpuesto por doña Olga Ferrer-Roca, y el archivo de las actuaciones.</w:t>
      </w:r>
    </w:p>
    <w:p w:rsidR="00256EE9" w:rsidRDefault="00256EE9" w:rsidP="00256EE9">
      <w:pPr>
        <w:pStyle w:val="TextoNormal"/>
      </w:pPr>
    </w:p>
    <w:p w:rsidR="00256EE9" w:rsidRDefault="00256EE9" w:rsidP="00256EE9">
      <w:pPr>
        <w:pStyle w:val="TextoNormal"/>
      </w:pPr>
      <w:r>
        <w:t>Madrid, a diez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5" w:name="AUTO_1985_14"/>
      <w:r>
        <w:lastRenderedPageBreak/>
        <w:t>AUTO 14/1985, de 10 de enero de 1985</w:t>
      </w:r>
    </w:p>
    <w:bookmarkEnd w:id="75"/>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ECLI:ES:TC:1985:14A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el archivo de las actuaciones en el procedimiento 712/1984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Mediante escrito presentado con fecha 16 de octubre de 1984, don Jacinto Garijo Contreras y doña Consuelo Caballo de Miguel, ambos maestros jubilados y matrimonio, solicitaron se admita el recurso de amparo contra la anulación «hace muy poco tiempo y oficialmente» de las pensiones de orfandad y viudedad a las hijas solteras y viudas no pertenecientes a familias militares ni a las de los funcionarios del Ministerio de Justicia. Afirman dichos solicitantes que invocan un interés legítimo, ya que solicitan que se adjudique a su hija soltera Carolina Garijo su pensión «cuando faltemos sus padres, como a las demás mujeres solteras o viudas». Se invoca violación del art. 14 de la Constitución Española al haberse producido una patente discriminación.</w:t>
      </w:r>
    </w:p>
    <w:p w:rsidR="00256EE9" w:rsidRDefault="00256EE9" w:rsidP="00256EE9">
      <w:pPr>
        <w:pStyle w:val="TextoNormal"/>
      </w:pPr>
    </w:p>
    <w:p w:rsidR="00256EE9" w:rsidRDefault="00256EE9" w:rsidP="00256EE9">
      <w:pPr>
        <w:pStyle w:val="TextoNormal"/>
      </w:pPr>
      <w:r w:rsidRPr="00256EE9">
        <w:rPr>
          <w:rStyle w:val="NumeroAFNegritaCaracter"/>
        </w:rPr>
        <w:t>2</w:t>
      </w:r>
      <w:r>
        <w:t>. El 14 de noviembre de 1984, la Sección acordó otorgar a los solicitantes de amparo un plazo de diez días para personarse ante este Tribunal representados por Procurador y asistidos de Abogado.</w:t>
      </w:r>
    </w:p>
    <w:p w:rsidR="00256EE9" w:rsidRDefault="00256EE9" w:rsidP="00256EE9">
      <w:pPr>
        <w:pStyle w:val="TextoNormal"/>
      </w:pPr>
    </w:p>
    <w:p w:rsidR="00256EE9" w:rsidRDefault="00256EE9" w:rsidP="00256EE9">
      <w:pPr>
        <w:pStyle w:val="TextoNormal"/>
      </w:pPr>
      <w:r w:rsidRPr="00256EE9">
        <w:rPr>
          <w:rStyle w:val="NumeroAFNegritaCaracter"/>
        </w:rPr>
        <w:t>3</w:t>
      </w:r>
      <w:r>
        <w:t>. En 30 de noviembre de 1984 tuvo entrada en el Registro de este Tribunal escrito de don Jacinto Garijo Contreras, manifestando haber realizado las oportunas gestiones para encontrar un Abogado que le defendiera en el presente recurso de amparo, pero que no lo encontró.</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por providencia de 5 de diciembre siguiente, acordó dar traslado de las actuaciones al Ministerio Fiscal y al Defensor del Pueblo, a fin de que emitieran el correspondiente dictamen sobre si era o no sostenible la acción que pretendía entablar el solicitante de amparo.</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Defensor del Pueblo, en escrito que tuvo entrada en el Registro de este Tribunal el 18 de diciembre de 1984, manifestó que no ha lugar a ejercer la legitimación que, en orden a la interposición de recursos de amparo le concede el art. 29 de la Ley Orgánica Reguladora de dicha Institución, por no haberse producido disposición, acto jurídico o simple vía de hecho de los Poderes Públicos vulnerador de los derechos y libertades susceptibles de amparo constitucional que pueda constituir el objeto del presente recurso. </w:t>
      </w:r>
      <w:r>
        <w:lastRenderedPageBreak/>
        <w:t>Además, no se ha agotado la vía judicial procedente exigida por el art. 43.1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6</w:t>
      </w:r>
      <w:r>
        <w:t>. El Ministerio Fiscal, en escrito que tuvo entrada en el Registro General de este Tribunal el 19 de diciembre de 1984, expone que no es sostenible la acción que pretenden entablar los solicitantes de amparo, porque los recurrentes tratan de precaverse respecto a futuras lesiones, eventuales, que aún no se han producido, y frente a las cuales el amparo constitucional resulta extemporáneo.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256EE9" w:rsidRDefault="00256EE9" w:rsidP="00256EE9">
      <w:pPr>
        <w:pStyle w:val="TextoNormal"/>
      </w:pPr>
    </w:p>
    <w:p w:rsidR="00256EE9" w:rsidRDefault="00256EE9" w:rsidP="00256EE9">
      <w:pPr>
        <w:pStyle w:val="TextoNormal"/>
      </w:pPr>
      <w:r w:rsidRPr="00256EE9">
        <w:rPr>
          <w:rStyle w:val="NumeroAFNegritaCaracter"/>
        </w:rPr>
        <w:t>2</w:t>
      </w:r>
      <w:r>
        <w:t>. En el presente caso, no habiendo comparecido el solicitante con la debida postulación y no habiendo considerado procedente sostener la acción ni el Ministerio Fiscal ni el Defensor del Pueblo se ha producido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anteriormente expuesto, la Sección acuerda estimar producida la extinción del proceso abierto por el escrito de demanda de amparo.</w:t>
      </w:r>
    </w:p>
    <w:p w:rsidR="00256EE9" w:rsidRDefault="00256EE9" w:rsidP="00256EE9">
      <w:pPr>
        <w:pStyle w:val="TextoNormal"/>
      </w:pPr>
    </w:p>
    <w:p w:rsidR="00256EE9" w:rsidRDefault="00256EE9" w:rsidP="00256EE9">
      <w:pPr>
        <w:pStyle w:val="TextoNormal"/>
      </w:pPr>
      <w:r>
        <w:t>Madrid, a diez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6" w:name="AUTO_1985_15"/>
      <w:r>
        <w:lastRenderedPageBreak/>
        <w:t>AUTO 15/1985, de 10 de enero de 1985</w:t>
      </w:r>
    </w:p>
    <w:bookmarkEnd w:id="76"/>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ECLI:ES:TC:1985:15A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716/1984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que tiene entrada en este Tribunal Constitucional el 17 de octubre de 1984, el Procurador de los Tribunales don Felipe Ramos Arroyo, en nombre y representación de don Miguel Sánchez Chaparro 1, interpone recurso de amparo contra el Auto de la Sección Séptima de la Audiencia Provincial de Madrid de 30 de junio de 1984, que deniega en súplica la reforma del Auto de sobreseimiento, en su día apelado, dictado por el Juzgado núm. 9 de los de Madrid en las diligencias preparatorias núm. 66/1978.</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que dieron origen a la presente demanda de amparo, según se deduce de los datos ofrecidos por el recurrente y de los documentos aportados, son los siguientes: </w:t>
      </w:r>
    </w:p>
    <w:p w:rsidR="00256EE9" w:rsidRDefault="00256EE9" w:rsidP="00256EE9">
      <w:pPr>
        <w:pStyle w:val="TextoNormal"/>
      </w:pPr>
      <w:r>
        <w:t xml:space="preserve">1 Vid. en este mismo volumen, Auto núm. 151/1985. </w:t>
      </w:r>
    </w:p>
    <w:p w:rsidR="00256EE9" w:rsidRDefault="00256EE9" w:rsidP="00256EE9">
      <w:pPr>
        <w:pStyle w:val="TextoNormal"/>
      </w:pPr>
      <w:r>
        <w:t>En diciembre de 1977, el ahora demandante denunció a la Empresa constructora «Sala, S. A.» por presunta apropiación indebida de bienes muebles y estafa. Abierto el trámite de las diligencias preparatorias por el Juzgado núm. 9 de Madrid y una vez practicadas las pruebas solicitadas por el acusador particular y admitidas por el órgano judicial, por providencia de 13 de junio de 1979, el Juez acordó dar traslado al Ministerio Fiscal y al acusador particular para que solicitaran lo que estimaren oportuno acerca del sobreseimiento o apertura del juicio oral. El Ministerio Fiscal solicitó el sobreseimento libre por aplicación del indulto, y la parte acusadora instó la práctica de prueba pericial, que reiteró en escrito de 22 de febrero de 1980. El órgano judicial accedió a dicha petición, pero sin haberse practicado dicha prueba acordó posteriormente el sobreseimiento libre por Auto de 30 de noviembre de 1982, que fue confirmado en apelación por Auto de 29 de mayo de 1984 de la Audiencia Provincial de Madrid, el cual desestimó el recurso interpuesto que, a su vez, fue recurrido en súplica, dando lugar a la resolución judicial recurrida en amparo.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representación del recurrente estima que dicha resolución vulnera el art. 24 de la Constitución, pues su representado no ha obtenido la tutela judicial efectiva, ni se ha respetado la sumariedad, ni se ha practicado una prueba decisiva para saber si el indulto debía aplicarse total o parcialmente, y aun cuando existieran defectos procesales en las actuaciones, de ellos no puede derivarse indefensión. </w:t>
      </w:r>
    </w:p>
    <w:p w:rsidR="00256EE9" w:rsidRDefault="00256EE9" w:rsidP="00256EE9">
      <w:pPr>
        <w:pStyle w:val="TextoNormal"/>
      </w:pPr>
      <w:r>
        <w:t xml:space="preserve">En consecuencia, la parte recurrente solicita de este Tribunal Constitucional ordene a la Sala la reforma del Auto de sobreseimiento dictado en las diligencias preparatorias </w:t>
      </w:r>
      <w:r>
        <w:lastRenderedPageBreak/>
        <w:t>66/1978, a fin de que vuelvan las actuaciones al Juzgado y se practique la prueba pericial solicitada, toda vez que no se ha cumplido tampoco el requisito procesal de haber pedido ella el sobreseimiento previo los trámites de rigor.</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14 de noviembre de 1984, la Sección Primera de la Sala Primera de este Tribunal Constitucional, de conformidad con el art. 50 de la Ley Orgánica del mismo (LOTC), acuerda conceder un plazo común de diez días al Ministerio Fiscal y al solicitante de amparo a fin de que aleguen lo que estimaren pertinente en relación con la posible existencia de los siguientes motivos de inadmisión: a) no ir acompañada la demanda de los documentos que acrediten la invocación formal en vía judicial ordinaria del Derecho constitucional vulnerado [art. 50.1 b) en relación con el 44.1 c), ambos de la LOTC)], así como la fecha de notificación de la resolución judicial impugnada [art. 50.1 a) en relación con el 44.2 de la citada Ley]; b) carecer la demanda manifiestamente de contenido que justifique una decisión por parte de este Tribunal Constitucional [art. 50.2 b) de la reiterada Ley Orgánica].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Ministerio Fiscal, en escrito de 22 de noviembre de 1984, después de señalar la posible concurrencia de los motivos de inadmisión subsanables expresados en la anterior providencia, a reserva de la aportación por el recurrente de los documentos solicitados, manifiesta que, a su juicio, no existe lesión alguna de los derechos fundamentales a que se refiere el art. 24 de la Constitución. </w:t>
      </w:r>
    </w:p>
    <w:p w:rsidR="00256EE9" w:rsidRDefault="00256EE9" w:rsidP="00256EE9">
      <w:pPr>
        <w:pStyle w:val="TextoNormal"/>
      </w:pPr>
      <w:r>
        <w:t xml:space="preserve">Por lo que se refiere al derecho a la tutela judicial efectiva, el Ministerio Fiscal manifiesta que el solicitante de amparo tuvo acceso al proceso, formuló cuantas pretensiones consideró convenientes, alegó y le fueron aceptados determinados medios de prueba, y el Tribunal competente se pronunció sobre todos y cada uno de los extremos, por lo que puede afirmarse que se han respetado todos los elementos constitutivos del derecho constitucional cuestionado. </w:t>
      </w:r>
    </w:p>
    <w:p w:rsidR="00256EE9" w:rsidRDefault="00256EE9" w:rsidP="00256EE9">
      <w:pPr>
        <w:pStyle w:val="TextoNormal"/>
      </w:pPr>
      <w:r>
        <w:t xml:space="preserve">En cuanto a la invocada lesión del derecho a un proceso sin dilaciones indebidas, estima el Ministerio Fiscal que para que pueda entenderse lesionado dicho derecho es necesario que el alargamiento de la causa tenga su origen en una inactividad no fundada ni razonable de los órganos judiciales, supuesto que no se aprecia en los presentes autos en los que, por el contrario, se advierte, como una de las circunstancias determinantes de dicho alargamiento, el ejercicio de pretensiones procesales extemporáneas y en desacuerdo con las normas reguladoras del procedimiento, imputables de lleno al hoy actor. </w:t>
      </w:r>
    </w:p>
    <w:p w:rsidR="00256EE9" w:rsidRDefault="00256EE9" w:rsidP="00256EE9">
      <w:pPr>
        <w:pStyle w:val="TextoNormal"/>
      </w:pPr>
      <w:r>
        <w:t>Por todo lo anterior, el Ministerio Fiscal interesa de este Tribunal dicte Auto declarando la inadmisión de la demanda.</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Por su parte, el demandante de amparo, con fecha 30 de noviembre de 1984, acompaña certificación del Auto recurrido de 30 de junio del mismo año, en la que consta que fue notificado el 22 de septiembre siguiente; asimismo indica que la invocación del derecho constitucional vulnerado se hizo verbalmente en la apelación y que dicha invocación verbal, según jurisprudencia del Tribunal Constitucional, es perfectamente válida a los efectos del recurso de amparo. </w:t>
      </w:r>
    </w:p>
    <w:p w:rsidR="00256EE9" w:rsidRDefault="00256EE9" w:rsidP="00256EE9">
      <w:pPr>
        <w:pStyle w:val="TextoNormal"/>
      </w:pPr>
      <w:r>
        <w:t xml:space="preserve">En cuanto a la carencia de contenido constitucional, manifiesta que no comprende en absoluto tal motivación, pues en la demanda de amparo se invoca una norma constitucional -el art. 24 de la Constitución- que se considera vulnerado, dado que el Auto recurrido deniega la práctica de una prueba pericial admitida por el Juez y acuerda el sobreseimiento </w:t>
      </w:r>
      <w:r>
        <w:lastRenderedPageBreak/>
        <w:t>sin haberlo pedido la parte denunciante, requisito exigido por la Ley, dejando a un lado la larguísima tramitación de las diligencias que constituye en sí una violación del derecho constitucional invocado.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Acreditada fehacientemente por el recurrente la presentación del recurso de amparo dentro del plazo fijado en el art.  44.2 de la LOTC, es preciso examinar si del mismo modo ha sido subsanado el otro motivo de inadmisión indicado en el apartado a) de nuestra providencia de 14 de noviembre de 1984: la falta de invocación formal en vía judicial ordinaria del derecho constitucional vulnerado.</w:t>
      </w:r>
    </w:p>
    <w:p w:rsidR="00256EE9" w:rsidRDefault="00256EE9" w:rsidP="00256EE9">
      <w:pPr>
        <w:pStyle w:val="TextoNormal"/>
      </w:pPr>
      <w:r>
        <w:t>El recurrente alega que tal invocación se hizo verbalmente en la apelación y que ello es suficiente, según doctrina de este Tribunal Constitucional, para considerar cumplido el requisito establecido en el art.  44.1 c) de la LOTC.</w:t>
      </w:r>
    </w:p>
    <w:p w:rsidR="00256EE9" w:rsidRDefault="00256EE9" w:rsidP="00256EE9">
      <w:pPr>
        <w:pStyle w:val="TextoNormal"/>
      </w:pPr>
      <w:r>
        <w:t>Pero aun cuando fuere la vista oral el momento procesal idóneo, es preciso, como reiteradamente viene señalando este Tribunal, que tal invocación sea probada de alguna forma, dada la trascendencia del requisito cuyo cumplimiento se cuestiona, pues su finalidad y razón de ser consiste en hacer posible el respeto y restablecimiento del derecho constitucional en sede jurisdiccional ordinaria, al haberse configurado constitucionalmente el recurso de amparo como un medio último y subsidiario de garantía; de ahí que al recurrente incumba reclamar la constancia de tal invocación en la diligencia o acta correspondiente. En el presente caso, el recurrente ha dejado transcurrir el plazo que le fue concedido sin acreditar el cumplimiento del mencionado requisito, por lo que la demanda incurre en el motivo de inadmisión previsto en el art. 50.1 b) en relación con el 44.1 c), ambos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A ello hay que añadir que tampoco cabe una decisión de este Tribunal Constitucional sobre el fondo de la cuestión planteada, ya que la demanda carece manifiestamente de contenido constitucional al no aparecer vulnerado el derecho constitucional invocado, según se deduce de los escritos y documentos aportados.</w:t>
      </w:r>
    </w:p>
    <w:p w:rsidR="00256EE9" w:rsidRDefault="00256EE9" w:rsidP="00256EE9">
      <w:pPr>
        <w:pStyle w:val="TextoNormal"/>
      </w:pPr>
      <w:r>
        <w:t>A juicio del recurrente, la vulneración del art.  24 de la Constitución se habría producido al no haber obtenido la tutela judicial efectiva, garantizada en el mencionado precepto constitucional, y al no haberse practicado la prueba pericial propuesta a pesar de su relevancia.</w:t>
      </w:r>
    </w:p>
    <w:p w:rsidR="00256EE9" w:rsidRDefault="00256EE9" w:rsidP="00256EE9">
      <w:pPr>
        <w:pStyle w:val="TextoNormal"/>
      </w:pPr>
      <w:r>
        <w:t>No cabe, sin embargo, afirmar que tales vulneraciones se hayan producido. El recurrente ha tenido acceso al proceso en varias instancias, ha tenido ocasión de hacer valer en ellas sus pretensiones, y la resolución judicial impugnada, que confirma el sobreseimiento, aparece jurídicamente fundada. Y en cuanto a la práctica de la prueba solicitada, es preciso recordar que no cabe hablar de vulneración del art. 24 de la Constitución cuando la pretensión que se deduce no se ajusta a las normas legales que sirven de base a la ordenación del proceso; tal supuesto se da en el presente recurso de amparo. El recurrente propone la prueba pericial en el momento en que el Juez le da traslado de la causa para que solicite lo que estime oportuno acerca del sobreseimiento o apertura del juicio oral y sin proceder a evacuar este trámite, no obstante la insistencia del Juez; por ello, habiendo solicitado el sobreseimiento el Ministerio Fiscal, la resolución judicial que acuerda el sobreseimiento libre sin proceder previamente a la práctica de la prueba no puede considerarse jurídica</w:t>
      </w:r>
      <w:r>
        <w:lastRenderedPageBreak/>
        <w:t>mente infundada y de ella no cabe derivar vulneración alguna de derechos constitucionales.</w:t>
      </w:r>
    </w:p>
    <w:p w:rsidR="00256EE9" w:rsidRDefault="00256EE9" w:rsidP="00256EE9">
      <w:pPr>
        <w:pStyle w:val="TextoNormal"/>
      </w:pPr>
      <w:r>
        <w:t>Finalmente, el recurrente se refiere a la larga duración del procedimiento, pero como señala el Ministerio Fiscal, para que pueda entenderse lesionado el derecho a un proceso sin dilaciones indebidas es necesario que el alargamiento de la causa tenga su origen en una inactividad no fundada ni razonable de los órganos judiciales, y en el presente caso el recurrente sólo pone de manifiesto la duración excesiva del proceso.  Por otro lado, de los documen tos aportados se deduce que, en parte, tal dilación ha sido originada por el irregular comportamiento procesal del interesado, por lo que tampoco existe base suficiente para concluir que se ha producido una vulneración del derecho reconocido en el art. 24.2 de la Constitución.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inadmisión del recurso de amparo interpuesto por el Procurador de los Tribunales don Felipe Ramos Arroyo, en nombre y representación de don Miguel Sánchez Chaparro, y el archivo de las actuaciones.</w:t>
      </w:r>
    </w:p>
    <w:p w:rsidR="00256EE9" w:rsidRDefault="00256EE9" w:rsidP="00256EE9">
      <w:pPr>
        <w:pStyle w:val="TextoNormal"/>
      </w:pPr>
    </w:p>
    <w:p w:rsidR="00256EE9" w:rsidRDefault="00256EE9" w:rsidP="00256EE9">
      <w:pPr>
        <w:pStyle w:val="TextoNormal"/>
      </w:pPr>
      <w:r>
        <w:t>Madrid, a diez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7" w:name="AUTO_1985_16"/>
      <w:r>
        <w:lastRenderedPageBreak/>
        <w:t>AUTO 16/1985, de 10 de enero de 1985</w:t>
      </w:r>
    </w:p>
    <w:bookmarkEnd w:id="77"/>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ECLI:ES:TC:1985:16A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Declarando la falta de jurisdicción del Tribunal Constitucional y acordando el archivo de las actuaciones en el procedimiento 801/1984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Doña Elisa Hurtado Pérez, Procurador de los Tribunales, interpone recurso de amparo constitucional por medio de escrito que ha tenido entrada en este Tribunal el día 20 de noviembre de 1984, en nombre y representación del Comité de Empresa de «Domar, S. A.», compuesto por don Benigno Iglesias Abecasis y otros, contra la Sentencia de la Sala Quinta del Tribunal Central de Trabajo de 5 de octubre de 1984, por entender que dicha resolución viola los intereses legítimos de sus mandantes, dando lugar a la indefensión que proscribe el art. 24.1 de la Constitución Española (C. E.). </w:t>
      </w:r>
    </w:p>
    <w:p w:rsidR="00256EE9" w:rsidRDefault="00256EE9" w:rsidP="00256EE9">
      <w:pPr>
        <w:pStyle w:val="TextoNormal"/>
      </w:pPr>
      <w:r>
        <w:t>Solicita la declaración de nulidad de dicha Sentencia, dictada en recurso de suplicación núm. 654/1984, y que se declare la vigencia de la Sentencia 376/1984, de 13 de junio, de la Magistratura de Trabajo núm. 18 de Barcelona, por ser más ajustada a Derecho.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basa en los siguientes hechos: </w:t>
      </w:r>
    </w:p>
    <w:p w:rsidR="00256EE9" w:rsidRDefault="00256EE9" w:rsidP="00256EE9">
      <w:pPr>
        <w:pStyle w:val="TextoNormal"/>
      </w:pPr>
      <w:r>
        <w:t xml:space="preserve">Los trabajadores de la empresa «Domar, S. A.» promovieron el 30 de septiembre de 1983 conflicto colectivo contra la Empresa, por entender que no procedía la absorción de los días de descanso que, en función de la antigüedad, disfrutaban los trabajadores, dentro del período vacacional legalmente establecido por la Ley 4/1983, de 29 de junio. </w:t>
      </w:r>
    </w:p>
    <w:p w:rsidR="00256EE9" w:rsidRDefault="00256EE9" w:rsidP="00256EE9">
      <w:pPr>
        <w:pStyle w:val="TextoNormal"/>
      </w:pPr>
      <w:r>
        <w:t xml:space="preserve">Al no alcanzarse avenencia en el trámite de conciliación, pasó la cuestión a conocimiento de la Magistratura de Trabajo núm. 18 de Barcelona, siendo admitida como demanda, celebrándose el juicio el día 8 de mayo de 1984, en el que se dictó Sentencia por la que se declaró el derecho de los trabajadores de dicha Empresa a disfrutar, además de un período de vacaciones retribuidas de treinta días anuales, de los días que por razón de antigüedad les correspondieran en cada caso. </w:t>
      </w:r>
    </w:p>
    <w:p w:rsidR="00256EE9" w:rsidRDefault="00256EE9" w:rsidP="00256EE9">
      <w:pPr>
        <w:pStyle w:val="TextoNormal"/>
      </w:pPr>
      <w:r>
        <w:t>Recurrida la anterior Sentencia, interpuso recurso de suplicación la Empresa, obteniendo una Sentencia -la de 5 de octubre de 1984- favorable a sus pretensiones, ya que revoca la Sentencia de instancia, absolviendo a la Empresa de las peticiones formuladas en el escrito inicial.</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El art. 4.2 de la Ley Orgánica del Tribunal Constitucional (LOTC) dispone que el Tribunal Constitucional apreciará, de oficio o de instancia de parte, su falta de jurisdicción o de competencia.</w:t>
      </w:r>
    </w:p>
    <w:p w:rsidR="00256EE9" w:rsidRDefault="00256EE9" w:rsidP="00256EE9">
      <w:pPr>
        <w:pStyle w:val="TextoNormal"/>
      </w:pPr>
      <w:r>
        <w:t>Tratándose de recursos de amparo contra resoluciones judiciales y, en general, contra actos u omisiones de un órgano judicial, la jurisdicción de este Tribunal se extiende sólo a conocer de las posibles vulneraciones de derechos fundamentales y libertades públicas susceptibles de amparo (art.  123.1 relativo al Tribunal Supremo, pero aplicable en este punto a los demás órganos jurisdiccionales, y art. 44 de la LOTC). Cuando es patente que la cuestión planteada no afecta a tales derechos y libertades, sino que lo que se solicita de este Tribunal es que actúe como una tercera instancia, revisando la aplicación de la legalidad que hacen los Tribunales ordinarios, es evidente que la cuestión es ajena a su jurisdicción.  Y esto es lo que ocurre en el presente caso.  El solicitante del amparo invoca ciertamente derechos fundamentales susceptibles de amparo que son el derecho a la tutela judicial efectiva y a que no pueda producirse indefensión, consagrados en el art. 24.1 de la Constitución. Pero ni la pretensión deducida en el proceso ni los argumentos en que intenta apoyarse afectan a esos derechos.  El recurrente muestra su disconformidad con la Sentencia impugnada del Tribunal Central del Trabajo, que revoca otra de la Magistratura en que se le dio la razón, porque entiende que la Sentencia del Tribunal Central interpreta erróneamente un artículo del convenio colectivo de Empresa, y argumenta sobre ese posible error, para terminar pidiendo que este Tribunal Constitucional declare la nulidad de la Sentencia del Tribunal Central del Trabajo y la vigencia de la dictada por la Magistratura, por ser ésta «más ajustada a Derecho». Tal cuestión es ajena a la jurisdicción de este Tribunal en cuanto que, como se ha dicho, no vulnera un derecho fundamental o libertad pública susceptible de amparo, sin que baste la mención del art. 24 para hacer entrar en la jurisdicción de este Tribunal lo que no pertenece a ella. Procede, por tanto, de acuerdo con el citado art. 4.2 de la LOTC declarar de oficio la falta de jurisdicción de este Tribunal en el asunto planteado.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se declara de oficio la falta de jurisdicción del Tribunal Constitucional en el asunto planteado. Archívense las actuaciones.</w:t>
      </w:r>
    </w:p>
    <w:p w:rsidR="00256EE9" w:rsidRDefault="00256EE9" w:rsidP="00256EE9">
      <w:pPr>
        <w:pStyle w:val="TextoNormal"/>
      </w:pPr>
    </w:p>
    <w:p w:rsidR="00256EE9" w:rsidRDefault="00256EE9" w:rsidP="00256EE9">
      <w:pPr>
        <w:pStyle w:val="TextoNormal"/>
      </w:pPr>
      <w:r>
        <w:t>Madrid, a diez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8" w:name="AUTO_1985_17"/>
      <w:r>
        <w:lastRenderedPageBreak/>
        <w:t>AUTO 17/1985, de 15 de enero de 1985</w:t>
      </w:r>
    </w:p>
    <w:bookmarkEnd w:id="78"/>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ECLI:ES:TC:1985:17A</w:t>
      </w:r>
    </w:p>
    <w:p w:rsidR="00256EE9" w:rsidRDefault="00256EE9" w:rsidP="00256EE9">
      <w:pPr>
        <w:pStyle w:val="SntesisDescriptiva"/>
      </w:pPr>
    </w:p>
    <w:p w:rsidR="00256EE9" w:rsidRDefault="00256EE9" w:rsidP="00256EE9">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Denegando la acumulación de los recursos de inconstitucionalidad 223 y 490/1984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el 3 de julio de 1984, el Letrado don Javier Madariaga Zamalloa, en representación del Gobierno vasco, formula recurso de inconstitucionalidad contra los siguientes artículos de la Ley 7/1984, de 31 de marzo, del Fondo de Compensación Interterritorial: Cuarto, apartados 2 a), 2 b), 2 c); quinto, apartados 1 a), 1 b), 1 c), 2 a), 2 b), 2 c), 2 d) y 3; sexto; séptimo; octavo; décimo, apartado 2; undécimo, apartado 4; duodécimo, apartado 1, y Disposición adicional segunda.</w:t>
      </w:r>
    </w:p>
    <w:p w:rsidR="00256EE9" w:rsidRDefault="00256EE9" w:rsidP="00256EE9">
      <w:pPr>
        <w:pStyle w:val="TextoNormal"/>
      </w:pPr>
    </w:p>
    <w:p w:rsidR="00256EE9" w:rsidRDefault="00256EE9" w:rsidP="00256EE9">
      <w:pPr>
        <w:pStyle w:val="TextoNormal"/>
      </w:pPr>
      <w:r w:rsidRPr="00256EE9">
        <w:rPr>
          <w:rStyle w:val="NumeroAFNegritaCaracter"/>
        </w:rPr>
        <w:t>2</w:t>
      </w:r>
      <w:r>
        <w:t>. Por escrito de 5 de septiembre de 1984, el Abogado del Estado solicitó la acumulación de este recurso núm. 490/1984, al 223/1984, con suspensión del plazo de alegaciones hasta que se resuelva sobre el incidente de acumulación.</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13 de septiembre de 1984, la Sección acordó tener por presentado el anterior escrito y oír a la representación del Gobierno vasco para que haga las alegaciones que estime oportunas con respecto a la acumulación solicitada, quedando en suspenso, mientras se resuelve dicho incidente, el plazo de alegaciones del Abogado del Estado.</w:t>
      </w:r>
    </w:p>
    <w:p w:rsidR="00256EE9" w:rsidRDefault="00256EE9" w:rsidP="00256EE9">
      <w:pPr>
        <w:pStyle w:val="TextoNormal"/>
      </w:pPr>
    </w:p>
    <w:p w:rsidR="00256EE9" w:rsidRDefault="00256EE9" w:rsidP="00256EE9">
      <w:pPr>
        <w:pStyle w:val="TextoNormal"/>
      </w:pPr>
      <w:r w:rsidRPr="00256EE9">
        <w:rPr>
          <w:rStyle w:val="NumeroAFNegritaCaracter"/>
        </w:rPr>
        <w:t>4</w:t>
      </w:r>
      <w:r>
        <w:t>. La representación del Gobierno vasco no ha presentado escrito de alegaciones sobre la mencionada petición de acumulación.</w:t>
      </w:r>
    </w:p>
    <w:p w:rsidR="00256EE9" w:rsidRDefault="00256EE9" w:rsidP="00256EE9">
      <w:pPr>
        <w:pStyle w:val="TextoNormal"/>
      </w:pPr>
    </w:p>
    <w:p w:rsidR="00256EE9" w:rsidRDefault="00256EE9" w:rsidP="00256EE9">
      <w:pPr>
        <w:pStyle w:val="TextoNormal"/>
      </w:pPr>
      <w:r w:rsidRPr="00256EE9">
        <w:rPr>
          <w:rStyle w:val="NumeroAFNegritaCaracter"/>
        </w:rPr>
        <w:t>5</w:t>
      </w:r>
      <w:r>
        <w:t>. El recurso de inconstitucionalidad núm. 223/1984, al que se pretende efectuar la acumulación, fue formulado por el Gobierno vasco en 30 de marzo de 1984, contra el art. 2, el art. 22 y la sección 33 (Fondo de Compensación Interterritorial) de la Ley 44/1983, de 28 de diciembre, de Presupuestos Generales del Estado para 1984.</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El art. 83 de la Ley Orgánica del Tribunal Constitucional establece que, previa audiencia de los comparecidos en el proceso, el Tribunal podrá disponer la acumulación de aquellos procesos con objetos conexos que justifiquen la unidad de tramitación y decisión.</w:t>
      </w:r>
    </w:p>
    <w:p w:rsidR="00256EE9" w:rsidRDefault="00256EE9" w:rsidP="00256EE9">
      <w:pPr>
        <w:pStyle w:val="TextoNormal"/>
      </w:pPr>
      <w:r>
        <w:t>En el presente recurso no procede acceder a la acumulación solicitada, pues los dos recursos de inconstitucionalidad se dirigen contra Leyes distintas, siendo distinto el objeto de ambos recursos, aunque guarde conexión una parte del contenido de cada impugnación, por lo que no se justifica la unidad de tramitación y decisión.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el Pleno del Tribunal acuerda:</w:t>
      </w:r>
    </w:p>
    <w:p w:rsidR="00256EE9" w:rsidRDefault="00256EE9" w:rsidP="00256EE9">
      <w:pPr>
        <w:pStyle w:val="TextoNormal"/>
      </w:pPr>
      <w:r>
        <w:t>1.° Decretar que no ha lugar a la acumulación del presente recurso de inconstitucionalidad núm. 490/1984 al número 223/1984.</w:t>
      </w:r>
    </w:p>
    <w:p w:rsidR="00256EE9" w:rsidRDefault="00256EE9" w:rsidP="00256EE9">
      <w:pPr>
        <w:pStyle w:val="TextoNormal"/>
      </w:pPr>
      <w:r>
        <w:t>2.° Levantar la suspensión acordada en tanto se tramitaba el incidente de acumulación y conceder un plazo de quince días al Abogado del Estado para que en nombre del Gobierno formule las alegaciones que estime oportunas.</w:t>
      </w:r>
    </w:p>
    <w:p w:rsidR="00256EE9" w:rsidRDefault="00256EE9" w:rsidP="00256EE9">
      <w:pPr>
        <w:pStyle w:val="TextoNormal"/>
      </w:pPr>
    </w:p>
    <w:p w:rsidR="00256EE9" w:rsidRDefault="00256EE9" w:rsidP="00256EE9">
      <w:pPr>
        <w:pStyle w:val="TextoNormal"/>
      </w:pPr>
      <w:r>
        <w:t>Madrid, a quince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79" w:name="AUTO_1985_18"/>
      <w:r>
        <w:lastRenderedPageBreak/>
        <w:t>AUTO 18/1985, de 15 de enero de 1985</w:t>
      </w:r>
    </w:p>
    <w:bookmarkEnd w:id="79"/>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ECLI:ES:TC:1985:18A</w:t>
      </w:r>
    </w:p>
    <w:p w:rsidR="00256EE9" w:rsidRDefault="00256EE9" w:rsidP="00256EE9">
      <w:pPr>
        <w:pStyle w:val="SntesisDescriptiva"/>
      </w:pPr>
    </w:p>
    <w:p w:rsidR="00256EE9" w:rsidRDefault="00256EE9" w:rsidP="00256EE9">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la acumulación de los recursos de inconstitucionalidad 759 y 768/1984 y denegando la de ambos al recurso previo de inconstitucionalidad 594/1984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fechado el 30 de julio de 1984, don Juan Carlos da Silva Ochoa, Abogado del Ilustre Colegio de Alava y Letrado del Parlamento Vasco, actuando en nombre de esta institución, promovió un recurso previo de inconstitucionalidad al que los registros de este Tribunal dieron el número 584/1984, contra el texto definitivo de la Ley Orgánica de Libertad Sindical tramitado por ambas Cámaras de las Cortes Generales, solicitando la declaración de inconstitucionalidad y consiguientemente la nulidad de los artículos 6.2 b), 6.3 a) y 7.</w:t>
      </w:r>
    </w:p>
    <w:p w:rsidR="00256EE9" w:rsidRDefault="00256EE9" w:rsidP="00256EE9">
      <w:pPr>
        <w:pStyle w:val="TextoNormal"/>
      </w:pPr>
    </w:p>
    <w:p w:rsidR="00256EE9" w:rsidRDefault="00256EE9" w:rsidP="00256EE9">
      <w:pPr>
        <w:pStyle w:val="TextoNormal"/>
      </w:pPr>
      <w:r w:rsidRPr="00256EE9">
        <w:rPr>
          <w:rStyle w:val="NumeroAFNegritaCaracter"/>
        </w:rPr>
        <w:t>2</w:t>
      </w:r>
      <w:r>
        <w:t>. Por escrito fechado en 26 de julio de 1984, don Pedro José Caballero Lasquivar, Letrado del Ilustre Colegio de Abogados del Señorío de Vizcaya, interpuso, en nombre del Gobierno vasco, recurso previo de inconstitucionalidad, al que los registros de este Tribunal dieron el núm. 585/1984, contra el Proyecto de Ley Orgánica de Libertad Sindical, solicitando que se declarara la inconstitucionalidad de los arts. 6.3, 7 y disposición adicional segunda.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Don José María Ruiz Gallardón, como Comisionado de 65 Diputados, interpuso recurso previo de inconstitucionalidad contra el referido Proyecto de Ley Orgánica de Libertad Sindical, por escrito fechado en 30 de julio de 1984, al que los registros de este Tribunal dieron el núm. 594/1984. </w:t>
      </w:r>
    </w:p>
    <w:p w:rsidR="00256EE9" w:rsidRDefault="00256EE9" w:rsidP="00256EE9">
      <w:pPr>
        <w:pStyle w:val="TextoNormal"/>
      </w:pPr>
      <w:r>
        <w:t>En dicho escrito se pedía la declaración de inconstitucionalidad de la totalidad del Proyecto de Ley.</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escrito fechado en 2 de noviembre de 1984, doña Margarita Uría Echevarría, Letrado del Ilustre Colegio de Abogados del Señorío de Vizcaya, en nombre del Gobierno vasco, interpuso recurso ordinario de inconstitucionalidad, al que se le dio en los registros de este Tribunal el núm. 759/1984, contra la disposición adicional sexta de la Ley 32/1984, de 2 de agosto, publicada en el «Boletín Oficial del Estado» de 4 de agosto sobre </w:t>
      </w:r>
      <w:r>
        <w:lastRenderedPageBreak/>
        <w:t>modificación de determinados preceptos de la Ley 8/1980, de 10 de marzo, denominada Estatuto de los Trabajadores.</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Por escrito fechado en 5 de noviembre de 1984, don José María Ruiz Gallardón, como Comisionado de 53 Diputados, interpuso recurso ordinario de inconstitucionalidad, que recibió en los registros de este Tribunal el núm. 768/1984, en el que reclamó la inconstitucionalidad de los arts. </w:t>
      </w:r>
    </w:p>
    <w:p w:rsidR="00256EE9" w:rsidRDefault="00256EE9" w:rsidP="00256EE9">
      <w:pPr>
        <w:pStyle w:val="TextoNormal"/>
      </w:pPr>
      <w:r>
        <w:t xml:space="preserve">67.1 y 3, inciso in fine del primer párrafo, y 87.2 del Estatuto de los Trabajadores, según la Ley reformada, introducida por el artículo único de la Ley 32/1984, de 2 de agosto, así como contra la disposición transitoria de la referida Ley. </w:t>
      </w:r>
    </w:p>
    <w:p w:rsidR="00256EE9" w:rsidRDefault="00256EE9" w:rsidP="00256EE9">
      <w:pPr>
        <w:pStyle w:val="TextoNormal"/>
      </w:pPr>
      <w:r>
        <w:t xml:space="preserve">En el escrito últimamente citado, el recurrente solicitaba que los señores Diputados pertenecientes al Grupo Parlamentario vasco PNV, don Marcos Vizcaya, don Joseba de Zubia y Achaerandio, don Ignacio María Echevarría Monteberría, don Antonio Vicente Monforte Arregui, doña Ana Celia Gorroño Arrizabalaga, doña Mercedes Villacián Peñalosa, don Juan Antonio Gangoiti Llaguno y don Angel Olarte Lasa, que figuraban como recurrentes en el proceso 594/1984, contra el Proyecto de Ley Orgánica de Libertad Sindical, dada la conexión que a juicio del recurrente existía entre el proceso 594/1984 y el 768/1984, fueran requeridos para que manifestaran si, en su caso, debían ser considerados como recurrentes en el presente proceso. </w:t>
      </w:r>
    </w:p>
    <w:p w:rsidR="00256EE9" w:rsidRDefault="00256EE9" w:rsidP="00256EE9">
      <w:pPr>
        <w:pStyle w:val="TextoNormal"/>
      </w:pPr>
      <w:r>
        <w:t>Asimismo, solicitó el Comisionado recurrente que previos los trámites legales oportunos acordara el Tribunal la acumulación del proceso, que mediante dicho escrito se abría con el núm. 768/1984, con el 594/1984, por tener ambos evidente conexión por unidad de criterio y decisión.</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Mediante acuerdo de fecha 14 de noviembre de 1984, la Sección Cuarta decidió que no había lugar a la petición relativa a que figuraran como recurrentes los Diputados del Grupo Parlamentario Vasco no firmantes del recurso, ni a hacerles ningún requerimiento, dado que no habían manifestado la voluntad de interponer el presente recurso. </w:t>
      </w:r>
    </w:p>
    <w:p w:rsidR="00256EE9" w:rsidRDefault="00256EE9" w:rsidP="00256EE9">
      <w:pPr>
        <w:pStyle w:val="TextoNormal"/>
      </w:pPr>
      <w:r>
        <w:t>El citado proveído quedó firme al no interponerse contra el mismo ningún recurso.</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En virtud de otro Acuerdo de 28 de noviembre de 1984, la Sección acordó oír por plazo común de diez días al Abogado del Estado, al Comisionado señor Ruiz Gallardón, y a la Abogada representante del Gobierno vasco, doña Margarita Uría Echevarría, al objeto de que manifestaran lo que estimaran procedente respecto de la acumulación de los recursos 594, 759 y 768, todos de 1984. </w:t>
      </w:r>
    </w:p>
    <w:p w:rsidR="00256EE9" w:rsidRDefault="00256EE9" w:rsidP="00256EE9">
      <w:pPr>
        <w:pStyle w:val="TextoNormal"/>
      </w:pPr>
      <w:r>
        <w:t xml:space="preserve">Dentro del mencionado término, el Abogado del Estado ha solicitado la acumulación de los recursos 759/1984 y 768/1984, pero se ha opuesto a la acumulación de estos dos recursos o de cualquiera de ellos, con el recurso previo 594/1984, recordando que había pedido y se encontraba pendiente de tramitación la acumulación del recurso previo 594/1984, con los también recursos previos 584 y 585/1984. </w:t>
      </w:r>
    </w:p>
    <w:p w:rsidR="00256EE9" w:rsidRDefault="00256EE9" w:rsidP="00256EE9">
      <w:pPr>
        <w:pStyle w:val="TextoNormal"/>
      </w:pPr>
      <w:r>
        <w:t xml:space="preserve">Por escrito fechado el 17 de diciembre del corriente año, don José María Ruiz Gallardón presenta ante este Tribunal un escrito en el que solicita la acumulación de los recursos interpuestos contra la Ley que modifica el Estatuto de los Trabajadores y los interpuestos contra el Proyecto de Ley Orgánica de Libertad Sindical. </w:t>
      </w:r>
    </w:p>
    <w:p w:rsidR="00256EE9" w:rsidRDefault="00256EE9" w:rsidP="00256EE9">
      <w:pPr>
        <w:pStyle w:val="TextoNormal"/>
      </w:pPr>
      <w:r>
        <w:t xml:space="preserve">En el mismo escrito, por medio de otrosí incorpora un poder notarial de los Diputados del Grupo Parlamentario Vasco, don Marcos Vizcaya, don Joseba de Zubia y Achaerandio, don Ignacio María Echevarría Monteberría, don Antonio Vicente Monforte Arregui, </w:t>
      </w:r>
      <w:r>
        <w:lastRenderedPageBreak/>
        <w:t>doña Ana Celia Gorroño Arrizabalaga, doña Mercedes Villacián Peñalosa, don Juan Antonio Gangoiti Llaguno y don Angel Olarte Lasa, en el que se dice que manifiestan su voluntad de adherirse al planteamiento del citado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Debe acordarse la acumulación del recurso 768/1984 al 759/1984, pues ambos son recursos ordinarios de inconstitucionalidad, dirigidos contra la misma Ley, que es la Ley 32/1984, de 2 de agosto, de modificación de artículos de la Ley 8/1980, de 10 de marzo, Estatuto de los Trabajadores, y aunque los preceptos atacados en uno y otro recurso no son idénticos, pues en uno se impugna la disposición adicional y en el otro determinados concretos preceptos y la disposición transitoria, la unidad de la temática aconseja su trámite conjunto que, por razones de conexión favorece la economía procesal.</w:t>
      </w:r>
    </w:p>
    <w:p w:rsidR="00256EE9" w:rsidRDefault="00256EE9" w:rsidP="00256EE9">
      <w:pPr>
        <w:pStyle w:val="TextoNormal"/>
      </w:pPr>
    </w:p>
    <w:p w:rsidR="00256EE9" w:rsidRDefault="00256EE9" w:rsidP="00256EE9">
      <w:pPr>
        <w:pStyle w:val="TextoNormal"/>
      </w:pPr>
      <w:r w:rsidRPr="00256EE9">
        <w:rPr>
          <w:rStyle w:val="NumeroAFNegritaCaracter"/>
        </w:rPr>
        <w:t>2</w:t>
      </w:r>
      <w:r>
        <w:t>. No procede, en cambio, la acumulación de los recursos 759 y 768/1984 con el recurso previo de inconstitucionalidad 594 de 1984, pues aunque en el proceso legislativo que condujo a la formulación de estas normas, puedan encontrarse razones de conexión entre ellas, es lo cierto que son Leyes distintas y que son asimismo distintos los procedimientos -recursos previos contra Proyecto de Ley y recurso ordinario contra Leyes ya promulgadas-, así como los efectos que la interposición de uno y otros recursos producen; todo ello sin olvidar la pendencia actual de la pretensión de acumulación del recurso 594/1984 con los recursos 584 y 585/1984, que aquí para nada se mencionan.</w:t>
      </w:r>
    </w:p>
    <w:p w:rsidR="00256EE9" w:rsidRDefault="00256EE9" w:rsidP="00256EE9">
      <w:pPr>
        <w:pStyle w:val="TextoNormal"/>
      </w:pPr>
    </w:p>
    <w:p w:rsidR="00256EE9" w:rsidRDefault="00256EE9" w:rsidP="00256EE9">
      <w:pPr>
        <w:pStyle w:val="TextoNormal"/>
      </w:pPr>
      <w:r w:rsidRPr="00256EE9">
        <w:rPr>
          <w:rStyle w:val="NumeroAFNegritaCaracter"/>
        </w:rPr>
        <w:t>3</w:t>
      </w:r>
      <w:r>
        <w:t>. La Ley Orgánica de este Tribunal, al regular los recursos de inconstitucionalidad no conoce la figura de la intervención adhesiva de terceros, que no hayan sido recurrentes y que no hayan esgrimido la acción dentro del plazo específicamente establecido para ello.  Por consiguiente, la pretensión de que en este momento tengamos por adheridos al recurso a Diputados que en el momento inicial no manifestaron voluntad alguna y que, por tanto, no ejercitaron la acción de que estaban asistidos, no es, por la citada razón, procedente, por cuanto que en el momento actual tratan de adherirse a un proceso abierto por otros sin haber ejercitado ellos mismos, en el plazo debido, la acción de que estaban asistidos y sin que, por tanto, ese indirecto camino, no reconocido por la Ley Orgánica del Tribunal Constitucional, les permita remediar la situación que creara su pasividad, la cual, por demás, no perjudica la viabilidad del recurso 768/1984, interpuesto por 53 Diputados.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ello, el Pleno del Tribunal acuerda:</w:t>
      </w:r>
    </w:p>
    <w:p w:rsidR="00256EE9" w:rsidRDefault="00256EE9" w:rsidP="00256EE9">
      <w:pPr>
        <w:pStyle w:val="TextoNormal"/>
      </w:pPr>
      <w:r>
        <w:t>1.° Declarar no haber lugar a tener por adheridos al recurso 768/1984, interpuesto por don José María Ruiz Gallardón, como Comisionado de 53 Diputados a los Diputados del Grupo Parlamentario Vasco, don Angel Olarte Lasa, don Joseba Mirena de Zubia y</w:t>
      </w:r>
    </w:p>
    <w:p w:rsidR="00256EE9" w:rsidRDefault="00256EE9" w:rsidP="00256EE9">
      <w:pPr>
        <w:pStyle w:val="TextoNormal"/>
      </w:pPr>
      <w:r>
        <w:t>Achaerandio, don Ignacio María Echeverría Monteberría, don Antonio Monforte Arregui, doña Ana Celia Gorroño Arrizabalaga, don Juan Antonio Gangoiti Llaguno, don Marcos Vizcaya Retana y doña Mercedes Villacián Peñalosa.</w:t>
      </w:r>
    </w:p>
    <w:p w:rsidR="00256EE9" w:rsidRDefault="00256EE9" w:rsidP="00256EE9">
      <w:pPr>
        <w:pStyle w:val="TextoNormal"/>
      </w:pPr>
      <w:r>
        <w:lastRenderedPageBreak/>
        <w:t>2.° Decretar la acumulación del presente recurso 768/1984 al 759/1984, con el fin de que se tramiten, sustancien y decidan conjuntamente.</w:t>
      </w:r>
    </w:p>
    <w:p w:rsidR="00256EE9" w:rsidRDefault="00256EE9" w:rsidP="00256EE9">
      <w:pPr>
        <w:pStyle w:val="TextoNormal"/>
      </w:pPr>
      <w:r>
        <w:t>3.° Decretar no haber lugar a la acumulación del presente recurso 768/1984, ni la del 759/1984 al recurso previo de inconstitucionalidad 594/1984, seguido en impugnación del Proyecto de Ley de Libertad Sindical.</w:t>
      </w:r>
    </w:p>
    <w:p w:rsidR="00256EE9" w:rsidRDefault="00256EE9" w:rsidP="00256EE9">
      <w:pPr>
        <w:pStyle w:val="TextoNormal"/>
      </w:pPr>
      <w:r>
        <w:t>4.° Levantar la suspensión acordada en tanto se tramitaba el incidente de acumulación y conceder un plazo de quince días al Abogado del Estado para que en nombre del Gobierno formule las alegaciones que estime oportunas respecto de los recursos 768/1984</w:t>
      </w:r>
    </w:p>
    <w:p w:rsidR="00256EE9" w:rsidRDefault="00256EE9" w:rsidP="00256EE9">
      <w:pPr>
        <w:pStyle w:val="TextoNormal"/>
      </w:pPr>
      <w:r>
        <w:t>y 759/1984.</w:t>
      </w:r>
    </w:p>
    <w:p w:rsidR="00256EE9" w:rsidRDefault="00256EE9" w:rsidP="00256EE9">
      <w:pPr>
        <w:pStyle w:val="TextoNormal"/>
      </w:pPr>
    </w:p>
    <w:p w:rsidR="00256EE9" w:rsidRDefault="00256EE9" w:rsidP="00256EE9">
      <w:pPr>
        <w:pStyle w:val="TextoNormal"/>
      </w:pPr>
      <w:r>
        <w:t>Madrid, a quince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0" w:name="AUTO_1985_19"/>
      <w:r>
        <w:lastRenderedPageBreak/>
        <w:t>AUTO 19/1985, de 16 de enero de 1985</w:t>
      </w:r>
    </w:p>
    <w:bookmarkEnd w:id="80"/>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ECLI:ES:TC:1985:19A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concesión del beneficio de pobreza al actor en el recurso de amparo 213/1984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Hans Jurgen Fritz Herbts fue condenado por Sentencia del Juzgado de Instrucción núm. 3 de Málaga, de fecha 22 de noviembre de 1983, como autor de un delito de robo a la pena de dos años de prisión menor, accesorias y costas. Dicha Sentencia fue confirmada por la dictada por la Audiencia Provincial de Málaga en 24 de febrero de 1984. </w:t>
      </w:r>
    </w:p>
    <w:p w:rsidR="00256EE9" w:rsidRDefault="00256EE9" w:rsidP="00256EE9">
      <w:pPr>
        <w:pStyle w:val="TextoNormal"/>
      </w:pPr>
      <w:r>
        <w:t>Contra las referidas resoluciones dedujo el señor Herbts solicitud de amparo mediante escrito que tuvo entrada en este Tribunal el 29 de marzo de 1984.</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A petición del solicitante de amparo, les fueron nombrados Procurador y Abogado de oficio, los cuales formalizaron la demanda de amparo que fue admitida a trámite por providencia de 12 de diciembre pasado. </w:t>
      </w:r>
    </w:p>
    <w:p w:rsidR="00256EE9" w:rsidRDefault="00256EE9" w:rsidP="00256EE9">
      <w:pPr>
        <w:pStyle w:val="TextoNormal"/>
      </w:pPr>
      <w:r>
        <w:t>Por otrosí de la demanda se formulaba la pretensión incidental de justicia gratuita alegando sustancialmente el haber disfrutado de dicho beneficio en la vía judicial previa. A dicha petición han mostrado su conformidad el Ministerio Fiscal y el Abogado del Estado.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2 de las Normas relativas a la gratuidad de justicia en los procesos constitucionales, aprobadas por Acuerdo del Pleno de este Tribunal de 20 de diciembre de 1982 («Boletín Oficial del Estado» de 9 de febrero siguiente), dispone que los que hayan sido defendidos por pobres en la vía judicial previa a que se refieren los arts. 43 y 44 de la Ley Orgánica de este Tribunal, gozarán de este beneficio en el proceso de amparo. El demandante ha justificado tal hecho aportando copia de las resoluciones impugnadas en que se consigna la circunstancia de que no consta la solvencia del condenado, así como certificación del Juzgado de Instrucción expresiva de que el Procurador que le representó y el Abogado que le defendió en el proceso penal le fueron designados del turno de oficio.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otorgar a don Hans Jurgen Fritz Herbts el derecho a litigar gratuitamente en este proceso constitucional.</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1" w:name="AUTO_1985_20"/>
      <w:r>
        <w:lastRenderedPageBreak/>
        <w:t>AUTO 20/1985, de 16 de enero de 1985</w:t>
      </w:r>
    </w:p>
    <w:bookmarkEnd w:id="81"/>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ECLI:ES:TC:1985:20A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466/1984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día 27 de junio de 1984 fue presentada en el Registro General de este Tribunal Constitucional una demanda de amparo suscrita por don Wayne Joseph Capasso, exponiendo: </w:t>
      </w:r>
    </w:p>
    <w:p w:rsidR="00256EE9" w:rsidRDefault="00256EE9" w:rsidP="00256EE9">
      <w:pPr>
        <w:pStyle w:val="TextoNormal"/>
      </w:pPr>
      <w:r>
        <w:t xml:space="preserve">a) Que se encuentra en situación de prisión provisional, en la Prisión Provincial de Hombres de Carabanchel (Madrid) desde el día 17 de diciembre de 1983, acusado de un supuesto delito contra la salud pública, previsto en el art. 344 del Código Penal. Contra los Autos de procesamiento y de prisión, interpuso recurso de reforma, que fue desestimado, y subsidiariamente de apelación que aún no ha sido visto. </w:t>
      </w:r>
    </w:p>
    <w:p w:rsidR="00256EE9" w:rsidRDefault="00256EE9" w:rsidP="00256EE9">
      <w:pPr>
        <w:pStyle w:val="TextoNormal"/>
      </w:pPr>
      <w:r>
        <w:t xml:space="preserve">b) Al superar el plazo de seis meses de prisión preventiva, el demandante solicitó la libertad provisional incondicional mediante el procedimiento de habeas corpus, cuya solicitud fue rechazada por Auto motivado del Juzgado de Instrucción núm. 15 de Madrid, de fecha 19 de junio de 1984. </w:t>
      </w:r>
    </w:p>
    <w:p w:rsidR="00256EE9" w:rsidRDefault="00256EE9" w:rsidP="00256EE9">
      <w:pPr>
        <w:pStyle w:val="TextoNormal"/>
      </w:pPr>
      <w:r>
        <w:t>c) El demandante recurre en amparo, por considerar que se ha vulnerado el art. 17.4 de la C. E. en relación con el procedimiento de habeas corpus y el plazo máximo de duración de la prisión provisional, y solicita que se le nombre Procurador que le represente ante este Tribunal, por carecer de medios económicos -al punto de no haber podido satisfacer la fianza de libertad provisional que se le exigió-, y bajo la dirección del Letrado que con él firma la demanda de amparo. Asimismo solicita se decrete la interrupción del plazo legal para la formalización de la demanda de amparo, con reiniciación del cómputo tan pronto se le designe Procurador.</w:t>
      </w:r>
    </w:p>
    <w:p w:rsidR="00256EE9" w:rsidRDefault="00256EE9" w:rsidP="00256EE9">
      <w:pPr>
        <w:pStyle w:val="TextoNormal"/>
      </w:pPr>
    </w:p>
    <w:p w:rsidR="00256EE9" w:rsidRDefault="00256EE9" w:rsidP="00256EE9">
      <w:pPr>
        <w:pStyle w:val="TextoNormal"/>
      </w:pPr>
      <w:r w:rsidRPr="00256EE9">
        <w:rPr>
          <w:rStyle w:val="NumeroAFNegritaCaracter"/>
        </w:rPr>
        <w:t>2</w:t>
      </w:r>
      <w:r>
        <w:t>. Mediante providencia de fecha 9 de julio de 1984, la Sección Tercera de este Tribunal acordó poner de manifiesto la posible existencia de las causas de inadmisibilidad que regula el art. 50.1 b) en relación con el 81 y 49.2 a), todos de la LOTC, puesto que debe comparecer representado por Procurador; y la del art. 50.2 b) de la misma Ley Orgánica, por cuanto la demanda pudiera carecer de contenido constitucional por estar el recurrente a disposición de autoridad judicial en el proceso que se le sigue al efecto. Y concedió un plazo común de diez días al solicitante de amparo y al Ministerio Fiscal, para que pudieran presentar las alegaciones que tuviesen por conveniente.</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xml:space="preserve">. El Ministerio Fiscal en las suyas expone, en relación con la primera de las causas de inadmisión puestas de manifiesto, que al presentarse la demanda sin documento que acredite la representación, da lugar a la concurrencia del defecto, que devendrá en motivo de inadmisión del art. 50.1 b) en el supuesto de no ser subsanado por imperativo de cuanto señalan los artículos 81 y 49.2 a), todos ellos de la LOTC. </w:t>
      </w:r>
    </w:p>
    <w:p w:rsidR="00256EE9" w:rsidRDefault="00256EE9" w:rsidP="00256EE9">
      <w:pPr>
        <w:pStyle w:val="TextoNormal"/>
      </w:pPr>
      <w:r>
        <w:t xml:space="preserve">En cuanto a la denegación por parte de la Autoridad judicial que está conociendo de una causa penal en la que ha sido procesado el hoy recurrente en amparo, de hacer aplicación de las medidas que contempla la Ley Orgánica 6/1984, de 24 de mayo, reguladora del denominado habeas corpus, resulta evidente que tanto el art. 17.4 de la C. E. como el art. 1 de dicha Ley Orgánica, conducen a la interpretación que el Juez penal está dando a tales normas y por medio de ella denegando la solicitud, pues mal puede pretender una persona su «inmediata puesta a disposición de la Autoridad judicial» si es por decisión de esa misma Autoridad judicial competente, por la que se encuentra el interesado privado de su libertad. </w:t>
      </w:r>
    </w:p>
    <w:p w:rsidR="00256EE9" w:rsidRDefault="00256EE9" w:rsidP="00256EE9">
      <w:pPr>
        <w:pStyle w:val="TextoNormal"/>
      </w:pPr>
      <w:r>
        <w:t xml:space="preserve">Al propio tiempo se plantea el problema de una posible privación de libertad derivada de la no constitución de fianza, mantenida más allá del tiempo que prevén los arts. 503 y 504 de la Ley de Enjuiciamiento Criminal. </w:t>
      </w:r>
    </w:p>
    <w:p w:rsidR="00256EE9" w:rsidRDefault="00256EE9" w:rsidP="00256EE9">
      <w:pPr>
        <w:pStyle w:val="TextoNormal"/>
      </w:pPr>
      <w:r>
        <w:t xml:space="preserve">Sin embargo, el mecanismo de defensa contra el mantenimiento de tal situación procesal no es el instaurado por la citada Ley reguladora del habeas corpus, sino aquellos otros, vía de solicitud y recurso posterior ante la propia Autoridad que está conociendo del proceso con arreglo a dicha Ley de Enjuiciamiento Criminal. </w:t>
      </w:r>
    </w:p>
    <w:p w:rsidR="00256EE9" w:rsidRDefault="00256EE9" w:rsidP="00256EE9">
      <w:pPr>
        <w:pStyle w:val="TextoNormal"/>
      </w:pPr>
      <w:r>
        <w:t xml:space="preserve">A mayor abundamiento -sigue alegando el Ministerio Fiscal-, y partiendo de los datos que el propio demandante proporciona, resulta que la causa penal se sigue por delito contra la salud pública, y que la sustancia ocupada al interesado, cocaína, lo ha sido en cuantía de por sí suficiente para hacer entrar en juego lo establecido en el párrafo segundo del art. 344 del Código Penal que llevaría a posible imposición de pena de prisión mayor, con lo que la privación preventiva de libertad podrá extenderse hasta un total de dieciocho meses, tiempo que no ha sido rebasado, ya que escasamente lleva en estos momentos siete meses en tal situación; por lo que con tales antecedentes es dado afirmar que se está proponiendo en sede constitucional temas que no afectan, por ahora, a posibles lesiones de derechos fundamentales, incidiendo, consiguientemente, en el motivo de inadmisión que se recoge en el art. 50.2 b) de la LOTC. Por todo ello, interesa se dicte Auto declarando la inadmisión de la demanda de amparo, al incidir en el motivo que recoge el art. 50.2 b) de la indicada Ley Orgánica. </w:t>
      </w:r>
    </w:p>
    <w:p w:rsidR="00256EE9" w:rsidRDefault="00256EE9" w:rsidP="00256EE9">
      <w:pPr>
        <w:pStyle w:val="TextoNormal"/>
      </w:pPr>
      <w:r>
        <w:t>3. Al venir la demanda de amparo suscrita por el propio interesado, se intentó la notificación al mismo de la providencia de 9 de julio, en la Prisión Provincial de esta capital, donde indicaba en aquélla estar recluido, no pudiéndose llevar a efecto dicha notificación, por haber sido puesto en libertad; procediéndose, ante ello, a notificarle aquella resolución mediante el correspondiente edicto que se publicó en el «Boletín Oficial del Estado» núm. 281, correspondiente al día 23 de noviembre de 1984; y también mediante exhibición de otro ejemplar en el tablón de anuncios de este Tribunal; sin que por el solicitante de amparo se haya presentado escrito alguno de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 xml:space="preserve">Unico.  Ningún interés ha mostrado el señor Capasso en sostener el presente recurso de amparo, puesto que no ha cuidado él -ni su defensa- de decirnos dónde debían realizarse </w:t>
      </w:r>
      <w:r>
        <w:lastRenderedPageBreak/>
        <w:t>las comunicaciones que tuviera que dirigirle este Tribunal y, por otro lado, puesto en libertad por el Juez o Tribunal de la causa, se ha desentendido del recurso por entender, seguramente, que la puesta en libertad dejaba sin contenido el amparo solicitado. Pero es que, el asunto, en modo alguno era subsumible en la Ley Orgánica 6/1984, pues el señor Capasso estaba a disposición judicial, y sometido a causa penal en la que fue procesado y decretada la prisión provisional en tanto no prestara fianza segura de no sustraerse a la actuación judicial ante la que debía responder por delito contra la salud pública cometido en territorio español.  Por el camino procesal elegido, y como hemos dicho, equivocado, lo que planteó el señor Capasso es, a su entender, una violación del art. 504.3 de la L. E. Cr., en cuanto en desarrollo del art. 17.4 in fine de la Constitución establece plazos máximos de duración de la prisión provisional, pero lo hizo directamente, sin recurrir previamente la resolución judicial, a través de los recursos de queja y, en su caso, apelación, para dar cumplimiento a lo dispuesto en el art. 44.1 a) y 44.1 c) de la LOTC, equivocando el régimen de habeas corpus con el de los recursos en caso de exceso en la duración de la prisión, por otro lado, sin constancia que le fuera de aplicación el limite entonces de los seis meses y no, como sostiene el Ministerio Fiscal, el límite de los dieciocho meses. Con todo, es claro que se está en un caso de inadmisión del recurso de amparo, que no hay inconveniente en subsumir en la fórmula del artículo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a lo expuesto, la Sección declara inadmisible el recurso de amparo planteado por don Wayne Joseph Capasso.</w:t>
      </w:r>
    </w:p>
    <w:p w:rsidR="00256EE9" w:rsidRDefault="00256EE9" w:rsidP="00256EE9">
      <w:pPr>
        <w:pStyle w:val="TextoNormal"/>
      </w:pPr>
    </w:p>
    <w:p w:rsidR="00256EE9" w:rsidRDefault="00256EE9" w:rsidP="00256EE9">
      <w:pPr>
        <w:pStyle w:val="TextoNormal"/>
      </w:pPr>
      <w:r>
        <w:t>Comuníquese esta resolución al Abogado señor López Muñoz y Larraz para su conocimiento y para que lo haga llegar al señor Capasso, puesto que su domicilio no es conocido por este Tribunal.</w:t>
      </w: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2" w:name="AUTO_1985_21"/>
      <w:r>
        <w:lastRenderedPageBreak/>
        <w:t>AUTO 21/1985, de 16 de enero de 1985</w:t>
      </w:r>
    </w:p>
    <w:bookmarkEnd w:id="82"/>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ECLI:ES:TC:1985:21A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476/1984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17 de octubre de 1983 formuló escrito don José María Díaz Rivas, internado en el Centro Penitenciario de Herrera de la Mancha, solicitando se le orientara en su situación, pues habiéndole concedido amparo en la Sentencia de este Tribunal núm. </w:t>
      </w:r>
    </w:p>
    <w:p w:rsidR="00256EE9" w:rsidRDefault="00256EE9" w:rsidP="00256EE9">
      <w:pPr>
        <w:pStyle w:val="TextoNormal"/>
      </w:pPr>
      <w:r>
        <w:t xml:space="preserve">29/1981, de 24 de junio, reconociéndole derecho a interponer recurso de casación ante la Sala Segunda del Tribunal Supremo, lo entabló sin éxito. </w:t>
      </w:r>
    </w:p>
    <w:p w:rsidR="00256EE9" w:rsidRDefault="00256EE9" w:rsidP="00256EE9">
      <w:pPr>
        <w:pStyle w:val="TextoNormal"/>
      </w:pPr>
      <w:r>
        <w:t xml:space="preserve">La Sección Segunda pidió al actor copia de la Sentencia dictada por el Tribunal Supremo, remitiendo diversas comunicaciones a tal fin a diferentes centros penitenciarios, donde pudiera estar el recurrente, obteniendo contestación el 3 de febrero de 1984, expresando el solicitando no haber recibido él comunicación escrita sobre el juicio celebrado el 11 de mayo anterior. La propia Sección acordó requerir al actor para que aportara datos acerca del resultado del juicio indicado, indicándole que si lo que pedía no era continuación del anterior proceso sentenciado debía formular nueva demanda de amparo con Abogado y Procurador, designando él mismo, por escrito a tales profesionales, que aceptaron su designación, formulando demanda de amparo, no sin antes aportar el Fiscal al Tribunal, la Sentencia de la Sala Segunda del Tribunal Supremo de 22 de mayo de 1982, desestimando el recurso de casación, que había sido notificada al Procurador del condenado y aquí recurrente el 29 de mayo de 1982, y con conocimiento de esta documentación el Procurador y Letrado del recurrente formularon demanda de amparo contra la Sentencia de la Audiencia Provincial de Lugo de 5 de diciembre de 1977, confirmada por la de la Sala Segunda del Tribunal Supremo de 24 de junio de 1981 (sic) también recurrida, por haberle condenado a las penas de quince años de reclusión menor, como autor de un delito de homicidio, y a un año de presidio menor como autor de un delito de hurto, accesorias e indemnización, copiando como antecedentes los hechos probados que figuraban en dicha Sentencia, y precisando que le habían condenado en la forma acabada de indicar, y terminando diciendo que después de muchos avatares y pese a la correcta interposición de anterior recurso de amparo que le facilitó la vía casacional sin resultado positivo, dictándose la Sentencia adversa antes precisada. </w:t>
      </w:r>
    </w:p>
    <w:p w:rsidR="00256EE9" w:rsidRDefault="00256EE9" w:rsidP="00256EE9">
      <w:pPr>
        <w:pStyle w:val="TextoNormal"/>
      </w:pPr>
      <w:r>
        <w:t xml:space="preserve">En los fundamentos jurídicos, alega la indebida aplicación del art. 407 del Código Penal y la violación del principio constitucional in dubio pro reo contenido en el art. 24 de la Constitución (C.E.), pidiendo que se debe revisar su condena por una muerte que no ha cometido, pues se le condenó sin una sola prueba en contra, por meras presunciones, que interpretadas correctamente demuestran su inocencia, habiendo pedido ser sometido al </w:t>
      </w:r>
      <w:r>
        <w:lastRenderedPageBreak/>
        <w:t xml:space="preserve">suero de la verdad, prueba que le denegó el Tribunal Supremo. A continuación precisa que no dio muerte a la súbdita inglesa y que no debió ser condenado, pues murió en accidente de mar, y así va a demostrarlo, examinando minuciosamente la declaración de un testigo que lo vio en la playa, así como el dictamen pericial para demostrar que no la enterró en la playa, analizando también el informe de un práctico del puerto, tratando a su vez de justificar a través del cómputo del tiempo, que declararon dicho testigo y una mujer tabernera, que no pudo cometer el hecho delictivo, y valorando también el dictamen de dos médicos sobre el enterramiento; concluyendo que la causa de la muerte fue un golpe de mar, que luego metió dentro de una cueva a la víctima y la enterró en arena, y que no se puede admitir una nueva interpretación contra los elementos notorios, la naturaleza y los dictámenes de científicos y técnicos -informes periciales de la máxima solvencia, informes de Departamento Marítimo, prácticos del puerto, médicos, etc., y declaraciones de testigos-. </w:t>
      </w:r>
    </w:p>
    <w:p w:rsidR="00256EE9" w:rsidRDefault="00256EE9" w:rsidP="00256EE9">
      <w:pPr>
        <w:pStyle w:val="TextoNormal"/>
      </w:pPr>
      <w:r>
        <w:t>Suplica la demanda se declaren nulas y sin efecto las Sentencias citadas de la Audiencia de 5 de diciembre de 1977 y la de la Sala Segunda del Tribunal Supremo de 24 de junio de 1981, referidas al sumario núm. 15/1976 del Juzgado de Instrucción de Mondoñedo, y se declare la inocencia del actor por la muerte de Susan Margaret Barlow, con todos los pronunciamientos para el mismo, dada su acreditada inocencia.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acordó abrir el trámite de inadmisión de la demanda por los siguientes motivos: </w:t>
      </w:r>
    </w:p>
    <w:p w:rsidR="00256EE9" w:rsidRDefault="00256EE9" w:rsidP="00256EE9">
      <w:pPr>
        <w:pStyle w:val="TextoNormal"/>
      </w:pPr>
      <w:r>
        <w:t xml:space="preserve">a) Haber sido presentada la demanda fuera de plazo de conformidad con el art. 44.1 a) en relación con el 50.1 b) de la Ley Orgánica del Tribunal Constitucional (LOTC). </w:t>
      </w:r>
    </w:p>
    <w:p w:rsidR="00256EE9" w:rsidRDefault="00256EE9" w:rsidP="00256EE9">
      <w:pPr>
        <w:pStyle w:val="TextoNormal"/>
      </w:pPr>
      <w:r>
        <w:t xml:space="preserve">b) Y carecer la demanda manifiestamente de contenido constitucional que justifique una decisión por parte de este Tribunal [art. 50.2 b) de la LOTC)]. </w:t>
      </w:r>
    </w:p>
    <w:p w:rsidR="00256EE9" w:rsidRDefault="00256EE9" w:rsidP="00256EE9">
      <w:pPr>
        <w:pStyle w:val="TextoNormal"/>
      </w:pPr>
      <w:r>
        <w:t>Concediendo un plazo común al Ministerio Fiscal y a la parte actora, para que alegaran en relación a la procedencia de esa inadmisión.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Ministerio Fiscal dictaminó que la Sentencia que dictó el Tribunal Supremo, Sala Segunda, en el recurso de casación que ordenó admitir el Tribunal Constitucional en el recurso de amparo núm. 25/1980, tiene fecha de 22 de mayo de 1982, habiendo sido notificada al Procurador del penado el 29 del mismo mes y año, por lo que con dicha notificación se cumplió la exigencia del art. 160 de la Ley de Enjuiciamiento Criminal por tratarse de Sentencia de casación y no de instancia, lo que obliga a iniciar el cómputo para interponer el recurso de amparo a partir de la notificación, según dispone el art. 44.2 de la LOTC, pero como la demanda de amparo no tuvo entrada en el Tribunal Constitucional hasta el 17 de octubre de 1983, es evidente que se formuló indudablemente fuera de plazo, pues inició ese escrito un nuevo proceso, por lo que concurre la causa de inadmisión debida a la extemporaneidad de la demanda. </w:t>
      </w:r>
    </w:p>
    <w:p w:rsidR="00256EE9" w:rsidRDefault="00256EE9" w:rsidP="00256EE9">
      <w:pPr>
        <w:pStyle w:val="TextoNormal"/>
      </w:pPr>
      <w:r>
        <w:t>Además, lo que el actor pretende con el amparo es una revisión del proceso penal, actuando en amparo a manera de una nueva instancia, frente a la decisión de casación, lo que lesiona el art. 117.3 de la C. E. y determina la concurrencia también de la causa de inadmisión del art. 50.2 b) de la LOTC. Solicitando se dicte Auto en tal sentido.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representación de la parte actora, evacuando dicho trámite, manifestó sobre la extemporaneidad de la demanda, que el recurso se interpuso correctamente, después de muchos avatares, y por ello es tema obvio, y se remite a lo obrante en el expediente, en cuanto a la interposición de la demanda dentro de plazo. En relación a la carencia de contenido </w:t>
      </w:r>
      <w:r>
        <w:lastRenderedPageBreak/>
        <w:t>constitucional, reitera de nuevo la demanda, alegando sobre la imposibilidad absoluta de haber sido autor del homicidio el recurrente y valorando las pruebas en el sentido que cree debe interpretarse, haciendo de nuevo análisis detallado de esas pruebas, para desvirtuarlas o interpretarlas en sentido favorable; proclamando finalmente se le debe aplicar la presunción de inocencia del art. 24.2 de la C. E., solicitando por fin la admisión a trámite del recurso, dictando Sentencia en el sentido que tiene interesado.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influencia del tiempo en el ejercicio de los derechos subjetivos dentro de los procesos jurisdiccionales, determina que el art. 44.2 de la LOTC exija que el plazo para interponer el recurso de amparo constitucional sea de veinte días a partir de la notificación de la resolución recaída en el proceso judicial; plazo que por ser de derecho sustantivo o material, y no procesal o formal, resulta de caducidad y por ello improrrogable y no susceptible de suspensión por causa alguna.</w:t>
      </w:r>
    </w:p>
    <w:p w:rsidR="00256EE9" w:rsidRDefault="00256EE9" w:rsidP="00256EE9">
      <w:pPr>
        <w:pStyle w:val="TextoNormal"/>
      </w:pPr>
    </w:p>
    <w:p w:rsidR="00256EE9" w:rsidRDefault="00256EE9" w:rsidP="00256EE9">
      <w:pPr>
        <w:pStyle w:val="TextoNormal"/>
      </w:pPr>
      <w:r w:rsidRPr="00256EE9">
        <w:rPr>
          <w:rStyle w:val="NumeroAFNegritaCaracter"/>
        </w:rPr>
        <w:t>2</w:t>
      </w:r>
      <w:r>
        <w:t>. En los procesos penales las notificaciones deberán hacerse a los Procuradores de las partes, según determina el art.  182 de la Ley de Enjuiciamiento Criminal, pues su intervención procesal resulta necesaria de acuerdo los arts. 118 y siguientes de la misma, siendo los profesionales representantes de dichas partes, a las que están ligadas por relación de mandato voluntario y necesario, y sin que las excepciones que toda norma precisa en sus números primero y segundo sean aplicables más que a las citaciones, pero no para las notificaciones que tienen contenido material diferente.</w:t>
      </w:r>
    </w:p>
    <w:p w:rsidR="00256EE9" w:rsidRDefault="00256EE9" w:rsidP="00256EE9">
      <w:pPr>
        <w:pStyle w:val="TextoNormal"/>
      </w:pPr>
      <w:r>
        <w:t>Sin embargo, el art.  160 de la propia ordenanza procesal exige, como excepción a la notificación de las Sentencias definitivas a los Procuradores, hacerlo también a las partes «en todo juicio oral», el mismo día o a lo más en el siguiente, si bien precisa que si por cualquier circunstancia o accidente no se encontrara a las partes al ir a hacerles la notificación, se hará constar por diligencia y bastará en tal caso con la notificación hecha a sus Procuradores.  Lo que tanto supone como referir exclusivamente tal notificación acumulada o doble -a las partes y al Procurador- de las Sentencias dictadas en los procesos que exijen juicio oral y que admiten recursos y sólo a ellos, que resultan ser los procesos ordinarios de conocimiento por las Audiencias (arts. 680 al 748 de la Ley de Enjuiciamiento Criminal -L. E. Cr.-) los que resuelven en trámite de urgencia los Juzgados de Instrucción (artículos 791 y 792) y aquellos otros también de urgencia competencia de las Audiencias Provinciales (arts. 797 a 802), pero sin que pueda extenderse según usus fori y doctrina jurisprudencial muy reiterada, para las resoluciones recaídas en recurso de casación, que no requieren celebrar tal juicio oral por su naturaleza y alcance y sí sólo realizar, por regla general, la diligencia de «vista» para alegaciones de palabra de las defensas y acusaciones [artículo 893 bis a) y siguientes de la propia Ley de ritos], por lo que la notificación ha de efectuarse, en este caso, exclusivamente a los Procuradores, máxime cuando contra la decisión no se da recurso alguno; jurisprudencia que, por otra parte, libera a las Audiencias de notificar a las partes, además de al Procurador, no sólo cuando no fueren encontradas, sino también cuando aquéllas no estuvieren residenciadas en el lugar de la celebración del juicio oral, por no poderse cumplir la notificación dentro del corto e improrrogable plazo señalado en el art.  160.</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Aplicando la doctrina expuesta al caso de autos resulta evidente que al haberse notificado al Procurador, el 29 de mayo de 1982, la Sentencia dictada el 22 anterior por la Sala Segunda del Tribunal Supremo, desestimando el recurso de casación solucionado por el Tribunal Constitucional en la Sentencia recaída en el amparo núm. 25/1980, no existía obligación de efectuarla también a la parte inculpada, por estar excepcionado de hacerlo para ella como anteriormente se ha expuesto, no residiendo por otro lado el recurrente en Madrid, por lo que cuando se inició el recurso de amparo el día 17 de octubre de 1983 habían transcurrido cerca de diecinueve meses, rebasándose muy ampliamente el plazo de caducidad de veinte días, con lo que indudablemente el recurso se planteó extemporáneamente, sin que en contra de ello existan razones atendibles de ninguna clase, que en puridad no se manifiesten coherentemente en demanda, ni en el escrito de alegaciones debidas al trámite de inadmisión propuesto.</w:t>
      </w:r>
    </w:p>
    <w:p w:rsidR="00256EE9" w:rsidRDefault="00256EE9" w:rsidP="00256EE9">
      <w:pPr>
        <w:pStyle w:val="TextoNormal"/>
      </w:pPr>
    </w:p>
    <w:p w:rsidR="00256EE9" w:rsidRDefault="00256EE9" w:rsidP="00256EE9">
      <w:pPr>
        <w:pStyle w:val="TextoNormal"/>
      </w:pPr>
      <w:r w:rsidRPr="00256EE9">
        <w:rPr>
          <w:rStyle w:val="NumeroAFNegritaCaracter"/>
        </w:rPr>
        <w:t>4</w:t>
      </w:r>
      <w:r>
        <w:t>. Examinando el fondo del amparo planteado, para determinar la aplicabilidad o no de la causa de inadmisión de carecer la demanda manifiestamente de contenido constitucional según el art.  50.2 b) de la LOTC, han de aceptarse dos cuestiones de todo el cúmulo desordenado, confuso y carente de precisión de las alegaciones realizadas, por ser las únicas tratadas en el recurso de casación ante el Tribunal Supremo y fuera de las cuales no podría pronunciarse este Tribunal Constitucional, dada la naturaleza subsidiaria del recurso de amparo: la primera, constituida por la eventual indefensión, al ser denegada la práctica de la confesión del procesado recurrente bajo los efectos del pentothal sódico u otro producto similar, actuantes como « suero de la verdad»; y la segunda, determinada por la lesión de la presunción de inocencia, al atentarse según el actor contra el principio in dubio pro reo, que generó la condena por el delito de homicidio preterintencional.</w:t>
      </w:r>
    </w:p>
    <w:p w:rsidR="00256EE9" w:rsidRDefault="00256EE9" w:rsidP="00256EE9">
      <w:pPr>
        <w:pStyle w:val="TextoNormal"/>
      </w:pPr>
    </w:p>
    <w:p w:rsidR="00256EE9" w:rsidRDefault="00256EE9" w:rsidP="00256EE9">
      <w:pPr>
        <w:pStyle w:val="TextoNormal"/>
      </w:pPr>
      <w:r w:rsidRPr="00256EE9">
        <w:rPr>
          <w:rStyle w:val="NumeroAFNegritaCaracter"/>
        </w:rPr>
        <w:t>5</w:t>
      </w:r>
      <w:r>
        <w:t>. El art. 24.2 de la C. E. no otorga el derecho ilimitado a que las partes acusadoras o defensoras en el proceso penal dispongan libremente de la omnímoda facultad de proponer pruebas que deban inexorablemente admitirse, vinculando a los Jueces y Tribunales, al desapoderar a éstos de la facultad valorativa y decisoria de su admisión o repulsa, pues la propia norma subordina este derecho de mera proposición a la «pertinencia» de las justificaciones, al igual que otros artículos de la Ley de Enjuiciamiento Criminal, como los 659, 790 y 799, ya que tienen las pruebas que están ordenadas a la demostración de conductas fácticas relevantes, y no ser superfluas, mínimas o intrascendentes, por hallarse en relación directa de conexión con lo que es materia u objeto del proceso y servir para esclarecer los hechos enjuiciados y su repercusión en la adecuada subsunción calificadora de los comportamientos humanos, correspondiendo en definitiva a los Jueces y Tribunales el derecho-deber de pronunciarse sobre la admisibilidad probatoria por pertinencia o sobre la inadmisibilidad por impertinencia, y resultando misión de este Tribunal Constitucional controlar si el rechazo carece totalmente de fundamentación o existiendo un aparente razonamiento, éste es arbitrario o irrazonado en absoluto para denegar la prueba.</w:t>
      </w:r>
    </w:p>
    <w:p w:rsidR="00256EE9" w:rsidRDefault="00256EE9" w:rsidP="00256EE9">
      <w:pPr>
        <w:pStyle w:val="TextoNormal"/>
      </w:pPr>
      <w:r>
        <w:t>El art. 24.2 de la C. E. prohíbe la prueba de confesión en cuanto les perjudique a los culpables, que a su voluntad pueden no efectuarla contra sí mismos, lo que a sensu contrario no supone que cuando les beneficie sea prueba plena, como deriva claramente de lo dispuesto en el art.  406 de la Ley de Enjuiciamiento Criminal, que exige practicar las demás diligencias necesarias a fin de adquirir el convencimiento de la verdad de la confesión y de la existencia del delito.</w:t>
      </w:r>
    </w:p>
    <w:p w:rsidR="00256EE9" w:rsidRDefault="00256EE9" w:rsidP="00256EE9">
      <w:pPr>
        <w:pStyle w:val="TextoNormal"/>
      </w:pPr>
      <w:r>
        <w:lastRenderedPageBreak/>
        <w:t>Pero es que, además de no constituir la confesión una prueba reina o apodíctica para obviar otras justificaciones que permitan apreciar su alcance positiva o negativamente, la prueba denominada científicamente «narcoanálisis» y vulgarmente como «suero de la verdad», para lograr la deposición de conductas sin frenos inhibitorios, por ingestión de sustancias químicas, que relajen la voluntad, y que propuso el recurrente ante los Tribunales ordinarios, no fue admitida en razonado juicio de legalidad por el Tribunal Supremo especialmente, al no ser fiables en sus resultados entrañar eventuales peligros en su aplicación, conculcar el principio de legalidad, pues sería una forma indirecta y torcidera de obtener la confesión del reo, y por suponer un desprecio para la persona, por aniquilar o deformar los recursos psíquicos y físicos del ser humano.  En definitiva, tanto por no ser la confesión del inculpado una prueba plena como por las circunstancias en que se apoya el Tribunal Supremo para denegarla, en adecuado juicio de legalidad la no aceptación de dicha prueba hace que este Tribunal carezca de facultades para revisar dicha decisión denegatoria.</w:t>
      </w:r>
    </w:p>
    <w:p w:rsidR="00256EE9" w:rsidRDefault="00256EE9" w:rsidP="00256EE9">
      <w:pPr>
        <w:pStyle w:val="TextoNormal"/>
      </w:pPr>
    </w:p>
    <w:p w:rsidR="00256EE9" w:rsidRDefault="00256EE9" w:rsidP="00256EE9">
      <w:pPr>
        <w:pStyle w:val="TextoNormal"/>
      </w:pPr>
      <w:r w:rsidRPr="00256EE9">
        <w:rPr>
          <w:rStyle w:val="NumeroAFNegritaCaracter"/>
        </w:rPr>
        <w:t>6</w:t>
      </w:r>
      <w:r>
        <w:t>. Que bajo la invocación del principio in dubio pro reo, que se acoge en el de presunción de inocencia con más amplio alcance, establecido en el art. 24.2 de la C. E., lo que se pretende efectuar en el caso de examen es el rechazo del contenido de numerosos medios de prueba practicados en el proceso penal, y que según enumeración de la demanda -aunque pueden ser más amplios- consistieron en la confesión del procesado, declaraciones testificales varias y dictámenes periciales de médicos forenses y prácticos de puertos, para, en definitiva, realizar una valoración diferente de su contenido según interpretación personal del recurrente, buscando sustituir el criterio imparcial, objetivo y oficial de los órganos judiciales por el parcial, subjetivo y particular suyo, todo lo que resulta radicalmente improcedente y fuera de los estrictos límites de la presunción de inocencia que no es más que una presunción iuris tantum, que cede ante mínima prueba de cargo, puesto que la valoración de la prueba en conciencia corresponde, como muchas veces ha reconocido este Tribunal, a los órganos judiciales penales, según el art. 741 de la Ley de Enjuiciamiento Criminal, sin que pueda aquél constituirse en tercera instancia revisora, para ponderar la prueba que no presenció y alterar los hechos probados, lo que está prohibido hacer según el art. 44.1 b) de la LOTC y el art.  117.3 de la C. E., primando a unos hechos demostrados y devalorando otros, como sin razón alguna que le apoye pretende el actor del amparo en el tratamiento de un tema de mera legalidad ordinaria y sin contenido constitucional, que finalísticamente buscaba hacer desaparecer el delito de homicidio preterintencional porque fue condenado, y lograr la inexistencia de delito, todo lo que determina que también para este tema concurra la causa de inadmisión indicada del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 inadmitir a trámite el recurso de amparo formulado por don Argimiro Vázquez Guillén, en representación de don José María Díaz Rivas, y el archivo de las actuaciones.</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3" w:name="AUTO_1985_22"/>
      <w:r>
        <w:lastRenderedPageBreak/>
        <w:t>AUTO 22/1985, de 16 de enero de 1985</w:t>
      </w:r>
    </w:p>
    <w:bookmarkEnd w:id="83"/>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ECLI:ES:TC:1985:22A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Desestimando recurso de súplica contra providencia del Tribunal Constitucional en el recurso de amparo 558/1984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el presente recurso de amparo, la Sección Cuarta dictó Auto de inadmisión a 7 de noviembre de 1984 imponiendo, además, las costas al recurrente y sancionándole por su temeridad con 50.000 pesetas. Contra esta resolución, la representación procesal del recurrente presentó recurso de súplica por escrito fechado a 23 del mismo mes y año, en el que, tras las alegaciones que entendió pertinentes, concluía con el petitum de que se admita el recurso y con el de que «en todo caso, reconsiderando a la luz de los argumentos aquí aportados el referido Auto declare la inexistencia de temeridad y no imponga por tanto ni costas ni sanción alguna a mi mandante».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por resolución de 5 de diciembre, acordó tener por interpuesto recurso de súplica «sólo contra la condena en costas e imposición de sanción pecuniaria de 50.000 pesetas», y asimismo que no ha lugar de acuerdo con el art. 50.3 de la LOTC a tener por interpuesto el recurso de súplica contra la inadmisión. </w:t>
      </w:r>
    </w:p>
    <w:p w:rsidR="00256EE9" w:rsidRDefault="00256EE9" w:rsidP="00256EE9">
      <w:pPr>
        <w:pStyle w:val="TextoNormal"/>
      </w:pPr>
      <w:r>
        <w:t>Dado el oportuno traslado del escrito de interposición del recurso y de la anterior providencia al Ministerio Fiscal, el Fiscal ante este Tribunal alega, ciñéndose a la condena en costas y sanción, «ya que la cuestión básica en el mismo (es decir, en el Auto de 7 de noviembre) resuelta no es susceptible de impugnación por establecerlo así el art. 50.3 de la Ley Orgánica». El Fiscal, frente al argumento del recurrente de que el contenido del art. 95 de la LOTC sólo juega cuando se ha tramitado el recurso, por lo que no se podría sancionar al recurrente de un recurso que se detiene en la fase de admisibilidad, responde que nada hay en el contexto de la LOTC que abone tal razonamiento, pues «tramitación» equivale tanto al conjunto de actuaciones que lleven a la decisión por Sentencia como a aquellas otras que conduzcan a la inadmisión por haber incurrido en los supuestos contemplados en el art. 50.1 y 2 de la LOTC. Añade el Fiscal que la apreciación de temeridad es un juicio de valor que corresponde al Tribunal, que llegó a él tras el examen de la posición de la parte, «siendo de señalar que en el presente caso el escrito de interposición de recurso de súplica contiene expresas manifestaciones de defectos atribuibles a la propia parte, que ni siquiera en el trámite de admisión puso en acto la diligencia necesaria para salvar los defectos y motivos que habían de conducir a una presunta inadmisión». Por todo ello, el Fiscal pide que se rechace el recurso de súplica y se confirme en todo el Auto impugnado.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art.  50.3 de la LOTC dice textualmente que «contra el acuerdo de inadmisión de una demanda de amparo constitucional no cabrá recurso alguno».  El precepto es tan claro que la interposición de un recurso de súplica contra el Auto de 7 de noviembre de 1984, pretendiendo la admisión del recurso de amparo, carece de todo fundamento, por lo que si por temeridad entendemos precisamente la formulación de una pretensión que no es posible técnicamente fundar en Derecho, es patente que también en su reacción frente a la inadmisión la representación del recurrente bordea la temeridad. En todo caso, es evidente que ni el recurso podía ser admitido por lo ya expuesto en nuestra resolución de 5 de diciembre antes reseñada ni es posible entrar aquí en el análisis de la cuestión de fondo, aunque llama la atención que ésta sea desarrollada por la representación del recurrente con mayor detenimiento en este escrito que en su breve demanda y en su más breve alegación en el trámite de inadmisibilidad.</w:t>
      </w:r>
    </w:p>
    <w:p w:rsidR="00256EE9" w:rsidRDefault="00256EE9" w:rsidP="00256EE9">
      <w:pPr>
        <w:pStyle w:val="TextoNormal"/>
      </w:pPr>
    </w:p>
    <w:p w:rsidR="00256EE9" w:rsidRDefault="00256EE9" w:rsidP="00256EE9">
      <w:pPr>
        <w:pStyle w:val="TextoNormal"/>
      </w:pPr>
      <w:r w:rsidRPr="00256EE9">
        <w:rPr>
          <w:rStyle w:val="NumeroAFNegritaCaracter"/>
        </w:rPr>
        <w:t>2</w:t>
      </w:r>
      <w:r>
        <w:t>. Es cierto, como apunta el Ministerio Fiscal, que la representación del recurrente alude por dos veces al carácter «en exceso sucinto» y al posible «defecto imputable a esta parte» consistente en no haber detallado suficientemente los hechos que considera causantes de su indefensión. Pero también es verdad que de una insuficiente relación de los hechos reconocida como tal por la parte no se ha de inferir necesariamente la temeridad que, en un proceso constitucional del tipo que nos ocupa ha de referirse a la falta de fundamentación de la pretensión de amparo.</w:t>
      </w:r>
    </w:p>
    <w:p w:rsidR="00256EE9" w:rsidRDefault="00256EE9" w:rsidP="00256EE9">
      <w:pPr>
        <w:pStyle w:val="TextoNormal"/>
      </w:pPr>
    </w:p>
    <w:p w:rsidR="00256EE9" w:rsidRDefault="00256EE9" w:rsidP="00256EE9">
      <w:pPr>
        <w:pStyle w:val="TextoNormal"/>
      </w:pPr>
      <w:r w:rsidRPr="00256EE9">
        <w:rPr>
          <w:rStyle w:val="NumeroAFNegritaCaracter"/>
        </w:rPr>
        <w:t>3</w:t>
      </w:r>
      <w:r>
        <w:t>. En el punto séptimo del escrito de interposición del recurso de súplica la representación del recurrente alega que las costas y las sanciones previstas en el art. 95 de la LOTC «sólo pueden imponerse cuando se ha tramitado el proceso (el subrayado es suyo), pero no cuando no se ha llegado a tramitar por no haber sido admitido a trámite (valga la aclaratoria redundancia) el recurso».  Este Tribunal se esfuerza por ser respetuoso, pues está obligado a serlo quizá más que cualquier otro, de la libertad de alegar que asiste a las partes, quienes pueden exponer todos los argumentos pertinentes a la defensa de sus pretensiones.  No obstante, debe exigirse a tales argumentos cierta lógica jurídica que, cuando falta, puede de nuevo dar entrada a la temeridad.  La expresión «admitido a trámite» no figura ni en el art.  50 ni en el 95 de la LOTC; la existencia de una tramitación del proceso desde la interposición de la demanda hasta el Auto de inadmisión (o ahora hasta el presente) es algo fuera de duda, aunque ciertamente la tramitación no haya llegado hasta la fase de resolver sobre el fondo; la imposición de las costas se limita, como es obvio, a las hasta este momento producidas y, finalmente, la temeridad puede ser apreciada en la fase de admisibilidad en conexión con la concurrencia de algún presupuesto procesal y con el motivo de inadmisibilidad del art. 50.2 b), supuestos ambos que se dieron en el caso presente.</w:t>
      </w:r>
    </w:p>
    <w:p w:rsidR="00256EE9" w:rsidRDefault="00256EE9" w:rsidP="00256EE9">
      <w:pPr>
        <w:pStyle w:val="TextoNormal"/>
      </w:pPr>
      <w:r>
        <w:t>Es más: cabria razonar que el momento procesal más adecuado para la apreciación de la posible temeridad es el trámite del art.  50, precisamente por examinarse en él si se dan los presupuestos procesales y si concurre o no la carencia manifiesta de contenido constitucional, pues la superación de esa fase constituye ya por si misma una apreciación de la solidez (y por ende de la no temeridad, salvo supuestos excepcionales) de la demanda admitida.  El razonamiento de la representación del recurrente es, pues, como entiende tam</w:t>
      </w:r>
      <w:r>
        <w:lastRenderedPageBreak/>
        <w:t>bién el Ministerio Fiscal, carente de toda fuerza de convicción y de todo fundamento jurídico.</w:t>
      </w:r>
    </w:p>
    <w:p w:rsidR="00256EE9" w:rsidRDefault="00256EE9" w:rsidP="00256EE9">
      <w:pPr>
        <w:pStyle w:val="TextoNormal"/>
      </w:pPr>
    </w:p>
    <w:p w:rsidR="00256EE9" w:rsidRDefault="00256EE9" w:rsidP="00256EE9">
      <w:pPr>
        <w:pStyle w:val="TextoNormal"/>
      </w:pPr>
      <w:r w:rsidRPr="00256EE9">
        <w:rPr>
          <w:rStyle w:val="NumeroAFNegritaCaracter"/>
        </w:rPr>
        <w:t>4</w:t>
      </w:r>
      <w:r>
        <w:t>. Tiene razón la representación del recurrente al afirmar ahora que ya envió, junto con la demanda, copia de la Sentencia de 26 de octubre de 1982 a la que, como inexistente en autos, se alude por error en el fundamento 2 de nuestra Resolución de 7 de noviembre de 1984.  Ahora bien, faltaba en la demanda y no fue subsanada su falta en el trámite del art. 50, copia del Auto de la Sala Tercera del Tribunal Supremo de 4 de octubre de 1983, por el que se declaró indebidamente admitido el recurso de apelación; a esa no subsanación se refiere también expresamente nuestro Auto ahora impugnado. Ocurre, sin embargo, que la representación del recurrente parece confundir, tanto en la demanda como en su escrito al que ahora proveemos, aquel Auto de la Sala Tercera de 4 de octubre de 1983, con el de la misma Sala de 20 de febrero de 1984, por el que se declaró que no había lugar al recurso de súplica por ella interpuesto contra aquél.  De todos modos, es claro que no fue en esta omisión de un completo cumplimiento del art. 49.2 b) de la LOTC donde apreció la Sección Cuarta la temeridad.</w:t>
      </w:r>
    </w:p>
    <w:p w:rsidR="00256EE9" w:rsidRDefault="00256EE9" w:rsidP="00256EE9">
      <w:pPr>
        <w:pStyle w:val="TextoNormal"/>
      </w:pPr>
    </w:p>
    <w:p w:rsidR="00256EE9" w:rsidRDefault="00256EE9" w:rsidP="00256EE9">
      <w:pPr>
        <w:pStyle w:val="TextoNormal"/>
      </w:pPr>
      <w:r w:rsidRPr="00256EE9">
        <w:rPr>
          <w:rStyle w:val="NumeroAFNegritaCaracter"/>
        </w:rPr>
        <w:t>5</w:t>
      </w:r>
      <w:r>
        <w:t>. Alega asimismo la representación del recurrente que en nuestra providencia de 3 de octubre de 1984 (que era de la Sección Cuarta y no «de la Sala», como afirma por error el recurrente) «no se advierten unas causas concretas de posible inadmisibilidad, pues se limita a transcribir casi literalmente el art. 50 de la LOTC sin advertir de un modo concreto cuáles pueden ser los defectos formales», colocando así al recurrente en una situación de perjuicio en la que «se encuentra indefenso y desorientado». No es cierto que la Sección se limitara a copiar el art. 50 ni menos aún que su providencia sitúe al recurrente como indefenso y desorientado. Por el contrario, la providencia de 3 de octubre de 1984 contenía cuatro posibles causas: en la primera se citaba el art.  50.1 a) y se le ponía expresamente en relación con el art. 44.2, ambos de la LOTC, con lo que se orientaba al recurrente hacia la posible extemporaneidad de su demanda, y así lo entendió éste, que alegó sobre ello, bien que sólo en pocas líneas alusivas a la relación entre la fecha de interposición de la demanda y la fecha de notificación de la providencia, pero no respecto a si ésta era o no el dies a quo del plazo; en la segunda causa invocada se mencionó el art. 50.1 b) expresamente en relación con el art. 49.2 b) de la LOTC; en la tercera se aludió al art.  50.2 a) en cuanto a la invocación de artículos diferentes a los susceptibles de amparo; y, finalmente, se invocó el art. 50.2 b). Esta es la forma habitual de nuestras providencias en ese trámite, y es de notar que en su escrito de alegaciones (un folio) el recurrente no formuló queja alguna respecto al contenido desorientador o no lo bastante explícito de sus cuatro puntos.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la desestimación del recurso de súplica y confirma en todo su Auto de 7 de noviembre de 1984.</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4" w:name="AUTO_1985_23"/>
      <w:r>
        <w:lastRenderedPageBreak/>
        <w:t>AUTO 23/1985, de 16 de enero de 1985</w:t>
      </w:r>
    </w:p>
    <w:bookmarkEnd w:id="84"/>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ECLI:ES:TC:1985:23A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667/1984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Antonio Benítez López, Procurador de los Tribunales en Cádiz, en nombre y representación de don Juan Martínez García, don Antonio Brioso García, don Manuel López Lavilla, don José Lavilla Guerrero y don Isidro Ariza Ramírez, formuló demanda de amparo constitucional contra la Sentencia del Tribunal Central de Trabajo de 11 de julio de 1984, que denegó, en conflicto colectivo, la integración de los trabajadores de la empresa «Recalux, S. L.» en la «Empresa Nacional Bazán, S. A.». La demanda se fundamenta en los siguientes hechos: a) En conflicto colectivo instado por los representantes de los trabajadores de la empresa «Recalux, S. L.», que pretendían la integración en la plantilla de la «Empresa Nacional Bazán de Construcciones Navales Militares, S. A.», en cuya factoría de San Fernando (Cádiz) prestaban sus servicios, la Magistratura de Trabajo núm. 2 de Cádiz dictó Sentencia estimatoria de 30 de marzo de 1984, por entender que se había producido un supuesto de cesión ilegal de mano de obra. b) Contra dicha Sentencia la «Empresa Nacional Bazán» interpuso recurso especial de suplicación que fue estimado por Sentencia de la Sala Quinta del Tribunal Central de Trabajo de 11 de julio de 1984, que estimó no podía afirmarse que la empresa «Recalux» se hubiera constituido con la única finalidad de prestar trabajadores a la Empresa Nacional Bazán, sino que los hechos mostraban que poseía medios y actividad propios. Los demandantes denuncian la vulneración de los arts. 14 y 35.1 de la Constitución Española, por entender que el Tribunal Central de Trabajo discrimina a los trabajadores de la empresa «Recalux, S. L.» que prestan sus servicios en la factoría de San Fernando de la «Empresa Nacional Bazán», frente a otros 83 trabajadores de igual Empresa que en el año 1980 obtuvieron, por Sentencia del mismo Tribunal de 2 de julio, la integración en la plantilla de «Astilleros Españoles, S. A.». </w:t>
      </w:r>
    </w:p>
    <w:p w:rsidR="00256EE9" w:rsidRDefault="00256EE9" w:rsidP="00256EE9">
      <w:pPr>
        <w:pStyle w:val="TextoNormal"/>
      </w:pPr>
      <w:r>
        <w:t>Estiman la situación de unos y otros trabajadores idéntica en los respectivos centros y empresas en que trabajaban y los argumentos utilizados en 1984 eran igualmente aplicables en 1980 cuando se reconoció la integración, por lo que la solución actual vulnera el derecho a la igualdad. Se vulnera igualmente el art. 35.1 de la Constitución, pues se impide la promoción de los trabajadores.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por providencia de 31 de octubre, concedió un plazo común de diez días a la parte recurrente y al Ministerio Fiscal para que alegaran sobre la posible existencia de </w:t>
      </w:r>
      <w:r>
        <w:lastRenderedPageBreak/>
        <w:t>las causas de inadmisión reguladas por los arts. 50.1 a) en relación con el 44.2 de la Ley Orgánica del Tribunal Constitucional, la del 50.1 b) en relación al 81 por no haber comparecido por medio de Procurador habilitado para actuar en Madrid, y la del art. 50.2 a) en cuanto a la invocación del art. 35 de la Constitución.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recurrentes, en su escrito de alegaciones, hacen constar que no se produce la causa de inadmisión del art. 50.1 a), en relación con el 44.2 de la LOTC, pues la Sentencia impugnada fue notificada el día 16 de agosto de 1984 y el recurso se interpuso el día 8 de septiembre siguiente, por lo que está dentro del plazo de veinte días hábiles. Estima asimismo que no se infringe el art. 50.1 b), en relación con el 81 de la LOTC, ya que de la redacción de éste no se desprende que sea necesario que el Procurador esté ubicado para actuar en determinado lugar, por lo que considera ajustada a Derecho la representación otorgada, teniendo en cuenta, además, que en el poder notarial consta nombramiento a favor de Procurador de Madrid. En cuanto a la tercera causa de inadmisión hace dejación en lo que se refiere a la infracción del art. 35 de la Constitución y se ciñen a la violación que pudiera existir con respecto al art. 14, a la que se refiere en el recurso. </w:t>
      </w:r>
    </w:p>
    <w:p w:rsidR="00256EE9" w:rsidRDefault="00256EE9" w:rsidP="00256EE9">
      <w:pPr>
        <w:pStyle w:val="TextoNormal"/>
      </w:pPr>
      <w:r>
        <w:t>El Fiscal General del Estado dice que, efectivamente, concurre la causa de inadmisión del art. 50.1 a), en relación al 44.2 de la LOTC. La Sentencia impugnada es de 11 de julio de 1984, y se deduce de la cédula de notificación que fue notificada el 31 de julio; el recurso fue presentado en el registro general el día 14 de septiembre, por lo que está rebasado el plazo de veinte días, que es improrrogable y de necesaria observancia. A estos efectos es de aplicación el Acuerdo del Pleno del Tribunal Constitucional de 14 de junio de 1982 («Boletín Oficial del Estado» de 2 de julio), que establece que durante los períodos de vacaciones correrán los plazos señalados para iniciar los distintos procesos de la competencia del Tribunal, y no es aplicable el Decreto-ley 5/1973, de 17 de julio. En cuanto a la comparecencia por medio de Procurador habilitado para actuar en Madrid, señala el Fiscal que la LOTC optó por el sistema de conferir poder a Procuradores y no a los incorporados a cualquiera de los Colegios de España, como dispone para los Abogados, sino ateniéndose a lo dispuesto en el art. 3 de la Ley de Enjuiciamiento Civil (por remisión del art. 80 de la LOTC), pues la propia función del Procurador sólo puede asumirse actuando en la sede del Tribunal. Finalmente, la demanda incurre en la causa de inadmisión prevista en el art. 50.2 a), por cuanto que el art. 35 de la Constitución se refiere a derechos que no gozan de la protección constitucional del recurso de amparo. Por todo ello solicita se dicte Auto acordando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No ha querido la parte demandante sanar uno de los defectos advertidos -el de falta de postulación- haciendo así posible que fuera esta causa, comprendida en el art. 50.1 b), en relación con el 81, ambos de la LOTC, uno de los obstáculos a la admisión, a estas alturas del procedimiento, insalvable, y no lo ha hecho porque insistiendo en una equivocada inteligencia del último de los preceptos citados, ha creído que desde cualquier lugar de España se puede realizar por un Procurador la labor de representación, y también de mediación entendida como relación con el Tribunal, que al Procurador corresponde. Basta fijarse en la regla del art. 81.2 que excepciona de la colegiación en Madrid para ejercer como Abogado ante este Tribunal y no al Procurador, consecuente, por lo demás, con la función que incumbe al Procurador que sólo siendo de los que están habilitados para ac</w:t>
      </w:r>
      <w:r>
        <w:lastRenderedPageBreak/>
        <w:t>tuar en los que tienen su sede en Madrid, pueden realizar su función. Si acaso la decisión de no comparecer con Procurador de los de Madrid, aunque los recurrentes tenían otorgado poder a Procurador de Cádiz y a Procurador de Madrid, obedeció a que ellos entendieran que no tenían tiempo para entrar en relación con el Procurador en el tiempo escaso de que disponían, o tal vez a que consideraran que se facilita desde el punto del gravamen económico el hacerlo con el Procurador de Cádiz -que nada abona que se agravara el coste-, tiempo han tenido posteriormente, dadas las facilidades subsanatorias al respecto, para comparecer con Procurador apto para actuar ante el Tribunal, contando, como contaban, con poder otorgado al efecto; y si estas u otras razones suponían para los accionantes una carga económica difícilmente soportable para sus mermados ingresos, tenían el camino del beneficio de justicia gratuita para cuya concesión la Ley arbitra caminos fáciles de obtención.</w:t>
      </w:r>
    </w:p>
    <w:p w:rsidR="00256EE9" w:rsidRDefault="00256EE9" w:rsidP="00256EE9">
      <w:pPr>
        <w:pStyle w:val="TextoNormal"/>
      </w:pPr>
    </w:p>
    <w:p w:rsidR="00256EE9" w:rsidRDefault="00256EE9" w:rsidP="00256EE9">
      <w:pPr>
        <w:pStyle w:val="TextoNormal"/>
      </w:pPr>
      <w:r w:rsidRPr="00256EE9">
        <w:rPr>
          <w:rStyle w:val="NumeroAFNegritaCaracter"/>
        </w:rPr>
        <w:t>2</w:t>
      </w:r>
      <w:r>
        <w:t>. Si la Sentencia que puso fin a la vía judicial previa fue la que pronunció el Tribunal Central de Trabajo el 11 de julio de 1984, y la cédula de notificación lleva fecha del 30 del mismo mes, bien podía pensarse que un recurso recibido en este Tribunal el 14 de septiembre estaba fuera del plazo de los veinte días y esto, aun computando el plazo atendiendo a la presentación del recurso según regla (la del art. 66 de la Ley de Procedimiento Administrativo), que lo es para el procedimiento.  administrativo y no para las actuaciones jurisdiccionales, como son las de este Tribunal, pues también arrancando del día 30 de julio habría vencido el indicado plazo, computándose como se computan, los días del mes de agosto.  Ahora nos dice -y vamos a aceptárselo- que la notificación, esto es, la diligencia de notificación, no se hizo en la fecha de la cédula, sino muy posteriormente, diciendo la parte que fue el día 16 de agosto.  Pues bien, también partiendo de esta fecha, el recurso es tardío, y esto aunque se aceptara como momento y fecha de la presentación la de su recepción en la Oficina del Gobierno Civil, que fue según la referencia (la del sello en el escrito) el 10 de septiembre y según otra (el oficio del Gobierno Civil) el día siguiente, y no el 8 como contra lo que consta dice la defensa de la parte.</w:t>
      </w:r>
    </w:p>
    <w:p w:rsidR="00256EE9" w:rsidRDefault="00256EE9" w:rsidP="00256EE9">
      <w:pPr>
        <w:pStyle w:val="TextoNormal"/>
      </w:pPr>
    </w:p>
    <w:p w:rsidR="00256EE9" w:rsidRDefault="00256EE9" w:rsidP="00256EE9">
      <w:pPr>
        <w:pStyle w:val="TextoNormal"/>
      </w:pPr>
      <w:r w:rsidRPr="00256EE9">
        <w:rPr>
          <w:rStyle w:val="NumeroAFNegritaCaracter"/>
        </w:rPr>
        <w:t>3</w:t>
      </w:r>
      <w:r>
        <w:t>. A la interposición tardía y sin la necesaria postulación se añade que una de las fundamentaciones del recurso -la del art. 35 de la Constitución- no es la que tienen acceso al amparo constitucional (recordamos el art. 53.2 de la Constitución).  Retirada esta fundamentación y centrada ahora en la «violación que pudiera existir con respecto al 14» (sic), no es aplicable la causa del art. 50.2 a) de la LOTC, por lo que son las otras [las de los apartados a) y b) del núm.  1 del art. 50] las que deben fundar la inadmisión.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de amparo interpuesto por don Juan Martínez García y otros.</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5" w:name="AUTO_1985_24"/>
      <w:r>
        <w:lastRenderedPageBreak/>
        <w:t>AUTO 24/1985, de 16 de enero de 1985</w:t>
      </w:r>
    </w:p>
    <w:bookmarkEnd w:id="85"/>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ECLI:ES:TC:1985:24A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669/1984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recurso de amparo 669/1984, y en el escrito de demanda, el recurrente pedía la suspensión del acuerdo sancionador de 10 de julio de 1984 por él impugnado en amparo, en el que se le imponía por la Junta de Régimen y Administración del Centro Penitenciario de Detención de Bilbao la sanción de tres fines de semana como falta grave. El recurrente, Joseba Aramaio Egurrola, a través de su representación procesal, alegaba que de tal suspensión no se seguirían perjuicios generales y de la ejecución del acuerdo sancionatorio se derivarían para él, además de su propio cumplimiento, otra serie de perjuicios como la imposibilidad de presentarse a elecciones y su incidencia negativa en orden a recompensas, posibles permisos de salida y en la progresión o regresión de grado.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Tercera, por providencia de 17 de octubre de 1984, acordó formar pieza separada de suspensión, así como abrir el trámite del art. 50 de la LOTC por posible concurrencia de la causa del art. 50.2 b). </w:t>
      </w:r>
    </w:p>
    <w:p w:rsidR="00256EE9" w:rsidRDefault="00256EE9" w:rsidP="00256EE9">
      <w:pPr>
        <w:pStyle w:val="TextoNormal"/>
      </w:pPr>
      <w:r>
        <w:t>En la pieza de suspensión el Fiscal ante el Tribunal Constitucional, por escrito de 24 de octubre de 1984, se opone al otorgamiento de la suspensión por entender que es supuesto previo, en la práctica de este Tribunal, para la concesión de la suspensión la admisión del recurso de amparo que en este caso estaba todavía pendiente. En esta pieza no ha alegado el recurrente.</w:t>
      </w:r>
    </w:p>
    <w:p w:rsidR="00256EE9" w:rsidRDefault="00256EE9" w:rsidP="00256EE9">
      <w:pPr>
        <w:pStyle w:val="TextoNormal"/>
      </w:pPr>
    </w:p>
    <w:p w:rsidR="00256EE9" w:rsidRDefault="00256EE9" w:rsidP="00256EE9">
      <w:pPr>
        <w:pStyle w:val="TextoNormal"/>
      </w:pPr>
      <w:r w:rsidRPr="00256EE9">
        <w:rPr>
          <w:rStyle w:val="NumeroAFNegritaCaracter"/>
        </w:rPr>
        <w:t>3</w:t>
      </w:r>
      <w:r>
        <w:t>. En los Autos principales se resolvió el trámite de admisión por providencia de 5 de diciembre, por la que se acordó admitir la demanda de amparo interpuesta por don Joseba Aramaio Egurrola, y se designó Ponente a don Francisco Tomás y Valiente.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56.1 de la LOTC dispone que la Sala, de oficio o a instancia de parte, suspenderá la ejecución del acto recurrido «cuando la ejecución hubiere de ocasionar un perjuicio que haría perder al amparo su finalidad».</w:t>
      </w:r>
    </w:p>
    <w:p w:rsidR="00256EE9" w:rsidRDefault="00256EE9" w:rsidP="00256EE9">
      <w:pPr>
        <w:pStyle w:val="TextoNormal"/>
      </w:pPr>
      <w:r>
        <w:lastRenderedPageBreak/>
        <w:t>El recurrente, que sí ha pedido la suspensión, aunque en el trámite oportuno no haya alegado en su favor, expuso en su demanda de amparo los perjuicios accesorios que la ejecución del acuerdo impugnado habría de depararle. No es ese argumento del que se derive el otorgamiento de la suspensión, pues la existencia misma del perjuicio principal o accesorio de todo acuerdo sancionador no viene contemplado en el art. 56 de la LOTC como motivo a los efectos que tratamos.  Sin embargo, es claro que una sanción de pérdida de tres fines de semana, una vez cumplida y al margen de que existan o no otros posibles perjuicios laterales, es en sí misma irreversible, de modo que si en su día (lo que aquí en absoluto se prejuzga) se otorgara el amparo, éste habría perdido su finalidad, pues aunque en este caso el contenido mismo del petitum formulado va más allá de la solicitada declaración de nulidad del acuerdo sancionatorio, este mismo, una vez cumplido ya no podría ser objeto de un efectivo amparo, sin que, por otra parte, de su suspensión parezcan desprenderse perturbaciones o perjuicios de índole general, cuya existencia niega el recurrente, y silencia el Fiscal cuya oposición al otorgamiento se produjo en atención a la apertura del trámite de inadmisibilidad, después resuelto a favor de la admisión.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Sala acuerda la suspensión del acuerdo de 10 de julio de 1984 de la Junta de Régimen y Administración del Centro Penitenciario de Detención de Bilbao contra don Joseba Aramaio Egurrola hasta que recaiga resolución de</w:t>
      </w:r>
    </w:p>
    <w:p w:rsidR="00256EE9" w:rsidRDefault="00256EE9" w:rsidP="00256EE9">
      <w:pPr>
        <w:pStyle w:val="TextoNormal"/>
      </w:pPr>
      <w:r>
        <w:t>fondo sobre el recurso de amparo por él interpuesto contra el mismo.</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6" w:name="AUTO_1985_25"/>
      <w:r>
        <w:lastRenderedPageBreak/>
        <w:t>AUTO 25/1985, de 16 de enero de 1985</w:t>
      </w:r>
    </w:p>
    <w:bookmarkEnd w:id="86"/>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ECLI:ES:TC:1985:25A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688/1984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Pablo Casado Coca, representado por el Procurador don Carmelo Olmos Gómez, formuló mediante escrito registrado en este Tribunal el 2 de octubre de 1984, demanda de amparo constitucional contra la Sentencia del Tribunal Central de Trabajo de 27 de julio de 1984, por presunta vulneración del derecho a la tutela judicial efectiva. Según puede desprenderse de dicha Sentencia -y no de la demanda, cuya exposición de hechos es manifiestamente insuficiente- los hechos sobre los que recae la resolución impugnada son los siguientes: </w:t>
      </w:r>
    </w:p>
    <w:p w:rsidR="00256EE9" w:rsidRDefault="00256EE9" w:rsidP="00256EE9">
      <w:pPr>
        <w:pStyle w:val="TextoNormal"/>
      </w:pPr>
      <w:r>
        <w:t xml:space="preserve">a) El ahora demandante en amparo fue condenado -conjuntamente con la Asociación Nacional de Empresarios de Autoventa- por despido de una trabajadora mediante Sentencia de la Magistratura de Trabajo núm. 2 de Barcelona de 28 de abril de 1980, declarándose posteriormente extinguida la relación laboral por Auto de 12 de septiembre del mismo año, contra el que el demandante interpuso recurso de reposición al que se declaró no haber lugar por providencia de 4 de octubre. Instada la ejecución de la Sentencia y Auto mencionados, se dictó Auto de ejecución de 1 de diciembre de 1980 contra los dos demandados, procediéndose a la traba de bienes en el domicilio que constaba en la demanda, y acordándose su venta en pública subasta por providencia de 16 de marzo de 1982. </w:t>
      </w:r>
    </w:p>
    <w:p w:rsidR="00256EE9" w:rsidRDefault="00256EE9" w:rsidP="00256EE9">
      <w:pPr>
        <w:pStyle w:val="TextoNormal"/>
      </w:pPr>
      <w:r>
        <w:t xml:space="preserve">b) Considerando que se había producido vulneración de las formalidades procesales, don Pablo Casado Coca promovió demanda incidental de nulidad de actuaciones, suspendiéndose como consecuencia de ello el procedimiento de apremio. El 14 de febrero de 1984 la Magistratura de Trabajo dictó Sentencia no dando lugar a dicho incidente de nulidad. </w:t>
      </w:r>
    </w:p>
    <w:p w:rsidR="00256EE9" w:rsidRDefault="00256EE9" w:rsidP="00256EE9">
      <w:pPr>
        <w:pStyle w:val="TextoNormal"/>
      </w:pPr>
      <w:r>
        <w:t>c) El demandante interpuso recurso de suplicación (del que se acompaña copia) en el que se denuncian diversas infracciones procesales en el proceso de despido, el quebrantamiento de las normas sobre prueba en el incidente de nulidad, y la infracción de la normativa sobre indemnizaciones sustitutorias de la readmisión en caso de despido. El Tribunal Central de Trabajo desestimó el recurso por Sentencia de 27 de julio de 1984, por estimar que no es posible el incidente de nulidad en relación a vulneraciones anteriores a la fase de ejecución que, además, no se habían planteado en la demanda incidental, que no se ha producido la infracción relativa a la prueba, pues ésta no fue debidamente articulada, y que no cabe examinar la legalidad sustantiva relativa a las indemnizaciones en el incidente.</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xml:space="preserve">. El demandante denuncia que las faltas de citaciones a juicio de la codemandada y la falta de requerimientos legales al actor para que readmitiese a la despedida vulneran el derecho al proceso con todas las garantías precisas y el derecho a la tutela judicial efectiva. Igualmente alega que la infracción cometida en la fase probatoria del incidente de nulidad vulnera el derecho a la utilización de todos los medios de prueba y el derecho a la tutela judicial efectiva. </w:t>
      </w:r>
    </w:p>
    <w:p w:rsidR="00256EE9" w:rsidRDefault="00256EE9" w:rsidP="00256EE9">
      <w:pPr>
        <w:pStyle w:val="TextoNormal"/>
      </w:pPr>
      <w:r>
        <w:t xml:space="preserve">Solicita se conceda el amparo en el siguiente sentido: 1) que el Tribunal Central de Trabajo tiene el deber constitucional de entrar en el análisis de los supuestos denunciados en el recurso de suplicación, prescindiendo de distingo alguno entre período declarativo y ejecutivo, y 2) que el Tribunal Central tuvo el deber de tutelar la inexistencia de la práctica de una prueba expresamente referida por el recurrente (sic) sin que quepa argumentar que no se encontraba debidamente articulada, pues fue admitida por el juzgador. </w:t>
      </w:r>
    </w:p>
    <w:p w:rsidR="00256EE9" w:rsidRDefault="00256EE9" w:rsidP="00256EE9">
      <w:pPr>
        <w:pStyle w:val="TextoNormal"/>
      </w:pPr>
      <w:r>
        <w:t>Solicita igualmente que se notifique la Sentencia de amparo al Tribunal Central de Trabajo para que éste reclame nuevamente los autos de la Magistratura de Trabajo núm. 2 de Barcelona y a su vista determine la amplitud de las infracciones procesales ocurridas en tales autos, decretando, en su caso, la nulidad del juicio desde el momento en que se hubiere cometido la primera de las infracciones denunciadas en el recurso de suplicación.</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por providencia de 21 de noviembre, acordó poner de manifiesto la posible existencia de las siguientes causas de inadmisión: 1.ª La regulada por el art. 50.1 b) en relación al 49.1 de la Ley Orgánica del Tribunal Constitucional (LOTC), por falta de claridad y precisión en el amparo que se solicita; 2.ª la del art. 50.2 b) de la LOTC, por cuanto la demanda pudiera carecer de contenido que justifique una decisión por parte de este Tribunal; concediendo (art. 50 de la LOTC) un plazo común de diez días a la representación del recurrente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Ministerio Fiscal, tras señalar que el demandante impugna la Sentencia del Tribunal Central cuando realmente debió impugnar la de Magistratura, ya que en ella se realizaron las presuntas violaciones, y considerar que, efectivamente, existe falta de claridad y precisión en el escrito, no estima sin embargo que concurra la primera causa de inadmisión expuesta, por poder determinarse, aunque sea con dificultades, los elementos necesarios constitutivos del objeto del amparo. </w:t>
      </w:r>
    </w:p>
    <w:p w:rsidR="00256EE9" w:rsidRDefault="00256EE9" w:rsidP="00256EE9">
      <w:pPr>
        <w:pStyle w:val="TextoNormal"/>
      </w:pPr>
      <w:r>
        <w:t xml:space="preserve">Sí considera, por el contrario, existente la segunda causa de inadmisión por falta manifiesta de contenido constitucional en la demanda. La alegación de falta de citación a la codemandada no es correcta, pues el actor, que fue el otro codemandado, era representante legal de aquélla y en su domicilio se realizaron las citaciones de ambos, habiendo comparecido en el proceso. Pero, además, la demanda incidental, cuya resolución se recurre, no tenía por objeto las presuntas irregularidades procesales del proceso declarativo, sino las realizadas en la fase de ejecución de Sentencia, que por cierto fue consentida y no recurrida por los demandados. </w:t>
      </w:r>
    </w:p>
    <w:p w:rsidR="00256EE9" w:rsidRDefault="00256EE9" w:rsidP="00256EE9">
      <w:pPr>
        <w:pStyle w:val="TextoNormal"/>
      </w:pPr>
      <w:r>
        <w:t xml:space="preserve">En cuanto a la denuncia de falta de prueba en el proceso incidental, se refiere a una prueba que por no concretarse sus extremos no fue declarada pertinente, constando que no hubo protesta del recurrente ante dicha omisión y que firmó el acta sin alusión a ello. </w:t>
      </w:r>
    </w:p>
    <w:p w:rsidR="00256EE9" w:rsidRDefault="00256EE9" w:rsidP="00256EE9">
      <w:pPr>
        <w:pStyle w:val="TextoNormal"/>
      </w:pPr>
      <w:r>
        <w:t>El Fiscal concluye pidiendo la inadmisión, por no existir ninguna irregularidad procesal que haya producido indefensión en la demanda incidental de nulidad, cuya resolución judicial es el objeto de la pretensión impugnatoria.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Transcurrido el plazo concedido, el demandante no ha formulado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providencia de la Sección que puso de manifiesto al actor la existencia de la causa de inadmisión consistente en falta de claridad y precisión en el amparo solicitado, pretendía obtener de aquél una necesaria aclaración tanto en relación al acto impugnado como al petitum de la demanda, pues aparentemente se estaba recurriendo una Sentencia del Tribunal Central de Trabajo, pero por defectos que, de existir, habrían tenido su origen en la Sentencia de Magistratura, y las pretensiones formuladas en el «suplico», aparte de contradictorias entre sí, incluían una reclamación tan insólita como que fuese el órgano de suplicación el que se pronunciase directa e inmediatamente sobre el objeto del incidente de nulidad.  La falta de alegaciones del actor que impide conocer con exactitud la voluntad reclamante no subsana el defecto.</w:t>
      </w:r>
    </w:p>
    <w:p w:rsidR="00256EE9" w:rsidRDefault="00256EE9" w:rsidP="00256EE9">
      <w:pPr>
        <w:pStyle w:val="TextoNormal"/>
      </w:pPr>
    </w:p>
    <w:p w:rsidR="00256EE9" w:rsidRDefault="00256EE9" w:rsidP="00256EE9">
      <w:pPr>
        <w:pStyle w:val="TextoNormal"/>
      </w:pPr>
      <w:r w:rsidRPr="00256EE9">
        <w:rPr>
          <w:rStyle w:val="NumeroAFNegritaCaracter"/>
        </w:rPr>
        <w:t>2</w:t>
      </w:r>
      <w:r>
        <w:t>. Con independencia de lo anterior concurre indudablemente también la segunda de las causas alegadas.</w:t>
      </w:r>
    </w:p>
    <w:p w:rsidR="00256EE9" w:rsidRDefault="00256EE9" w:rsidP="00256EE9">
      <w:pPr>
        <w:pStyle w:val="TextoNormal"/>
      </w:pPr>
      <w:r>
        <w:t>La decisión del Tribunal Central de Trabajo impugnada desestima el recurso de suplicación interpuesto contra la Sentencia de Magistratura que declaró no haber lugar al incidente de nulidad de actuaciones. El demandante impugna aquella resolución por no entrar a conocer de las infracciones procesales denunciadas en el recurso de suplicación, comportamiento que es justificado por el Tribunal Central en el doble motivo de ser cuestiones nuevas y de no ser posible un incidente de nulidad sobre actuaciones de la fase declarativa de un proceso laboral.</w:t>
      </w:r>
    </w:p>
    <w:p w:rsidR="00256EE9" w:rsidRDefault="00256EE9" w:rsidP="00256EE9">
      <w:pPr>
        <w:pStyle w:val="TextoNormal"/>
      </w:pPr>
      <w:r>
        <w:t>Ambos fundamentos son impecables, y la decisión que se apoya en ellos no comete, en consecuencia, vulneración alguna.  La argumentación del demandante -curiosamente incluida en el «suplico»- de que la tutela de los derechos constitucionales obliga a actuar a los órganos públicos en cuanto tuvieren conocimiento de la infracción, no se sostiene si omite que la denuncia de dichas infracciones, si se quiere que conduzca a un pronunciamiento de tutela de los Tribunales, ha de efectuarse por las vías que el ordenamiento ha previsto. Para superar las infracciones procesales, la Ley ha dispuesto la existencia de recursos contra las Sentencias dictadas en procesos en que aquéllas se han cometido, y no resulta posible aquietarse a la Sentencia, no interponiendo recurso alguno, y posteriormente querer actuar contra la cosa juzgada a través de un incidente de nulidad; del mismo modo que no es posible introducir en un recurso de suplicación cuestiones que no se plantearon en el proceso en que se dictó la Sentencia recurrida, dado que se trata de un recurso extraordinario para reparar las violaciones cometidas por una resolución judicial, y difícilmente ha podido ésta incurrir en violación alguna al no resolver sobre un tema no planteado.</w:t>
      </w:r>
    </w:p>
    <w:p w:rsidR="00256EE9" w:rsidRDefault="00256EE9" w:rsidP="00256EE9">
      <w:pPr>
        <w:pStyle w:val="TextoNormal"/>
      </w:pPr>
    </w:p>
    <w:p w:rsidR="00256EE9" w:rsidRDefault="00256EE9" w:rsidP="00256EE9">
      <w:pPr>
        <w:pStyle w:val="TextoNormal"/>
      </w:pPr>
      <w:r w:rsidRPr="00256EE9">
        <w:rPr>
          <w:rStyle w:val="NumeroAFNegritaCaracter"/>
        </w:rPr>
        <w:t>3</w:t>
      </w:r>
      <w:r>
        <w:t>. Tampoco la denuncia de falta de prueba en el incidente de nulidad aparece fundada.  El demandante solicitó la práctica de una prueba sin dotarla de la suficiente precisión para que pudiera efectivamente ser practicada, razón por la cual el Tribunal Central desestima el recurso de suplicación fundado en tal causa.</w:t>
      </w:r>
    </w:p>
    <w:p w:rsidR="00256EE9" w:rsidRDefault="00256EE9" w:rsidP="00256EE9">
      <w:pPr>
        <w:pStyle w:val="TextoNormal"/>
      </w:pPr>
      <w:r>
        <w:t xml:space="preserve">Aparte de ello, debe tenerse en cuenta que la denegación de prueba vulnera el derecho constitucional a la tutela judicial cuando origina indefensión, y en el presente caso ni se </w:t>
      </w:r>
      <w:r>
        <w:lastRenderedPageBreak/>
        <w:t>argumenta en qué medida se ha producido dicha indefensión, ni cabe imaginarla en el incidente de nulidad cuya resolución se impugna, pues cualquiera que fuese el resultado obtenido por la prueba omitida, seguiría en pie el problema de admisión del incidente mismo y el pronunciamiento de los Tribunales habría de ser el mismo.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procede declarar la inadmisión del recurso, y el archivo de las actuaciones.</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7" w:name="AUTO_1985_26"/>
      <w:r>
        <w:lastRenderedPageBreak/>
        <w:t>AUTO 26/1985, de 16 de enero de 1985</w:t>
      </w:r>
    </w:p>
    <w:bookmarkEnd w:id="87"/>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ECLI:ES:TC:1985:26A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690/1984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Doña Aurelia de la Sierra del Río, Abogada, Secretaria General del Sindicato Autónomo Nacional de Administradores Familiares (SANAF), doña Ana María Cendra Casanova, administradora familiar y Presidenta de dicho Sindicato, y doña Rosa María de la Sierra y de la Sierra, representadas por Procurador y defendidas por Abogado, interpusieron recurso de amparo mediante escrito que tuvo su entrada en este Tribunal el día 3 de octubre de 1984, contra Acuerdo adoptado por la Mesa del Congreso de los Diputados el 27 de julio de 1984. </w:t>
      </w:r>
    </w:p>
    <w:p w:rsidR="00256EE9" w:rsidRDefault="00256EE9" w:rsidP="00256EE9">
      <w:pPr>
        <w:pStyle w:val="TextoNormal"/>
      </w:pPr>
      <w:r>
        <w:t xml:space="preserve">En la demanda se exponen los siguientes hechos: </w:t>
      </w:r>
    </w:p>
    <w:p w:rsidR="00256EE9" w:rsidRDefault="00256EE9" w:rsidP="00256EE9">
      <w:pPr>
        <w:pStyle w:val="TextoNormal"/>
      </w:pPr>
      <w:r>
        <w:t xml:space="preserve">a) Las demandantes, integrantes de una Comisión proponente de la Ley de Pensiones de Jubilación para Administradores Familiares, presentaron, en nombre propio y como mandatarios verbales de otras 11 personas, ante la Mesa del Congreso de los Diputados, una proposición de Ley sobre tales pensiones de jubilación, invocando el derecho a la iniciativa legislativa popular prevista por el art. 87.3 de la C. E. y regulada por la Ley Orgánica 3/1984, de 26 de marzo. </w:t>
      </w:r>
    </w:p>
    <w:p w:rsidR="00256EE9" w:rsidRDefault="00256EE9" w:rsidP="00256EE9">
      <w:pPr>
        <w:pStyle w:val="TextoNormal"/>
      </w:pPr>
      <w:r>
        <w:t xml:space="preserve">La proposición de Ley referida, cuyo texto íntegro consta en copia de Acta notarial que se acompaña a la demanda de amparo, comprendía un artículo del tenor literal siguiente: «Art. </w:t>
      </w:r>
    </w:p>
    <w:p w:rsidR="00256EE9" w:rsidRDefault="00256EE9" w:rsidP="00256EE9">
      <w:pPr>
        <w:pStyle w:val="TextoNormal"/>
      </w:pPr>
      <w:r>
        <w:t xml:space="preserve">6.-Los medios económicos y de financiación de la pensión administrador familiar se obtienen de la recaudación proveniente de un ahorro familiar mensual de 1.000 pesetas, obligado a cada familia en todo el territorio español y voluntariamente de los que, siendo españoles, residen fuera de España, a cuyo fin -previa consulta a los diferentes organismos- el Estado propondrá al Poder Legislativo -en apoyo de la presente Ley- que, por el sistema de urgencia, sea promulgada la normativa de ahorro familiar, cuya administración está a cargo del Patronato de Pensiones Familiares que se crea simultáneamente, cuyo organismo aplicará la recaudación obtenida a un solo objetivo: fondos para jubilación de administradores familiares, dando lugar al beneficio de desgravación fiscal sobre el pago de este porcentaje de ahorro familiar por su carácter social». </w:t>
      </w:r>
    </w:p>
    <w:p w:rsidR="00256EE9" w:rsidRDefault="00256EE9" w:rsidP="00256EE9">
      <w:pPr>
        <w:pStyle w:val="TextoNormal"/>
      </w:pPr>
      <w:r>
        <w:t>b) La Mesa de la Cámara dictó al respecto al acuerdo o resolución que se impugna. Se acompaña la correspondiente comunicación, de fecha 3 de septiembre de 1984, con fecha de salida del 7 de septiembre siguiente, por la que se hizo saber a doña Aurelia de la Sierra y del Río, primera firmante de la iniciativa legislativa, que «La Mesa de la Cámara, en su reunión del día 27 de julio pasado, y en relación con la proposición de Ley sobre pensio</w:t>
      </w:r>
      <w:r>
        <w:lastRenderedPageBreak/>
        <w:t xml:space="preserve">nes de jubilación para administradores familiares, apreció que la iniciativa, en su art. 6, contiene una norma tributaria que no es susceptible de iniciativa popular con arreglo al art. 87.3 de la Constitución y lo dispuesto en la Ley Orgánica 3/1984». </w:t>
      </w:r>
    </w:p>
    <w:p w:rsidR="00256EE9" w:rsidRDefault="00256EE9" w:rsidP="00256EE9">
      <w:pPr>
        <w:pStyle w:val="TextoNormal"/>
      </w:pPr>
      <w:r>
        <w:t xml:space="preserve">En la demanda de amparo se hace referencia a la brevedad del texto de la resolución impugnada, así como al desamparo en que la misma habría dejado a los demandantes, citándose al respecto los arts. 14 y siguientes y 35, 39 y 50 de la Constitución. Se formulan diversos argumentos tendentes a demostrar que el «ahorro familiar» obligatorio a que se refiere el art. 6 de la proposición de Ley no es un tributo. Se argumenta sobre la marginación y el menoscabo de la igualdad de derechos que sufre el colectivo (diez millones de ciudadanos) de amas/os de casa. Entienden los recurrentes que el origen del desamparo está en la propia Constitución, por no poderse ejercer la iniciativa legislativa popular en cuestiones tributarias. Se efectúan diversas apreciaciones sobre la «falta de gestión pública» en las cuestiones de que se trata, lo que llevaría al «creciente deterioro» del respeto a la Constitución y a las instituciones públicas y a «restar credibilidad» al Tribunal Constitucional, que se habría transformado en un «muro de lamentaciones» para los ciudadanos mal defendidos por el Defensor del Pueblo. Se llega a afirmar que la inadmisión de la proposición de Ley lleva implícita la inconstitucionalidad del propio art. 87.3 de la Constitución y de la Ley 3/1984 (art. 2.2), así como el «menoscabo» del art. 35 de aquélla. Se dice que todo ello ha sido llevado -al parecer, infructuosamente a conocimiento del Defensor del Pueblo-. Y se termina diciendo que no se pretende desvirtuar las cuestiones por las que se interpone el recurso de amparo, pero que la admisión a trámite «daría un giro de noventa grados al panorama socioeconómico del país». </w:t>
      </w:r>
    </w:p>
    <w:p w:rsidR="00256EE9" w:rsidRDefault="00256EE9" w:rsidP="00256EE9">
      <w:pPr>
        <w:pStyle w:val="TextoNormal"/>
      </w:pPr>
      <w:r>
        <w:t xml:space="preserve">Por todo lo cual, y tras citar diversos preceptos como fundamentos de Derecho, se suplica se ordene a la Mesa de la Cámara la admisión de la proposición de Ley, así como que se ordene y recomiende «en su caso» que la presente iniciativa popular sea hecha suya por el Congreso de los Diputados. </w:t>
      </w:r>
    </w:p>
    <w:p w:rsidR="00256EE9" w:rsidRDefault="00256EE9" w:rsidP="00256EE9">
      <w:pPr>
        <w:pStyle w:val="TextoNormal"/>
      </w:pPr>
      <w:r>
        <w:t>Por sendos otrosíes se proponen determinados medios de prueba -entre ellos, un Acuerdo de la Mesa, «pendiente de emitir por el referido organismo»- y un dictamen que habría de recabarse de la Real Academia de la Lengua Española sobre las interpretaciones de los vocablos «ahorro» y «tributo».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5 de diciembre pasado se acordó oír a la representación demandante y al Ministerio Fiscal sobre la posible inadmisión del recurso por la causa que regula el art. 50.2 b) de la Ley Orgánica de este Tribunal por cuanto pudiera la demanda de amparo carecer de contenido que justifique una decisión del propio Tribunal. </w:t>
      </w:r>
    </w:p>
    <w:p w:rsidR="00256EE9" w:rsidRDefault="00256EE9" w:rsidP="00256EE9">
      <w:pPr>
        <w:pStyle w:val="TextoNormal"/>
      </w:pPr>
      <w:r>
        <w:t xml:space="preserve">El Ministerio Fiscal ha expuesto que sin perjuicio de que se le haya puesto de manifiesto la posible concurrencia de la causa de inadmisión referida, tal inadmisión tendría mejor fundamento en el art. 50.1 b) de la Ley Orgánica de este Tribunal, en relación con el art. 2.2 y 5.2 a) de la Ley Orgánica 3/1984, al haberse formulado demanda en orden a proposición de Ley, rechazada por la Mesa del Congreso, precisamente por incurrir en motivo de inadmisión al extenderse a materias no susceptibles de proposición de Ley por la vía de iniciativa popular. Esta causa de inadmisión vendría a sustituir a las del art. 50.2 de la Ley Orgánica de este Tribunal. </w:t>
      </w:r>
    </w:p>
    <w:p w:rsidR="00256EE9" w:rsidRDefault="00256EE9" w:rsidP="00256EE9">
      <w:pPr>
        <w:pStyle w:val="TextoNormal"/>
      </w:pPr>
      <w:r>
        <w:t>La representación de las demandantes no ha formulado alegaciones.</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Ausente toda alegación de la parte que promueve este recurso de amparo tras la puesta de manifiesto de la posible concurrencia de la causa de inadmisibilidad prevista en el art. 50.2 b) de la LOTC, y con abstracción de tal silencio, es de notar que en el escrito de demanda se citan como presuntamente violados los arts.  14 «y siguientes», 35, 39 y 50 de la Constitución, al dictarse por la Mesa del Congreso de los Diputados acuerdo de inadmisión a trámite de proposición de Ley de iniciativa popular sobre pensiones en favor de administradores familiares, citas impropias unas del ámbito de este tipo de recursos y vagas e imprecisas las demás, pero que con propósito esclarecedor de la pretensión ejercitada, y tomando en consideración los términos de la Ley Orgánica 3/1984, de 26 de marzo, reguladora de la iniciativa legislativa popular, cabria reconducir a la esfera de las previsiones del artículo 23 de la Constitución Española, que en su número primero consagra el derecho de los ciudadanos a participar en los asuntos públicos, derecho supuestamente desatendido en el caso actual mediante el aludido acuerdo de inadmisión, motivada ésta por la índole o naturaleza tributaria de la Ley acerca de la cual se ejercía la iniciativa popular.</w:t>
      </w:r>
    </w:p>
    <w:p w:rsidR="00256EE9" w:rsidRDefault="00256EE9" w:rsidP="00256EE9">
      <w:pPr>
        <w:pStyle w:val="TextoNormal"/>
      </w:pPr>
      <w:r>
        <w:t>Mas es lo cierto que ese derecho constitucional que a los ciudadanos se atribuye para participar en los asuntos públicos, ha de ejercitarse -obvio es decirlo- adecuadamente a las previsiones que la normativa en cada caso establezca, previsiones que en lo que aquí y ahora importa están incluidas en la Ley Orgánica de anterior mención, la que en el núm. 2 de su art. 2 presta apoyo suficiente al acuerdo que se impugna en este recurso de amparo, ya que como de naturaleza tributaria cabe calificar a una Ley en méritos de la cual se impone a cada familia residente en territorio español el pago de lo que se denomina «ahorro familiar mensual» por un importe de 1.000 pesetas, esto es, una prestación pecuniaria la recaudación de la cual sería gestionada por un organismo al parecer de índole pública, con destino a financiar un determinado sistema de previsión social, similar por lo tanto a las cuotas de la Seguridad Social, que más bien participan de la naturaleza tributaria, o a lo menos parafiscal, según criterios generalmente aceptados.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acuerda la inadmisibilidad de este recurso de amparo.</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8" w:name="AUTO_1985_27"/>
      <w:r>
        <w:lastRenderedPageBreak/>
        <w:t>AUTO 27/1985, de 16 de enero de 1985</w:t>
      </w:r>
    </w:p>
    <w:bookmarkEnd w:id="88"/>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ECLI:ES:TC:1985:27A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694/1984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que tuvo su entrada en el Registro General de este Tribunal Constitucional, con fecha 5 de octubre de 1984, don Juan Luis Moreno Cabanas, representado por la Procuradora doña Rosina Montes Agustí interpone recurso de amparo contra el Acuerdo del Ilustrísimo señor Delegado de Hacienda de Sevilla de 12 de diciembre de 1980, confirmado a su vez por Sentencia de la Sala de lo Contencioso-Administrativo de la Audiencia Territorial de Sevilla de 11 de septiembre de 1984. </w:t>
      </w:r>
    </w:p>
    <w:p w:rsidR="00256EE9" w:rsidRDefault="00256EE9" w:rsidP="00256EE9">
      <w:pPr>
        <w:pStyle w:val="TextoNormal"/>
      </w:pPr>
      <w:r>
        <w:t xml:space="preserve">Los hechos en los que se fundamenta la demanda son los siguientes: </w:t>
      </w:r>
    </w:p>
    <w:p w:rsidR="00256EE9" w:rsidRDefault="00256EE9" w:rsidP="00256EE9">
      <w:pPr>
        <w:pStyle w:val="TextoNormal"/>
      </w:pPr>
      <w:r>
        <w:t xml:space="preserve">a) El recurrente presentó ante la Delegación de Hacienda de Sevilla su declaración del Impuesto sobre la Renta de las Personas Físicas correspondiente al ejercicio de 1979, declarando en la misma, junto con determinados rendimientos netos del capital mobiliario e inmobiliario, los de sus actividades agrarias consistentes estos últimos en pérdidas por importe de 20.807.698 pesetas, por lo que, en virtud de la correspondiente autoliquidación, solicitó la devolución de 621.445 pesetas. </w:t>
      </w:r>
    </w:p>
    <w:p w:rsidR="00256EE9" w:rsidRDefault="00256EE9" w:rsidP="00256EE9">
      <w:pPr>
        <w:pStyle w:val="TextoNormal"/>
      </w:pPr>
      <w:r>
        <w:t xml:space="preserve">b) El Delegado de Hacienda dictó el Acuerdo impugnado de 12 de diciembre de 1980, en virtud del cual le fue notificada al demandante la liquidación provisional que le fue practicada, que arrojó una cuota a devolver de 13.059 pesetas. En dicha liquidación provisional fueron omitidas las pérdidas de actividades agrarias declaradas por el contribuyente. </w:t>
      </w:r>
    </w:p>
    <w:p w:rsidR="00256EE9" w:rsidRDefault="00256EE9" w:rsidP="00256EE9">
      <w:pPr>
        <w:pStyle w:val="TextoNormal"/>
      </w:pPr>
      <w:r>
        <w:t xml:space="preserve">c) El ahora solicitante de amparo interpuso contra dicha liquidación provisional, recurso económico-administrativo que fue desestimado por Acuerdo del Tribunal Económico-Administrativo Provincial de Sevilla de 30 de noviembre de 1982, en el que se consideró que la rectificación efectuada por la Administración de la autoliquidación practicada por el recurrente, omitiendo las pérdidas por actividades agrarias declaradas, había tenido lugar en aplicación de la disposición transitoria primera del Reglamento del Impuesto sobre la Renta de las Personas Físicas. </w:t>
      </w:r>
    </w:p>
    <w:p w:rsidR="00256EE9" w:rsidRDefault="00256EE9" w:rsidP="00256EE9">
      <w:pPr>
        <w:pStyle w:val="TextoNormal"/>
      </w:pPr>
      <w:r>
        <w:t>d) Interpuesto contra dicho Acuerdo recurso contencioso-administrativo, éste fue desestimado por Sentencia de la Sala de lo Contencioso-Administrativo de la Audiencia Territorial de Sevilla de 11 de septiembre de 1984. En dicha Sentencia se rechazan, entre otras, la alegación del recurrente de haber sido vulnerado el art. 31.1 de la C. E. por la disposición transitoria segunda de la Ley 44/1978, de 8 de septiembre, del Impuesto sobre la Renta de las Personas Físicas, haciéndose referencia a anteriores Sentencias en el mismo sentido de la propia Sala y citándose al respecto la de 19 de octubre de 1983.</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El demandante de amparo entiende que los acuerdos administrativos y la Sentencia impugnados, atentan contra el derecho de igualdad ante la Ley reconocido por el art. 14 de la C. E. por el desigual trato que generó la aplicación de la disposición transitoria segunda de la Ley y de la disposición transitoria primera del Reglamento entonces vigente, del Impuesto sobre la Renta de las Personas Físicas al producir discriminación «no sólo entre sujetos-pasivos-contribuyentes de la misma clase o fuente de ingreso, sino también con relación al resto de los sujetos-pasivos-contribuyentes del mismo Impuesto», y solicita que se declare la nulidad del Acuerdo del Delegado de Hacienda, así como la del Acuerdo del Tribunal Económico-Administrativo Provincial, y de la Sentencia de la Sala de lo Contencioso-Administrativo confirmatoria del mismo, y que se reconozca el derecho del recurrente a consignar en la declaración del Impuesto sobre la Renta de las Personas Físicas del ejercicio de 1979 las pérdidas en su actividad empresarial agraria con plenitud e igualdad de derechos que el resto de los contribuyentes-sujetospasivos de dicho Impuesto.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Tercera de este Tribunal Constitucional, en providencia de fecha 21 de noviembre de 1984, acordó poner de manifiesto la posible existencia de la causa de inadmisibilidad que regula el art. 50.2 b) de la Ley Orgánica del Tribunal, por lo que concedió un plazo de diez días para alegaciones al solicitante de amparo y al Ministerio Fiscal. </w:t>
      </w:r>
    </w:p>
    <w:p w:rsidR="00256EE9" w:rsidRDefault="00256EE9" w:rsidP="00256EE9">
      <w:pPr>
        <w:pStyle w:val="TextoNormal"/>
      </w:pPr>
      <w:r>
        <w:t xml:space="preserve">El demandante, en las suyas, sostiene que el Acuerdo del Delegado de Hacienda de Sevilla posteriormente confirmado en vía jurisdiccional, aprobando la liquidación provisional practicada sobre la declaración del Impuesto sobre la Renta de las Personas Físicas correspondiente al ejercicio de 1979, es un acto conculcatorio del derecho constitucional que establece la igualdad de todos ante la Ley. </w:t>
      </w:r>
    </w:p>
    <w:p w:rsidR="00256EE9" w:rsidRDefault="00256EE9" w:rsidP="00256EE9">
      <w:pPr>
        <w:pStyle w:val="TextoNormal"/>
      </w:pPr>
      <w:r>
        <w:t xml:space="preserve">Después de exponer diversas consideraciones en relación con el problema planteado en este recurso de amparo, termina suplicando se estime la demanda formulada por entender tiene contenido constitucional que justifica una decisión por parte del Tribunal Constitucional, admitiéndola a trámite a fin de conseguir los pedimentos interesados en el escrito inicial promoviendo el recurso. </w:t>
      </w:r>
    </w:p>
    <w:p w:rsidR="00256EE9" w:rsidRDefault="00256EE9" w:rsidP="00256EE9">
      <w:pPr>
        <w:pStyle w:val="TextoNormal"/>
      </w:pPr>
      <w:r>
        <w:t xml:space="preserve">El Ministerio Fiscal alega en su escrito que esta misma Sección tuvo ocasión de enfrentarse a cuestión idéntica a la presente. Se trató en aquella ocasión del recurso de amparo 16/1984, inadmitido por Auto de 11 de abril de 1984. Como en el presente caso, allí se cuestionaba la constitucionalidad de la disposición transitoria segunda de la Ley 44/1978, de 8 de septiembre, del Impuesto sobre la Renta de las Personas Físicas, así como la también transitoria primera de su Reglamento, invocándose la infracción del art. 14 de la C. E., en cuanto que introducían un diverso tratamiento a los detentadores de rentas agrícolas perjudicados en relación con los titulares de otro tipo de rentas. </w:t>
      </w:r>
    </w:p>
    <w:p w:rsidR="00256EE9" w:rsidRDefault="00256EE9" w:rsidP="00256EE9">
      <w:pPr>
        <w:pStyle w:val="TextoNormal"/>
      </w:pPr>
      <w:r>
        <w:t>En ambos casos hay una referencia al art. 31 de la C. E. (principio de igualdad que debe inspirar el sistema tributario) mucho más atenuada en el presente recurso. Por último -añade el Fiscal-, uno y otro recurso se formulan contra las liquidaciones de la Delegación de Hacienda. Dada la sustancial igualdad de ambos supuestos, se remite a cuanto se dijo en aquél sobre la concurrencia de la causa de inadmisión contemplada en el art. 50.2 b), siendo, por otra parte, de aplicación los razonamientos del fundamento jurídico 2 del Auto de esta Sección que inadmitió el recurso entonces planteado. Termina interesando se inadmita el presente, por concurrir el motivo recogido en el art. 50.2 b) de la Ley Orgánica del Tribunal.</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En el recurso de amparo no se plantea tema distinto, ni desde ángulos distintos, que el objeto del que se resolvió -declarando la inadmisibilidad-, por nuestra resolución del 11 de abril último, pues también en éste se cuestionó la justicia de la norma tributaria contenida en la disposición transitoria segunda, in fine, de la Ley 44/1978; y aunque entonces se hizo, sobre todo, desde la perspectiva del art.  31 de la Constitución, y sólo lateralmente desde el punto de vista del art.  14, también de la Constitución, y ahora se argumenta sólo desde este último punto de vista, es lo cierto que en uno y otro caso, lo que se está acusando es que indicada norma tributaria establece un tratamiento que considera injusto, en cuanto establece para los comprendidos en la norma, en el evento de bases por debajo de determinado límite, y aun con bases negativas, tratamientos fiscales más gravosos que para otros sujetos pasivos. No es, por tanto, un tema que pueda llevarse al ámbito del art. 14, pues ninguna discriminación con arranque a circunstancias personales o sociales, de las que en fórmula abierta enuncia el indicado precepto, son invocables aquí; se trata de cuestionar la mencionada norma fiscal y de su aplicación desde la vertiente del principio de igualdad, dentro del marco del art. 31.1, para lo que -es obvio- no está abierto el recurso de amparo (art. 53.2 de la Constitución). Concurre, pues, la causa de inadmisión del art. 50.2 a) o, desde otro aspecto, del art.  50.2 b), ambos de la LOTC, que ha de correr la misma suerte que el recurso decidido por el mencionado Auto de 11 de abril de 1984.</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todo lo expuesto, la Sección declara que el recurso de que se ha hecho mérito es inadmisible.</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89" w:name="AUTO_1985_28"/>
      <w:r>
        <w:lastRenderedPageBreak/>
        <w:t>AUTO 28/1985, de 16 de enero de 1985</w:t>
      </w:r>
    </w:p>
    <w:bookmarkEnd w:id="89"/>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698/1984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Tribunal Constitucional el 6 de octubre de 1984, don Luis Pulgar Arroyo, Procurador de los Tribunales, interpone recurso de amparo constitucional en nombre y representación de la Comunidad de Propietarios de la casa núm. 2 de la calle Oqueta, del pueblo de Llodio (Alava), contra Sentencia dictada por la Sala de lo Contencioso-Administrativo de la Audiencia Territorial de Bilbao el 30 de junio de 1984, en Autos del recurso contencioso-administrativo núm. 201/1982, promovido por don Valentín Cavanez Iglesias contra Acuerdo del Ayuntamiento de Llodio. </w:t>
      </w:r>
    </w:p>
    <w:p w:rsidR="00256EE9" w:rsidRDefault="00256EE9" w:rsidP="00256EE9">
      <w:pPr>
        <w:pStyle w:val="TextoNormal"/>
      </w:pPr>
      <w:r>
        <w:t>Pide que se declare la nulidad de la resolución judicial impugnada y de las actuaciones judiciales habidas en el proceso jurisdiccional a partir del trámite de emplazamiento, retrotrayéndose las actuaciones al citado momento procesal para que se pueda personar en el proceso la solicitante de amparo.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siguientes hechos: </w:t>
      </w:r>
    </w:p>
    <w:p w:rsidR="00256EE9" w:rsidRDefault="00256EE9" w:rsidP="00256EE9">
      <w:pPr>
        <w:pStyle w:val="TextoNormal"/>
      </w:pPr>
      <w:r>
        <w:t xml:space="preserve">a) La Comunidad de Propietarios solicitante de amparo denunció ante el Ayuntamiento de Llodio las obras que don Pedro María Galíndez Zaballa venía realizando para acondicionar un establecimiento dedicado a bar. </w:t>
      </w:r>
    </w:p>
    <w:p w:rsidR="00256EE9" w:rsidRDefault="00256EE9" w:rsidP="00256EE9">
      <w:pPr>
        <w:pStyle w:val="TextoNormal"/>
      </w:pPr>
      <w:r>
        <w:t xml:space="preserve">Por sucesivos Decretos de su Alcaldía-Presidencia el Ayuntamiento de Llodio ordenó la suspensión de las obras. </w:t>
      </w:r>
    </w:p>
    <w:p w:rsidR="00256EE9" w:rsidRDefault="00256EE9" w:rsidP="00256EE9">
      <w:pPr>
        <w:pStyle w:val="TextoNormal"/>
      </w:pPr>
      <w:r>
        <w:t xml:space="preserve">b) El establecimiento denunciado permaneció cerrado a raíz de estas resoluciones municipales, por lo que la Comunidad de Propietarios creyó zanjado el asunto desde junio de 1982 hasta septiembre de 1984. Sin embargo, don Valentín Cabañas Iglesias dedujo recurso de reposición contra los referidos dos Decretos y, posteriormente, recurso contencioso-administrativo. </w:t>
      </w:r>
    </w:p>
    <w:p w:rsidR="00256EE9" w:rsidRDefault="00256EE9" w:rsidP="00256EE9">
      <w:pPr>
        <w:pStyle w:val="TextoNormal"/>
      </w:pPr>
      <w:r>
        <w:t>La Comunidad de Propietarios tuvo noticia del citado procedimiento el 13 de septiembre de 1984, fecha en la que la Alcaldía del Ayuntamiento de Llodio le comunicó la Sentencia dictada por la Sala de lo Contencioso-Administrativo de la Audiencia Territorial de Bilbao mediante oficio. Se alega que la Comunidad no ha sido emplazada en el proceso por lo que resulta afectada por la resolución recaída sin haber sido parte en el mismo.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de la demanda son los siguientes: </w:t>
      </w:r>
    </w:p>
    <w:p w:rsidR="00256EE9" w:rsidRDefault="00256EE9" w:rsidP="00256EE9">
      <w:pPr>
        <w:pStyle w:val="TextoNormal"/>
      </w:pPr>
      <w:r>
        <w:lastRenderedPageBreak/>
        <w:t xml:space="preserve">a) Se ha omitido el emplazamiento personal y directo de la recurrente en el recurso contencioso-administrativo, pese a haber sido parte en el expediente administrativo y constar así al remitirse tal expediente a la Sala de lo Contencioso-Administrativo de la Audiencia de Bilbao. La resolución judicial dictada afecta a los intereses de la recurrente, sin haber sido previamente oída ni vencida en el proceso previo. </w:t>
      </w:r>
    </w:p>
    <w:p w:rsidR="00256EE9" w:rsidRDefault="00256EE9" w:rsidP="00256EE9">
      <w:pPr>
        <w:pStyle w:val="TextoNormal"/>
      </w:pPr>
      <w:r>
        <w:t xml:space="preserve">b) De todo ello resulta que se ha vulnerado el art. 24.1 de la Constitución. </w:t>
      </w:r>
    </w:p>
    <w:p w:rsidR="00256EE9" w:rsidRDefault="00256EE9" w:rsidP="00256EE9">
      <w:pPr>
        <w:pStyle w:val="TextoNormal"/>
      </w:pPr>
      <w:r>
        <w:t>Ha de darse, en todo tipo de procesos, la oportunidad de que quienes ostenten derechos o intereses puedan ser oídos, para lo cual no basta con el emplazamiento edictal, sino personal, máxime si consta la cualidad de interesado en el proceso o expediente. En el presente caso, no sólo figuraba la Comunidad como parte interesada, sino que había sido la promotora misma de tal expediente y estaba perfectamente identificada. La carga del emplazamiento personal y directo en el proceso contencioso incumbía tanto al recurrente como al propio Tribunal. A la luz de la doctrina del Tribunal Constitucional que se invoca se estima claro que se ha producido una vulneración del citado art. 24.1 de la Constitución Española.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del 21 de noviembre de 1984, la Sección Tercera del Tribunal puso de manifiesto la posible existencia de la causa de inadmisión a la que se refiere el art. 50.2 b) de la Ley Orgánica del Tribunal Constitucional (LOTC). </w:t>
      </w:r>
    </w:p>
    <w:p w:rsidR="00256EE9" w:rsidRDefault="00256EE9" w:rsidP="00256EE9">
      <w:pPr>
        <w:pStyle w:val="TextoNormal"/>
      </w:pPr>
      <w:r>
        <w:t xml:space="preserve">En el trámite abierto por la indicada providencia han presentado sus alegaciones la representación de la Comunidad recurrente y el Ministerio Fiscal. </w:t>
      </w:r>
    </w:p>
    <w:p w:rsidR="00256EE9" w:rsidRDefault="00256EE9" w:rsidP="00256EE9">
      <w:pPr>
        <w:pStyle w:val="TextoNormal"/>
      </w:pPr>
      <w:r>
        <w:t xml:space="preserve">La representación de la recurrente sostiene que habiendo sido la actuación de la Comunidad de Propietarios la que dio origen al expediente administrativo en el que se produjeron las resoluciones que han sido objeto de recurso contencioso-administrativo concluido por la Sentencia impugnada, dicha Comunidad debió ser emplazada en el indicado recurso contencioso-administrativo y que, no habiéndose hecho así, se ha infringido el art. 24.1 de la Constitución, y es patente el contenido constitucional del recurso de amparo, que debe ser admitido a trámite. </w:t>
      </w:r>
    </w:p>
    <w:p w:rsidR="00256EE9" w:rsidRDefault="00256EE9" w:rsidP="00256EE9">
      <w:pPr>
        <w:pStyle w:val="TextoNormal"/>
      </w:pPr>
      <w:r>
        <w:t>El Ministerio Fiscal, por su parte, considera que, si bien de acuerdo con la doctrina de este Tribunal el art. 24.1 de la C. E. exige el emplazamiento personal de los que puedan comparecer como demandados e incluso como coadyuvantes en el recurso contencioso-administrativo, cuando fueran conocidos e identificables a partir de los datos que obran en éste, en el presente caso no procedía tal emplazamiento por no ser la Comunidad recurrente titular de un derecho o interés legítimo que permitiese su actuación como codemandados o coadyuvantes en el recurso contencioso-administrativo.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Como bien señala el Ministerio Fiscal, la cuestión a dilucidar en este caso es la de si la recurrente tenía derecho e interés que legitimase su intervención en el proceso jurisdiccional que concluye con la Sentencia impugnada.</w:t>
      </w:r>
    </w:p>
    <w:p w:rsidR="00256EE9" w:rsidRDefault="00256EE9" w:rsidP="00256EE9">
      <w:pPr>
        <w:pStyle w:val="TextoNormal"/>
      </w:pPr>
      <w:r>
        <w:t xml:space="preserve">La recurrente sostiene que su condición de parte en el expediente administrativo previo, acreditada por el hecho de que el Ayuntamiento de Llodio le notificara las sucesivas resoluciones que en el mismo se produjeron, evidencia su legitimación para intervenir en el recurso contencioso-administrativo en el que no fue emplazada. Resulta, sin embargo que, aun prescindiendo de las divergencias que en la documentación remitida con la demanda se observan entre la identidad los ahora recurrentes y los destinatarios de las resoluciones </w:t>
      </w:r>
      <w:r>
        <w:lastRenderedPageBreak/>
        <w:t>municipales y aun aceptando que tales divergencias sean sólo aparentes y que la identidad pudiera ser demostrada en la prueba que la recurrente propone, la condición con la que aparece en el expediente es, simplemente, la de denunciante de unas obras realizadas sin licencia municipal, pero no, en modo alguno, la de parte legitimada para ser oída sobre la procedencia de conceder o denegar una licencia de apertura concedida ya en 1970.</w:t>
      </w:r>
    </w:p>
    <w:p w:rsidR="00256EE9" w:rsidRDefault="00256EE9" w:rsidP="00256EE9">
      <w:pPr>
        <w:pStyle w:val="TextoNormal"/>
      </w:pPr>
      <w:r>
        <w:t>Si el expediente administrativo hubiese sido, en efecto, el exigido por el Reglamento de 30 de noviembre de 1961 sobre actividades molestas, insalubres y peligrosas para la concesión de licencia de apertura de un establecimiento, no es dudoso que hubiera podido invocar la titularidad de un derecho o interés legítimo que la hubiera legitimado para ser parte en el expediente y, posteriormente, en el recurso contencioso-administrativo.  No es éste, sin embargo, el caso, pues según los fundados razonamientos de la Sentencia, el objeto del litigio era sólo la denegación de una licencia para pequeñas obras de las previstas en el art. 60.2 de la Ley del Suelo (Real Decreto 1346/1976, de 9 de abril), obras de simple ornato y escasa entidad, según afirma la Sentencia impugnada que no alcanzaban a ser lo que el mencionado Decreto de 1961 llama medidas correctoras y que se efectuaban en un local cuya actividad estaba ya autorizada. No hay, por tanto, indicio alguno de que la recurrente fuese titular, no ya de un derecho, sino ni siquiera de un interés legítimo que la facultase para comparecer como coadyuvante del Ayuntamiento de Llodio en el recurso contencioso-administrativo seguido contra éste por el propietario del bar «Arantza».</w:t>
      </w:r>
    </w:p>
    <w:p w:rsidR="00256EE9" w:rsidRDefault="00256EE9" w:rsidP="00256EE9">
      <w:pPr>
        <w:pStyle w:val="TextoNormal"/>
      </w:pPr>
      <w:r>
        <w:t>La falta de legitimación para comparecer en el recurso contencioso-administrativo dispensaba, en consecuencia, al Tribunal de este orden de la necesidad de emplazarla y no hay, por tanto, apariencia de la lesión jurídico constitucional que fundamenta el recurso, por lo que éste carece de contenido que justifique una decisión de este Tribunal en cuanto al fondo.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lo expuesto, la Sección ha acordado la inadmisión del presente recurso.</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0" w:name="AUTO_1985_29"/>
      <w:r>
        <w:lastRenderedPageBreak/>
        <w:t>AUTO 29/1985, de 16 de enero de 1985</w:t>
      </w:r>
    </w:p>
    <w:bookmarkEnd w:id="90"/>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ECLI:ES:TC:1985:29A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711/1984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Angel Alonso López, representado por Procurador y asistido por Letrado, interpone recurso de amparo contra la Sentencia dictada por la Sala Segunda de la Audiencia Provincial de Bilbao, de fecha 20 de septiembre de 1984, que resolvía recurso de apelación frente a Sentencia del Juzgado de Instrucción núm. 1, también de Bilbao, en diligencias preparatorias 32/1983. </w:t>
      </w:r>
    </w:p>
    <w:p w:rsidR="00256EE9" w:rsidRDefault="00256EE9" w:rsidP="00256EE9">
      <w:pPr>
        <w:pStyle w:val="TextoNormal"/>
      </w:pPr>
      <w:r>
        <w:t xml:space="preserve">La demanda se fundamenta en los siguientes hechos y fundamentos de Derecho. El Juzgado de Instrucción dictó Sentencia, el 13 de marzo de 1984, por la que condenaba al ahora demandante, como autor de un delito de imprudencia simple con infracción de reglamento previsto y penado en el artículo 565.2 del Código Penal en relación con sus párrafos cuarto y quinto y con el art. 407 del mismo cuerpo legal, al haber resultado muerte, y con el art. 17 a) en relación con el 18 del Código de Circulación, a la pena de un mes y un día de arresto mayor y accesorias y privación de un año del permiso de conducir, así como a indemnizar a los herederos de la víctima en la cantidad de 11.000.000 de pesetas. Interpuesto recurso de apelación contra la anterior Sentencia, la Sección Segunda de la Audiencia Provincial de Bilbao, con fecha 20 de septiembre, procedió a confirmarla íntegramente, destacando que «la resolución recurrida ha fijado un monto indemnizatorio que, además de corresponderse a las pautas y criterios seguidos por esta Sala, se corresponde plenamente, y ello es lo más importante, a las circunstancias personales, laborales y, sobre todo, familiares de quien resultó víctima». </w:t>
      </w:r>
    </w:p>
    <w:p w:rsidR="00256EE9" w:rsidRDefault="00256EE9" w:rsidP="00256EE9">
      <w:pPr>
        <w:pStyle w:val="TextoNormal"/>
      </w:pPr>
      <w:r>
        <w:t xml:space="preserve">El demandante invoca la vulneración del art. 14 de la C. E., por cuanto considera que los criterios indemnizatorios de la Audiencia Provincial de Bilbao no son compartidos por el resto de nuestras Audiencias Provinciales que, en situaciones de hecho iguales o parecidas, establecen indemnizaciones sustancialmente inferiores a las de la primera (al respecto aporta copias de Sentencias pronunciadas por las Audiencias de Madrid y Valladolid). Sin entrar a discutir si la cuantía de la indemnización que se ha fijado es elevada o insuficiente, defiende que las indemnizaciones, en general, sean homogéneas para situaciones idénticas o análogas y denuncia la inseguridad y la arbitrariedad jurídica, que se ocasiona con decisiones dispares y no coherentes, rechazadas en el art. 9.3 de la C. E. </w:t>
      </w:r>
    </w:p>
    <w:p w:rsidR="00256EE9" w:rsidRDefault="00256EE9" w:rsidP="00256EE9">
      <w:pPr>
        <w:pStyle w:val="TextoNormal"/>
      </w:pPr>
      <w:r>
        <w:t>Por todo ello suplica a este Tribunal declare la nulidad de la Sentencia de la Sección Segunda de la Audiencia Provincial de Bilbao, de 20 de septiembre de 1984, en lo que respecta al monto de la indemnización, por violar el principio de igualdad, determinando a qué autoridad corresponde corregir la desigualdad y cómo debe efectuarlo; alternativa</w:t>
      </w:r>
      <w:r>
        <w:lastRenderedPageBreak/>
        <w:t xml:space="preserve">mente y en el supuesto de que se estimase el recurso de amparo, porque la Ley aplicada (arts. 103 y 104 del Código Penal) lesiona el derecho fundamental de igualdad, solicita de la Sala que eleve la cuestión al Pleno. </w:t>
      </w:r>
    </w:p>
    <w:p w:rsidR="00256EE9" w:rsidRDefault="00256EE9" w:rsidP="00256EE9">
      <w:pPr>
        <w:pStyle w:val="TextoNormal"/>
      </w:pPr>
      <w:r>
        <w:t>Por otrosí, se solicita asimismo, al amparo de lo dispuesto en el art. 89.1 de la LOTC, que se practique la siguiente prueba: que todas las Audiencias Provinciales de España remitan al Tribunal Constitucional copia de una o de dos Sentencias en que, por accidente de tráfico, se indemnice a la esposa e hijos menores de edad del fallecido.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5 de diciembre de 1984, la Sección Cuarta acordó poner de manifiesto a las partes en el trámite del art. 50 de la LOTC la posible concurrencia del motivo de inadmisibilidad del 50.2 b) de la misma Ley. </w:t>
      </w:r>
    </w:p>
    <w:p w:rsidR="00256EE9" w:rsidRDefault="00256EE9" w:rsidP="00256EE9">
      <w:pPr>
        <w:pStyle w:val="TextoNormal"/>
      </w:pPr>
      <w:r>
        <w:t>En el plazo común abierto para alegaciones, la parte actora ha alegado brevemente que no sólo la falta de contenido constitucional de su demanda no es manifiesta (esto es, evidente o patente), sino que lo ostensible, claro y manifiesto es lo contrario porque pidiendo amparo por el derecho de igualdad «se denuncia la arbitrariedad y la inseguridad jurídica, no la facultad de juzgar en arbitrio judicial». El Fiscal ante el Tribunal Constitucional pide la inadmisión porque estima que concurre la causa del art. 50.2 b) de la LOTC, ya que compete a los Tribunales la determinación del quantum de la indemnización y, por otra parte, la desigualdad contra la que se pide amparo no se imputa a la misma Audiencia de Bilbao, esto es, respecto a resoluciones del mismo órgano judicial por lo que falta el tertium comparationis.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En su escrito de alegaciones, el Fiscal ante el Tribunal Constitucional, además de formular los argumentos que acabamos de reseñar en contra de la admisibilidad de la demanda, afirma sin embargo «que es interesante la cuestión objeto del recurso, pero sin duda alguna carece de contenido constitucional». Como el propio recurrente reproduce en su demanda, la Sentencia del Tribunal Supremo de su Sala Segunda, de 24 de febrero de 1983, afirma que «el quantum de la indemnización (en casos como el que está en el fondo de este recurso de amparo) es materia confiada al criterio soberano, prudencial y discrecional de las Audiencias y (es) inaccesible, por tanto, a la casación», en cuanto que en esa vía se ejerce un control de legalidad. Tampoco el Tribunal Constitucional, aunque por razones diferentes, es un juzgador de los hechos [art. 44.1 b) de la LOTC)] y también ha de respetar la valoración razonada, prudencial y discrecional que sobre las circunstancias fácticas realicen los órganos judiciales. La Sentencia impugnada en amparo, la de la Audiencia Provincial de Bilbao de 20 de septiembre de 1984, al analizar la Sentencia apelada, afirma que procede confirmarla «también en el aspecto tocante a responsabilidad civil», puesto que la Sentencia allí apelada «ha fijado un monto indemnizatorio que, además de corresponderse a las pautas y criterios seguidos por esta Sala, se corresponde plenamente, y ello es lo más importante, a las circunstancias personales, laborales y, sobre todo, familiares de quien resultó víctima».  Hay, pues, un razonamiento expreso de la valoración de la cuantía de la indemnización que excluye cualquier tacha de arbitrariedad y de discriminación. Por otro lado, la Audiencia afirma, y el recurrente no lo niega, que tal cuantía está dentro de los criterios usuales en su propia jurisprudencia, y esto excluye la lesión del derecho a la igualdad que pudiera producirse por un mismo órgano judicial que sentenciara casos idénticos de forma muy diferente sin razonar el por qué de la diferencia. De no ha</w:t>
      </w:r>
      <w:r>
        <w:lastRenderedPageBreak/>
        <w:t>ber sido todo esto así habríamos podido entrar a analizar el fondo de la pretensión de amparo porque tales comportamientos que aquí resultan desechados sí quedarían dentro del control de la desigualdad posiblemente discriminatoria o arbitraria imputable a un órgano jurisdiccional y atribuible a este Tribunal. Ahora bien, lo que se nos pide no es nada de eso, sino que, apreciando una desigual valoración por distintas Audiencias Provinciales, anulemos la Sentencia de la Sala de Bilbao (¿y por qué no las otras -todas o alguna de ellas- dejando en pie la de Bilbao?) que a él le afecta. Ocurre, sin embargo, que la desigualdad para ser discriminatoria no puede versar sobre hechos circunstanciadamente diferentes y tal vez las diferencias de valoración y cuantificación de las Sentencias provinciales obedezcan o a diferentes niveles económicos entre unas y otras provincias o a diferencias casuísticas entre unos supuestos concretos y otros o, aunque el recurrente lo rechace con una sola línea de su escrito de alegaciones, a la facultad de juzgar según arbitrio del órgano, arbitrio que siendo en cada caso razonado en Derecho no puede ser sometido genéricamente a control de igualdad, como el recurrente pretende.  Por ello la cuestión que, ciertamente, no carece de interés sí carece de modo manifiesto de contenido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la inadmisión del recurso de amparo.</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1" w:name="AUTO_1985_30"/>
      <w:r>
        <w:lastRenderedPageBreak/>
        <w:t>AUTO 30/1985, de 16 de enero de 1985</w:t>
      </w:r>
    </w:p>
    <w:bookmarkEnd w:id="91"/>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ECLI:ES:TC:1985:30A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713/1984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este Tribunal el 17 de octubre de 1984, don Carlos Ibáñez de la Cadiniere, Procurador de los Tribunales, interpuso recurso de amparo constitucional, en nombre y representación de doña Celestina Cárcamo Asenjo, contra el Auto de la Sala de lo Civil de la Audiencia Territorial de Burgos de 24 de septiembre, por el que se mantuvo la providencia dictada por el Juzgado de Primera Instancia núm. 2 de los de Logroño y su partido, en la que se ordenaba seguir adelante en un procedimiento de ejecución hipotecaria del art. 131 de la Ley Hipotecaria con declaración de nulidad de todo lo actuado en el proceso a quo a partir de la admisión a trámite del recurso de reposición deducido contra la meritada providencia y contra Auto del citado Juzgado de 18 de octubre de 1983, que desestimó recurso de reposición contra la providencia de que se ha hecho mérito. Se nos pide que, con declaración de nulidad de los dos Autos citados reconozcamos el derecho de la recurrente a ser tenida por parte en el proceso de ejecución hipotecaria. </w:t>
      </w:r>
    </w:p>
    <w:p w:rsidR="00256EE9" w:rsidRDefault="00256EE9" w:rsidP="00256EE9">
      <w:pPr>
        <w:pStyle w:val="TextoNormal"/>
      </w:pPr>
      <w:r>
        <w:t xml:space="preserve">La demanda de amparo se fundamenta en los siguientes hechos: </w:t>
      </w:r>
    </w:p>
    <w:p w:rsidR="00256EE9" w:rsidRDefault="00256EE9" w:rsidP="00256EE9">
      <w:pPr>
        <w:pStyle w:val="TextoNormal"/>
      </w:pPr>
      <w:r>
        <w:t xml:space="preserve">A) El 28 de octubre de 1983 la recurrente y su esposo, hoy fallecido, otorgaron escritura pública de constitución de hipoteca de máximo para garantizar el pago de suministros en favor de la «Sociedad Cooperativa Agropecuaria Virgen de Valvanera». Dicha escritura de constitución de hipoteca fue otorgada por quien decía ser mandatario verbal de la Sociedad acreedora. </w:t>
      </w:r>
    </w:p>
    <w:p w:rsidR="00256EE9" w:rsidRDefault="00256EE9" w:rsidP="00256EE9">
      <w:pPr>
        <w:pStyle w:val="TextoNormal"/>
      </w:pPr>
      <w:r>
        <w:t xml:space="preserve">B) En el mes de julio de 1983 la Sociedad acreedora instó procedimiento judicial sumario de ejecución de aquella hipoteca que fue admitido a trámite, bajo el núm. 430/1983, por el Juzgado de Primera Instancia núm. 2 de los de Logroño en providencia de 11 de julio del mencionado año, por la que se mandaba requerir de pago a los deudores. Interpusieron éstos, dentro del plazo, recurso de reposición contra la meritada providencia por entender que la formulación de la demanda y la admisión a trámite del procedimiento se había efectuado sin los requisitos legales e infringiendo tanto la Ley Hipotecaria y su Reglamento cuanto la doctrina jurisprudencial sobre hipotecas de máximo. En concreto, se objetaba que las hipotecas de máximo no son susceptibles de procedimiento judicial sumario; que los títulos aportados no justificaban, siquiera, la existencia de hipoteca, toda vez que no iban acompañados de escritura de ratificación del mandato verbal; que el crédito no había vencido y, en fin, que el saldo no era líquido ni se había acreditado en forma. </w:t>
      </w:r>
    </w:p>
    <w:p w:rsidR="00256EE9" w:rsidRDefault="00256EE9" w:rsidP="00256EE9">
      <w:pPr>
        <w:pStyle w:val="TextoNormal"/>
      </w:pPr>
      <w:r>
        <w:lastRenderedPageBreak/>
        <w:t xml:space="preserve">C) Por providencia de 2 de septiembre de 1983 se tuvo a la recurrente por personada en autos y por interpuesto el recurso de reposición que fue desestimado por Auto de 18 de octubre de 1983. </w:t>
      </w:r>
    </w:p>
    <w:p w:rsidR="00256EE9" w:rsidRDefault="00256EE9" w:rsidP="00256EE9">
      <w:pPr>
        <w:pStyle w:val="TextoNormal"/>
      </w:pPr>
      <w:r>
        <w:t xml:space="preserve">Entendió el Juzgado que es imposible ejercitar oposición a la ejecución de una hipoteca de máximo, por lo que ordenó que siguiera adelante el procedimiento. </w:t>
      </w:r>
    </w:p>
    <w:p w:rsidR="00256EE9" w:rsidRDefault="00256EE9" w:rsidP="00256EE9">
      <w:pPr>
        <w:pStyle w:val="TextoNormal"/>
      </w:pPr>
      <w:r>
        <w:t xml:space="preserve">D) El 26 de octubre de 1983 se interpuso recurso de apelación para ante la Audiencia Territorial de Burgos, que lo desestimó mediante Auto de 24 de septiembre de 1984. Entendió la Audiencia que la recurrente no puede ostentar la condición de parte en el procedimiento de ejecución, por lo que no estaba legitimada para interponer el recurso de reposición ni el posterior de apelación. En consecuencia, acordó mantener la providencia de 11 de julio de 1983, por la que se había admitido a trámite el procedimiento judicial sumario y declarar la nulidad de todo lo actuado a partir de la admisión a trámite del recurso de reposición. Entiende la recurrente que, con ello, se ha vulnerado expresamente el derecho a la tutela judicial efectiva que consagra el art. 24.1 de la Constitución por cuanto se la priva de la posibilidad de obtener la tutela efectiva de Jueces y Tribunales; la Ley Hipotecaria no niega categóricamente la posibilidad de defensa u oposición, ya que el propio art. 132 reconoce motivos de oposición y suspensión del procedimiento. La indefensión que se produce no puede verse convalidada por la posibilidad de deducir juicio declarativo ordinario, ya que al venderse los bienes afectos por la carga real en pública subasta, posiblemente por un precio muy inferior al real, de nada serviría obtener en el juicio declarativo la restitución del importe del crédito indebidamente hecho efectivo mediante subasta. </w:t>
      </w:r>
    </w:p>
    <w:p w:rsidR="00256EE9" w:rsidRDefault="00256EE9" w:rsidP="00256EE9">
      <w:pPr>
        <w:pStyle w:val="TextoNormal"/>
      </w:pPr>
      <w:r>
        <w:t>Los fundamentos jurídicos de la demanda son los siguientes: los Autos impugnados vulneran el art. 24.1 de la Constitución, por cuanto al negar al deudor hipotecario la condición de parte procesal y la capacidad de personarse en el procedimiento alegando motivos de oposición, sean o no los especificados en la propia Ley Hipotecaria, produce una situación de indefensión por las razones que ya se adelantaron en la exposición de los hechos.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en su reunión del día 5 de diciembre de 1984, acordó incorporar al presente recurso la Sentencia dictada con fecha 18 de diciembre de 1981, publicada en el «Boletín Oficial del Estado» del día 14 de enero de 1982 (suplemento) y poner de manifiesto a la solicitante de amparo y al Ministerio Fiscal la posible existencia de la causa de inadmisibilidad que regula el art. 50.2 c) de la Ley Orgánica de este Tribunal, y por ello, en aplicación de lo dispuesto en el art. 50 de la citada Ley Orgánica, se otorgó un plazo común de diez días a la solicitante de amparo y al Ministerio Fiscal para alegaciones. </w:t>
      </w:r>
    </w:p>
    <w:p w:rsidR="00256EE9" w:rsidRDefault="00256EE9" w:rsidP="00256EE9">
      <w:pPr>
        <w:pStyle w:val="TextoNormal"/>
      </w:pPr>
      <w:r>
        <w:t xml:space="preserve">En su escrito de alegaciones, el Procurador señor Ibáñez de la Cadiniere señala que la Sentencia dictada por este Tribunal en 18 de diciembre de 1981, en recursos de amparo acumulados y promovidos por varias Sociedades Anónimas en procedimientos especiales de ejecución hipotecaria instados por el Banco Hipotecario de España, no constituye, a su entender, un supuesto sustancialmente igual al que motiva el presente recurso de amparo, que en tal caso se vería afectado de inadmisibilidad en base al citado art. 50.2 c). </w:t>
      </w:r>
    </w:p>
    <w:p w:rsidR="00256EE9" w:rsidRDefault="00256EE9" w:rsidP="00256EE9">
      <w:pPr>
        <w:pStyle w:val="TextoNormal"/>
      </w:pPr>
      <w:r>
        <w:t>Aquellos recursos de amparo versaban sobre la inconstitucionalidad del art. 1.560 de la Ley de Enjuiciamiento Civil y de determinados y concretos artículos de la Ley de 2 de diciembre de 1872, que creó el Banco Hipotecario de España y reguló su funcionamiento y con él la posibilidad de esa Institución de Crédito Oficial para exigir por la vía de apremio el pago de sus créditos. Los aludidos recursos de amparo y la Sentencia que los resolvió ni siquiera plantearon la posible inconstitucionalidad de los arts. 131 y 132 de la Ley Hipotecaria, base y fundamento del procedimiento judicial sumario instado, en su momen</w:t>
      </w:r>
      <w:r>
        <w:lastRenderedPageBreak/>
        <w:t xml:space="preserve">to, por la Cooperativa Agraria Virgen de Valvanera y cuyas resoluciones, tanto en Primera Instancia como ante la Audiencia Territorial de Burgos, son las que constituyen el motivo y objeto del amparo solicitado por mi mandante, por lo que no nos hallaríamos en un supuesto similar previamente desestimado por el Tribunal Constitucional. </w:t>
      </w:r>
    </w:p>
    <w:p w:rsidR="00256EE9" w:rsidRDefault="00256EE9" w:rsidP="00256EE9">
      <w:pPr>
        <w:pStyle w:val="TextoNormal"/>
      </w:pPr>
      <w:r>
        <w:t xml:space="preserve">A mayor abundamiento, en el caso actual el amparo se solicita no contra la hipotética inconstitucionalidad del art. 132 de la Ley Hipotecaria, sino contra la interpretación dada a tal precepto por el Juzgado de Primera Instancia de Logroño y la Audiencia Territorial de Burgos en los Autos contra los que se solicita el amparo en los que se niega la posibilidad de ostentar la condición de parte y poder interponer recursos y, en definitiva, hasta la misma posibilidad de argumentar algunos de los motivos de oposición al procedimiento judicial sumario, recogidos por el art. 132 de la Ley Hipotecaria. </w:t>
      </w:r>
    </w:p>
    <w:p w:rsidR="00256EE9" w:rsidRDefault="00256EE9" w:rsidP="00256EE9">
      <w:pPr>
        <w:pStyle w:val="TextoNormal"/>
      </w:pPr>
      <w:r>
        <w:t xml:space="preserve">Obviamente, la personación en el procedimiento y la ostentación de condición de parte son requisitos indispensables para que el deudor hipotecario pueda solicitar la suspensión del procedimiento por cualquiera de los cuatro supuestos a los que alude el citado art. 132, y si la Sala de lo Civil de la Audiencia Territorial de Burgos negó tal personación, negaba con ello la posibilidad de alegar cualquiera de las citadas causas taxativamente recogidas, creando con ello una situación de indefensión, situación que protege el derecho fundamental recogido en el art. 24.1 del Texto constitucional; tanto es así que el Auto de la Audiencia Territorial de 24 de septiembre de 1984 ni tan siquiera entra a estudiar si los motivos de oposición alegados en su día quedaban o no incardinados en alguno de los cuatro supuestos recogidos en el art. 132 de la Ley Hipotecaria, sino que se limita a negar de forma simplista y categórica la posibilidad de personación y de fundamentar oposición alguna. </w:t>
      </w:r>
    </w:p>
    <w:p w:rsidR="00256EE9" w:rsidRDefault="00256EE9" w:rsidP="00256EE9">
      <w:pPr>
        <w:pStyle w:val="TextoNormal"/>
      </w:pPr>
      <w:r>
        <w:t xml:space="preserve">Aunque el motivo de las presentes alegaciones queda circunscrito a argumentar la no concurrencia en el presente caso del supuesto previsto en el art. 50.2 c) de la Ley Orgánica, se hace necesario precisar que la hipoteca ejecutada por la «Cooperativa Agrícola Virgen de Valvanera» es una hipoteca de máximo, con las limitaciones y condicionamientos que ello implica, entre ellos la necesidad de que los saldos se acrediten en la forma prevista en los arts. 153 de la Ley Hipotecaria y 245 y 246 de su Reglamento, por cuanto precisamente una de las limitadas causas de oposición y suspensión del procedimiento hipotecario previstas en el reiterado art. 132 lo constituye las diferencias de saldos entre las libretas expedidas para tal acreditación. </w:t>
      </w:r>
    </w:p>
    <w:p w:rsidR="00256EE9" w:rsidRDefault="00256EE9" w:rsidP="00256EE9">
      <w:pPr>
        <w:pStyle w:val="TextoNormal"/>
      </w:pPr>
      <w:r>
        <w:t xml:space="preserve">Precisamente, la falta de liquidez de tales saldos constituía una de las causas de oposición alegadas por esta parte en la primera instancia al tratarse de una hipoteca de máximo en las que la inscripción hipotecaria no garantiza la existencia, exigibilidad, importe y vencimiento de los respectivos créditos, por cuanto la fe pública registral sólo es aplicada al derecho de hipoteca, pero no al crédito colocado a su amparo, cuya liquidez se produce fuera del campo registral, según reiteradas resoluciones de la Dirección General del Registro y del Notariado y de Sentencias del Tribunal Supremo. </w:t>
      </w:r>
    </w:p>
    <w:p w:rsidR="00256EE9" w:rsidRDefault="00256EE9" w:rsidP="00256EE9">
      <w:pPr>
        <w:pStyle w:val="TextoNormal"/>
      </w:pPr>
      <w:r>
        <w:t>El Fiscal ha solicitado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causa de inadmisión del art. 50.2 c) de la LOTC ha sido acotada en diferentes ocasiones por la jurisprudencia de este Tribunal en cuanto a su contenido, requisitos y efectos de manera precisa.  Así, el Auto de la Sala Primera de 10 de noviembre de 1982 establece que el proceso constitucional verse sobre el fondo del asunto, cualquiera que sea la forma que la resolución adopte (Sentencia o Auto); que no es necesaria la identidad </w:t>
      </w:r>
      <w:r>
        <w:lastRenderedPageBreak/>
        <w:t>subjetiva; que ha de tratarse de un supuesto «sustancialmente igual», es decir, de haber identidad del petitum.</w:t>
      </w:r>
    </w:p>
    <w:p w:rsidR="00256EE9" w:rsidRDefault="00256EE9" w:rsidP="00256EE9">
      <w:pPr>
        <w:pStyle w:val="TextoNormal"/>
      </w:pPr>
      <w:r>
        <w:t>Si se dan estos elementos es de aplicación la causa de inadmisión, por lo que es oportuno examinar si concurren los elementos señalados en el presente caso.</w:t>
      </w:r>
    </w:p>
    <w:p w:rsidR="00256EE9" w:rsidRDefault="00256EE9" w:rsidP="00256EE9">
      <w:pPr>
        <w:pStyle w:val="TextoNormal"/>
      </w:pPr>
      <w:r>
        <w:t>La Sentencia del Pleno del Tribunal Constitucional de 18 de diciembre de 1982 resuelve un supuesto que presenta «identidad sustancial» con el que es objeto del recurso de amparo que examinamos.</w:t>
      </w:r>
    </w:p>
    <w:p w:rsidR="00256EE9" w:rsidRDefault="00256EE9" w:rsidP="00256EE9">
      <w:pPr>
        <w:pStyle w:val="TextoNormal"/>
      </w:pPr>
      <w:r>
        <w:t>Los supuestos de hecho de los recursos resueltos en la Sentencia mencionada, que se acumularon para ser resueltos por la misma resolución, tenían por objeto la petición de que el solicitante del amparo fuera considerado como parte y se reconociera su derecho a la defensa y a la utilización de medios de prueba del deudor en un procedimiento judicial de ejecución hipotecaria.</w:t>
      </w:r>
    </w:p>
    <w:p w:rsidR="00256EE9" w:rsidRDefault="00256EE9" w:rsidP="00256EE9">
      <w:pPr>
        <w:pStyle w:val="TextoNormal"/>
      </w:pPr>
      <w:r>
        <w:t>El derecho alegado era el art.  24.1 de la Constitución, que se entendió violado por las resoluciones judiciales que denegaron esta posibilidad.</w:t>
      </w:r>
    </w:p>
    <w:p w:rsidR="00256EE9" w:rsidRDefault="00256EE9" w:rsidP="00256EE9">
      <w:pPr>
        <w:pStyle w:val="TextoNormal"/>
      </w:pPr>
      <w:r>
        <w:t>La Sentencia del Tribunal Constitucional desestimó el amparo, por entender que las resoluciones judiciales impugnadas no violaban el art. 24.1 de la Constitución.</w:t>
      </w:r>
    </w:p>
    <w:p w:rsidR="00256EE9" w:rsidRDefault="00256EE9" w:rsidP="00256EE9">
      <w:pPr>
        <w:pStyle w:val="TextoNormal"/>
      </w:pPr>
      <w:r>
        <w:t>La pretensión deducida en el actual recurso de amparo es «sustancialmente igual» a la de la Sentencia que hemos referido.</w:t>
      </w:r>
    </w:p>
    <w:p w:rsidR="00256EE9" w:rsidRDefault="00256EE9" w:rsidP="00256EE9">
      <w:pPr>
        <w:pStyle w:val="TextoNormal"/>
      </w:pPr>
    </w:p>
    <w:p w:rsidR="00256EE9" w:rsidRDefault="00256EE9" w:rsidP="00256EE9">
      <w:pPr>
        <w:pStyle w:val="TextoNormal"/>
      </w:pPr>
      <w:r w:rsidRPr="00256EE9">
        <w:rPr>
          <w:rStyle w:val="NumeroAFNegritaCaracter"/>
        </w:rPr>
        <w:t>2</w:t>
      </w:r>
      <w:r>
        <w:t>. Como ha señalado con gran reiteración el Tribunal Supremo de Justicia, con una doctrina que si bien nace en el desarrollo de los recursos de casación por infracción de Ley, es por sus propios fundamentos perfectamente aplicables a los recursos de amparo constitucional, el recurso se da contra el fallo de los Tribunales a quo, porque sólo en el fallo se puede contener la violación de la Ley, en el caso de los recursos de casación o la vulneración de los derechos constitucionales del ciudadano, en el caso de los recursos de amparo, de suerte que no pueden servir para fundamentar un recurso las consideraciones o argumentaciones que el Tribunal haya realizado cuando no hayan tenido trascendencia o reflejo en el fallo.  En este sentido, hay que destacar que si bien en el Auto de la Sala de lo Civil de la Audiencia Territorial de Burgos de 24 de septiembre de 1984 se dice que el deudor hipotecario no estaba investido de la condición de parte porque tal condición no podía derivar del requerimiento de pago que se le había hecho, al que no se le puede atribuir la naturaleza de un emplazamiento o citación, añadiendo además que el deudor hipotecario no podía ostentar la condición de parte en el procedimiento contemplado, ni podía tampoco interponer como lo hizo el recurso de reposición, lo cierto es que la mencionada Sala, en la parte dispositiva de su Auto, se limita a mantener la providencia de 11 de julio de 1983, por la que se ordenaba seguir adelante el procedimiento, aunque declarando la nulidad de lo actuado a partir de la admisión a trámite del recurso de reposición. Y el Juez de Primera Instancia núm. 2 de Logroño, cuya decisión se corrobora, en ningún momento había dicho que doña Celestina Cárcamo Asenjo y don Gregorio Pablo Adema Alonso no pudieran ser parte en el procedimiento, pues lo único que dijo es que en el procedimiento de ejecución sumaria hipotecaria no caben otras causas de oposición que las que enumera taxativamente el art.  132 de la Ley Hipotecaria.</w:t>
      </w:r>
    </w:p>
    <w:p w:rsidR="00256EE9" w:rsidRDefault="00256EE9" w:rsidP="00256EE9">
      <w:pPr>
        <w:pStyle w:val="TextoNormal"/>
      </w:pPr>
    </w:p>
    <w:p w:rsidR="00256EE9" w:rsidRDefault="00256EE9" w:rsidP="00256EE9">
      <w:pPr>
        <w:pStyle w:val="TextoNormal"/>
      </w:pPr>
      <w:r w:rsidRPr="00256EE9">
        <w:rPr>
          <w:rStyle w:val="NumeroAFNegritaCaracter"/>
        </w:rPr>
        <w:t>3</w:t>
      </w:r>
      <w:r>
        <w:t>. Así entendido el asunto es sustancialmente igual al decidido por la Sentencia 41/1981 del Pleno de este Tribunal, con un criterio luego reiterado por un Auto de la Sala Primera de 16 de mayo de 1984 (Auto 38/1984). Las posibles diferencias que se pueden encontrar entre uno y otro asunto carecen de relevancia y no borran la sustancial igualdad, pues si bien en la Sentencia 41/1981 lo que estaba en discusión era el procedimiento hipo</w:t>
      </w:r>
      <w:r>
        <w:lastRenderedPageBreak/>
        <w:t>tecario especial y privilegiado que al Banco Hipotecario otorga la Ley de su creación de 1872, lo cierto es que tal procedimiento otorga unos poderes al acreedor más vigorosos que el procedimiento hipotecario del art.  131 de la Ley de tal nombre; y que las razones de fondo para sostener que no existe violación del derecho fundamental reconocido por el art.  24 de la Constitución, a saber, la creación de tal medio procesal en virtud del negocio jurídico establecido por acreedor y deudor hipotecario y las posibilidades de defensa siempre abiertas por el sistema procesal en su conjunto, son sustancialmente las mismas que resultan aplicables en el presente caso.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presente recurso de amparo.</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2" w:name="AUTO_1985_31"/>
      <w:r>
        <w:lastRenderedPageBreak/>
        <w:t>AUTO 31/1985, de 16 de enero de 1985</w:t>
      </w:r>
    </w:p>
    <w:bookmarkEnd w:id="92"/>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ECLI:ES:TC:1985:31A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715/1984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Juan Antonio Martos Rudilla, representado por el Procurador don Ignacio Alonso Barrachina, ha interpuesto recurso de amparo contra la Sentencia dictada el 30 de marzo de 1984 por el Juzgado de Instrucción núm. 1 de Barcelona, en el rollo de apelación núm. 37/1984-R, dimanante del juicio de faltas núm. 165/1982 del Juzgado de Distrito núm. 3 de Badalona en base a los siguientes hechos: a) A consecuencia de un accidente de trabajo ocurrido el día 31 de diciembre de 1976, en el que resultó muerto el operario don Lorenzo Corbalán Fernández, el Juzgado de Distrito núm. 3 de Badalona convocó a juicio de faltas, en el que aparecía implicado, junto a otros, el ahora demandante, dictando Sentencia el 24 de marzo de 1983, en la que se consideraba que la muerte de la víctima se había debido a su propia conducta imprudente y, en consecuencia, se absolvía a todos los implicados, declarando las costas de oficio. </w:t>
      </w:r>
    </w:p>
    <w:p w:rsidR="00256EE9" w:rsidRDefault="00256EE9" w:rsidP="00256EE9">
      <w:pPr>
        <w:pStyle w:val="TextoNormal"/>
      </w:pPr>
      <w:r>
        <w:t xml:space="preserve">b) En septiembre de 1984, el Juzgado de Distrito de Sant Boi del Llobregat, en virtud del exhorto librado por el de igual clase núm. 3 de Badalona, notificó al recurrente una tasación de costas en la que le exigía, en virtud del juicio de faltas 165/1982, la suma de 2.015.325 pesetas. Desconocedor del motivo de tal comunicación, protestó verbalmente primero y por escrito después, recibiendo como respuesta, el 3 de octubre, notificación de la Sentencia dictada el 30 de marzo de 1984 por el Juzgado de Instrucción núm. 1 de Barcelona, en la que se condenaba al solicitante de amparo, como autor de una falta de imprudencia del art. 586.3 del Código Penal, a las penas de multa de 2.000 pesetas y de reprensión privada, al pago de las costas del Juicio de faltas y a indemnizar al padre de la víctima en 2.000.000 de pesetas, y en caso de resultar insolvente al titular de la Empresa en que aquél trabajaba, como responsable civil subsidiario. </w:t>
      </w:r>
    </w:p>
    <w:p w:rsidR="00256EE9" w:rsidRDefault="00256EE9" w:rsidP="00256EE9">
      <w:pPr>
        <w:pStyle w:val="TextoNormal"/>
      </w:pPr>
      <w:r>
        <w:t xml:space="preserve">A este fallo llegaba el referido Juzgado tras aceptar los resultandos de la Sentencia apelada, excepto el primero y el segundo, que se sustituyen por uno nuevo en el que se declara probado que la Empresa que estaba construyendo un determinado edificio en Badalona había subarrendado a otra la instalación de los ascensores y los trabajos de lampistería y electricidad a una tercera, cuyo encargado en la citada obra era el promovente de amparo, quien tenía bajo sus órdenes a varios operarios, entre los que figuraba el accidentado, a los que permitía utilizar la plataforma de un ascensor en fase de montaje, pese a estar prohibido, y cuando el personal que lo montaba se hallaba ausente, a sabiendas del peligro que tal uso comportaba; y así, el día de autos, luego de haber descendido a la planta inferior en la </w:t>
      </w:r>
      <w:r>
        <w:lastRenderedPageBreak/>
        <w:t xml:space="preserve">referida plataforma, se produjo el fallecimiento del señor Corbalán Fernández al quedar aprisionado entre la planta superior y aquélla, cuando intentaba centrarla al nivel del suelo. </w:t>
      </w:r>
    </w:p>
    <w:p w:rsidR="00256EE9" w:rsidRDefault="00256EE9" w:rsidP="00256EE9">
      <w:pPr>
        <w:pStyle w:val="TextoNormal"/>
      </w:pPr>
      <w:r>
        <w:t xml:space="preserve">En relación con la anterior Sentencia, el demandante mantiene que en ella se dan incongruencias tales como aceptar íntegramente el tercer resultando de la Sentencia apelada (en el que se dice que el Ministerio Fiscal y la acusación particular pidieron la condena de los responsables de las Empresas subarrendatarias, sin mencionar al señor Martos Rudilla) o cómo ascender al recurrente de categoría profesional, sin jurisdicción para ello, ya que le califica de encargado siendo así que sólo es oficial primera, o reconocer que el accidente se debió a una decisión inicial del propio accidentado. </w:t>
      </w:r>
    </w:p>
    <w:p w:rsidR="00256EE9" w:rsidRDefault="00256EE9" w:rsidP="00256EE9">
      <w:pPr>
        <w:pStyle w:val="TextoNormal"/>
      </w:pPr>
      <w:r>
        <w:t xml:space="preserve">Al mismo tiempo, destaca el demandante la tardanza con que se produjo el juicio de faltas ante el Juzgado de Distrito, siete años después de que tuviera lugar el accidente, así como el transcurso de más de un año entre la Sentencia de aquel Juzgado y la dictada en apelación, por lo que considera imposible que no haya prescrito la falta. </w:t>
      </w:r>
    </w:p>
    <w:p w:rsidR="00256EE9" w:rsidRDefault="00256EE9" w:rsidP="00256EE9">
      <w:pPr>
        <w:pStyle w:val="TextoNormal"/>
      </w:pPr>
      <w:r>
        <w:t xml:space="preserve">De todo ello deduce el solicitante que se le ha producido indefensión, puesto que no habiendo sido acusado en primera instancia, de forma nominal y concreta, resulta condenado en segunda, con manifiesta falta al principio de bilateralidad, introduciendo una cuestión nueva en el proceso, sin que ni siquiera con la vaga fórmula de responsable de la Empresa para la que trabajaba se le pueda considerar incluido en dicha acusación, pues responsable de una Empresa es el titular de la misma, pero no un simple oficial. </w:t>
      </w:r>
    </w:p>
    <w:p w:rsidR="00256EE9" w:rsidRDefault="00256EE9" w:rsidP="00256EE9">
      <w:pPr>
        <w:pStyle w:val="TextoNormal"/>
      </w:pPr>
      <w:r>
        <w:t>Por todo lo expuesto, el demandante solicita de este Tribunal dicte Sentencia otorgando el amparo por haberse producido indefensión y declarando, en consecuencia, la nulidad de la Sentencia del Juzgado de Instrucción número 1 de Barcelona, de 30 de marzo de 1984.</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de este Tribunal, mediante acuerdo de 5 de diciembre de 1984, puso de manifiesto al solicitante del amparo y al Ministerio Fiscal la posible existencia de la causa de inadmisión del art. 50.2 b) de la Ley Orgánica del Tribunal por cuanto la demanda pudiera carecer de contenido que justifique una decisión por parte del mismo y en virtud de ello concedió un plazo común de diez días a ambos a fin de que alegaran lo que tuvieran por conveniente. </w:t>
      </w:r>
    </w:p>
    <w:p w:rsidR="00256EE9" w:rsidRDefault="00256EE9" w:rsidP="00256EE9">
      <w:pPr>
        <w:pStyle w:val="TextoNormal"/>
      </w:pPr>
      <w:r>
        <w:t xml:space="preserve">Dentro del mencionado término, el solicitante del amparo ha efectuado sus alegaciones, insistiendo en sus pretensiones iniciales, lo que funda sustancialmente en lo siguiente: 1.° que el recurso se apoya en el art. 24.1 de la Constitución, por no haber obtenido el recurrente la tutela efectiva que nuestra Ley Fundamental exige, resultando haber sido condenado en la segunda instancia de un proceso penal sin haber sido acusado en primera, lo que constituye, a su juicio, el fondo de la cuestión planteada; 2.° que tampoco ha obtenido la tutela efectiva de los Tribunales porque no se ha tenido en cuenta la prescripción que en Sentencia penal ha de ser apreciada incluso de oficio y ello con relación con un hecho ocurrido siete años y tres meses antes que la Sentencia del Juzgado de Instrucción núm. 1 de Barcelona califica como falta, pues con ello, a su juicio, se produce total indefensión de su representado; 3.° que todo ello acredita suficientemente que el contenido de la demanda justifica una decisión del Tribunal sobre el fondo de la cuestión, ya que no se trata puramente de un error in iudicando, sino que va unido a varios errores in procedendo que han imposibilitado la defensa del recurrente, el cual se ha visto condenado de sorpresa; 4.° que para declarar culpable al solicitante del amparo, sin acusación previa, se ha visto obligado el Juzgado de Instrucción núm. 1 de Barcelona a ascenderle, con efecto retroactivo, desde simple oficial a encargado, sin previa demanda ni expediente sobre la materia, invadiendo materia reservada a la jurisdicción laboral, lo que es otra muestra de la indefensión en la que se ha encontrado el solicitante del amparo; 5.° que la indefensión ante cualquiera de </w:t>
      </w:r>
      <w:r>
        <w:lastRenderedPageBreak/>
        <w:t xml:space="preserve">los Poderes Públicos constituye una violación de los derechos amparados por los arts. 14 a 29 de la Constitución y es materia sometida al amparo de este Tribunal, como en el caso de los autos se ha violado el art. 24.1 de la Constitución es necesario entrar en el fondo del asunto. </w:t>
      </w:r>
    </w:p>
    <w:p w:rsidR="00256EE9" w:rsidRDefault="00256EE9" w:rsidP="00256EE9">
      <w:pPr>
        <w:pStyle w:val="TextoNormal"/>
      </w:pPr>
      <w:r>
        <w:t xml:space="preserve">El Ministerio Fiscal entiende que la demanda carece manifiestamente de contenido constitucional que justifique una ulterior decisión de este alto Tribunal, pues olvida que el recurso de apelación otorga al órgano judicial superior el pleno conocimiento de las cuestiones debatidas, con amplitud de potestad para decidirlas. </w:t>
      </w:r>
    </w:p>
    <w:p w:rsidR="00256EE9" w:rsidRDefault="00256EE9" w:rsidP="00256EE9">
      <w:pPr>
        <w:pStyle w:val="TextoNormal"/>
      </w:pPr>
      <w:r>
        <w:t xml:space="preserve">La apelación es, en rigor, un novum iudicium, que implica juzgar de nuevo, y así aconteció en el presente caso, estableciendo el Juzgado de Instrucción una premisa fáctica -por lo demás, clara, precisa y coherente-, en la que no se puede entrar en esta sede constitucional por impedirlo expresamente el art. 44.1 b) de la LOTC. </w:t>
      </w:r>
    </w:p>
    <w:p w:rsidR="00256EE9" w:rsidRDefault="00256EE9" w:rsidP="00256EE9">
      <w:pPr>
        <w:pStyle w:val="TextoNormal"/>
      </w:pPr>
      <w:r>
        <w:t xml:space="preserve">De ella obtuvo la convicción, conforme al art. 741 de la Ley de Enjuiciamiento Criminal, valorando las pruebas practicadas, de la responsabilidad penal del hoy recurrente, si bien degradada a la entidad de mera falta, con un razonamiento amplio y en modo alguno irrazonable. </w:t>
      </w:r>
    </w:p>
    <w:p w:rsidR="00256EE9" w:rsidRDefault="00256EE9" w:rsidP="00256EE9">
      <w:pPr>
        <w:pStyle w:val="TextoNormal"/>
      </w:pPr>
      <w:r>
        <w:t xml:space="preserve">En la Sentencia apelada se dice con toda claridad que el condenado, hoy recurrente en amparo, intervino como apelado, lo que hace decaer el alegato de la demanda de que no se respeta el principio de contradicción. </w:t>
      </w:r>
    </w:p>
    <w:p w:rsidR="00256EE9" w:rsidRDefault="00256EE9" w:rsidP="00256EE9">
      <w:pPr>
        <w:pStyle w:val="TextoNormal"/>
      </w:pPr>
      <w:r>
        <w:t xml:space="preserve">El cómputo para la prescripción de las faltas no se cuenta desde la fecha de su comisión -siempre que se hayan iniciado las actuaciones judiciales antes de haber transcurrido el plazo legal previsto- mientras se tramita el proceso en sus dos instancias y es tema de legalidad ordinaria. </w:t>
      </w:r>
    </w:p>
    <w:p w:rsidR="00256EE9" w:rsidRDefault="00256EE9" w:rsidP="00256EE9">
      <w:pPr>
        <w:pStyle w:val="TextoNormal"/>
      </w:pPr>
      <w:r>
        <w:t xml:space="preserve">No se le denegó al recurrente la tutela judicial efectiva porque la resolución que puso final al proceso le fuera desfavorable. Fue dictada por órgano judicial en el ejercicio de su competencia conforme al art. 117.3 de la Constitución. El recurso de amparo no es una tercera instancia que es, en el fondo, lo que subyace en la pretensión de quien recurre en este caso. </w:t>
      </w:r>
    </w:p>
    <w:p w:rsidR="00256EE9" w:rsidRDefault="00256EE9" w:rsidP="00256EE9">
      <w:pPr>
        <w:pStyle w:val="TextoNormal"/>
      </w:pPr>
      <w:r>
        <w:t>Por todo lo expuesto, el Fiscal interesa del Tribunal que se dicte Auto que declare la inadmisión de la demanda, de conformidad con los arts. 86.1 y 50.2 b), ambos de su Ley Orgánica.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concreción de sus agravios que el solicitante del amparo realiza en su escrito de alegaciones permite entender que configura la presunta violación de sus derechos constitucionales, que cree haber experimentado, en los siguientes: en haber sido condenado por la Sentencia de segunda instancia sin haber sido acusado en la primera; en no haberse estimado la prescripción extintiva de las acciones penales; en haberse introducido en la Sentencia de la segunda instancia la consideración de una inadecuada categoría laboral del demandante. Estos son en sustancia los datos que pueden tratar de ser encajados en el art. 24 de la Constitución, pues el resto de las afirmaciones que realiza hacen supuesto de la cuestión o son explicaciones de lo que en su opinión establece el mencionado art. 24 de la Constitución.</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Como este Tribunal ha tenido ocasión de señalar numerosísimas veces, la tutela judicial efectiva de los derechos e intereses de que habla el art. 24 de la Constitución, no </w:t>
      </w:r>
      <w:r>
        <w:lastRenderedPageBreak/>
        <w:t>significa en modo alguno el derecho a obtener de los Tribunales una Sentencia que sea conforme con las pretensiones o con las aspiraciones del ciudadano. Dicho de otro modo: no existe una constitucionalización de todos los derechos subjetivos de que el ciudadano se puede creer asistido en su vida jurídica, ni una constitucionalización del triunfo de todos ellos en caso de conflicto.  El art.  24.1 establece el derecho de acceso a la jurisdicción y el derecho a la apertura de un proceso; el derecho a la sustanciación del proceso con todas las garantías; el derecho de defensa y la terminación del proceso mediante una resolución fundada jurídicamente.</w:t>
      </w:r>
    </w:p>
    <w:p w:rsidR="00256EE9" w:rsidRDefault="00256EE9" w:rsidP="00256EE9">
      <w:pPr>
        <w:pStyle w:val="TextoNormal"/>
      </w:pPr>
      <w:r>
        <w:t>Significa ello que quedan fuera del marco del art. 24 de la Constitución y del derecho fundamental en tal artículo consagrado, los preceptos legales atinentes a los derechos subjetivos de fondo de que el ciudadano puede estimarse asistido y en cuya aplicación el órgano iurisdiccional pueda haber fundado su Sentencia, como asimismo la apreciación que haya podido llevar a cabo de las pruebas y el establecimiento de los hechos probados. Por consiguiente, no hay violación de los derechos consagrados en el art. 24 de la Constitución por el hecho de que el Tribunal aprecie o deje de apreciar la excepción de prescripción y no la hay tampoco porque califique de una u otra manera la condición laboral del recurrente, lo que obviamente no significa invasión de la jurisdicción de este tipo, pues la apreciación del Juez penal se produce a los puros efectos de enjuiciamiento penal.</w:t>
      </w:r>
    </w:p>
    <w:p w:rsidR="00256EE9" w:rsidRDefault="00256EE9" w:rsidP="00256EE9">
      <w:pPr>
        <w:pStyle w:val="TextoNormal"/>
      </w:pPr>
    </w:p>
    <w:p w:rsidR="00256EE9" w:rsidRDefault="00256EE9" w:rsidP="00256EE9">
      <w:pPr>
        <w:pStyle w:val="TextoNormal"/>
      </w:pPr>
      <w:r w:rsidRPr="00256EE9">
        <w:rPr>
          <w:rStyle w:val="NumeroAFNegritaCaracter"/>
        </w:rPr>
        <w:t>3</w:t>
      </w:r>
      <w:r>
        <w:t>. Resta de esta manera, como único tema, que prima facie podría encajarse dentro del art. 24 de la Constitución, la queja de haber sido condenado en la segunda instancia de un proceso penal sin haber sido nunca acusado.</w:t>
      </w:r>
    </w:p>
    <w:p w:rsidR="00256EE9" w:rsidRDefault="00256EE9" w:rsidP="00256EE9">
      <w:pPr>
        <w:pStyle w:val="TextoNormal"/>
      </w:pPr>
      <w:r>
        <w:t>Sin embargo, la lectura de los antecedentes que se nos proporcionan demuestra que ello no es enteramente cierto, pues en el juicio de faltas celebrado ante el Juzgado de Distrito de Badalona comparecieron en calidad de «implicados» José Antonio Martos Rudilla, Antonio Gómez Casado, Juan Rosas Segales, Marsal Giro Borrás, Juan Berenguer Prieto, Antonio Iglesias Villanueva, Juan López Rubio, Manuel Valderrama Blanca, el representante legal de la sociedad «Acresa» Nicanor Pérez Santamaría y José Contreras Arjona.</w:t>
      </w:r>
    </w:p>
    <w:p w:rsidR="00256EE9" w:rsidRDefault="00256EE9" w:rsidP="00256EE9">
      <w:pPr>
        <w:pStyle w:val="TextoNormal"/>
      </w:pPr>
      <w:r>
        <w:t>Y si bien es cierto que el Ministerio Fiscal pidió únicamente la condena de Miguel Alfor Arias, la acusación particular pidió la condena de los restantes implicados y de las empresas «Valderrama» y «Acresa», y es también cierto que los Letrados intervinientes interesaron la libre absolución de todos los defendidos y que la Sentencia concluye con la libre absolución de todos y cada uno de los implicados; comprobaciones éstas que destruyen la base de la argumentación del hoy solicitante del amparo.</w:t>
      </w:r>
    </w:p>
    <w:p w:rsidR="00256EE9" w:rsidRDefault="00256EE9" w:rsidP="00256EE9">
      <w:pPr>
        <w:pStyle w:val="TextoNormal"/>
      </w:pPr>
      <w:r>
        <w:t>En la Sentencia del Juzgado de Instrucción núm.  1 de Barcelona no se hace otra cosa que retomar el hilo del previo juicio de faltas cuando se examina la responsabilidad penal y civil, llegando a una Sentencia de condena de Antonio Martos Rudilla, en que su responsabilidad se hace arrancar de la condición de encargado de la empresa «Manuel Valderrama Blanca», a la que se hace responsable civil subsidiario.  Y es notorio que en el juicio de faltas la acusación particular, mostrando su disconformidad con la posición del Ministerio Fiscal, había pedido la condena de los responsables de las empresas «Valderrama» y «Acresa».  De manera que el actual solicitante del amparo no podía considerarse no acusado en el previo juicio de faltas. Es de tener en cuenta, además, y por último, que en la apelación fue expresamente tenido como parte apelada y que en la apelación se produjo -como es lógico- la entera revisión de lo decidido en la instancia, por lo cual si la defensa, en tal apelación, de don Antonio Martos Rudilla, que era parte apelada, fue defectuosa, es problema que sólo a él puede imputarse y que no puede servir de fundamento a una pre</w:t>
      </w:r>
      <w:r>
        <w:lastRenderedPageBreak/>
        <w:t>tensión de lesión de sus derechos constitucionales y de consiguiente amparo constitucional, que carece manifiestamente de contenido.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presente recurso de amparo.</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3" w:name="AUTO_1985_32"/>
      <w:r>
        <w:lastRenderedPageBreak/>
        <w:t>AUTO 32/1985, de 16 de enero de 1985</w:t>
      </w:r>
    </w:p>
    <w:bookmarkEnd w:id="93"/>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ECLI:ES:TC:1985:32A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717/1984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ingresado en este Tribunal el 11 de octubre de 1984, doña Ana María Pastor Jordá formuló demanda de amparo constitucional contra la Sentencia de la Magistratura de Trabajo núm. 1 de Alicante de 20 de septiembre de 1984. </w:t>
      </w:r>
    </w:p>
    <w:p w:rsidR="00256EE9" w:rsidRDefault="00256EE9" w:rsidP="00256EE9">
      <w:pPr>
        <w:pStyle w:val="TextoNormal"/>
      </w:pPr>
      <w:r>
        <w:t xml:space="preserve">a) Según expone en la demanda y se desprende de la Sentencia recurrida, en la empresa «S. A. Ferrándiz», para la que prestaba sus servicios, se fijaron las vacaciones para 1983/1984, por acuerdo del Comité de Empresa, del 1 al 21 de agosto y del 25 de abril al 3 de mayo, con puentes en 21 de abril, 3 de junio, 31 de octubre y 9 y 25 de diciembre, habiendo disfrutado las mismas todo el personal en las referidas fechas, excepto algunos que voluntariamente accedieron a peticiones de la Empresa y trabajaron por pedidos extraordinarios en el mes de abril. </w:t>
      </w:r>
    </w:p>
    <w:p w:rsidR="00256EE9" w:rsidRDefault="00256EE9" w:rsidP="00256EE9">
      <w:pPr>
        <w:pStyle w:val="TextoNormal"/>
      </w:pPr>
      <w:r>
        <w:t xml:space="preserve">La actora estuvo en baja por incapacidad laboral transitoria del 26 de marzo al 8 de junio de 1984, coincidiendo con el período de vacaciones de abril, por lo que solicitó el disfrute de los cuatro días perdidos, que fue denegado por la Empresa. En la demanda judicial, la Magistratura de Trabajo núm. 1 de Alicante dictó Sentencia desestimatoria fundada en que, siendo colectivo el disfrute de las vacaciones en la Empresa no puede alterarse su planificación atendiendo a supuestos individuales. </w:t>
      </w:r>
    </w:p>
    <w:p w:rsidR="00256EE9" w:rsidRDefault="00256EE9" w:rsidP="00256EE9">
      <w:pPr>
        <w:pStyle w:val="TextoNormal"/>
      </w:pPr>
      <w:r>
        <w:t>b) La demandante impugna la citada Sentencia solicitando que este Tribunal la enjuicie y anule, y considerando de aplicación al caso los arts. 10.2 y 40.2 de la Constitución Española.</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de 21 de noviembre, acordó poner de manifiesto a la solicitante de amparo y al Ministerio Fiscal la posible existencia de las siguientes causas de inadmisibilidad: 1.ª, la del art. 50.1 b) en relación con el 81, ambos de la Ley Orgánica de este Tribunal (LOTC), por no comparecer por medio de Abogado y Procurador; 2.ª, la del art. 50.2 a) de la misma Ley Orgánica; y 3.ª, la regulada en el art. 50.2 b) de la antes expresada Ley Orgánica, por cuanto la demanda pudiera carecer manifiestamente de contenido que justifique una decisión por parte de este Tribunal; otorgándoles (art. 50 de la misma Ley Orgánica) un plazo común de diez días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El Fiscal ante el Tribunal Constitucional, en escrito registrado el 19 de diciembre, comprobó que, al comparecer la recurrente sin representación de un procurador ni direc</w:t>
      </w:r>
      <w:r>
        <w:lastRenderedPageBreak/>
        <w:t>ción de Letrado, incurría su demanda en la causa de inadmisión señalada en primer lugar. También incurre la demanda, según el Ministerio Fiscal, en la causa de inadmisión del art. 50.2 a) de la LOTC, al no invocarse como fundamento de la demanda articulo alguno que recoja derechos o libertades fundamentales susceptibles de amparo; y por ser ello así y afectar la Sentencia del Magistrado de Trabajo, impugnada en abstracto, a materia de legalidad ordinaria, carece la demanda del contenido constitucional que exige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4</w:t>
      </w:r>
      <w:r>
        <w:t>. La demandante dejó transcurrir el plazo concedido sin presentar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Entre las formalidades que la LOTC impone para la interposición del recurso de amparo figura, según su art.  81, la de que las personas físicas o jurídicas cuyo interés les legitime para comparecer en los procesos constitucionales han de «conferir su representación a un Procurador y actuar bajo la dirección de un Letrado», salvo el supuesto de que quien interponga el recurso tenga título de Licenciado en Derecho y defienda derechos o intereses propios.  La inobservancia de esta formalidad pudo subsanarse dentro del plazo concedido por nuestra providencia en el marco del art.  50 de la Ley Orgánica en cuestión, por lo que, al no haberlo hecho la recurrente, su demanda incurre ahora en la causa de inadmisibilidad contemplada en el referido artículo.</w:t>
      </w:r>
    </w:p>
    <w:p w:rsidR="00256EE9" w:rsidRDefault="00256EE9" w:rsidP="00256EE9">
      <w:pPr>
        <w:pStyle w:val="TextoNormal"/>
      </w:pPr>
    </w:p>
    <w:p w:rsidR="00256EE9" w:rsidRDefault="00256EE9" w:rsidP="00256EE9">
      <w:pPr>
        <w:pStyle w:val="TextoNormal"/>
      </w:pPr>
      <w:r w:rsidRPr="00256EE9">
        <w:rPr>
          <w:rStyle w:val="NumeroAFNegritaCaracter"/>
        </w:rPr>
        <w:t>2</w:t>
      </w:r>
      <w:r>
        <w:t>. Aunque la existencia de dicha causa hace superflua la consideración de las otras dos señaladas en nuestra providencia, cabe añadir, sin embargo, que como se sugería en la misma y subraya el Ministerio Fiscal, la demanda se deduce respecto a derechos o libertades no susceptibles de amparo constitucional, moviéndose la Sentencia impugnada en materia de legislación ordinaria ajena a este Tribunal, con lo que también se dan los supuestos del art. 50.2 a) y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 la demanda.</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4" w:name="AUTO_1985_33"/>
      <w:r>
        <w:lastRenderedPageBreak/>
        <w:t>AUTO 33/1985, de 16 de enero de 1985</w:t>
      </w:r>
    </w:p>
    <w:bookmarkEnd w:id="94"/>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ECLI:ES:TC:1985:33A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743/1984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Félix Javier Rodríguez García y otros más, funcionarios municipales del Ayuntamiento de Gijón, mantuvieron una situación de huelga durante los días 17 a 20 de octubre de 1983, como consecuencia de la cual el Ayuntamiento, al efectuar la liquidación de sus haberes de dicho mes, les descontó los correspondientes a los días de huelga. Los funcionarios afectados interpusieron recurso de reposición que fue desestimado por Acuerdo de la Comisión Permanente de 17 de enero de 1984, y posteriormente recurso contencioso-administrativo, La Sala de dicha jurisdicción de la Audiencia Territorial de Oviedo dictó Sentencia con fecha 6 de octubre de 1984, en la que, apoyándose en la jurisprudencia reiterada del Tribunal Supremo, estimó que la actuación municipal consistió en una privación de derechos sin cobertura legal, omitiendo las garantías propias de todo procedimiento sancionador, por lo que anuló la resolución de 17 de enero y condenó al Ayuntamiento a abonar las retribuciones indebidamente retenidas con sus intereses legales.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Contra esta Sentencia formuló el Ayuntamiento el presente recurso de amparo mediante demanda en la que denuncia la vulneración del art. 14 de la Constitución por entender que se discrimina a la Entidad pública en relación a las Empresas privadas. Estas últimas no están obligadas a abonar los salarios a sus trabajadores en caso de huelga, en tanto que se impone al Ayuntamiento el abono de su retribución a los funcionarios en el mismo caso. </w:t>
      </w:r>
    </w:p>
    <w:p w:rsidR="00256EE9" w:rsidRDefault="00256EE9" w:rsidP="00256EE9">
      <w:pPr>
        <w:pStyle w:val="TextoNormal"/>
      </w:pPr>
      <w:r>
        <w:t>El demandante estima que la única razón alegada por la Sala -la inexistencia de regulación de la huelga de funcionarios- no justifica la diferencia de trato, sino que, al contrario, debió conducir a aplicar por analogía la normativa vigente. Discute igualmente que la retención de las retribuciones fuera una sanción y considera que se está otorgando a los funcionarios un trato de privilegio frente a los trabajadores.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5 de diciembre pasado se acordó poner de manifiesto al demandante y al Ministerio Fiscal la Sentencia dictada por este Tribunal con fecha 5 de octubre de 1984, publicada en el «Boletín Oficial del Estado» del día 31 siguiente, y oírles acerca de la posible existencia de la causa de inadmisión que regula el art. 50.2 c) de la Ley Orgánica de este Tribunal. </w:t>
      </w:r>
    </w:p>
    <w:p w:rsidR="00256EE9" w:rsidRDefault="00256EE9" w:rsidP="00256EE9">
      <w:pPr>
        <w:pStyle w:val="TextoNormal"/>
      </w:pPr>
      <w:r>
        <w:lastRenderedPageBreak/>
        <w:t xml:space="preserve">La representación del Ayuntamiento ha alegado que el recurso resuelto por la Sentencia impugnada no planteaba un supuesto sustancialmente igual; sin que, por otra parte, la existencia de una Sentencia anterior implique la de una doctrina que deba ser mantenida. </w:t>
      </w:r>
    </w:p>
    <w:p w:rsidR="00256EE9" w:rsidRDefault="00256EE9" w:rsidP="00256EE9">
      <w:pPr>
        <w:pStyle w:val="TextoNormal"/>
      </w:pPr>
      <w:r>
        <w:t>El Ministerio Fiscal ha expuesto que concurre la causa de inadmisión referida al darse igualdad en los hechos, en el petitum y en la causa petendi</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En la providencia inicial dictada en este recurso, y en aplicación de lo previsto en el apartado c) del núm.  2 del art.  50 de la LOTC, sobre inadmisibilidad por haberse desestimado en el fondo otro recurso de amparo en supuesto sustancialmente igual, con expresa referencia en cuanto a éste de la fecha de la Sentencia y «Boletín Oficial del Estado», en que se insertó, amén de incorporar a los presentes autos una copia literal o íntegra del mismo fallo, se otorgó el pertinente plazo para alegaciones, dentro del cual la parte recurrente formuló las que estima convienen a su derecho -referidas, por supuesto, al parangón del caso actual con el dilucidado mediante la Sentencia de que se hizo mérito-, alegaciones respecto de las cuales es preciso consignar:</w:t>
      </w:r>
    </w:p>
    <w:p w:rsidR="00256EE9" w:rsidRDefault="00256EE9" w:rsidP="00256EE9">
      <w:pPr>
        <w:pStyle w:val="TextoNormal"/>
      </w:pPr>
      <w:r>
        <w:t>a) En cuanto a que los supuestos no son sustancialmente iguales, reconoce la parte demandante que los hechos son sustancialmente idénticos, en cuanto se trata de huelga de funcionarios de un Ayuntamiento, que no abona los haberes correspondientes a los días en que no trabajaron, a cuyo pago obliga una decisión de los Tribunales de lo Contencioso-Administrativo. Pero advierte que la diferencia está en la causa petendi en cuanto en el recurso de amparo sentenciado se situó en el quebranto del principio de igualdad al otorgar un tratamiento privilegiado a los funcionarios públicos en relación con los trabajadores, mientras que en el actual aquella vulneración constitucional se radica al tratar de modo distinto a los Entes públicos respecto de las Empresas privadas.</w:t>
      </w:r>
    </w:p>
    <w:p w:rsidR="00256EE9" w:rsidRDefault="00256EE9" w:rsidP="00256EE9">
      <w:pPr>
        <w:pStyle w:val="TextoNormal"/>
      </w:pPr>
      <w:r>
        <w:t>Inaceptable tesis porque, en realidad, el parangón no queda referido a esa visión subjetiva y unilateral de la relación o vínculo que une a una y otra parte, sino más propiamente a la naturaleza o carácter de tal relación o vínculo, esto es, en un caso de índole laboral, y en el otro funcionarial, y ello contemplados en uno y otro supuesto, tanto desde el punto de vista del empleador como del empleado, porque, finalmente, tampoco el examen aislado de una y otra situación permiten alcanzar conclusiones distintas o divergentes.</w:t>
      </w:r>
    </w:p>
    <w:p w:rsidR="00256EE9" w:rsidRDefault="00256EE9" w:rsidP="00256EE9">
      <w:pPr>
        <w:pStyle w:val="TextoNormal"/>
      </w:pPr>
      <w:r>
        <w:t xml:space="preserve">b) Por lo que importa a la improcedencia de mantener o aceptar el principio de unidad de doctrina, conviene señalar que, ciertamente, el precepto de la LOTC antes citado no puede ser interpretado en el sentido de que obstaculiza absolutamente cualquier alteración en la doctrina que este Tribunal haya establecido, convirtiéndola en monolítica o invariable, sino que se trata del establecimiento en aquella Ley de una mera posibilidad, de la que el Tribunal podrá hacer uso cuando un supuesto sustancialmente igual haya sido pretéritamente fallado en cuanto al fondo, pero con la incuestionable posibilidad de apartarse de esa anterior doctrina, si así lo considera procedente.  No es tal el supuesto presente, y ello en virtud de lo que queda expuesto en el precedente epígrafe a), a lo que es menester añadir que en este momento y circunstancia no nos hallamos frente a un recurso contra la Sentencia dictada por este Tribunal con fecha 5 de octubre último, en la que se contienen unos razonamientos de los que discrepa la parte hoy recurrente arguyendo con el propósito de poner de relieve la necesidad de que en el punto cuestionado se dé un tratamiento igual a trabajadores y funcionarios (o si se quiere, a Empresas privadas y Entes públicos), posición ya sustentada en el primer recurso y rechazada en la Sentencia que le puso término, con aplicación e interpretación de una normativa en la que se ha estimado preciso incidir </w:t>
      </w:r>
      <w:r>
        <w:lastRenderedPageBreak/>
        <w:t>por el legislador mediante la Ley 30/1984, de Reforma de la Función Pública, disponiendo en ella la deducción de haberes a los funcionarios que ejerciten el derecho de huelga.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5" w:name="AUTO_1985_34"/>
      <w:r>
        <w:lastRenderedPageBreak/>
        <w:t>AUTO 34/1985, de 16 de enero de 1985</w:t>
      </w:r>
    </w:p>
    <w:bookmarkEnd w:id="95"/>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ECLI:ES:TC:1985:34A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758/1984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En proceso por despido seguido a instancias de doña Aurora Ramos Gómez contra don Pedro Martínez Carrasco, titular del «Gimnasio Nagoya», la Magistratura de Trabajo núm. 17 de Madrid dictó Sentencia absolutoria con fecha 14 de diciembre de 1982, reconociendo en la incompetencia de jurisdicción por considerar que no existió contrato de trabajo entre las partes. </w:t>
      </w:r>
    </w:p>
    <w:p w:rsidR="00256EE9" w:rsidRDefault="00256EE9" w:rsidP="00256EE9">
      <w:pPr>
        <w:pStyle w:val="TextoNormal"/>
      </w:pPr>
      <w:r>
        <w:t xml:space="preserve">En dicha Sentencia, se declararon como hechos probados los siguientes: «Primero: Que la actora era alumna del ''Gimnasio Nagoya'', del que es titular don Pedro Martínez Carrasco. Segundo: Que la actora colaboraba en dar clases de forma discontinua. Tercero: Que presentó demanda por despido. </w:t>
      </w:r>
    </w:p>
    <w:p w:rsidR="00256EE9" w:rsidRDefault="00256EE9" w:rsidP="00256EE9">
      <w:pPr>
        <w:pStyle w:val="TextoNormal"/>
      </w:pPr>
      <w:r>
        <w:t xml:space="preserve">Cuarto: Que la Empresa ocupa menos de 25 trabajadores». </w:t>
      </w:r>
    </w:p>
    <w:p w:rsidR="00256EE9" w:rsidRDefault="00256EE9" w:rsidP="00256EE9">
      <w:pPr>
        <w:pStyle w:val="TextoNormal"/>
      </w:pPr>
      <w:r>
        <w:t xml:space="preserve">Recurrida dicha Sentencia en suplicación, el Tribunal Central de Trabajo dictó la de 22 de noviembre de 1983, declarando la competencia del orden jurisdiccional laboral para conocer del fondo de la cuestión planteada y reponiendo las actuaciones al momento de dictar Sentencia, para que el juzgador, con libertad de criterio, dictase otra nueva con posibilidad de práctica de diligencias para mejor proveer. </w:t>
      </w:r>
    </w:p>
    <w:p w:rsidR="00256EE9" w:rsidRDefault="00256EE9" w:rsidP="00256EE9">
      <w:pPr>
        <w:pStyle w:val="TextoNormal"/>
      </w:pPr>
      <w:r>
        <w:t xml:space="preserve">El Magistrado de Trabajo dictó nueva Sentencia en 10 de enero de 1984, declarando la nulidad del despido de la trabajadora por haber sido realizado de forma verbal. Los hechos probados de tal Sentencia son los siguientes: </w:t>
      </w:r>
    </w:p>
    <w:p w:rsidR="00256EE9" w:rsidRDefault="00256EE9" w:rsidP="00256EE9">
      <w:pPr>
        <w:pStyle w:val="TextoNormal"/>
      </w:pPr>
      <w:r>
        <w:t>«Primero: Que la actora fue despedida de su puesto de trabajo por la Empresa demandada en forma verbal. Segundo: Que su salario era de 20.000 pesetas mes. Tercero: Que su antigüedad era la de 1 de noviembre de 1980 y realizaba funciones propias de secretaria, así como de forma discontinua colaboraba dando clases. Cuarto: Que la demandada ocupa menos de 25 trabajadores». El Tribunal Central de Trabajo confirmó esta Sentencia por la suya de 13 de julio de 1984.</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Contra estas dos últimas Sentencias se interpuso el presente recurso de amparo mediante demanda, presentada el 2 de noviembre pasado, en la que se denuncia la vulneración del art. 14 de la Constitución por cuanto el Magistrado de Trabajo ha dictado dos Sentencias contradictorias sobre el mismo pleito, con base en las mismas pruebas, dándose la paradoja de que los hechos declarados probados en la primera son radicalmente contrarios a los de la segunda, con el resultado de ser condenado quien antes había sido absuelto, </w:t>
      </w:r>
      <w:r>
        <w:lastRenderedPageBreak/>
        <w:t xml:space="preserve">cuando la primera de las Sentencias había sido anulada por motivaciones de tipo formal. El demandante recuerda la doctrina del Tribunal Constitucional de que los supuestos de hecho iguales deben ser tratados idénticamente en sus consecuencias jurídicas, y alega que en el caso presente concurre la circunstancia de la identidad de hechos, toda vez que las dos Sentencias se dictaron sobre la base de las mismas pruebas, sin que ningún hecho posterior ni prueba practicada concurriese para modificar el criterio del Magistrado de instancia. </w:t>
      </w:r>
    </w:p>
    <w:p w:rsidR="00256EE9" w:rsidRDefault="00256EE9" w:rsidP="00256EE9">
      <w:pPr>
        <w:pStyle w:val="TextoNormal"/>
      </w:pPr>
      <w:r>
        <w:t>También considera vulnerados los derechos a obtener una tutela efectiva sin que pueda producirse indefensión y a utilizar los medios de prueba pertinentes para la defensa, reconocidos en el art. 24 de la Constitución. Puesto que la primera Sentencia fue anulada por razones formales, la segunda debió dictarse sobre la base de los hechos declarados probados en aquélla, salvo práctica de nueva prueba que no existió. Al haberse dictado una nueva Sentencia con una alteración total de los hechos probados sin la práctica de nuevas pruebas, se vulneran los derechos mencionados.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5 de diciembre se acordó oir a la parte demandante y al Ministerio Fiscal acerca de la posible inadmisión del recurso de amparo por la causa que regula el art. 50.2 b) de la Ley Orgánica de este Tribunal por cuanto pudiera la demanda carecer de contenido que justifique nuestra decisión. </w:t>
      </w:r>
    </w:p>
    <w:p w:rsidR="00256EE9" w:rsidRDefault="00256EE9" w:rsidP="00256EE9">
      <w:pPr>
        <w:pStyle w:val="TextoNormal"/>
      </w:pPr>
      <w:r>
        <w:t xml:space="preserve">La parte demandante ha alegado que el contenido constitucional de la demanda viene dado por la vulneración de los arts. 14 y 24 de la Constitución en los términos que razona y expuso en la misma demanda. </w:t>
      </w:r>
    </w:p>
    <w:p w:rsidR="00256EE9" w:rsidRDefault="00256EE9" w:rsidP="00256EE9">
      <w:pPr>
        <w:pStyle w:val="TextoNormal"/>
      </w:pPr>
      <w:r>
        <w:t>El Ministerio Fiscal ha expuesto que las dos Sentencias pretendidamente contradictorias no lo son en cuanto una no entra en el fondo del asunto y la otra resuelve la pretensión objeto de la demanda laboral; siendo diferente la valoración del supuesto de hecho de las Sentencias, no puede haber violación del principio de igualdad. Tampoco existe violación del art. 24 de la Constitución por cuanto el demandante ha tenido acceso a un proceso con todas las garantías y posibilidades de alegaciones y pruebas y ha obtenido una respuesta del órgano jurisdiccional, aunque con resultado adverso a sus pretensiones.</w:t>
      </w:r>
    </w:p>
    <w:p w:rsidR="00256EE9" w:rsidRDefault="00256EE9" w:rsidP="00256EE9">
      <w:pPr>
        <w:pStyle w:val="TextoNormal"/>
      </w:pPr>
    </w:p>
    <w:p w:rsidR="00256EE9" w:rsidRDefault="00256EE9" w:rsidP="00256EE9">
      <w:pPr>
        <w:pStyle w:val="TextoNormal"/>
      </w:pPr>
      <w:r w:rsidRPr="00256EE9">
        <w:rPr>
          <w:rStyle w:val="NumeroAFNegritaCaracter"/>
        </w:rPr>
        <w:t>4</w:t>
      </w:r>
      <w:r>
        <w:t>. Por otrosí de la demanda de amparo se pidió la suspensión de la ejecución de la Sentencia de la Magistratura, formándose la correspondiente pieza separada en que han sido oídos el demandante y el Ministerio Fiscal.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Este recurso plantea la presunta vulneración del principio de igualdad y del derecho a la tutela judicial efectiva, así como a utilizar los medios de prueba pertinentes para la defensa, cometida en la Sentencia de la Magistratura de Trabajo que declara la nulidad del despido, modificando los hechos declarados probados y la consecuencia jurídica obtenida en una Sentencia precedente, todo ello al no haberse tenido en cuenta por el juzgador que estaba vinculado por los hechos probados de la primera Sentencia, anulada por la de suplicación del Tribunal Central de Trabajo, y por el pronunciamiento entonces adoptado, de modo que la modificación de unos y otro, sin la previa realización de nuevas pruebas que lo justifique, vulnera los derechos invocados.</w:t>
      </w:r>
    </w:p>
    <w:p w:rsidR="00256EE9" w:rsidRDefault="00256EE9" w:rsidP="00256EE9">
      <w:pPr>
        <w:pStyle w:val="TextoNormal"/>
      </w:pPr>
      <w:r>
        <w:t>Para resolver adecuadamente este caso conviene consignar que la primera Sentencia de Magistratura, considera que es incompetente la jurisdicción laboral por no haberse acredi</w:t>
      </w:r>
      <w:r>
        <w:lastRenderedPageBreak/>
        <w:t>tado la existencia de contrato de trabajo entre las partes, y con absolución de los demandados, desestima la demanda formulada por despido, mientras que el Tribunal Central declara la competencia del orden jurisdiccional laboral y ordena a la Magistratura que dicte nueva Sentencia sobre el fondo, con posibilidad de acordar diligencias para mejor proveer, y ello por entender que esa es la única jurisdicción competente para declarar si existe o no relación o vínculo laboral, lo que comporta la exigencia de que en la instancia se aborde la cuestión de fondo que el litigio plantea.</w:t>
      </w:r>
    </w:p>
    <w:p w:rsidR="00256EE9" w:rsidRDefault="00256EE9" w:rsidP="00256EE9">
      <w:pPr>
        <w:pStyle w:val="TextoNormal"/>
      </w:pPr>
      <w:r>
        <w:t>En su virtud, en el nuevo pronunciamiento -ahora recurrido en amparo- el Magistrado parte de la declaración de competencia efectuada por el Tribunal Central y entra directamente a resolver sobre el fondo del asunto, sin dilucidar ya la existencia o no del vínculo material entre las partes, que da por supuesto, y teniendo en cuenta que no han sido discutidos la antigüedad de la actora y el hecho del despido verbal, y que la retribución y funciones resultan de la prueba practicada, declara la nulidad del despido y condena a la readmisión de la actora y al abono de los salarios dejados de percibir.</w:t>
      </w:r>
    </w:p>
    <w:p w:rsidR="00256EE9" w:rsidRDefault="00256EE9" w:rsidP="00256EE9">
      <w:pPr>
        <w:pStyle w:val="TextoNormal"/>
      </w:pPr>
      <w:r>
        <w:t>Esta segunda Sentencia establece unos hechos probados diferentes de los fijados en la primera, pero ello se debe a la necesidad de incluir unos hechos que no eran precisos cuando la Sentencia conducía a declarar la incompetencia de jurisdicción y, también, por reputar probados hechos que en la primera fase o episodio no considero acreditados.</w:t>
      </w:r>
    </w:p>
    <w:p w:rsidR="00256EE9" w:rsidRDefault="00256EE9" w:rsidP="00256EE9">
      <w:pPr>
        <w:pStyle w:val="TextoNormal"/>
      </w:pPr>
    </w:p>
    <w:p w:rsidR="00256EE9" w:rsidRDefault="00256EE9" w:rsidP="00256EE9">
      <w:pPr>
        <w:pStyle w:val="TextoNormal"/>
      </w:pPr>
      <w:r w:rsidRPr="00256EE9">
        <w:rPr>
          <w:rStyle w:val="NumeroAFNegritaCaracter"/>
        </w:rPr>
        <w:t>2</w:t>
      </w:r>
      <w:r>
        <w:t>. La invocación del art.  14 de la C. E.  se hace en cuanto reconoce el derecho de igualdad en la aplicación de la Ley, según tiene reiteradamente declarado este Tribunal, y que implica que un mismo órgano jurisdiccional no pueda, en casos sustancialmente iguales, modificar arbitrariamente el sentido de sus precedentes, y que cuando desee apartarse de ellos ha de ofrecer una fundamentación suficiente y razonable, constituyendo -en el caso presente- la primera Sentencia de Magistratura el precedente obligado, del que no podía apartarse sin adecuada fundamentación la segunda.</w:t>
      </w:r>
    </w:p>
    <w:p w:rsidR="00256EE9" w:rsidRDefault="00256EE9" w:rsidP="00256EE9">
      <w:pPr>
        <w:pStyle w:val="TextoNormal"/>
      </w:pPr>
      <w:r>
        <w:t>Mas el error de esta argumentación consiste en omitir que sólo puede considerarse como precedente a los efectos de aplicación del principio de igualdad, un pronunciamiento válido y no, obviamente, un pronunciamiento anulado.  La declaración de nulidad por parte del Tribunal Central de la Sentencia de Magistratura supone la carencia de efectos de la misma, ineficacia que por supuesto alcanza a su utilización como término de comparación en la constitucional apreciación de la igualdad.</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Igualmente privada de fundamento está la invocación del derecho a la tutela judicial efectiva y el derecho de utilizar los medios de prueba pertinentes para la defensa, puesto que la Sentencia de Magistratura se ha dictado como consecuencia de una valoración judicial de la prueba práctica en un proceso desarrollado de conformidad al ordenamiento procesal, y en el que cada parte ha podido alegar y probar lo que estimara oportuno, sin que a ello obste que el juzgador de instancia no haya hecho uso de la facultad de acordar la práctica de diligencias o pruebas para mejor proveer, que la Ley le atribuye, y que el órgano superior expresamente consignó como facultativas, sin duda porque el Magistrado estimó suficientes las pruebas practicadas, articulando al fallar determinados hechos probados, pero todos ellos reflejados en el proceso ya desde su inicio, esto es, desde la misma interposición de la demanda, por lo que es claro que las partes pudieron argüir y probar acerca de ellos.  En suma, anulada la primera Sentencia, y no decretado por el Tribunal Central el respeto o mantenimiento de los hechos declarados probados en la misma, el Magistrado se enfrenta ex novo a la prueba existente, y obtiene unos determinados resultados, sin que se </w:t>
      </w:r>
      <w:r>
        <w:lastRenderedPageBreak/>
        <w:t>le pueda obligar a quedar vinculados a unos propios anteriores pronunciamientos que han sido anulados.</w:t>
      </w:r>
    </w:p>
    <w:p w:rsidR="00256EE9" w:rsidRDefault="00256EE9" w:rsidP="00256EE9">
      <w:pPr>
        <w:pStyle w:val="TextoNormal"/>
      </w:pPr>
    </w:p>
    <w:p w:rsidR="00256EE9" w:rsidRDefault="00256EE9" w:rsidP="00256EE9">
      <w:pPr>
        <w:pStyle w:val="TextoNormal"/>
      </w:pPr>
      <w:r w:rsidRPr="00256EE9">
        <w:rPr>
          <w:rStyle w:val="NumeroAFNegritaCaracter"/>
        </w:rPr>
        <w:t>4</w:t>
      </w:r>
      <w:r>
        <w:t>. Ausente, pues, también el apoyo que la pretensión deducida en este recurso de amparo entiende el recurrente que le presta el art. 24 de la C. E., y ello del modo manifiesto que requiere el art. 50.2 b) de la LOTC, es obligado decretar la inadmisibilidad de tal recurso, sin necesidad de pronunciamiento en cuanto a la petición de suspensión de ejecución de las resoluciones impugnadas.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6" w:name="AUTO_1985_35"/>
      <w:r>
        <w:lastRenderedPageBreak/>
        <w:t>AUTO 35/1985, de 16 de enero de 1985</w:t>
      </w:r>
    </w:p>
    <w:bookmarkEnd w:id="96"/>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ECLI:ES:TC:1985:35A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766/1984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este Tribunal el 5 de noviembre de 1984, se interpuso recurso de amparo constitucional por don Manuel Elvira Torres, funcionario del Cuerpo de la Guardia Civil, contra Acuerdos de 4 de octubre de 1984 y 30 de agosto de 1984, del Capitán General de la VI Región Militar, sobre retención de haberes del guardia civil don José Cabalgante Alvarez; resoluciones recaídas como consecuencia del embargo preventivo decretado por el Juzgado de Primera Instancia núm. 2 de los de Pamplona, en autos de juicio de mayor cuantía de reclamación de cantidad promovido por don Manuel Elvira Torres contra el citado don José Cabalgante. </w:t>
      </w:r>
    </w:p>
    <w:p w:rsidR="00256EE9" w:rsidRDefault="00256EE9" w:rsidP="00256EE9">
      <w:pPr>
        <w:pStyle w:val="TextoNormal"/>
      </w:pPr>
      <w:r>
        <w:t xml:space="preserve">En la demanda de amparo se pide que se reconozca el derecho a la retención legal de los haberes de don José Cabalgante Alvarez, conforme a lo prevenido en el art. 1.451 de la Ley de Enjuiciamiento Civil, eliminando la desigualdad de trato establecida en los arts. 709 y 710 del Código de Justicia Militar respecto del resto de los funcionarios civiles, empleados y demás ciudadanos perceptores de salarios o sueldos. Asimismo que se reconozca el derecho a obtener la tutela efectiva del Juzgado de Primera Instancia de Pamplona evitando que se produzca indefensión. Finalmente, mediante otrosí, pide que se suspenda la ejecución del acto de la liquidación de los haberes de don José Cabalgante Alvarez, por haber solicitado éste pasar a la reserva activa y, en consecuencia, que se libre exhorto al Capitán General de la VI Región a fin de que no proceda a la entrega del importe de dicha liquidación, entre otras actuaciones. </w:t>
      </w:r>
    </w:p>
    <w:p w:rsidR="00256EE9" w:rsidRDefault="00256EE9" w:rsidP="00256EE9">
      <w:pPr>
        <w:pStyle w:val="TextoNormal"/>
      </w:pPr>
      <w:r>
        <w:t>El recurso de amparo fue admitido a trámite por providencia de 5 de diciembre pasado.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Formada pieza separada para sustanciar el incidente de suspensión, se acordó oir sobre la pretensión incidental al Ministerio Fiscal y a la representación del demandante. </w:t>
      </w:r>
    </w:p>
    <w:p w:rsidR="00256EE9" w:rsidRDefault="00256EE9" w:rsidP="00256EE9">
      <w:pPr>
        <w:pStyle w:val="TextoNormal"/>
      </w:pPr>
      <w:r>
        <w:t xml:space="preserve">El Ministerio Fiscal ha alegado que la efectividad del embargo preventivo pendiente de la resolución del recurso de amparo puede quedar sin finalidad si sigue ejecutándose la resolución de la Autoridad judicial militar, si no existiesen bienes sobre los que efectuar esta medida cautelar; por lo cual no se opone a la petición de suspensión, sin perjuicio de las garantías que el Tribunal pueda acordar. </w:t>
      </w:r>
    </w:p>
    <w:p w:rsidR="00256EE9" w:rsidRDefault="00256EE9" w:rsidP="00256EE9">
      <w:pPr>
        <w:pStyle w:val="TextoNormal"/>
      </w:pPr>
      <w:r>
        <w:t>La parte demandante no ha formulado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Impugnados en este recurso de amparo acuerdos adoptados por la Autoridad militar denegatorios de retención de haberes devengados por un Guardia Civil, retención consecuente a embargo preventivo decretado, previa prestación de fianza, contra el mismo como demandado en proceso de mayor cuantía en reclamación de cantidad, es claro que supuesto de no accederse a la solicitud de suspensión de ejecución de los acuerdos recurridos puede originarse un perjuicio que haría perder a este recurso su finalidad, lo que obliga a decretar tal suspensión de conformidad con lo establecido en el art. 56 de la LOTC y lo alegado por el Ministerio Fiscal.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Sala acuerda la suspensión de la ejecución de los acuerdos impugnados en este recurso de amparo, debiendo en consecuencia procederse a la retención de remuneraciones en la forma acordada por el Juzgado de Primera Instancia núm. 2 de los de Pamplona,</w:t>
      </w:r>
    </w:p>
    <w:p w:rsidR="00256EE9" w:rsidRDefault="00256EE9" w:rsidP="00256EE9">
      <w:pPr>
        <w:pStyle w:val="TextoNormal"/>
      </w:pPr>
      <w:r>
        <w:t>al que se comunicará esta resolución, y del mismo modo, a la Capitanía General de la VI Región Militar.</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7" w:name="AUTO_1985_36"/>
      <w:r>
        <w:lastRenderedPageBreak/>
        <w:t>AUTO 36/1985, de 16 de enero de 1985</w:t>
      </w:r>
    </w:p>
    <w:bookmarkEnd w:id="97"/>
    <w:p w:rsidR="00256EE9" w:rsidRDefault="00256EE9" w:rsidP="00256EE9">
      <w:pPr>
        <w:pStyle w:val="TtuloResolucin"/>
      </w:pPr>
      <w:r>
        <w:t>Sala Primera</w:t>
      </w:r>
    </w:p>
    <w:p w:rsidR="00256EE9" w:rsidRDefault="00256EE9" w:rsidP="00256EE9">
      <w:pPr>
        <w:pStyle w:val="TtuloResolucin"/>
      </w:pPr>
    </w:p>
    <w:p w:rsidR="00256EE9" w:rsidRDefault="00256EE9" w:rsidP="00256EE9">
      <w:pPr>
        <w:pStyle w:val="SntesisDescriptiva"/>
      </w:pPr>
      <w:r>
        <w:t>ECLI:ES:TC:1985:36A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don Manuel Díez de Velasco Vallejo, doña Gloria Begué Cantón,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778/1984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presentado en este Tribunal el pasado día 8 de noviembre, don Emilio García Fernández, Procurador de los Tribunales, en nombre y representación de doña Ana María Santos García, interpuso demanda de amparo contra la Sentencia de 26 de julio de 1984, de la Sala de lo Contencioso-Administrativo de la Audiencia Territorial de Valladolid, que estimó parcialmente el recurso interpuesto por don Jesús Paniagua Pérez contra determinadas resoluciones por las que se había designado a la señora Santos para ocupar la plaza de profesor contratado de Historia de América de la Facultad de Filosofía y Letras de la Universidad de León y, en consecuencia, declaró la nulidad de actuaciones practicadas en el procedimiento seguido en el concurso convocado para la contratación de un profesor para cubrir la referida plaza a partir de la presentación de instancias de los solicitantes. </w:t>
      </w:r>
    </w:p>
    <w:p w:rsidR="00256EE9" w:rsidRDefault="00256EE9" w:rsidP="00256EE9">
      <w:pPr>
        <w:pStyle w:val="TextoNormal"/>
      </w:pPr>
      <w:r>
        <w:t>En la referida demanda de amparo se pide mediante otrosí que, de conformidad con lo establecido en el art. 56 de la Ley Orgánica del Tribunal Constitucional (LOTC), se acuerde la suspensión de la ejecución de la Sentencia impugnada. La demandante entiende que la ejecución de la Sentencia impugnada le ocasionaría un perjuicio irreparable que, en definitiva, haría perder al amparo solicitado su finalidad, por cuanto, en cumplimiento de lo dispuesto en dicha Sentencia, el Rectorado de la Universidad de León ha de proceder a realizar nuevo concurso de selección que indudablemente haría ineficaz el resultado del amparo solicitado, de concluirse el mismo y otorgar un nombramiento, que necesariamente debería ser luego recurrido en diversas instancias. Al propio tiempo -se añade- la situación en la que se coloca a la recurrente con la ejecución de la Sentencia impugnada se concreta en la suspensión de su actividad docente, lo que ocasionaría no ya sólo el perjuicio económico que se materializa en la resolución del contrato suscrito con la Universidad de León y sus cláusulas penales, sino incluso en el perjuicio académico y de la labor docente con los consiguientes inconvenientes para terceros, cuales son los alumnos, que se verían indudablemente afectados por la suspensión de las labores docentes.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21 de noviembre de 1984 la Sección acordó formar la correspondiente pieza separada, y conforme con lo dispuesto en el art. 56.2 de la LOTC, otorgar un </w:t>
      </w:r>
      <w:r>
        <w:lastRenderedPageBreak/>
        <w:t>plazo común de tres días al Ministerio Fiscal y a la solicitante del amparo para que alegasen lo que estimasen pertinente en orden a la suspensión solicitada.</w:t>
      </w:r>
    </w:p>
    <w:p w:rsidR="00256EE9" w:rsidRDefault="00256EE9" w:rsidP="00256EE9">
      <w:pPr>
        <w:pStyle w:val="TextoNormal"/>
      </w:pPr>
    </w:p>
    <w:p w:rsidR="00256EE9" w:rsidRDefault="00256EE9" w:rsidP="00256EE9">
      <w:pPr>
        <w:pStyle w:val="TextoNormal"/>
      </w:pPr>
      <w:r w:rsidRPr="00256EE9">
        <w:rPr>
          <w:rStyle w:val="NumeroAFNegritaCaracter"/>
        </w:rPr>
        <w:t>3</w:t>
      </w:r>
      <w:r>
        <w:t>. El Ministerio Fiscal, en escrito presentado el pasado día 28 de noviembre, entiende que debe otorgarse la suspensión solicitada, pues, a su juicio, la ejecución de la Sentencia impugnada supondría el cese de la recurrente como profesora contratada (en este sentido, ha recibido ya una comunicación del Decano de la Facultad), con lo que, de otorgarse el amparo, que habría de ordenar precisamente la nulidad de la Sentencia, aquél perdería su finalidad. Por otra parte, no se sigue perturbación grave de los intereses generales o de los derechos fundamentales de un tercero, ya que la suspensión interesada sólo supone un retraso en la solución definitiva del tema plan teado ante la jurisdicción ordinaria.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su parte, la representación de la demandante, en escrito presentado el 11 de diciembre siguiente, insiste en la procedencia de la suspensión solicitada. Los argumentos en los que basa su pretensión son, en sustancia, los siguientes: </w:t>
      </w:r>
    </w:p>
    <w:p w:rsidR="00256EE9" w:rsidRDefault="00256EE9" w:rsidP="00256EE9">
      <w:pPr>
        <w:pStyle w:val="TextoNormal"/>
      </w:pPr>
      <w:r>
        <w:t xml:space="preserve">a) Como consecuencia de la Sentencia impugnada, y ya en fase de ejecución, la Universidad de León, tal y como consta en los documentos que se acompañaron a la demanda de amparo, ha procedido de manera inmediata a anular tanto el contrato administrativo suscrito con la demandante como la prórroga que tenía concedida hasta septiembre de 1985 y, en su consecuencia, ha procedido al cese de sus funciones docentes en la Universidad de León. </w:t>
      </w:r>
    </w:p>
    <w:p w:rsidR="00256EE9" w:rsidRDefault="00256EE9" w:rsidP="00256EE9">
      <w:pPr>
        <w:pStyle w:val="TextoNormal"/>
      </w:pPr>
      <w:r>
        <w:t xml:space="preserve">b) Al propio tiempo, la Universidad de León, en cumplimiento del fallo de la Sentencia recurrida en amparo, ha procedido a la realización de un nuevo proceso de selección, que a la fecha en que se presentan estas alegaciones aún no ha concluido definitivamente, puesto que faltan diversos trámites para la formalización del contrato administrativo al nuevo profesor seleccionado, razón por la cual es de extrema urgencia el que la suspensión se produzca a la mayor brevedad posible en evitación de ulteriores complicaciones en el aspecto administrativo. </w:t>
      </w:r>
    </w:p>
    <w:p w:rsidR="00256EE9" w:rsidRDefault="00256EE9" w:rsidP="00256EE9">
      <w:pPr>
        <w:pStyle w:val="TextoNormal"/>
      </w:pPr>
      <w:r>
        <w:t xml:space="preserve">c) Parece indudable que la suspensión de la ejecución del acto recurrido no producirá ningún tipo de perturbación de los intereses generales e igualmente, y dada la situación existente en el presente momento, no afectará a los intereses de ningún tercero, ya que tal consideración no puede tenerla quien promovió el procedimiento judicial finalizado por la Sentencia impugnada en amparo. </w:t>
      </w:r>
    </w:p>
    <w:p w:rsidR="00256EE9" w:rsidRDefault="00256EE9" w:rsidP="00256EE9">
      <w:pPr>
        <w:pStyle w:val="TextoNormal"/>
      </w:pPr>
      <w:r>
        <w:t xml:space="preserve">No debe olvidarse, a este respecto, que la Sentencia recurrida no reconoce derechos individuales, sino que se limita a la declaración de nulidad de un procedimiento de selección, ordenando la realización de un nuevo procedimiento con las garantías legales, que entiende incumplidas, con lo que los perjuicios derivados de la suspensión serán siempre menores que los derivados de la ejecución. </w:t>
      </w:r>
    </w:p>
    <w:p w:rsidR="00256EE9" w:rsidRDefault="00256EE9" w:rsidP="00256EE9">
      <w:pPr>
        <w:pStyle w:val="TextoNormal"/>
      </w:pPr>
      <w:r>
        <w:t xml:space="preserve">d) Tales perjuicios derivados de la ejecución, indudablemente, se centrarían respecto a la demandante, en la separación de su labor académica con el consiguiente perjuicio de orden moral y profesional, al igual que el económico, que aunque se ve paliado por la cláusula penal establecida en el contrato, según la cual tiene derecho al percibo de la mitad de las retribuciones que le corresponderían durante el tiempo de duración del mismo, suponen en orden a sus posibilidades de integración en la Universidad perjuicios de naturaleza irreparables. </w:t>
      </w:r>
    </w:p>
    <w:p w:rsidR="00256EE9" w:rsidRDefault="00256EE9" w:rsidP="00256EE9">
      <w:pPr>
        <w:pStyle w:val="TextoNormal"/>
      </w:pPr>
      <w:r>
        <w:t xml:space="preserve">e) Al propio tiempo, la no suspensión de la ejecución de la Sentencia supondría perjuicio para la Universidad, puesto que éste se vería obligado a abonar retribuciones por el mismo concepto y asignatura a dos profesores, a uno que no ejercería sus funciones (la </w:t>
      </w:r>
      <w:r>
        <w:lastRenderedPageBreak/>
        <w:t xml:space="preserve">demandante) y a aquella persona a quien se otorgara la plaza en virtud del nuevo procedimiento de selección. </w:t>
      </w:r>
    </w:p>
    <w:p w:rsidR="00256EE9" w:rsidRDefault="00256EE9" w:rsidP="00256EE9">
      <w:pPr>
        <w:pStyle w:val="TextoNormal"/>
      </w:pPr>
      <w:r>
        <w:t>f) Finalmente, es de señalar que como ya se puso de manifiesto en el escrito de interposición del recurso, se derivarían también perjuicios para los alumnos y en otros órdenes académicos y docentes que, igualmente, pueden y deben evitarse con la suspensión del acto recurrido.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00256EE9" w:rsidRDefault="00256EE9" w:rsidP="00256EE9">
      <w:pPr>
        <w:pStyle w:val="TextoNormal"/>
      </w:pPr>
      <w:r>
        <w:t>Como ha tenido ocasión de manifestar este Tribunal Constitucional (T. C.)  en numerosos pronunciamientos, para que sea preceptiva la suspensión de la ejecución del acto por razón del cual se reclama el amparo constitucional es preciso, de un lado, que dicha ejecución ocasione una situación irreversible que el amparo, de otorgarse, no pueda ya remediar, y de otro, que no concurran las excepciones legalmente previstas, encaminadas a la salvaguarda de los intereses generales y de los derechos fundamentales o libertades de un tercero, en tanto que se produzca perturbación grave de los mismos.</w:t>
      </w:r>
    </w:p>
    <w:p w:rsidR="00256EE9" w:rsidRDefault="00256EE9" w:rsidP="00256EE9">
      <w:pPr>
        <w:pStyle w:val="TextoNormal"/>
      </w:pPr>
      <w:r>
        <w:t>Por otra parte, junto a estos supuestos de suspensión preceptiva, en los términos vistos, la Sala ha entendido que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00256EE9" w:rsidRDefault="00256EE9" w:rsidP="00256EE9">
      <w:pPr>
        <w:pStyle w:val="TextoNormal"/>
      </w:pPr>
    </w:p>
    <w:p w:rsidR="00256EE9" w:rsidRDefault="00256EE9" w:rsidP="00256EE9">
      <w:pPr>
        <w:pStyle w:val="TextoNormal"/>
      </w:pPr>
      <w:r w:rsidRPr="00256EE9">
        <w:rPr>
          <w:rStyle w:val="NumeroAFNegritaCaracter"/>
        </w:rPr>
        <w:t>2</w:t>
      </w:r>
      <w:r>
        <w:t>. Pues bien, en el supuesto que está a la base del presente recurso la Sala considera, ponderadas todas las circunstancias que concurren en el caso examinado, que la suspensión de la ejecución de la Sentencia impugnada evita la producción de perjuicios a la demandante y no les causa, al menos, de modo inmediato y directo a terceros.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cual, la Sala acuerda la suspensión de la ejecución de la Sentencia de 26 de julio de 1984, núm. 288, de la Sala de lo Contencioso-Administrativo de la Audiencia Territorial de Valladolid por la que se resolvió el recurso núm. 593/1983.</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8" w:name="AUTO_1985_37"/>
      <w:r>
        <w:lastRenderedPageBreak/>
        <w:t>AUTO 37/1985, de 16 de enero de 1985</w:t>
      </w:r>
    </w:p>
    <w:bookmarkEnd w:id="9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ECLI:ES:TC:1985:37A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781/1984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en el Juzgado de Guardia de los de Madrid el día 12 de noviembre de 1984, y entrada en este Tribunal Constitucional (T. C.) al siguiente día 13, el Procurador don Angel Deleito Villa interpuso, en nombre de la Asociación Nacional de Funcionarios del Servicio Nacional de Productos Agrarios, recurso de amparo contra el Auto de 10 de octubre del mismo año, de la Sala Quinta del Tribunal Supremo, por el que se declaró mal admitida la apelación interpuesta por la referida Asociación contra el Auto de 1 de diciembre de 1981 de la Sala de lo Contencioso-Administrativo de la Audiencia Territorial de Cáceres.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antecedentes del presente recurso son los siguientes: </w:t>
      </w:r>
    </w:p>
    <w:p w:rsidR="00256EE9" w:rsidRDefault="00256EE9" w:rsidP="00256EE9">
      <w:pPr>
        <w:pStyle w:val="TextoNormal"/>
      </w:pPr>
      <w:r>
        <w:t xml:space="preserve">a) Por Sentencia de 2 de julio de 1979, la Sala de lo Contencioso-Administrativo de la Audiencia Territorial de Cáceres estimó íntegramente el recurso interpuesto por la mencionada Asociación y, en consecuencia, anuló la Orden Circular núm. 4, de 14 de febrero de 1974, dictada por el Servicio Nacional de Productos Agrarios, en cuanto afectaba a los litigantes, declarando en su lugar el derecho que les correspondía a que les fueran reconocidos los complementos de dedicación especial, destino y toxicidad, previstos en el art. 8 del Decreto de 1 de febrero de 1973, con efectos económicos a partir de tal fecha, más los intereses de mora. </w:t>
      </w:r>
    </w:p>
    <w:p w:rsidR="00256EE9" w:rsidRDefault="00256EE9" w:rsidP="00256EE9">
      <w:pPr>
        <w:pStyle w:val="TextoNormal"/>
      </w:pPr>
      <w:r>
        <w:t xml:space="preserve">b) Promovido el correspondiente incidente de ejecución de Sentencia, la misma Sala dictó Auto, con fecha 1 de diciembre de 1981, por el que se declaró que la Sentencia se hallaba cumplida por la Administración. </w:t>
      </w:r>
    </w:p>
    <w:p w:rsidR="00256EE9" w:rsidRDefault="00256EE9" w:rsidP="00256EE9">
      <w:pPr>
        <w:pStyle w:val="TextoNormal"/>
      </w:pPr>
      <w:r>
        <w:t xml:space="preserve">c) Interpuesto por la Asociación ahora demandante de amparo recurso de apelación contra dicho Auto fue admitido por la referida Sala por resolución de 18 del mismo mes y año, en la que se acordó emplazar a las partes para que dentro del término legal comparecieran ante la Sala Cuarta del Tribunal Supremo. </w:t>
      </w:r>
    </w:p>
    <w:p w:rsidR="00256EE9" w:rsidRDefault="00256EE9" w:rsidP="00256EE9">
      <w:pPr>
        <w:pStyle w:val="TextoNormal"/>
      </w:pPr>
      <w:r>
        <w:t xml:space="preserve">d) Oídas las partes sobre la competencia de esta Sala para conocer del fondo de la litis, aquélla dictó, con fecha de 20 de junio de 1984, Auto por el que acordó inhibirse del reconocimiento de la mencionada apelación en favor de la Sala Quinta del Tribunal Supremo. </w:t>
      </w:r>
    </w:p>
    <w:p w:rsidR="00256EE9" w:rsidRDefault="00256EE9" w:rsidP="00256EE9">
      <w:pPr>
        <w:pStyle w:val="TextoNormal"/>
      </w:pPr>
      <w:r>
        <w:t>e) Finalmente, la Sala Quinta del Tribunal Supremo dictó, el 10 de octubre de 1984, el Auto antes citado y que ahora se impugna en amparo.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xml:space="preserve">. La demandante solicita de este T. C. que declare que se ha producido la violación del derecho a la tutela jurisdiccional efectiva, reconocido en el art. 24.1 de la C. E., en el procedimiento judicial al que puso término el Auto de la Sala Quinta del Tribunal Supremo de 10 de octubre de 1984 y, consiguientemente, adopte todas las medidas necesarias para restablecer el derecho mencionado, declarando, en ese sentido, la nulidad de las resoluciones judiciales que han significado el desconocimiento y subsiguiente violación del mismo. </w:t>
      </w:r>
    </w:p>
    <w:p w:rsidR="00256EE9" w:rsidRDefault="00256EE9" w:rsidP="00256EE9">
      <w:pPr>
        <w:pStyle w:val="TextoNormal"/>
      </w:pPr>
      <w:r>
        <w:t xml:space="preserve">La recurrente entiende que la resolución impugnada ha violado su derecho a la tutela jurisdiccional efectiva consagrado en el art. 24.1 de la C. E. </w:t>
      </w:r>
    </w:p>
    <w:p w:rsidR="00256EE9" w:rsidRDefault="00256EE9" w:rsidP="00256EE9">
      <w:pPr>
        <w:pStyle w:val="TextoNormal"/>
      </w:pPr>
      <w:r>
        <w:t xml:space="preserve">A tal efecto, la Asociación considera, por un lado, que el no cumplimiento de lo ejecutoriado de acuerdo con una Sentencia firme, cuando no se aprecia jurisdiccionalmente, constituye uno de los paradigmas de violación del derecho reconocido en el art. 24.1 de la C. E., a lo que se une la discriminación jurisdiccional evidente para los funcionarios afectados cuando otras resoluciones judiciales de idéntico contenido también concernientes a los funcionarios del Servicio Nacional de Productos Agrarios si han sido cumplidas (concretamente, las Sentencias de la Audiencia Territorial de Madrid de 26 de julio, 25 de octubre y 3 de noviembre de 1983). </w:t>
      </w:r>
    </w:p>
    <w:p w:rsidR="00256EE9" w:rsidRDefault="00256EE9" w:rsidP="00256EE9">
      <w:pPr>
        <w:pStyle w:val="TextoNormal"/>
      </w:pPr>
      <w:r>
        <w:t xml:space="preserve">Por otro lado, al declarar mal admitida la apelación por tratarse de una cuestión de personal, el Auto impugnado excluye la posibilidad de control jurisdiccional del Auto de la Audiencia Territorial de Cáceres, lo que choca con el valor de la justicia que el art. 1 de la C. E. sitúa en la cúspide del ordenamiento jurídico y con el principio de la seguridad jurídica, proclamado y garantizado por el art. 9.3 de dicha C. E. </w:t>
      </w:r>
    </w:p>
    <w:p w:rsidR="00256EE9" w:rsidRDefault="00256EE9" w:rsidP="00256EE9">
      <w:pPr>
        <w:pStyle w:val="TextoNormal"/>
      </w:pPr>
      <w:r>
        <w:t>De todo ello se deduce que la cuestión que está a la base del Auto impugnado no puede seguir considerándose en el trámite de ejecución de Sentencia como una mera cuestión de personal concerniente a los derechos propios de ciertos funcionarios, pues la Sentencia se ha convertido en este caso en un título más vigoroso que el del propio derecho reconocido, de donde su tutela ha de ser también más vigorosa. El que no se haya reconocido asi a lo largo de las actuaciones que han conducido al Auto de la Sala Quinta del Tribunal Supremo es un fundamento más que debe determinar la admisión y la estimación del presente recurso de amparo.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12 de diciembre pasado, la Sección acordó tener por interpuesto recurso de amparo por don Jesús Peinado Quintana, en nombre y representación de la Asociación Nacional de Funcionarios del Servicio Nacional de Productos Agrarios y por personado y parte, en nombre y representación de dicha Asociación, el Procurador señor Deleito Villa, y a tenor de lo dispuesto en el art. 50 de la LOTC, conceder un plazo común de diez dias al Ministerio Fiscal y a la solicitante de amparo para que dentro de dicho término alegasen lo que estimasen pertinente en relación con la posible existencia de los siguientes motivos de inadmisión: a) No haberse agotado todos los recursos utilizables dentro de la vía judicial, de conformidad con el art. 44.1 a) de la LOTC en conexión con el art. 50.1 b) de la misma Ley. </w:t>
      </w:r>
    </w:p>
    <w:p w:rsidR="00256EE9" w:rsidRDefault="00256EE9" w:rsidP="00256EE9">
      <w:pPr>
        <w:pStyle w:val="TextoNormal"/>
      </w:pPr>
      <w:r>
        <w:t>b) Carecer la demanda manifiestamente de contenido que justifique una decisión por parte de este T. C., según previene el art. 50.2 b) de la reiterada Ley Orgánica.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Ministerio Fiscal, en su escrito de alegaciones, interesa de este T. C. que declare la inadmisión del recurso por concurrir el motivo previsto en el art. 50.2 b) de la LOTC, </w:t>
      </w:r>
      <w:r>
        <w:lastRenderedPageBreak/>
        <w:t xml:space="preserve">sin que, a su juicio, tenga sentido considerar si, además, concurre otra posible causa de inadmisión formal, como la de no haber hecho uso de los recursos utilizables. </w:t>
      </w:r>
    </w:p>
    <w:p w:rsidR="00256EE9" w:rsidRDefault="00256EE9" w:rsidP="00256EE9">
      <w:pPr>
        <w:pStyle w:val="TextoNormal"/>
      </w:pPr>
      <w:r>
        <w:t xml:space="preserve">Los argumentos en los que se apoya su pretensión el Ministerio Público son, en síntesis, los siguientes: </w:t>
      </w:r>
    </w:p>
    <w:p w:rsidR="00256EE9" w:rsidRDefault="00256EE9" w:rsidP="00256EE9">
      <w:pPr>
        <w:pStyle w:val="TextoNormal"/>
      </w:pPr>
      <w:r>
        <w:t xml:space="preserve">a) En cuanto al Auto de la Audiencia de Cáceres que declaró bien ejecutada por la Administración la Sentencia dictada por la misma Sala de 2 de julio de 1979, señala, en primer lugar, que aunque es cierto que, como de forma repetida ha declarado este T. C., el derecho fundamental a la tutela judicial efectiva comprende la ejecución de las resoluciones judiciales, en esta ocasión no se trata de incumplimiento del fallo de una Sentencia, sino de la ejecución indebida del mismo, según el propio interesado. </w:t>
      </w:r>
    </w:p>
    <w:p w:rsidR="00256EE9" w:rsidRDefault="00256EE9" w:rsidP="00256EE9">
      <w:pPr>
        <w:pStyle w:val="TextoNormal"/>
      </w:pPr>
      <w:r>
        <w:t xml:space="preserve">Ahora bien, dado que compete al Tribunal sentenciador resolver cualquier incidencia sobre la ejecución de las Sentencias que dicte y que él es el único que puede interpretar el alcance de su propia resolución, si ello se hace, como ocurrió en el presente caso, en virtud de decisión razonada y motivada en derecho, declarándose bien ejecutada por la Administración la Sentencia dictada, no puede afirmarse razonablemente que se haya vulnerado el derecho a la tutela judicial, ni por inejecución de la Sentencia, que fue ejecutada a juicio del Tribunal, aunque de forma insatisfactoria para los interesados, ni por la decisión judicial que así lo declaró, que fue suficientemente motivada. </w:t>
      </w:r>
    </w:p>
    <w:p w:rsidR="00256EE9" w:rsidRDefault="00256EE9" w:rsidP="00256EE9">
      <w:pPr>
        <w:pStyle w:val="TextoNormal"/>
      </w:pPr>
      <w:r>
        <w:t xml:space="preserve">b) En cuanto a la pretendida vulneración del derecho fundamental por el Auto del Tribunal Supremo de 10 de octubre que declaró mal admitida la apelación, la demanda, que no deja de admitir que tal resolución tiene «una cierta apoyatura legal», considera que el mismo «excluye la posibilidad todo (sic) control jurisdiccional del Auto de la Audiencia». En definitiva, lo que viene a plantear es la necesidad constitucional de un recurso ante órgano superior; conclusión que desconoce la muy reiterada doctrina de este T. C. de que «no existe precepto constitucional que imponga la doble instancia, pues tal imposición no se infiere ni siquiera del art. 24 de la C. E.» (STC 51/1982, Jurisprudencia Constitucional, Tomo IV, pág. 118). </w:t>
      </w:r>
    </w:p>
    <w:p w:rsidR="00256EE9" w:rsidRDefault="00256EE9" w:rsidP="00256EE9">
      <w:pPr>
        <w:pStyle w:val="TextoNormal"/>
      </w:pPr>
      <w:r>
        <w:t>De todo ello se extrae la conclusión -a juicio del Ministerio Fiscal- de la inconsistencia de la vulneración alegada, ya sea por el Auto de la Audiencia, ya por el del Tribunal Supremo, lo que determina la concurrencia de la causa de inadmisión del art. 50.2 b), es decir, la falta de contenido constitucional de la demanda que requiera una resolución de fondo de este T. C.</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La demandante, por su parte, alega, en resumen, lo siguiente, en apoyo de su pretensión de que se admita el recurso a trámite: </w:t>
      </w:r>
    </w:p>
    <w:p w:rsidR="00256EE9" w:rsidRDefault="00256EE9" w:rsidP="00256EE9">
      <w:pPr>
        <w:pStyle w:val="TextoNormal"/>
      </w:pPr>
      <w:r>
        <w:t xml:space="preserve">a) En lo que concierne al agotamiento de la vía jurisdiccional ordinaria: </w:t>
      </w:r>
    </w:p>
    <w:p w:rsidR="00256EE9" w:rsidRDefault="00256EE9" w:rsidP="00256EE9">
      <w:pPr>
        <w:pStyle w:val="TextoNormal"/>
      </w:pPr>
      <w:r>
        <w:t xml:space="preserve">Al declarar mal admitida la apelación del Tribunal Supremo, lo que hace es declarar precisamente precluida tal vía para hacer cuestión de la ejecución conforme a Derecho de la Sentencia de la Audiencia Territorial de Cáceres de 2 de julio de 1979. </w:t>
      </w:r>
    </w:p>
    <w:p w:rsidR="00256EE9" w:rsidRDefault="00256EE9" w:rsidP="00256EE9">
      <w:pPr>
        <w:pStyle w:val="TextoNormal"/>
      </w:pPr>
      <w:r>
        <w:t xml:space="preserve">El recurso de súplica y el recurso de apelación, aunque en principio fueran ambos posibles son, en la práctica, recursos excluyentes, incompatibles entre sí. </w:t>
      </w:r>
    </w:p>
    <w:p w:rsidR="00256EE9" w:rsidRDefault="00256EE9" w:rsidP="00256EE9">
      <w:pPr>
        <w:pStyle w:val="TextoNormal"/>
      </w:pPr>
      <w:r>
        <w:t>Cerrada a posteriori la vía de la apelación, ya no era posible el recurso de súplica, con lo que el Auto de la Sala Quinta del Tribunal Supremo de 10 de octubre de 1984, causa próxima del presente recurso de amparo, representa por sí mismo el agotamiento de la vía jurisdiccional ordinaria y su declaración equivale a una declaración de irrecurribilidad por relación al Auto de la Sala de la Audiencia de Cáceres, causa primera y plasmación sustancial de la violación del derecho a la tutela judicial efectiva. Si algo carecía de sentido era interponer un recurso de súplica contra el Auto de la Sala Quinta del Tribunal Supre</w:t>
      </w:r>
      <w:r>
        <w:lastRenderedPageBreak/>
        <w:t xml:space="preserve">mo ante la propia Sala, pues de su misma competencia, reafirmada con la súplica ante ella se deduce la inadmisibilidad del recurso de apelación declarada en el Auto hipotéticamente recurrido de la propia Sala. </w:t>
      </w:r>
    </w:p>
    <w:p w:rsidR="00256EE9" w:rsidRDefault="00256EE9" w:rsidP="00256EE9">
      <w:pPr>
        <w:pStyle w:val="TextoNormal"/>
      </w:pPr>
      <w:r>
        <w:t xml:space="preserve">b) En lo que respecta al segundo motivo de inadmisión: </w:t>
      </w:r>
    </w:p>
    <w:p w:rsidR="00256EE9" w:rsidRDefault="00256EE9" w:rsidP="00256EE9">
      <w:pPr>
        <w:pStyle w:val="TextoNormal"/>
      </w:pPr>
      <w:r>
        <w:t xml:space="preserve">Una vez formal y expresamente reconocido un derecho singular en una Sentencia firme, cualquiera que sea la especie del derecho de que se trate, nace a favor del beneficiario un derecho más fuerte, más vigoroso, que el propio derecho reconocido, pues no en vano ha sido depurado y concretado a través de la actuación y la resolución judicial, cuyo título viene constituido por la propia Sentencia en que se reconoce y se atribuye a los sujetos en cuestión. </w:t>
      </w:r>
    </w:p>
    <w:p w:rsidR="00256EE9" w:rsidRDefault="00256EE9" w:rsidP="00256EE9">
      <w:pPr>
        <w:pStyle w:val="TextoNormal"/>
      </w:pPr>
      <w:r>
        <w:t xml:space="preserve">De ahí que no parezca pertinente estimar irrecurrible en apelación el Auto de 1 de diciembre de 1981. </w:t>
      </w:r>
    </w:p>
    <w:p w:rsidR="00256EE9" w:rsidRDefault="00256EE9" w:rsidP="00256EE9">
      <w:pPr>
        <w:pStyle w:val="TextoNormal"/>
      </w:pPr>
      <w:r>
        <w:t xml:space="preserve">En primer lugar, porque el art. 93 de la Ley Jurisdiccional (L. J.), que en su apartado primero establece con carácter general la recurribilidad en apelación de los Autos de las Salas de lo Contencioso-Administrativo de las Audiencias Territoriales en asuntos de que conozcan en primera instancia, no excluye después, en su apartado segundo de esa apelabilidad general, a los Autos recaidos en incidentes de ejecución de Sentencia. Al contrario, exige dicho precepto que no será admisible la apelación anteriormente reconocida genéricamente, además de en los casos que taxativamente enuncia, en «aquellos otros excluidos expresamente de apelación», de donde se deduce que tal exclusión ha de ser expresa, cosa que desde luego no sucede en el presente caso, en el que dicha exclusión pretende inferirse del articulo siguiente, el 94 de la Ley Jurisdiccional, que prevé la inapelabilidad de las Sentencias, no de los Autos recaidos en ejecución de Sentencia de las Salas de lo Contencioso-Administrativo de las Audiencias Territoriales, cuando versen sobre cuestiones de personal. </w:t>
      </w:r>
    </w:p>
    <w:p w:rsidR="00256EE9" w:rsidRDefault="00256EE9" w:rsidP="00256EE9">
      <w:pPr>
        <w:pStyle w:val="TextoNormal"/>
      </w:pPr>
      <w:r>
        <w:t>Pero, sobre todo, en segundo lugar, porque la calificación de cuestión de personal, que tiene sentido respecto de la materia contemplada en el recurso contencioso-administrativo que resolvió la Sentencia de 2 de julio de 1979, determinando incluso la tramitación del procedimiento especial en materia de personal que prevén los arts. 113 y siguientes de la L. J., no tiene ya sentido en el trámite de ejecución de Sentencia, donde, por otra parte, ya no genera ninguna especialidad procesal.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A juicio de la Sección, en la demanda concurren los motivos de inadmisibilidad de naturaleza insubsanable consistentes en no haber agotado todos los recursos utilizables dentro de la vía judicial [art. 50.1 b) en relación con el art. 44.1 a) de la LOTC] y en carecer manifiestamente de contenido constitucional [art.  50.2 b) de la LOTC].</w:t>
      </w:r>
    </w:p>
    <w:p w:rsidR="00256EE9" w:rsidRDefault="00256EE9" w:rsidP="00256EE9">
      <w:pPr>
        <w:pStyle w:val="TextoNormal"/>
      </w:pPr>
      <w:r>
        <w:t>En efecto, por lo que respecta al primer motivo de inadmisión, es de señalar que la demandante no ha interpuesto, como hubiera sido preceptivo para cumplir con el requisito establecido en el art. 44.1 a) de la LOTC, recurso de súplica contra el Auto de la Sala Quinta, ya que, como establece el art. 92 b) de la L. J., dicho recurso procede «contra los Autos de las Salas de lo Contencioso-Administrativo del Tribunal Supremo, salvo los de aclaración», dando así a dicho Tribunal la oportunidad de revisar su decisión, a la vista de la invocación de la demandante del derecho a la tutela judicial efectiva, y habida cuenta de la naturaleza subsidiaria del recurso de amparo sobre la que tanto ha insistido este T. C.</w:t>
      </w:r>
    </w:p>
    <w:p w:rsidR="00256EE9" w:rsidRDefault="00256EE9" w:rsidP="00256EE9">
      <w:pPr>
        <w:pStyle w:val="TextoNormal"/>
      </w:pPr>
      <w:r>
        <w:t xml:space="preserve">Por otro lado, la Sala Quinta del Tribunal Supremo, en el Auto impugnado por el que se declara mal admitida la apelación contra el Auto de la Audiencia Territorial de Cáceres </w:t>
      </w:r>
      <w:r>
        <w:lastRenderedPageBreak/>
        <w:t>por el que se declaró que la Sentencia dictada por la misma se hallaba cumplida por la Administración se razona suficientemente por qué se adopta esa decisión, entendiéndose, concretamente, que se trata de una cuestión de personal, y que en estos casos, según una reiterada jurisprudencia, cuando no procede el recurso contra el asunto principal no cabe tampoco admitirlo contra las cuestiones incidentales relativas al mismo, que en este supuesto consisten en la ejecución de una Sentencia.</w:t>
      </w:r>
    </w:p>
    <w:p w:rsidR="00256EE9" w:rsidRDefault="00256EE9" w:rsidP="00256EE9">
      <w:pPr>
        <w:pStyle w:val="TextoNormal"/>
      </w:pPr>
      <w:r>
        <w:t>Se trata, pues, de una interpretación de la legalidad ordinaria -concretamente, del art. 93.1 en relación con el art. 94.1 a) de la L. J.- que entra dentro de la competencia exclusiva de los Jueces y Tribunales ordinarios, de acuerdo con lo dispuesto en el art.  117.3 de la C. E., tal como ha reiterado hasta la saciedad este T. 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inadmisión del recurso de amparo interpuesto por la Asociación Nacional de Funcionarios del Servicio Nacional de Productos Agrarios, y el archivo de las actuaciones.</w:t>
      </w:r>
    </w:p>
    <w:p w:rsidR="00256EE9" w:rsidRDefault="00256EE9" w:rsidP="00256EE9">
      <w:pPr>
        <w:pStyle w:val="TextoNormal"/>
      </w:pPr>
    </w:p>
    <w:p w:rsidR="00256EE9" w:rsidRDefault="00256EE9" w:rsidP="00256EE9">
      <w:pPr>
        <w:pStyle w:val="TextoNormal"/>
      </w:pPr>
      <w:r>
        <w:t>Madrid, a dieciséis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99" w:name="AUTO_1985_38"/>
      <w:r>
        <w:lastRenderedPageBreak/>
        <w:t>AUTO 38/1985, de 17 de enero de 1985</w:t>
      </w:r>
    </w:p>
    <w:bookmarkEnd w:id="99"/>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ECLI:ES:TC:1985:38A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la acumulación de los recursos de inconstitucionalidad 584, 585 y 594/1984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30 de julio de 1984, don José María Ruiz Gallardón, comisionado por 63 diputados, formula recurso previo de inconstitucionalidad contra el texto definitivo de la Ley Orgánica de Libertad Sindical, con la súplica de que, en su día, se dicte Sentencia por la que se declare la inconstitucionalidad de la totalidad del proyecto y de los artículos impugnados, que son los siguientes: las referencias contenidas en los arts. 4.2 d), 6.2 a), 6.3 e), 7.1, 7.2, 8.2, 10.1, 10.3, párrafo inicial y apartado segundo, y disposición adicional segunda, apartado 2, a los «correspondientes órganos de las Administraciones públicas», o a los órganos de representación que se establezcan en las Administraciones públicas, y los arts. 6, 7 y 11.1.</w:t>
      </w:r>
    </w:p>
    <w:p w:rsidR="00256EE9" w:rsidRDefault="00256EE9" w:rsidP="00256EE9">
      <w:pPr>
        <w:pStyle w:val="TextoNormal"/>
      </w:pPr>
    </w:p>
    <w:p w:rsidR="00256EE9" w:rsidRDefault="00256EE9" w:rsidP="00256EE9">
      <w:pPr>
        <w:pStyle w:val="TextoNormal"/>
      </w:pPr>
      <w:r w:rsidRPr="00256EE9">
        <w:rPr>
          <w:rStyle w:val="NumeroAFNegritaCaracter"/>
        </w:rPr>
        <w:t>2</w:t>
      </w:r>
      <w:r>
        <w:t>. Por escrito de 15 de noviembre de 1984, el Abogado del Estado solicita la acumulación del presente recurso 594/1984, y del 585/1984, al núm. 584/1984, y asimismo, que se deje en suspenso el plazo concedido para la formulación de alegaciones hasta tanto se resuelva sobre la acumulación interesada.</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21 de noviembre de 1984, la Sección acordó oír al comisionado en este recurso señor Ruiz Gallardón y a los Abogados representantes del Parlamento y del Gobierno vasco que promovieron los seguidos bajo los núms. 584 y 585 de 1984, respectivamente, para que en el plazo común de diez días manifiesten lo que estimen procedente acerca de la acumulación de los tres recursos, quedando mientras tanto en suspenso el plazo que se concedió al Gobierno para formular alegaciones en los mismos.</w:t>
      </w:r>
    </w:p>
    <w:p w:rsidR="00256EE9" w:rsidRDefault="00256EE9" w:rsidP="00256EE9">
      <w:pPr>
        <w:pStyle w:val="TextoNormal"/>
      </w:pPr>
    </w:p>
    <w:p w:rsidR="00256EE9" w:rsidRDefault="00256EE9" w:rsidP="00256EE9">
      <w:pPr>
        <w:pStyle w:val="TextoNormal"/>
      </w:pPr>
      <w:r w:rsidRPr="00256EE9">
        <w:rPr>
          <w:rStyle w:val="NumeroAFNegritaCaracter"/>
        </w:rPr>
        <w:t>4</w:t>
      </w:r>
      <w:r>
        <w:t>. En 7 de diciembre de 1984, la representación del Parlamento vasco formula escrito de alegaciones en el sentido de que dada la identidad del objeto no encuentra causa razonable para oponerse a la pretensión de acumulación de los tres recursos.</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En 11 de diciembre de 1984, el comisionado don José María Ruiz Gallardón formula escrito de alegaciones en el que suplica se tenga por formulado su asentimiento a la acumulación, que estima procedente por ir referidos los tres recursos al mismo proyecto.</w:t>
      </w:r>
    </w:p>
    <w:p w:rsidR="00256EE9" w:rsidRDefault="00256EE9" w:rsidP="00256EE9">
      <w:pPr>
        <w:pStyle w:val="TextoNormal"/>
      </w:pPr>
    </w:p>
    <w:p w:rsidR="00256EE9" w:rsidRDefault="00256EE9" w:rsidP="00256EE9">
      <w:pPr>
        <w:pStyle w:val="TextoNormal"/>
      </w:pPr>
      <w:r w:rsidRPr="00256EE9">
        <w:rPr>
          <w:rStyle w:val="NumeroAFNegritaCaracter"/>
        </w:rPr>
        <w:t>6</w:t>
      </w:r>
      <w:r>
        <w:t>. La representación del Gobierno vasco no ha formulado alegación alguna.</w:t>
      </w:r>
    </w:p>
    <w:p w:rsidR="00256EE9" w:rsidRDefault="00256EE9" w:rsidP="00256EE9">
      <w:pPr>
        <w:pStyle w:val="TextoNormal"/>
      </w:pPr>
    </w:p>
    <w:p w:rsidR="00256EE9" w:rsidRDefault="00256EE9" w:rsidP="00256EE9">
      <w:pPr>
        <w:pStyle w:val="TextoNormal"/>
      </w:pPr>
      <w:r w:rsidRPr="00256EE9">
        <w:rPr>
          <w:rStyle w:val="NumeroAFNegritaCaracter"/>
        </w:rPr>
        <w:t>7</w:t>
      </w:r>
      <w:r>
        <w:t>. El recurso previo de inconstitucionalidad núm. 584/1984, al que se pide la acumulación, ha sido formulado por el Parlamento vasco, mediante escrito presentado en 30 de julio de 1984, contra el texto definitivo del proyecto de Ley Orgánica de Libertad Sindical, con la súplica de que se declare su nulidad en los términos que resultan del propio escrito, en el cual se razona la inconstitucionalidad de los arts. 6 y 7 del Proyecto, con referencia a la discriminación que se produce a su juicio respecto de los sindicatos de ámbito autonómico, art. 6.3 a) y disposición adicional segunda, apartado 2.</w:t>
      </w:r>
    </w:p>
    <w:p w:rsidR="00256EE9" w:rsidRDefault="00256EE9" w:rsidP="00256EE9">
      <w:pPr>
        <w:pStyle w:val="TextoNormal"/>
      </w:pPr>
    </w:p>
    <w:p w:rsidR="00256EE9" w:rsidRDefault="00256EE9" w:rsidP="00256EE9">
      <w:pPr>
        <w:pStyle w:val="TextoNormal"/>
      </w:pPr>
      <w:r w:rsidRPr="00256EE9">
        <w:rPr>
          <w:rStyle w:val="NumeroAFNegritaCaracter"/>
        </w:rPr>
        <w:t>8</w:t>
      </w:r>
      <w:r>
        <w:t>. El recurso previo de inconstitucionalidad 585/1984 ha sido formulado por el Gobierno Vasco, mediante escrito presentado en 30 de julio de 1984 contra los arts. 6.3 y 7, así como la disposición adicional segunda, apartado 2, del Proyecto de Ley Orgánica de Libertad Sindical.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FD024E">
        <w:rPr>
          <w:rStyle w:val="NumeroAFNegritaCaracter"/>
        </w:rPr>
        <w:t>Único.</w:t>
      </w:r>
      <w:r w:rsidRPr="00256EE9">
        <w:rPr>
          <w:rStyle w:val="TextoNormalNegritaCaracter"/>
        </w:rPr>
        <w:t xml:space="preserve"> </w:t>
      </w:r>
      <w:r>
        <w:t>El art. 83 de la Ley Orgánica del Tribunal Constitucional establece que, previa audiencia de los comparecidos en el proceso constitucional, el Tribunal podrá disponer la acumulación de aquellos procesos con objetos conexos que justifiquen la unidad de tramitación y decisión.</w:t>
      </w:r>
    </w:p>
    <w:p w:rsidR="00256EE9" w:rsidRDefault="00256EE9" w:rsidP="00256EE9">
      <w:pPr>
        <w:pStyle w:val="TextoNormal"/>
      </w:pPr>
      <w:r>
        <w:t>En el presente caso debe acordarse la acumulación de los recursos 594/1984 y 595/1984 al 584/1984, dado que se trata de tres recursos previos de inconstitucionalidad, dirigidos contra el mismo texto definitivo del Proyecto de Ley Orgánica de Libertad Sindical, y cuyo objeto es prácticamente coincidente por lo que respecta a los núms. 585 y 584 de 1984, y parcialmente coincidente en cuanto al 594/1984, tal y como resulta de los antecedentes expuestos. Todo ello justifica la unidad de tramitación y decisión de los tres recursos, por lo que procede acordar su acumulación.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ello, el Pleno del Tribunal acuerda:</w:t>
      </w:r>
    </w:p>
    <w:p w:rsidR="00256EE9" w:rsidRDefault="00256EE9" w:rsidP="00256EE9">
      <w:pPr>
        <w:pStyle w:val="TextoNormal"/>
      </w:pPr>
      <w:r>
        <w:t>1.° Decretar la acumulación del presente recurso 594/1984 y del 585/1984 al 584/1984, con el fin de que se tramiten, sustancien y decidan conjuntamente.</w:t>
      </w:r>
    </w:p>
    <w:p w:rsidR="00256EE9" w:rsidRDefault="00256EE9" w:rsidP="00256EE9">
      <w:pPr>
        <w:pStyle w:val="TextoNormal"/>
      </w:pPr>
      <w:r>
        <w:t>2.° Levantar la suspensión acordada en tanto se tramita el incidente de acumulación y conceder un plazo de quince días al Abogado del Estado para que, en nombre del Gobierno, formule las alegaciones que estime oportunas respecto de los recursos</w:t>
      </w:r>
    </w:p>
    <w:p w:rsidR="00256EE9" w:rsidRDefault="00256EE9" w:rsidP="00256EE9">
      <w:pPr>
        <w:pStyle w:val="TextoNormal"/>
      </w:pPr>
      <w:r>
        <w:t>acumulados 584/1984, 585/1984 y 594/1984.</w:t>
      </w:r>
    </w:p>
    <w:p w:rsidR="00256EE9" w:rsidRDefault="00256EE9" w:rsidP="00256EE9">
      <w:pPr>
        <w:pStyle w:val="TextoNormal"/>
      </w:pPr>
    </w:p>
    <w:p w:rsidR="00256EE9" w:rsidRDefault="00256EE9" w:rsidP="00256EE9">
      <w:pPr>
        <w:pStyle w:val="TextoNormal"/>
      </w:pPr>
      <w:r>
        <w:lastRenderedPageBreak/>
        <w:t>Madrid, a diecisiete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0" w:name="AUTO_1985_39"/>
      <w:r>
        <w:lastRenderedPageBreak/>
        <w:t>AUTO 39/1985, de 17 de enero de 1985</w:t>
      </w:r>
    </w:p>
    <w:bookmarkEnd w:id="100"/>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ECLI:ES:TC:1985:39A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Ratificando y levantando, según los casos, la suspensión, previamente acordada, de diversas resoluciones del Departamento de Sanidad y Seguridad Social de la Generalidad de Cataluña, en el conflicto positivo de competencia 623/1984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Gobierno de la Nación, mediante escrito de 6 de agosto de 1984, planteó conflicto constitucional positivo de competencia contra la totalidad de 104 resoluciones de la Dirección General de Promoción de la Salud del Departamento de Sanidad y Seguridad Social de la Generalidad de Cataluña, con invocación expresa del art. 161.2 de la Constitución al objeto de que fuese ordenada la suspensión de las resoluciones impugnadas.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la Sección de Vacaciones de este Tribunal, de 10 de agosto último, se tuvo por planteado el conflicto y se dio traslado de la demanda al Consejo Ejecutivo de la Generalidad de Cataluña, teniéndose por producida la suspensión de la vigencia y aplicación de las resoluciones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00256EE9" w:rsidRDefault="00256EE9" w:rsidP="00256EE9">
      <w:pPr>
        <w:pStyle w:val="TextoNormal"/>
      </w:pPr>
      <w:r>
        <w:t>El Consejo Ejecutivo de la Generalidad de Cataluña se personó y presentó escrito de alegaciones el 21 de septiembre de 1984 en solicitud de que en su día se dicte Sentencia declarando que la competencia controvertida corresponde a la Generalidad de Cataluña.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la Sección Tercera de 12 de diciembre último, acordó oir a las partes para que hicieran alegaciones en relación con el mantenimiento o levantamiento de la suspensión de las resoluciones objeto del conflicto. </w:t>
      </w:r>
    </w:p>
    <w:p w:rsidR="00256EE9" w:rsidRDefault="00256EE9" w:rsidP="00256EE9">
      <w:pPr>
        <w:pStyle w:val="TextoNormal"/>
      </w:pPr>
      <w:r>
        <w:t>El Abogado del Estado evacúa el traslado conferido y solicita, en su escrito de 19 de diciembre último, la confirmación de la suspensión de la vigencia y aplicación de las resoluciones impugnadas. Aduce en apoyo de esta solicitud que los perjuicios que acarrearía el levantamiento si la Sentencia que en su día se dicte declarase la titularidad estatal de la competencia y consiguiente nulidad de aquellas resoluciones, trascienden a los consisten</w:t>
      </w:r>
      <w:r>
        <w:lastRenderedPageBreak/>
        <w:t xml:space="preserve">tes en una mera dilación temporal de la eficacia de tales resoluciones en caso de que se mantenga su suspensión, además de que -en tanto se sustancia el conflicto- subsiste para los interesados la posibilidad de obtener de la Administración las pertinentes autorizaciones para inscripción en el Registro Sanitario. </w:t>
      </w:r>
    </w:p>
    <w:p w:rsidR="00256EE9" w:rsidRDefault="00256EE9" w:rsidP="00256EE9">
      <w:pPr>
        <w:pStyle w:val="TextoNormal"/>
      </w:pPr>
      <w:r>
        <w:t xml:space="preserve">Por su parte, la Generalidad de Cataluña, en escrito de 21 de diciembre último, aboga por el levantamiento de la suspensión, en consideración a que el mantenimiento de ésta desautorizaría de facto a la Administración Autonómica para el ejercicio de competencia en materia de control sanitario de los productos relacionados con la alimentación humana, cuyo ejercicio se limita a comprobar la adecuación de los productos y sustancias con el contenido de las listas positivas vigentes elaboradas por el Estado al efecto, otorgando o denegando la autorización a la vista de la adecuación citada. </w:t>
      </w:r>
    </w:p>
    <w:p w:rsidR="00256EE9" w:rsidRDefault="00256EE9" w:rsidP="00256EE9">
      <w:pPr>
        <w:pStyle w:val="TextoNormal"/>
      </w:pPr>
      <w:r>
        <w:t>Señala asimismo el Abogado de la Generalidad el empeño de esta Comunidad Autónoma en el más escrupuloso cumplimiento de la normativa básica del Estado en materia de productos sometidos a registro sanitario.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objeto del presente conflicto está constituido, como queda dicho en los antecedentes, por un extenso conjunto de resoluciones autorizatorias ( 104 en total), una parte de las cuales (exactamente las 62 recogidas en el Anexo 11 de la demanda) son simple convalidación de autorizaciones ya concedidas anteriormente por el Estado, en tanto que el resto (las 42 que figuran en el Anexo 1) han sido concedidas por primera vez por la Generalidad.</w:t>
      </w:r>
    </w:p>
    <w:p w:rsidR="00256EE9" w:rsidRDefault="00256EE9" w:rsidP="00256EE9">
      <w:pPr>
        <w:pStyle w:val="TextoNormal"/>
      </w:pPr>
      <w:r>
        <w:t>Este distinto alcance de las resoluciones impugnadas, provisionalmente privadas además de toda fuerza desde el pasado 10 de agosto, ha de ser tenido en cuenta al ponderar los perjuicios que el levantamiento o mantenimiento de la suspensión acarrearían.  El levantamiento de la suspensión que ahora afecta a las resoluciones incluidas en el Anexo 1 crearía en los beneficiarios de éstas unas expectativas que resultarían destruidas, si al resolver sobre el fondo del asunto se declarase la incompetencia de la Generalidad, siguiéndose de ello verosímilmente la necesidad de interrumpir los procesos de producción ya iniciados, con el consiguiente perjuicio económico. El mantenimiento de la suspensión ya acordada no origina ningún perjucio directo para los ciudadanos, aunque alargue por más tiempo la incertidumbre sobre cuál es el alcance preciso de las competencias de la Generalidad en esta materia.</w:t>
      </w:r>
    </w:p>
    <w:p w:rsidR="00256EE9" w:rsidRDefault="00256EE9" w:rsidP="00256EE9">
      <w:pPr>
        <w:pStyle w:val="TextoNormal"/>
      </w:pPr>
      <w:r>
        <w:t>La situación es, en cierto modo, inversa en lo que respecta a las 62 resoluciones recogidas en el Anexo 11, pues éstas no pueden servir de base a la iniciación de nuevos procesos de producción, ya que éstos existen antes de haber sido acordadas tales resoluciones, que son simplemente convalidatorias de otras anteriores.  Respecto de las resoluciones de este segundo grupo, el levantamiento de la suspensión no origina, por tanto, incertidumbre o perjuicio alguno a los ciudadanos, en tanto que su mantenimiento les obligaría a solicitar nuevamente de la Administración del Estado la convalidación de una autorización anteriormente concedida por ésta, convalidada posteriormente por la Generalidad de la que, eventualmente, habría que solicitar en el futuro una nueva convalidación si nuestra resolución sobre el fondo la declarase competente.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En razón de todo lo expuesto, el Tribunal Constitucional acuerda:</w:t>
      </w:r>
    </w:p>
    <w:p w:rsidR="00256EE9" w:rsidRDefault="00256EE9" w:rsidP="00256EE9">
      <w:pPr>
        <w:pStyle w:val="TextoNormal"/>
      </w:pPr>
      <w:r>
        <w:t>1.° Mantener la suspensión de las resoluciones incluidas en el Anexo I de los que se adjuntan a la demanda, publicado en el «Boletín Oficial del Estado» núm. 236, de 2 de octubre de 1984.</w:t>
      </w:r>
    </w:p>
    <w:p w:rsidR="00256EE9" w:rsidRDefault="00256EE9" w:rsidP="00256EE9">
      <w:pPr>
        <w:pStyle w:val="TextoNormal"/>
      </w:pPr>
      <w:r>
        <w:t>2.° Levantar la suspensión de las resoluciones incluidas en el Anexo II, adjunto a la demanda, publicado en el «Boletín Oficial del Estado» antes indicado.</w:t>
      </w:r>
    </w:p>
    <w:p w:rsidR="00256EE9" w:rsidRDefault="00256EE9" w:rsidP="00256EE9">
      <w:pPr>
        <w:pStyle w:val="TextoNormal"/>
      </w:pPr>
    </w:p>
    <w:p w:rsidR="00256EE9" w:rsidRDefault="00256EE9" w:rsidP="00256EE9">
      <w:pPr>
        <w:pStyle w:val="TextoNormal"/>
      </w:pPr>
      <w:r>
        <w:t>Publíquese en el «Boletín Oficial del Estado» y en el «Diario Oficial de la Generalidad de Cataluña».</w:t>
      </w:r>
    </w:p>
    <w:p w:rsidR="00256EE9" w:rsidRDefault="00256EE9" w:rsidP="00256EE9">
      <w:pPr>
        <w:pStyle w:val="TextoNormal"/>
      </w:pPr>
      <w:r>
        <w:t>Madrid, a diecisiete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1" w:name="AUTO_1985_40"/>
      <w:r>
        <w:lastRenderedPageBreak/>
        <w:t>AUTO 40/1985, de 23 de enero de 1985</w:t>
      </w:r>
    </w:p>
    <w:bookmarkEnd w:id="101"/>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ECLI:ES:TC:1985:40A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504/1984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Victor Celada López «y otros», representados por la Procuradora doña María Felisa López Sánchez y asistidos del Letrado don Jesús Miguel Gaya, formularon demanda de amparo constitucional contra la Sentencia de la Magistratura de Trabajo núm. 2 de Vizcaya de 5 de junio de 1984, con apoyo en los siguientes hechos y fundamentos de Derecho: </w:t>
      </w:r>
    </w:p>
    <w:p w:rsidR="00256EE9" w:rsidRDefault="00256EE9" w:rsidP="00256EE9">
      <w:pPr>
        <w:pStyle w:val="TextoNormal"/>
      </w:pPr>
      <w:r>
        <w:t xml:space="preserve">a) La empresa «Ferrocarriles Vascos, S. A.», para la que trabajaban los demandantes, acordó, en enero de 1981, establecer un cuadro de vacaciones de cuarenta días para determinado personal como resultado de la acumulación de los días de fiesta de carácter nacional a los treinta de vacaciones. El Comité de Empresa, disconforme con ello, planteó conflicto colectivo que concluyó con Sentencia firme de la Magistratura de Trabajo núm. 4 de Vizcaya, de 29 de diciembre de 1983, que declaró el derecho de los trabajadores a disfrutar los treinta días de vacaciones independientemente de las demás fiestas anuales. </w:t>
      </w:r>
    </w:p>
    <w:p w:rsidR="00256EE9" w:rsidRDefault="00256EE9" w:rsidP="00256EE9">
      <w:pPr>
        <w:pStyle w:val="TextoNormal"/>
      </w:pPr>
      <w:r>
        <w:t xml:space="preserve">b) El 28 de marzo de 1984, los demandantes presentaron demanda judicial reclamando el importe de los diez días de fiesta no celebrados en el momento oportuno, como horas extraordinarias, pues el no disfrute en las fechas señaladas debía considerarse equivalente a la falta de disfrute. La Magistratura de Trabajo núm. 2 de Vizcaya dictó Sentencia de 5 de junio de 1984 apareciando la excepción de prescripción alegada por la Empresa y declarando no haber lugar a recurso alguno. </w:t>
      </w:r>
    </w:p>
    <w:p w:rsidR="00256EE9" w:rsidRDefault="00256EE9" w:rsidP="00256EE9">
      <w:pPr>
        <w:pStyle w:val="TextoNormal"/>
      </w:pPr>
      <w:r>
        <w:t>c) Los demandantes, tras criticar la decisión judicial de aceptar la excepción de prescripción, pues, en su opinión, el plazo de un año para el ejercicio de la acción había de computarse desde la firmeza de la Sentencia que reconoció el derecho, y referirse a la Sentencia de este Tribunal de 19 de julio de 1982, exponen que lo impugnado es la declaración de inexistencia de recursos, por vulneración del art. 24 de la Constitución, solicitando se declare la nulidad del fallo de la Sentencia impugnada y se reconozca expresamente el derecho de los recurrentes a tener acceso a un recurso ante el Tribunal Superior que corresponda.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26 de septiembre de 1984, la Sección acordó poner de manifiesto a los demandantes y al Ministerio Fiscal la posible existencia de las causas de inadmisibilidad: 1.ª del art. 50.1 b) en relación con el 49.2 a), ambos de la Ley Orgánica de este Tribunal (LOTC), por no aportar el poder que acredite la representación y no especificar en la </w:t>
      </w:r>
      <w:r>
        <w:lastRenderedPageBreak/>
        <w:t>demanda a los recurrentes; 2.ª del art. 50.1 b) en relación con el 49.1, ambos también de la LOTC, por imprecisión en el amparo que solicita en congruencia con la fundamentación del recurso y la petición que se formula; otorgando un plazo común de diez días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En escrito ingresado en este Tribunal el 15 de octubre, los recurrentes en amparo dieron la relación de los mismos, en número de 19, aportando los poderes correspondientes. En cuanto a la formulación de su demanda, reafirman que, al haber estimado el Magistrado de Trabajo la excepción de prescripción alegada por la Empresa, se vieron privados de la posibilidad de una tutela judicial efectiva, puesto que la Ley no les reconoce el acceso a un Tribunal Superior que pueda conocer del fondo del asunto. De ahí deducen la necesidad de que se declare nula la Sentencia impugnada y, previa la desestimación de la referida excepción, se dicte otra «por la que, entrando a conocer el fondo del asunto debatido, se condene o absuelva a la Empresa demandada, reconociendo a los trabajadores reclamantes el derecho a un recurso posterior, debido al importante número de ellos que afecta la presente reclamación».</w:t>
      </w:r>
    </w:p>
    <w:p w:rsidR="00256EE9" w:rsidRDefault="00256EE9" w:rsidP="00256EE9">
      <w:pPr>
        <w:pStyle w:val="TextoNormal"/>
      </w:pPr>
    </w:p>
    <w:p w:rsidR="00256EE9" w:rsidRDefault="00256EE9" w:rsidP="00256EE9">
      <w:pPr>
        <w:pStyle w:val="TextoNormal"/>
      </w:pPr>
      <w:r w:rsidRPr="00256EE9">
        <w:rPr>
          <w:rStyle w:val="NumeroAFNegritaCaracter"/>
        </w:rPr>
        <w:t>4</w:t>
      </w:r>
      <w:r>
        <w:t>. El Fiscal ante el Tribunal Constitucional, en su escrito registrado el 11 del mismo mes, señala que, por referirse la demanda a don Víctor Celada López «y otros», sin determinación de quiénes son los recurrentes ni presentación de documento que acredite la representación, los recurrentes incurren en la causa de inadmisión del art. 50.1 b) de la LOTC. Tampoco cumplen la exigencia de congruencia entre la causa petendi y el petitum del art. 49.1 de la LOTC, por cuanto la demanda se refiere como único tema a la prescripción, y sin embargo lo que solicita es el reconocimiento del derecho a recurrir la Sentencia impugnada ante una instancia superior, incurriendo así en la causa de inadmisión prevista en el art. 50.1 b). Por todo lo cual interesa de este Tribunal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Como se desprende del antecedente 3, los recurrentes han subsanado en la fase de alegaciones la primera causa de inadmisión señalada en nuestra providencia, relativa a la no aportación inicial del poder acreditativo de la representación procesal y la falta de especificación de los recurrentes.</w:t>
      </w:r>
    </w:p>
    <w:p w:rsidR="00256EE9" w:rsidRDefault="00256EE9" w:rsidP="00256EE9">
      <w:pPr>
        <w:pStyle w:val="TextoNormal"/>
      </w:pPr>
    </w:p>
    <w:p w:rsidR="00256EE9" w:rsidRDefault="00256EE9" w:rsidP="00256EE9">
      <w:pPr>
        <w:pStyle w:val="TextoNormal"/>
      </w:pPr>
      <w:r w:rsidRPr="00256EE9">
        <w:rPr>
          <w:rStyle w:val="NumeroAFNegritaCaracter"/>
        </w:rPr>
        <w:t>2</w:t>
      </w:r>
      <w:r>
        <w:t>. Por lo que se refiere a la segunda causa de inadmisibilidad señalada en la mencionada providencia basada en el art. 50.1 b) de la LOTC en relación con el 49.1, consistente en la imprecisión en el amparo solicitado en congruencia con la fundamentación del recurso y la petición que se formulara, es preciso comprobar que no sólo no ha sido subsanada, sino que el escrito de alegaciones viene a corroborar que la causa efectivamente existía.</w:t>
      </w:r>
    </w:p>
    <w:p w:rsidR="00256EE9" w:rsidRDefault="00256EE9" w:rsidP="00256EE9">
      <w:pPr>
        <w:pStyle w:val="TextoNormal"/>
      </w:pPr>
      <w:r>
        <w:t xml:space="preserve">Porque en vez de aclarar cuál era el amparo que se trataba de obtener de este Tribunal, lo hecho por los demandantes en la fase de alegaciones ha sido cambiar indebidamente su pretensión inicial por otra distinta. La pretensión de la demanda refiriéndose marginalmente a la decisión judicial de aceptar la excepción de prescripción, por discrepar de la computación del plazo hecho por los recurrentes y el Juez, señalaba que lo impugnado era la declaración de la Sentencia recaída relativa a la inexistencia de un recurso frente a la misma, por lo que solicitaba la declaración de nulidad del fallo de la Sentencia en cuestión </w:t>
      </w:r>
      <w:r>
        <w:lastRenderedPageBreak/>
        <w:t>por no permitir una segunda instancia, y pedía que se reconociera expresamente por este Tribunal el derecho de los recurrentes al acceso a un recurso «ante el Tribunal Superior que corresponda». Por el contrario, el escrito de alegaciones hace hincapié en la estimación por el Magistrado de Trabajo de la excepción de prescripción aducida por la Empresa, estimación que, según los recurrentes, al no reconocerles la Ley el acceso a un Tribunal Superior, les privó de una tutela judicial efectiva. Por ello, volviendo a solicitar la declaración de nulidad de la Sentencia impugnada, piden ahora la desestimación de la mencionada excepción y que se dicte otra Sentencia «por la que, entrando a conocer el fondo del asunto debatido, se condene o absuelva a la Empresa demandada, reconociendo a los trabajadores reclamantes el derecho a un recurso posterior, debido al importante número de ellos que afecta la presente reclamación».  De lo cual resulta que este último reconocimiento queda en un lugar secundario, primando la reclamación relativa al fondo. En una y otra fase del proceso constitucional, la común invocación del art. 24 de la Constitución ha servido para cubrir dos pretensiones diferentes y sustitutorias. De la queja por falta de recurso en la demanda se ha pasado a una queja por falta de tutela judicial efectiva.  Con lo cual la requerida subsanación de una causa de inadmisibilidad en la demanda se ha convertido, en las alegaciones, en una transformación del objeto del recurso, no habiendo sido satisfecha la exigencia del art.  50.1 b) en relación con el 49.1 de la LOTC, cuya falta señaló nuestra providencia de 26 de septiembre último.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w:t>
      </w:r>
    </w:p>
    <w:p w:rsidR="00256EE9" w:rsidRDefault="00256EE9" w:rsidP="00256EE9">
      <w:pPr>
        <w:pStyle w:val="TextoNormal"/>
      </w:pPr>
    </w:p>
    <w:p w:rsidR="00256EE9" w:rsidRDefault="00256EE9" w:rsidP="00256EE9">
      <w:pPr>
        <w:pStyle w:val="TextoNormal"/>
      </w:pPr>
      <w:r>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2" w:name="AUTO_1985_41"/>
      <w:r>
        <w:lastRenderedPageBreak/>
        <w:t>AUTO 41/1985, de 23 de enero de 1985</w:t>
      </w:r>
    </w:p>
    <w:bookmarkEnd w:id="102"/>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ECLI:ES:TC:1985:41A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625/1984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7 de agosto de 1984 tuvo entrada en este Tribunal Constitucional escrito del Procurador de los Tribunales don Alfonso Gil Meléndez, en nombre y representación de don Ignacio Fernández Varela, interponiendo recurso de amparo contra el Auto de la Sala Segunda del Tribunal Supremo de 10 de julio de 1984, por el que se desestima el recurso de súplica interpuesto contra otro Auto de la misma Sala, de 14 de junio del mismo año, por el que se declaró desierto el recurso de casación preparado por el solicitante del amparo contra una Sentencia de la Audiencia Provincial de Badajoz de 8 de febrero, también de 1984, que le condenó por diversos delitos. El solicitante del amparo sostiene que el Auto impugnado vulnera el derecho a la tutela judicial efectiva consagrado en el art. 24 de la Constitución. Basa su pretensión en que a raíz de su condena por la Audiencia Provincial de Badajoz, interpuso recurso de casación. La referida Audiencia declaró preparado el recurso, ordenó la expedición del testimonio de la Sentencia y emplazó a las partes para que compareciesen ante la Sala Segunda del Tribunal Supremo en el plazo de quince días, todo ello por Auto de 15 de marzo de 1984. La notificación del Auto y el emplazamiento de la parte recurrente ante la Sala Segunda del Tribunal Supremo se verificó a su Procurador mediante cédula con fecha 20 del mismo mes de marzo, que se dice entregada el mismo día. </w:t>
      </w:r>
    </w:p>
    <w:p w:rsidR="00256EE9" w:rsidRDefault="00256EE9" w:rsidP="00256EE9">
      <w:pPr>
        <w:pStyle w:val="TextoNormal"/>
      </w:pPr>
      <w:r>
        <w:t>No obstante, siempre según el recurrente, en el encabezamiento del documento se hace constar de forma manuscrita que el citado emplazamiento ha sido efectivo el siguiente día 21. Tras superar diversos obstáculos y poniendo en ello el mayor empeño y celeridad, se logró presentar el escrito de formalización del recurso ante el Tribunal Supremo el día 7 de abril. Por Auto de fecha 14 de junio de 1984, la Sala Segunda de dicho Alto Tribunal declaró desierto el recurso por haberse formalizado el día 7 de abril, cuando el término de emplazamiento había finalizado el anterior día 6, por computarse el plazo desde el 20 de marzo. Interpuesto recurso de súplica, fue desestimado por Auto de la misma Sala de 10 de julio.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3 de octubre de 1984, la Sección Primera de este Tribunal Constitucional acordó, entre otros extremos con carácter previo a resolver sobre la admisión y conforme al art. 88 de la Ley Orgánica del Tribunal Constitucional (LOTC), dirigir comunicación a la Audiencia Provincial de Badajoz para que en el plazo de diez días remitiesen </w:t>
      </w:r>
      <w:r>
        <w:lastRenderedPageBreak/>
        <w:t>a este Tribunal Constitucional certificación acreditativa de la fecha de emplazamiento al recurrente. Oportunamente se recibió certificación del secretario de la Audiencia Provincial de Badajoz en que acredita que la Procuradora del recurrente fue emplazada con fecha 20 de marzo del año 1984 con entrega de cédula comprensiva de los requisitos legales para que en el plazo improrrogable de quince días compareciese ante la Sala Segunda del Tribunal Supremo a usar de su derecho en el recurso de casación interpuesto.</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14 de noviembre de 1984, la Sección Primera de este Tribunal Constitucional acordó otorgar un plazo común de diez días al Ministerio Fiscal y al recurrente para que alegasen lo que estimasen oportuno sobre la posible concurrencia del siguiente motivo de inadmisión: carecer la demanda manifiestamente de contenido que justifique una decisión por parte del Tribunal Constitucional.</w:t>
      </w:r>
    </w:p>
    <w:p w:rsidR="00256EE9" w:rsidRDefault="00256EE9" w:rsidP="00256EE9">
      <w:pPr>
        <w:pStyle w:val="TextoNormal"/>
      </w:pPr>
    </w:p>
    <w:p w:rsidR="00256EE9" w:rsidRDefault="00256EE9" w:rsidP="00256EE9">
      <w:pPr>
        <w:pStyle w:val="TextoNormal"/>
      </w:pPr>
      <w:r w:rsidRPr="00256EE9">
        <w:rPr>
          <w:rStyle w:val="NumeroAFNegritaCaracter"/>
        </w:rPr>
        <w:t>4</w:t>
      </w:r>
      <w:r>
        <w:t>. En el plazo señalado, el Fiscal formuló sus alegaciones indicando que centrada la cuestión exclusivamente en la fecha del emplazamiento, hay que atenerse en este punto al certificado del Secretario, que tiene la fe pública y contra lo que no pueden prevalecer suposiciones escasamente fundadas. Por lo que certificando el Secretario que la fecha del emplazamiento fue el día 20 de marzo la interposición del recurso tuvo lugar fuera de plazo. Concluye el Fiscal solicitando la inadmisión del recurso. También en el plazo señalado el recurrente formuló sus alegaciones. Insiste en ellas en que no fue emplazado hasta el día 21 y en que la cédula de emplazamiento llevaba a mano una nota en que decía que se había notificado el 21. Dice que el plazo para interponer el recurso de casación debe contarse a partir del día en que se notifica, no de la fecha de la cédula. Reitera los argumentos expuestos en la demanda y solicita la 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Objeto de este Auto es determinar si en el presente recurso de amparo concurre el motivo de inadmisión señalado en nuestra providencia de 14 de noviembre de 1984, consistente en la falta manifiesta de contenido que justifique una decisión por parte de este Tribunal Constitucional, en el sentido expuesto reiteradas veces por el mismo de que los elementos de juicio disponibles en el momento de dictar este Auto hacen posible resolver el caso sin necesidad de tramitarlo hasta Sentencia.</w:t>
      </w:r>
    </w:p>
    <w:p w:rsidR="00256EE9" w:rsidRDefault="00256EE9" w:rsidP="00256EE9">
      <w:pPr>
        <w:pStyle w:val="TextoNormal"/>
      </w:pPr>
    </w:p>
    <w:p w:rsidR="00256EE9" w:rsidRDefault="00256EE9" w:rsidP="00256EE9">
      <w:pPr>
        <w:pStyle w:val="TextoNormal"/>
      </w:pPr>
      <w:r w:rsidRPr="00256EE9">
        <w:rPr>
          <w:rStyle w:val="NumeroAFNegritaCaracter"/>
        </w:rPr>
        <w:t>2</w:t>
      </w:r>
      <w:r>
        <w:t>. El solicitante del amparo impugna el Auto de la Sala Segunda del Tribunal Supremo de 10 de julio de 1984, que confirma otro anterior, por entender que dicha resolución judicial vulnera su derecho a la tutela judicial efectiva sin que, en ningún caso, pueda producirse indefensión, consagrado en el art. 24.1 de la Constitución.  En la resolución impugnada se mantiene la decisión de declarar desierto el recurso de casación interpuesto por el solicitante del amparo, por haberlo formalizado un día después del término señalado en el emplazamiento de la Audiencia.  El recurrente sostiene que formalizó la casación dentro de plazo, pues la cédula de emplazamiento, aunque lleva fecha 20 de marzo, se entregó efectivamente el día siguiente, 21, fecha que aparece manuscrita en la misma cédula, con lo que el escrito de formalización estaría dentro de plazo.</w:t>
      </w:r>
    </w:p>
    <w:p w:rsidR="00256EE9" w:rsidRDefault="00256EE9" w:rsidP="00256EE9">
      <w:pPr>
        <w:pStyle w:val="TextoNormal"/>
      </w:pPr>
      <w:r>
        <w:lastRenderedPageBreak/>
        <w:t>Dice también el recurrente que la falta de tutela judicial efectiva también se manifiesta en el hecho de que se haya dictado una resolución definitiva, sin que se practicase una información que clarifique lo ocurrido.</w:t>
      </w:r>
    </w:p>
    <w:p w:rsidR="00256EE9" w:rsidRDefault="00256EE9" w:rsidP="00256EE9">
      <w:pPr>
        <w:pStyle w:val="TextoNormal"/>
      </w:pPr>
    </w:p>
    <w:p w:rsidR="00256EE9" w:rsidRDefault="00256EE9" w:rsidP="00256EE9">
      <w:pPr>
        <w:pStyle w:val="TextoNormal"/>
      </w:pPr>
      <w:r w:rsidRPr="00256EE9">
        <w:rPr>
          <w:rStyle w:val="NumeroAFNegritaCaracter"/>
        </w:rPr>
        <w:t>3</w:t>
      </w:r>
      <w:r>
        <w:t>. Frente a las alegaciones del recurrente, está el hecho de que la certificación del secretario de la Audiencia Provincial de Badajoz, que dictó el emplazamiento, hace constar en forma expresa que la Procuradora del recurrente «fue emplazada con fecha 20 de marzo del actual con entrega de cédula comprensiva de los requisitos legales para que en el término improrrogable de quince días compareciese ante la Sala Segunda del Tribunal Supremo a usar de su derecho». Dado que los secretarios de la Administración de Justicia ejercen la fe pública judicial, el Tribunal Supremo se limitó a atenerse a lo que resultaba del certificado del Secretario respecto a la fecha del emplazamiento, que ha de ser tenido por cierto salvo que se probase su falsedad por los medios legales que procedan.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no admitir a trámite el presente recurso de amparo. Archívense las actuaciones.</w:t>
      </w:r>
    </w:p>
    <w:p w:rsidR="00256EE9" w:rsidRDefault="00256EE9" w:rsidP="00256EE9">
      <w:pPr>
        <w:pStyle w:val="TextoNormal"/>
      </w:pPr>
    </w:p>
    <w:p w:rsidR="00256EE9" w:rsidRDefault="00256EE9" w:rsidP="00256EE9">
      <w:pPr>
        <w:pStyle w:val="TextoNormal"/>
      </w:pPr>
      <w:r>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3" w:name="AUTO_1985_42"/>
      <w:r>
        <w:lastRenderedPageBreak/>
        <w:t>AUTO 42/1985, de 23 de enero de 1985</w:t>
      </w:r>
    </w:p>
    <w:bookmarkEnd w:id="103"/>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ECLI:ES:TC:1985:42A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654/1984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el 4 de septiembre de 1984, don Pablo Oterino Menéndez, Procurador de los Tribunales, interpone, en nombre y representación de la empresa «Caolines de Merilles, S. L.», recurso de amparo constitucional contra el Auto del Tribunal Central de Trabajo de 27 de julio de 1984, que desestima el recurso de súplica promovido contra Auto dictado por el mismo órgano judicial en fecha 30 de marzo de 1984, que declaró tener por no anunciado el recurso de suplicación interpuesto por la actora contra Sentencia de la Magistratura núm. 3 de las de Oviedo en autos seguidos sobre despido. En el «suplico», el escrito de demanda solicita de este Tribunal la nulidad de las resoluciones impugnadas, declarando anunciado en forma el recurso de suplicación interpuesto y ordenando al Tribunal Central de Trabajo que continúe la sustanciación del proceso hasta la resolución del fondo del asunto.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pretensión que se postula se apoya en los siguientes hechos: </w:t>
      </w:r>
    </w:p>
    <w:p w:rsidR="00256EE9" w:rsidRDefault="00256EE9" w:rsidP="00256EE9">
      <w:pPr>
        <w:pStyle w:val="TextoNormal"/>
      </w:pPr>
      <w:r>
        <w:t xml:space="preserve">a) Don José García Alvarez, trabajador al servicio de la entidad «Caolines de Merilles, S. L.», tramitó demanda en reclamación por despido, sustanciada por Sentencia de la Magistratura de Trabajo núm. 3 de Oviedo, cuya parte dispositiva, tras declarar la improcedencia del despido, condenaba a la Empresa demandada a que, a su elección, optara entre la readmisión del trabajador en su puesto de trabajo o al pago de una indemnización de 938.065 pesetas y, en todo caso, le abonara los salarios de tramitación. </w:t>
      </w:r>
    </w:p>
    <w:p w:rsidR="00256EE9" w:rsidRDefault="00256EE9" w:rsidP="00256EE9">
      <w:pPr>
        <w:pStyle w:val="TextoNormal"/>
      </w:pPr>
      <w:r>
        <w:t xml:space="preserve">b) Ejercitada la opción en favor de la readmisión, la Empresa condenada, en fecha 22 de febrero de 1984, anunció su propósito de entablar recurso de suplicación, acompañando al efecto resguardo acreditativo de haber consignado el importe de los salarios de tramitación y de haber efectuado los depósitos preceptivos. Dictada por la Magistratura de instancia providencia teniendo por anunciado en forma el recurso, en fecha 14 de marzo de 1984, la recurrente en amparo consignó, mediante aval bancario, el resto de la cantidad objeto de la condena. </w:t>
      </w:r>
    </w:p>
    <w:p w:rsidR="00256EE9" w:rsidRDefault="00256EE9" w:rsidP="00256EE9">
      <w:pPr>
        <w:pStyle w:val="TextoNormal"/>
      </w:pPr>
      <w:r>
        <w:t xml:space="preserve">c) Elevadas las actuaciones al Tribunal Central de Trabajo, éste, por Auto de 30 de marzo de 1984, declaró tener por no anunciado el recurso de suplicación, estimando ineficaz la consignación efectuada fuera de plazo. Interpuesto recurso de súplica contra la anterior resolución alegando infracción del art. 24.1 de la Constitución, el citado órgano judicial, por Auto de 27 de julio de 1984, lo desestimó, considerando que el alegado precepto </w:t>
      </w:r>
      <w:r>
        <w:lastRenderedPageBreak/>
        <w:t>constitucional, al contemplar a las dos partes que se enfrentan en el proceso, exige para que la igualdad pueda prevalecer que ambas se sometan por igual a las normas preestablecidas que rigen el proceso, por lo que el deber de consignar en el plazo perentorio e improrrogable que establece el art. 154, en relación con el art. 21, ambos de la Ley de Procedimiento Laboral (L.P.L.) «no constituye un mero formalismo, como pretende la parte, sino un requisito determinante de la seguridad jurídica».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escrito de demanda denuncia la vulneración del art. 24.1 de la Constitución por las resoluciones impugnadas. Y ello por las dos siguientes causas: </w:t>
      </w:r>
    </w:p>
    <w:p w:rsidR="00256EE9" w:rsidRDefault="00256EE9" w:rsidP="00256EE9">
      <w:pPr>
        <w:pStyle w:val="TextoNormal"/>
      </w:pPr>
      <w:r>
        <w:t xml:space="preserve">a) Siendo inobjetable la configuración de los temas relativos a consignaciones como materias de orden público, revisables de oficio, es igualmente cierto que esa revisión ha de realizarse por el órgano fiscalizador respetando el estado procesal en que los autos le hubieran llegado. Invocando la doctrina sentada por el Tribunal Constitucional en Sentencia de 16 de diciembre de 1983, se arguye que no es lícito, coherente ni constitucional que, una vez tenido por anunciado en forma el recurso por la Magistratura de Trabajo, pese a la concurrencia de un defecto y subsanado éste por la parte recurrente, el Tribunal Central de Trabajo deje sin valor esa actividad sanatoria, decretando la inadmisión del recurso por la omisión de una exigencia subsanada. </w:t>
      </w:r>
    </w:p>
    <w:p w:rsidR="00256EE9" w:rsidRDefault="00256EE9" w:rsidP="00256EE9">
      <w:pPr>
        <w:pStyle w:val="TextoNormal"/>
      </w:pPr>
      <w:r>
        <w:t>b) Aun cuando la seguridad jurídica obligue a dar similar tratamiento tanto a la omisión total de la consignación debida cuanto a la realizada fuera de plazo, ello ha de entenderse, como señaló la Sentencia del Tribunal Constitucional de 6 de diciembre de 1983, sin perjuicio del trato excepcional que por la singularidad del supuesto cabe dar a las consignaciones meramente irregulares, efectuadas de buena fe. En el presente caso concurren los tres requisitos para la aplicación de tal criterio. El supuesto es, por lo pronto, singular, ya que de la condena alternativa del fallo, el recurrente optó por la readmisión, que se efectuó de modo regular. La consignación, en segundo lugar, fue meramente irregular, pues no se omitió la relativa a los salarios de tramitación. Finalmente, la consignante actuó de buena fe, como lo prueba el que, advertida la omisión, procediera a cumplimentarla presentando aval bancario.</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14 de noviembre de 1984, la Sección Primera de la Sala Primera de este Tribunal Constitucional acuerda conceder al Ministerio Fiscal y a la representación de la recurrente un plazo común de diez días, a fin de que puedan alegar lo que estimen pertinente en relación con el motivo de inadmisión previsto en el art. 50.2 b) de la Ley Orgánica del Tribunal Constitucional (LOTC): carecer la demanda manifiestamente de contenido que justifique una decisión por parte de este Tribunal.</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su escrito de 26 de noviembre de 1984, el Ministerio Fiscal manifiesta que, de acuerdo con la jurisprudencia constitucional contenida no sólo en las Sentencias aducidas por la parte recurrente, sino también en las números 3, 9 y 14, todas ellas de 1983, es evidente que el presente recurso de amparo incurre en la mencionada causa de inadmisión. </w:t>
      </w:r>
    </w:p>
    <w:p w:rsidR="00256EE9" w:rsidRDefault="00256EE9" w:rsidP="00256EE9">
      <w:pPr>
        <w:pStyle w:val="TextoNormal"/>
      </w:pPr>
      <w:r>
        <w:t xml:space="preserve">En dichas Sentencias el Tribunal Constitucional ha declarado que el legislador puede condicionar el derecho a recurrir al cumplimiento de determinados requisitos en aras de la efectividad de la promoción de otros bienes o derechos fundamentales. Y también ha afirmado que la consignación del importe total de la condena por el empresario constituye una medida cautelar que tiene fundamento, racionalidad y proporcionalidad suficientes para estimarla no opuesta a la Constitución, por lo que el incumplimiento total de la carga </w:t>
      </w:r>
      <w:r>
        <w:lastRenderedPageBreak/>
        <w:t xml:space="preserve">de consignar produce la consecuencia de inadmitir el derecho a recurrir en casación o suplicación laboral, consecuencia que debe extenderse a la consignación hecha fuera de plazo e incluso a las no íntegras en su cuantía, por no reunir los requisitos legales. </w:t>
      </w:r>
    </w:p>
    <w:p w:rsidR="00256EE9" w:rsidRDefault="00256EE9" w:rsidP="00256EE9">
      <w:pPr>
        <w:pStyle w:val="TextoNormal"/>
      </w:pPr>
      <w:r>
        <w:t>Por otra parte, las excepciones contempladas en las Sentencias aducidas por la recurrente no son de aplicación al presente recurso, en el que se incumple un requisito establecido legalmente de forma expresa e inequívoca y en el que no cabe la técnica de la subsanación.</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Por su parte, la representación de la recurrente, en escrito presentado el 3 de diciembre de 1984, aduce en apoyo de su pretensión la doctrina contenida, a su juicio, en diversas Sentencias de este Tribunal Constitucional: </w:t>
      </w:r>
    </w:p>
    <w:p w:rsidR="00256EE9" w:rsidRDefault="00256EE9" w:rsidP="00256EE9">
      <w:pPr>
        <w:pStyle w:val="TextoNormal"/>
      </w:pPr>
      <w:r>
        <w:t xml:space="preserve">a) el derecho reconocido en el art. 24.1 de la Constitución no puede ser obstaculizado por formalismos enervantes o mediante la interpretación literal de las normas que establecen los requisitos y formas procesales, sin tener en cuenta su espíritu y finalidad (Sentencia del Tribunal Constitucional de 10 de mayo de 1984); b) aun cuando dichas formas y requisitos jueguen un papel de capital importancia para la ordenación del proceso, no toda irregularidad puede convertirse en un obstáculo insalvable para la consecución del mencionado Derecho constitucional (Sentencia del Tribunal Constitucional de 14 de marzo de 1983); c) la utilización por parte del Tribunal Central de Trabajo de la potestad de verificar si se han cumplido los requisitos de los que depende la regularidad de la admisión del recurso ha de inspirarse en un criterio de proporcionalidad, que no se respeta cuando, admitido el recurso y no cuestionada la regularidad de su admisión, se cierra el trámite esperado de la Sentencia en un momento que no es el normal de verificación de tales requisitos (Sentencia del Tribunal Constitucional de 8 de mayo de 1984); d) debe darse valor sanatorio al intento originario de cumplir la parte con el requisito exigido, aunque tal cumplimiento fuera defectuoso por su extemporaneidad (Sentencias del Tribunal Constitucional de 4 de marzo de 1983 y 10 de mayo de 1984). </w:t>
      </w:r>
    </w:p>
    <w:p w:rsidR="00256EE9" w:rsidRDefault="00256EE9" w:rsidP="00256EE9">
      <w:pPr>
        <w:pStyle w:val="TextoNormal"/>
      </w:pPr>
      <w:r>
        <w:t>Partiendo de la anterior doctrina, la representación de la recurrente estima que son varias las razones que justificarían la aplicación de la técnica subsanatoria al presente caso: a) la finalidad de la consignación queda garantizada si se realiza antes de la elevación de los autos originales al Tribunal superior; b) la inadmisión del recurso por razones de seguridad jurídica resulta una medida desproporcionada; c) la irregularidad descansa en una involuntaria omisión, que fue subsanada por esta parte, sin la correlativa objeción de la contraria ni de la Magistratura a quo, tan pronto como tuvo conciencia de ello; d) el art. 154 de la L.P.L. impone literalmente que en plazo señalado se consigne la cantidad objeto de condena, pero no puede hablarse de condena pecuniaria indemnizatoria cuando el empresario opta por la readmisión.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cuestión que se plantea en el presente recurso de amparo consiste en determinar si las resoluciones judiciales que impiden el acceso del hoy demandante de amparo al recurso de suplicación por incumplimiento del requisito procesal establecido en el art. 154 de la LPL -la necesidad de consignar las cantidades objeto de la condena al tiempo de anunciar el propósito de entablar el mencionado recursovulneran el art. 24.1 de la Constitución, o si, por el contrario, tales resoluciones no lo infringen y, por lo tanto, la demanda de amparo carece manifiestamente de contenido desde el punto de vista constitucional.</w:t>
      </w:r>
    </w:p>
    <w:p w:rsidR="00256EE9" w:rsidRDefault="00256EE9" w:rsidP="00256EE9">
      <w:pPr>
        <w:pStyle w:val="TextoNormal"/>
      </w:pPr>
    </w:p>
    <w:p w:rsidR="00256EE9" w:rsidRDefault="00256EE9" w:rsidP="00256EE9">
      <w:pPr>
        <w:pStyle w:val="TextoNormal"/>
      </w:pPr>
      <w:r w:rsidRPr="00256EE9">
        <w:rPr>
          <w:rStyle w:val="NumeroAFNegritaCaracter"/>
        </w:rPr>
        <w:t>2</w:t>
      </w:r>
      <w:r>
        <w:t>. En reiteradas ocasiones ha señalado este Tribunal Constitucional que si bien el contenido normal del derecho a la tutela judicial efectiva, garantizado en el art. 24.1 de la Constitución, comprende el derecho a obtener una resolución jurídicamente fundada sobre el fondo del asunto, también puede limitarse dicha resolución a declarar la inadmisión del recurso en el caso de que no se den los requisitos legalmente establecidos.  Y también ha declarado que los requisitos procesales, que el legislador establece teniendo en cuenta la naturaleza y finalidad del proceso y en aras de la certeza y seguridad jurídicas, cumplen un papel de capital importancia para la ordenación del proceso, no pudiendo dejarse al arbitrio de las partes, por afectar al orden público procesal, ni su cumplimiento ni el momento de su realización.</w:t>
      </w:r>
    </w:p>
    <w:p w:rsidR="00256EE9" w:rsidRDefault="00256EE9" w:rsidP="00256EE9">
      <w:pPr>
        <w:pStyle w:val="TextoNormal"/>
      </w:pPr>
      <w:r>
        <w:t>En consecuencia, aun cuando puedan suponer obstáculos al acceso al proceso, la exigencia de dichos requisitos no infringe el art. 24.1 de la Constitución, salvo en aquellos casos en que tales requisitos puedan considerarse excesivos por ser producto de un innecesario formalismo o no aparezcan justificados o proporcionados a las finalidades a que responde su establecimiento.</w:t>
      </w:r>
    </w:p>
    <w:p w:rsidR="00256EE9" w:rsidRDefault="00256EE9" w:rsidP="00256EE9">
      <w:pPr>
        <w:pStyle w:val="TextoNormal"/>
      </w:pPr>
    </w:p>
    <w:p w:rsidR="00256EE9" w:rsidRDefault="00256EE9" w:rsidP="00256EE9">
      <w:pPr>
        <w:pStyle w:val="TextoNormal"/>
      </w:pPr>
      <w:r w:rsidRPr="00256EE9">
        <w:rPr>
          <w:rStyle w:val="NumeroAFNegritaCaracter"/>
        </w:rPr>
        <w:t>3</w:t>
      </w:r>
      <w:r>
        <w:t>. En el presente caso, la ordenación del recurso de suplicación se regula en los arts.  154 y siguientes de la L.P.L., estableciendo de manera taxativa ese primer precepto que en el momento de anunciarse por el empresario recurrente no declarado pobre el propósito de recurrir habrán de realizarse las consignaciones debidas.  La carga de consignar se sujeta así a un plazo improrrogable, perentorio y de caducidad, de modo que transcurrido éste queda precluido el derecho de recurrir, sin que la legislación haya abierto un período para subsanar los defectos u omisiones en el cumplimiento de esa carga.</w:t>
      </w:r>
    </w:p>
    <w:p w:rsidR="00256EE9" w:rsidRDefault="00256EE9" w:rsidP="00256EE9">
      <w:pPr>
        <w:pStyle w:val="TextoNormal"/>
      </w:pPr>
      <w:r>
        <w:t>El recurrente anunció su propósito de recurrir en suplicación dentro del plazo legalmente fijado en el art. 154 de la L.P.L., pero en dicho momento depositó tan sólo la cantidad objeto de los salarios de tramitación, dejando transcurrir más de tres semanas antes de completar el resto de la consignación debida.  En atención a ello, el Auto del Tribunal Central de Trabajo de 30 de marzo de 1984 declaró tener por no anunciado el recurso interpuesto, y fue también esta circunstancia la invocada por el Auto del mismo órgano judicial de 27 de julio de 1984 para desestimar el recurso de súplica promovido contra la anterior resolución.</w:t>
      </w:r>
    </w:p>
    <w:p w:rsidR="00256EE9" w:rsidRDefault="00256EE9" w:rsidP="00256EE9">
      <w:pPr>
        <w:pStyle w:val="TextoNormal"/>
      </w:pPr>
    </w:p>
    <w:p w:rsidR="00256EE9" w:rsidRDefault="00256EE9" w:rsidP="00256EE9">
      <w:pPr>
        <w:pStyle w:val="TextoNormal"/>
      </w:pPr>
      <w:r w:rsidRPr="00256EE9">
        <w:rPr>
          <w:rStyle w:val="NumeroAFNegritaCaracter"/>
        </w:rPr>
        <w:t>4</w:t>
      </w:r>
      <w:r>
        <w:t>. De acuerdo con la doctrina de este Tribunal Constitucional anteriormente expuesta, y dada la importancia de los plazos en la ordenación del proceso -materia ésta, por otra parte, que pertenece al orden público procesal- no puede decirse, como sostiene el recurrente, que las mencionadas resoluciones vulneren el art.  24.1 de la Constitución, ni en cuanto suponen la revisión de oficio, por parte del Tribunal Central de Trabajo, del cumplimiento del plazo para efectuar la consignación establecido en el art.  154 de la L.P.L., ni en cuanto aplican esta norma en los términos estrictos en que aparece redactada (siendo «indispensable» que el recurrente consigne la cantidad objeto de la condena, «sin cuyo requisito no podrá tenerse por anunciado el recurso y quedará firme la Sentencia»).</w:t>
      </w:r>
    </w:p>
    <w:p w:rsidR="00256EE9" w:rsidRDefault="00256EE9" w:rsidP="00256EE9">
      <w:pPr>
        <w:pStyle w:val="TextoNormal"/>
      </w:pPr>
      <w:r>
        <w:t xml:space="preserve">La decisión de las resoluciones impugnadas de no admitir a trámite el recurso de suplicación no puede considerarse, como sugiere el hoy recurrente en amparo, producto de un formalismo incompatible con el derecho al acceso a la jurisdicción, sino como una exigencia de la seguridad jurídica que. según razona el Auto del Tribunal Central de Trabajo </w:t>
      </w:r>
      <w:r>
        <w:lastRenderedPageBreak/>
        <w:t>de 27 de julio de 1984, veda el abandonar al arbitrio y disponibilidad de cualquiera de las partes la ordenación temporal a la que han de someterse los requisitos procesales.</w:t>
      </w:r>
    </w:p>
    <w:p w:rsidR="00256EE9" w:rsidRDefault="00256EE9" w:rsidP="00256EE9">
      <w:pPr>
        <w:pStyle w:val="TextoNormal"/>
      </w:pPr>
    </w:p>
    <w:p w:rsidR="00256EE9" w:rsidRDefault="00256EE9" w:rsidP="00256EE9">
      <w:pPr>
        <w:pStyle w:val="TextoNormal"/>
      </w:pPr>
      <w:r w:rsidRPr="00256EE9">
        <w:rPr>
          <w:rStyle w:val="NumeroAFNegritaCaracter"/>
        </w:rPr>
        <w:t>5</w:t>
      </w:r>
      <w:r>
        <w:t>. El tratamiento excepcional que en ciertos casos ha otorgado este Tribunal a las denominadas consignaciones meramente irregulares y a otros requisitos procesales, doctrina sobre la que el recurrente fundamenta especialmente su pretensión tanto en el escrito de demanda como en el de alegaciones, no es de aplicación en el supuesto que nos ocupa, pues sin entrar a discernir si los presupuestos determinantes de la aplicación de la citada doctrina son o no los mencionados por el recurrente y dejando a un lado que la doctrina contenida en alguna de las Sentencias aducidas tiene el sentido contrario al que el recurrente le atribuye, dicho tratamiento aparece en relación con el defectuoso cumplimiento de exigencias procesales susceptibles de interpretaciones dispares o que, teniendo en cuenta su finalidad dentro del proceso, permitían una reinterpretación a la luz de los principios constitucionales.  Circunstancias que no confluyen en el presente caso, dada la finalidad procesal del plazo y los términos taxativos en que aparece legalmente establecido.</w:t>
      </w:r>
    </w:p>
    <w:p w:rsidR="00256EE9" w:rsidRDefault="00256EE9" w:rsidP="00256EE9">
      <w:pPr>
        <w:pStyle w:val="TextoNormal"/>
      </w:pPr>
    </w:p>
    <w:p w:rsidR="00256EE9" w:rsidRDefault="00256EE9" w:rsidP="00256EE9">
      <w:pPr>
        <w:pStyle w:val="TextoNormal"/>
      </w:pPr>
      <w:r w:rsidRPr="00256EE9">
        <w:rPr>
          <w:rStyle w:val="NumeroAFNegritaCaracter"/>
        </w:rPr>
        <w:t>6</w:t>
      </w:r>
      <w:r>
        <w:t>. En virtud de lo anteriormente expuesto, es preciso concluir que las resoluciones impugnadas no infringen el art. 24.1 de la Constitución y, por lo tanto, la demanda de amparo carece manifiestamente de contenido desde el punto de vista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inadmisión del recurso de amparo interpuesto por el Procurador de los Tribunales don Pablo Oterino Menéndez, en nombre y representación de la empresa «Caolines de Merilles, S. L.», y el archivo de las actuaciones.</w:t>
      </w:r>
    </w:p>
    <w:p w:rsidR="00256EE9" w:rsidRDefault="00256EE9" w:rsidP="00256EE9">
      <w:pPr>
        <w:pStyle w:val="TextoNormal"/>
      </w:pPr>
    </w:p>
    <w:p w:rsidR="00256EE9" w:rsidRDefault="00256EE9" w:rsidP="00256EE9">
      <w:pPr>
        <w:pStyle w:val="TextoNormal"/>
      </w:pPr>
      <w:r>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4" w:name="AUTO_1985_43"/>
      <w:r>
        <w:lastRenderedPageBreak/>
        <w:t>AUTO 43/1985, de 23 de enero de 1985</w:t>
      </w:r>
    </w:p>
    <w:bookmarkEnd w:id="104"/>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ECLI:ES:TC:1985:43A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Declarando la extinción del proceso por satisfacción extraprocesal de la pretensión, en el recurso de amparo 734/1984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este Tribunal el 24 de octubre de 1984, don Julián Zapata Díaz, Procurador de los Tribunales, interpuso recurso de amparo en nombre y representación de don Rafael Bustillo López, don Ramón Fernández García y don Feliciano Suela González, contra la Sentencia de la Audiencia Territorial de Madrid de 28 de abril de 1984 -notificada el 28 de septiembre siguiente- que denegó a los recurrentes la actualización de sus pensiones como miembros del Cuerpo de Carteros Urbanos, en situación de jubilados. </w:t>
      </w:r>
    </w:p>
    <w:p w:rsidR="00256EE9" w:rsidRDefault="00256EE9" w:rsidP="00256EE9">
      <w:pPr>
        <w:pStyle w:val="TextoNormal"/>
      </w:pPr>
      <w:r>
        <w:t xml:space="preserve">Las alegaciones de los recurrentes son, en síntesis, que la Ley 75/1978, de 26 de diciembre, cambió de nombre al Cuerpo de Carteros Urbanos, que pasó a llamarse «Escala de Clasificación y Reparto del Cuerpo Auxiliar Postal y de Telecomunicación». Como consecuencia de ello se incrementaron las retribuciones (índice de proporcionalidad y grado) de la citada Escala de Clasificación y Reparto. Los recurrentes, junto con otros tres carteros jubilados, solicitaron actualización de pensión, conforme a lo dispuesto en el art. 47 de la Ley de Derechos Pasivos y disposiciones complementarias. Dicha petición fue desestimada por resolución de la Dirección General del Tesoro de 12 de noviembre de 1979. Interpuesto recurso económico-administrativo ante el Tribunal Económico-Administrativo Central -mediante reclamaciones individualizadas- que asimismo desestimado. Finalmente se interpuso recurso contencioso-administrativo, que fue desestimado por la referida Sentencia de la Audiencia Territorial de Madrid de 28 de abril de 1984. </w:t>
      </w:r>
    </w:p>
    <w:p w:rsidR="00256EE9" w:rsidRDefault="00256EE9" w:rsidP="00256EE9">
      <w:pPr>
        <w:pStyle w:val="TextoNormal"/>
      </w:pPr>
      <w:r>
        <w:t>La demanda se funda en que la desestimación de la solicitud de actualización de pensiones formulada ha producido una vulneración del principio de igualdad garantizado en el art. 14 de la Constitución. Todo ello de acuerdo con la doctrina jurisprudencial contenida en la Sentencia de este Alto Tribunal 7/1982, de 26 de febrero, estimatoria del recurso de amparo número 88/1981, que resolvió un caso idéntico al que ahora plantean. La propia Administración (resolución de la Dirección General de Gastos de Personal del Ministerio de Economía y Hacienda de 28 de febrero de 1984) ha reconocido -respecto de uno de los recurrentes- la aplicabilidad de la doctrina sentada por este Alto Tribunal en la meritada Sentencia.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En su reunión del día 21 de noviembre de 1984, la Sección Cuarta de este Tribunal acordó admitir a trámite la demanda de amparo presentada por el Procurador de los Tribunales don Julián Zapata Díaz en nombre de don Rafael Bustillo López, don Ramón Fernández García y don Feliciano Suela González, de que se ha hecho mérito en el apartado anterior, ordenando que se sustanciara con arreglo a Derecho y que se hiciera aplicación de lo dispuesto en el art. 51 de la Ley Orgánica de este Tribunal.</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«Boletín Oficial del Estado» de 30 de noviembre de 1984, núm. 287, publicó en las páginas 34606 y 34607 un Real Decreto 2137/1984, de 17 de octubre, que versaba sobre actualización de las pensiones de los Cuerpos de Correos y Telecomunicaciones y que en su preámbulo daba cuenta de la existencia de reclamaciones formuladas por funcionarios del extinguido Cuerpo de Carteros Urbanos, señalando que las reclamaciones tenían su origen en la interpretación dada por este Tribunal, en su Sentencia de 26 de febrero de 1982, núm. 7/1982, a los arts. 1 y 5 de la Ley 82/1961, de 23 de diciembre, y al art. 47 del texto refundido de la Ley de Derechos Pasivos de los Funcionarios Civiles de la Administración del Estado, al resolver un recurso de amparo interpuesto por funcionarios jubilados del Cuerpo de Inspectores e Instructores-Visitadores de Asistencia Pública. </w:t>
      </w:r>
    </w:p>
    <w:p w:rsidR="00256EE9" w:rsidRDefault="00256EE9" w:rsidP="00256EE9">
      <w:pPr>
        <w:pStyle w:val="TextoNormal"/>
      </w:pPr>
      <w:r>
        <w:t>En el citado preámbulo se conoce la identidad entre el supuesto resuelto por este Tribunal y el planteado por los carteros urbanos que causaron pensión con anterioridad al 1 de febrero de 1978, y añadiendo otras razones que no son ahora del caso, dispone la actualización de los haberes pasivos causados por los funcionarios que pertenecieron a los Cuerpos de Carteros Urbanos, mediante un incremento en la cantidad resultante de aplicar a los importes devengados los módulos que se indican en el anexo. El Decreto añade que el aumento de las pensiones tendrá efecto económico retroactivo a partir del 1 de febrero de 1979 o, en su caso, del mes siguiente al del nacimiento del derecho de los perceptores.</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Cuarta de este Tribunal, en su reunión de 5 de diciembre pasado, acordó unir a las actuaciones una copia del Real Decreto 2137/1984, de 17 de octubre, al que se ha hecho mención en el apartado anterior, mandando oír a la representación de la parte demandante y al Ministerio Fiscal por un plazo común de diez días sobre la posible desaparición de la materia de amparo a la vista de lo dispuesto en el referido Real Decreto.</w:t>
      </w:r>
    </w:p>
    <w:p w:rsidR="00256EE9" w:rsidRDefault="00256EE9" w:rsidP="00256EE9">
      <w:pPr>
        <w:pStyle w:val="TextoNormal"/>
      </w:pPr>
    </w:p>
    <w:p w:rsidR="00256EE9" w:rsidRDefault="00256EE9" w:rsidP="00256EE9">
      <w:pPr>
        <w:pStyle w:val="TextoNormal"/>
      </w:pPr>
      <w:r w:rsidRPr="00256EE9">
        <w:rPr>
          <w:rStyle w:val="NumeroAFNegritaCaracter"/>
        </w:rPr>
        <w:t>5</w:t>
      </w:r>
      <w:r>
        <w:t>. Por escrito fechado en 26 de diciembre de 1984, el Procurador de los Tribunales don Julián Zapata Díez, en nombre y representación de don Rafael Bustillo López, don Ramón Fernández García y don Feliciano Suela González, ha evacuado el traslado conferido señalando: 1.°, que el Real Decreto de 17 de octubre de 1984 reconoce de forma expresa el derecho de sus representados y más genéricamente de los funcionarios del Cuerpo de Carteros Urbanos, jubilados antes de la integración automática de los componentes de ese Cuerpo en el nuevo Cuerpo Auxiliar Postal y de Telecomunicación, a la actualización de sus pensiones, con aplicación del coeficiente asignado al nuevo Cuerpo, de manera que dicha parte demandante nada tiene que objetar a la finalidad buscada por el Real Decreto, que, según ella, reconoce de forma expresa el derecho de sus representados, negado hasta el momento y cuyo reconocimiento era el objeto del presente recurso de amparo; 2.°, que el Real Decreto de 17 de octubre de 1984 no satisface sin embargo las pretensiones de los demandantes porque no obstante el reconocimiento formal del derecho, en su parte dispositiva diverge del criterio de los solicitantes del amparo en dos puntos que para ellos resultan sustanciales, como son el desconocer que la Ley de Reestructuración, de 26 de di</w:t>
      </w:r>
      <w:r>
        <w:lastRenderedPageBreak/>
        <w:t xml:space="preserve">ciembre de 1978 produjo sus efectos económicos desde el 1 de enero de 1978 y, por otra parte, que conforme a la Orden del Ministerio de Hacienda de 26 de enero de 1979 el módulo de incremento de las pensiones de los funcionarios era de 1,17, mientras que el que establece el Real Decreto es de 1,16. </w:t>
      </w:r>
    </w:p>
    <w:p w:rsidR="00256EE9" w:rsidRDefault="00256EE9" w:rsidP="00256EE9">
      <w:pPr>
        <w:pStyle w:val="TextoNormal"/>
      </w:pPr>
      <w:r>
        <w:t>Por su parte, el Fiscal, en su escrito, señala que la pretensión de los recurrentes ha sido satisfecha y los recurrentes reestablecidos en su derecho, de manera que el recurso carece de razón y procede acordar su archivo, sin que obste a ello el hecho de que los demandantes pidan la actualización desde el 1 de enero de 1978 y el Decreto lo reconozca sólo desde el 1 de febrero de 1979.</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doctrina del Derecho procesal ha venido elaborando, de manera por lo general concorde, la figura o categoría de las crisis del proceso entendidas como hechos o vicisitudes que modifican los elementos estructurales del mismo y la situación creada en el momento de establecerse la relación jurídicoprocesal.  Entre tales «crisis», son de particular significación aquellas que afectan de manera directa al objeto del proceso, constituido por la pretensión del actor y la posición que la parte frente a quien la pretensión se formula adopta ante ella, que constituyen en su conexión la denominada controversia o cuestión litigiosa.</w:t>
      </w:r>
    </w:p>
    <w:p w:rsidR="00256EE9" w:rsidRDefault="00256EE9" w:rsidP="00256EE9">
      <w:pPr>
        <w:pStyle w:val="TextoNormal"/>
      </w:pPr>
      <w:r>
        <w:t>Nada establece al respecto, para los procesos constitucionales, la Ley Orgánica de este Tribunal, cuyo art.  80 contiene una remisión, en las materias que indica, a los preceptos de la Ley Orgánica del Poder Judicial y a los de la Ley de Enjuiciamiento Civil para el procedimiento de este tipo, que nada preceptúan en la referida materia, por lo cual, no hay óbice para considerarla, en los procesos constitucionales, como una laguna legal de necesaria integración que debe realizarse a través de los criterios generalmente admitidos para ello por las Leyes y en particular por lo dispuesto en el Título Preliminar del Código Civil.</w:t>
      </w:r>
    </w:p>
    <w:p w:rsidR="00256EE9" w:rsidRDefault="00256EE9" w:rsidP="00256EE9">
      <w:pPr>
        <w:pStyle w:val="TextoNormal"/>
      </w:pPr>
    </w:p>
    <w:p w:rsidR="00256EE9" w:rsidRDefault="00256EE9" w:rsidP="00256EE9">
      <w:pPr>
        <w:pStyle w:val="TextoNormal"/>
      </w:pPr>
      <w:r w:rsidRPr="00256EE9">
        <w:rPr>
          <w:rStyle w:val="NumeroAFNegritaCaracter"/>
        </w:rPr>
        <w:t>2</w:t>
      </w:r>
      <w:r>
        <w:t>. En aplicación de tales criterios de integración de lagunas, este Tribunal ha señalado en numerosas ocasiones la aplicabilidad, por vía de analogía, a los procesos de amparo, de lo dispuesto en el art. 90 de la Ley de la Jurisdicción Contencioso-Administrativa, en aquellos casos en que la lesión de los derechos constitucionales arranca de un acto de la Administración Pública, dando cauce en esta sede a la figura denominada «satisfacción extraprocesal de la pretensión», cuya aplicación, en algún caso, se ha reconocido también cuando las eventuales lesiones de los derechos fundamentales tenían su origen directo e inmediato en los órganos del Poder Judicial.</w:t>
      </w:r>
    </w:p>
    <w:p w:rsidR="00256EE9" w:rsidRDefault="00256EE9" w:rsidP="00256EE9">
      <w:pPr>
        <w:pStyle w:val="TextoNormal"/>
      </w:pPr>
    </w:p>
    <w:p w:rsidR="00256EE9" w:rsidRDefault="00256EE9" w:rsidP="00256EE9">
      <w:pPr>
        <w:pStyle w:val="TextoNormal"/>
      </w:pPr>
      <w:r w:rsidRPr="00256EE9">
        <w:rPr>
          <w:rStyle w:val="NumeroAFNegritaCaracter"/>
        </w:rPr>
        <w:t>3</w:t>
      </w:r>
      <w:r>
        <w:t>. De una manera general, puede señalarse que existe una crisis del proceso por desaparición de la materia litigiosa o por cesación del objeto del proceso, así como cuando se producen circunstancias sobrevenidas que modifican de manera sustancial la controversia que entre las partes se había trabado.  Una de estas circunstancias, de específica aplicación en los procesos constitucionales de amparo, en los que se requiere la existencia de contenido constitucional, puesto que su objeto es la lesión o violación de los derechos y libertades a los que se refiere el art. 41 de la Ley Orgánica del Tribunal Constitucional, es la sobrevenida desaparición del carácter constitucional, de la controversia, aunque puedan sobrevivir pretensiones de contenido económico, ajenas al plano constitucional de la discusión.</w:t>
      </w:r>
    </w:p>
    <w:p w:rsidR="00256EE9" w:rsidRDefault="00256EE9" w:rsidP="00256EE9">
      <w:pPr>
        <w:pStyle w:val="TextoNormal"/>
      </w:pPr>
    </w:p>
    <w:p w:rsidR="00256EE9" w:rsidRDefault="00256EE9" w:rsidP="00256EE9">
      <w:pPr>
        <w:pStyle w:val="TextoNormal"/>
      </w:pPr>
      <w:r w:rsidRPr="00256EE9">
        <w:rPr>
          <w:rStyle w:val="NumeroAFNegritaCaracter"/>
        </w:rPr>
        <w:t>4</w:t>
      </w:r>
      <w:r>
        <w:t>. Es éste, cabalmente, el caso en el presente asunto, pues en él puede entenderse que no han quedado plenamente satisfechas de una manera total las pretensiones de la parte demandante, en lo que se refiere a la fecha de la aplicación retroactiva de la actualización económica y en la cifra concreta del módulo aplicable.  Sin embargo, ello no obsta a que pueda hablarse de una desaparición del carácter constitucional de la controversia o de la materia objeto de amparo, como decía nuestro proveído de 5 de diciembre pasado, a partir del momento en que se ha dictado una nueva reglamentación sobre las pensiones de los Cuerpos de Telecomunicación, en la que se hace aplicación estricta del principio de igualdad y se reconoce el derecho de igualdad de los funcionarios del antiguo Cuerpo de Carteros Urbanos.  La controversia constitucional centrada en el derecho consagrado por el art.  14 de la Constitución cesa y la que a partir de ahora se pueda suscitar -si el módulo es 1,16 ó 1,17- y si la fecha de aplicación retroactiva es una u otra, carece del alcance constitucional que la demanda en sí misma tenía, pues es de advertir que los agravios actuales no se plantean frente a actos de la Administración, denegatorios de la pretensión de actualización de pensiones, como en la demanda inicial ocurría, sino frente a la nueva regulación contenida en el Real Decreto, sin que la legitimidad del Decreto haya sido previamente discutida y sin que las cuestiones que ahora pasan a primer plano hayan sido en este proceso constitucional de amparo previamente debatidas y sin que pueda decirse tampoco que fueran las consecuencias indeclinables de una Sentencia estimatoria que en estos autos debió dictarse.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A la vista de todo ello, debe concluirse que la presente controversia ha perdido a partir de la puesta en vigor del Decreto 2137/1984, de 17 de octubre, el contenido constitucional que la Sala le reconoció al admitir el recurso de amparo, sin perjuicio</w:t>
      </w:r>
    </w:p>
    <w:p w:rsidR="00256EE9" w:rsidRDefault="00256EE9" w:rsidP="00256EE9">
      <w:pPr>
        <w:pStyle w:val="TextoNormal"/>
      </w:pPr>
      <w:r>
        <w:t>del derecho de los demandantes a discutir las diferencias que ahora puedan ostentar frente a la regulación contenida en el mencionado Decreto.</w:t>
      </w:r>
    </w:p>
    <w:p w:rsidR="00256EE9" w:rsidRDefault="00256EE9" w:rsidP="00256EE9">
      <w:pPr>
        <w:pStyle w:val="TextoNormal"/>
      </w:pPr>
      <w:r>
        <w:t>Por lo expuesto, la Sección acuerda declarar la extinción del presente proceso de amparo, y el archivo de las actuaciones.</w:t>
      </w:r>
    </w:p>
    <w:p w:rsidR="00256EE9" w:rsidRDefault="00256EE9" w:rsidP="00256EE9">
      <w:pPr>
        <w:pStyle w:val="TextoNormal"/>
      </w:pPr>
    </w:p>
    <w:p w:rsidR="00256EE9" w:rsidRDefault="00256EE9" w:rsidP="00256EE9">
      <w:pPr>
        <w:pStyle w:val="TextoNormal"/>
      </w:pPr>
      <w:r>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5" w:name="AUTO_1985_44"/>
      <w:r>
        <w:lastRenderedPageBreak/>
        <w:t>AUTO 44/1985, de 23 de enero de 1985</w:t>
      </w:r>
    </w:p>
    <w:bookmarkEnd w:id="105"/>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ECLI:ES:TC:1985:44A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737/1984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Isacio Calleja García, en nombre y representación de «López Sanz, S. A.», deduce demanda de amparo contra el Auto de la Sala Tercera del Tribunal Supremo de 7 de mayo de 1984, recaído en el procedimiento derivado del recurso contencioso-administrativo núm. 306.971 de 1983, posteriormente confirmado por Auto de la misma Sala, de 26 de septiembre, al resolver el recurso de súplica interpuesto frente al primero por la Entidad ahora demandante, en base a los siguientes hechos: </w:t>
      </w:r>
    </w:p>
    <w:p w:rsidR="00256EE9" w:rsidRDefault="00256EE9" w:rsidP="00256EE9">
      <w:pPr>
        <w:pStyle w:val="TextoNormal"/>
      </w:pPr>
      <w:r>
        <w:t xml:space="preserve">a) El 19 de enero de 1983 le fue notificada a «López Sanz, S. A.», la resolución del Consejo de Ministros de 10 de enero del mismo año, recaída en el expediente núm. 1318-239/1983, instruido en virtud de acta de infracción S. E. 563/1982, formalizada por la Inspección Provincial de Trabajo de Zaragoza con fecha 14 de septiembre de 1982, confirmando el acta de infracción citada, por la que se propone la imposición de una multa a aquella Sociedad por importe de 5.400.000 pesetas. </w:t>
      </w:r>
    </w:p>
    <w:p w:rsidR="00256EE9" w:rsidRDefault="00256EE9" w:rsidP="00256EE9">
      <w:pPr>
        <w:pStyle w:val="TextoNormal"/>
      </w:pPr>
      <w:r>
        <w:t xml:space="preserve">b) Contra la anterior resolución se promovió por la Entidad demandante recurso de reposición previo al contencioso-administrativo, de conformidad con el art. 52 de la Ley reguladora de la Jurisdicción Contencioso-Administrativa, presentado el 21 de febrero de 1983, que fue denegado por el Consejo de Ministros. </w:t>
      </w:r>
    </w:p>
    <w:p w:rsidR="00256EE9" w:rsidRDefault="00256EE9" w:rsidP="00256EE9">
      <w:pPr>
        <w:pStyle w:val="TextoNormal"/>
      </w:pPr>
      <w:r>
        <w:t xml:space="preserve">c) Interpuesto recurso contencioso-administrativo ante la Sala Tercera del Tribunal Supremo, el 14 de julio de 1983, el Abogado del Estado, al evacuar el traslado conferido por la mencionada Sala, planteó, como alegación previa, la inadmisibilidad del recurso, al amparo del art. 71 de la LJCA, conforme a lo dispuesto en el art. 82 c) en relación con el 40 a), también de la LJCA, por cuanto el recurso previo de reposición se interpuso transcurrido el plazo de un mes, contado de fecha a fecha, ya que el acuerdo del Consejo de Ministros fue notificado a la recurrente el 19 de enero y el recurso de reposición se interpuso el 21 de febrero del mismo año. </w:t>
      </w:r>
    </w:p>
    <w:p w:rsidR="00256EE9" w:rsidRDefault="00256EE9" w:rsidP="00256EE9">
      <w:pPr>
        <w:pStyle w:val="TextoNormal"/>
      </w:pPr>
      <w:r>
        <w:t>d) Por Auto de 7 de mayo de 1984, la Sala Tercera del Tribunal Supremo declaró procedente la causa de inadmisibilidad invocada por el Abogado del Estado, y mediante un nuevo Auto, fechado el 26 de septiembre y notificado a la Entidad demandante el 4 de octubre, acordó no haber lugar al recurso de súplica promovido por ésta contra el primer Auto.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xml:space="preserve">. La Sociedad recurrente entiende que las resoluciones citadas le han producido indefensión porque, frente a la argumentación seguida en aquellas -según la cual la interposición del recurso de reposición el 21 de febrero de 1983, era extemporánea por haber expirado el plazo para recurrir el 19 de febrero en razón a que el acuerdo del Consejo de Ministros había sido notificado el 19 de enero-, el art. 59 de la Ley de Procedimiento Administrativo establece, de manera terminante, la regla general por la que los plazos se contarán «siempre» a partir del día siguiente a aquél en que tenga lugar la notificación, lo que implica que a pesar del art. 52.2 de la LJCA, que dispone que el recurso de reposición se presentará en el plazo de un mes «a contar de la notificación», ello no tiene otro sentido que servir de punto de referencia para el cómputo del plazo, que ha de ajustarse a la regla general del art. 59 de la L. P. A. En consecuencia, si la notificación se produjo el 19 de enero, el plazo debía comenzar a contarse desde el día siguiente, 20 de enero, y no desde el mismo día 19 en que fue notificado. </w:t>
      </w:r>
    </w:p>
    <w:p w:rsidR="00256EE9" w:rsidRDefault="00256EE9" w:rsidP="00256EE9">
      <w:pPr>
        <w:pStyle w:val="TextoNormal"/>
      </w:pPr>
      <w:r>
        <w:t xml:space="preserve">Y en cuanto a la terminación del plazo, la demanda arguye que al ser domingo el 20 de febrero de 1983, el día en que vencía, con arreglo al art. 60, párrafo 3.° de la L. P. A., lo procedente era prorrogarlo al día siguiente hábil., es decir, al 21 de febrero, día en que fue presentado el recurso de reposición. </w:t>
      </w:r>
    </w:p>
    <w:p w:rsidR="00256EE9" w:rsidRDefault="00256EE9" w:rsidP="00256EE9">
      <w:pPr>
        <w:pStyle w:val="TextoNormal"/>
      </w:pPr>
      <w:r>
        <w:t xml:space="preserve">Al no interpretar el juzgador con la amplitud suficiente los arts. </w:t>
      </w:r>
    </w:p>
    <w:p w:rsidR="00256EE9" w:rsidRDefault="00256EE9" w:rsidP="00256EE9">
      <w:pPr>
        <w:pStyle w:val="TextoNormal"/>
      </w:pPr>
      <w:r>
        <w:t xml:space="preserve">59 y 60 de la L. P. A., estima la Sociedad «López Sanz, S. A.», que le ha impedido defenderse en el asunto principal. </w:t>
      </w:r>
    </w:p>
    <w:p w:rsidR="00256EE9" w:rsidRDefault="00256EE9" w:rsidP="00256EE9">
      <w:pPr>
        <w:pStyle w:val="TextoNormal"/>
      </w:pPr>
      <w:r>
        <w:t>Por todo ello, solicita de este Tribunal dicte Sentencia por la que se declare la nulidad de los Autos de la Sala Tercera del Tribunal Supremo de 7 de mayo y 26 de septiembre de 1984, reconociendo expresamente el derecho de la Entidad promovente a que se le otorgue el derecho a obtener la tutela efectiva de Jueces y Tribunales.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del pasado 5 de diciembre, la Sección Tercera de este Tribunal puso de manifiesto la posible existencia de las siguientes causas de inadmisión: </w:t>
      </w:r>
    </w:p>
    <w:p w:rsidR="00256EE9" w:rsidRDefault="00256EE9" w:rsidP="00256EE9">
      <w:pPr>
        <w:pStyle w:val="TextoNormal"/>
      </w:pPr>
      <w:r>
        <w:t xml:space="preserve">1.ª la regulada en el art. 44.1 c) en relación con el 50.1 b), ambos de la LOTC; </w:t>
      </w:r>
    </w:p>
    <w:p w:rsidR="00256EE9" w:rsidRDefault="00256EE9" w:rsidP="00256EE9">
      <w:pPr>
        <w:pStyle w:val="TextoNormal"/>
      </w:pPr>
      <w:r>
        <w:t xml:space="preserve">2.ª la regulada en el art. 50.1 b) en relación con el 49.2 b), ambos de la LOTC, por no acompañarse a la demanda copia, traslado o certificación de la resolución recurrida. </w:t>
      </w:r>
    </w:p>
    <w:p w:rsidR="00256EE9" w:rsidRDefault="00256EE9" w:rsidP="00256EE9">
      <w:pPr>
        <w:pStyle w:val="TextoNormal"/>
      </w:pPr>
      <w:r>
        <w:t xml:space="preserve">En el trámite expuesto por la anterior providencia, han presentado sus escritos la representación de la recurrente y el Ministerio Fiscal. </w:t>
      </w:r>
    </w:p>
    <w:p w:rsidR="00256EE9" w:rsidRDefault="00256EE9" w:rsidP="00256EE9">
      <w:pPr>
        <w:pStyle w:val="TextoNormal"/>
      </w:pPr>
      <w:r>
        <w:t xml:space="preserve">La representación de la recurrente, que acompaña a su escrito de alegaciones copia del Auto de 26 de septiembre de 1984, notificado el 4 de octubre del mismo año, afirma que con esa remisión queda subsanada la segunda de las causas de inadmisión señaladas y que es inexistente la primera, puesto que la violación se produce en el Auto objeto del recurso, que no era susceptible de recurso alguno. </w:t>
      </w:r>
    </w:p>
    <w:p w:rsidR="00256EE9" w:rsidRDefault="00256EE9" w:rsidP="00256EE9">
      <w:pPr>
        <w:pStyle w:val="TextoNormal"/>
      </w:pPr>
      <w:r>
        <w:t>El Ministerio Fiscal por su parte, entiende que es clara la existencia del defecto subsanable que como causa de inadmisión se indica en el segundo lugar y que, a falta de que se acredite otra causa en el trámite de alegaciones, también parece darse la causa de inadmisión que en primer lugar se señala.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 xml:space="preserve">Unico.  Invirtiendo el orden en el que aparecen expuestas en nuestra providencia del pasado 5 de diciembre, consideraremos a continuación la existencia o inexistencia, en el </w:t>
      </w:r>
      <w:r>
        <w:lastRenderedPageBreak/>
        <w:t>momento de dictarse dicha providencia y en la actualidad, una vez concluido el trámite de alegaciones y subsanación, de las causas de inadmisión que allí señalábamos.</w:t>
      </w:r>
    </w:p>
    <w:p w:rsidR="00256EE9" w:rsidRDefault="00256EE9" w:rsidP="00256EE9">
      <w:pPr>
        <w:pStyle w:val="TextoNormal"/>
      </w:pPr>
      <w:r>
        <w:t>En lo que toca a la segunda de las indicadas, la de no acompañarse copia, traslado o certificación de la resolución impugnada, hay que comenzar por indicar que, como es obvio, dicha causa se refería, según resulta de sus propios términos literales, al hecho de no haberse acompañado a la demanda copia, certificación o traslado del Auto de 7 de mayo de 1984, que es aquél contra el que el recurso se dirige.  Dicha causa de inadmisión no sólo existía en el momento en el que nosotros la pusimos de relieve, sino que continúa existiendo después de concluido el trámite de alegaciones, pues el Auto cuya fotocopia se acompaña al escrito presentado en este trámite, no es el mencionado, de 7 de mayo de 1984, sino, según se dice en los antecedentes, el de 26 de septiembre, que se dicta al resolver el recurso de súplica interpuesto contra el anterior. Es evidente, pues, que se mantiene la primera de las causas de inadmisión señaladas. No sólo es ella, sin embargo, la que en el presente caso ha de fundamentar nuestra decisión.</w:t>
      </w:r>
    </w:p>
    <w:p w:rsidR="00256EE9" w:rsidRDefault="00256EE9" w:rsidP="00256EE9">
      <w:pPr>
        <w:pStyle w:val="TextoNormal"/>
      </w:pPr>
      <w:r>
        <w:t>La primera de las causas de inadmisión señaladas en nuestra providencia se refería, en efecto, al incumplimiento en el presente caso del requisito exigido por el art.  44.1 c) de la LOTC, cuya observancia debe procurarse tanto más estrictamente cuanto que dicho requisito de procedibilidad es indispensable para mantener la naturaleza subsidiaria del recurso de amparo al cual, en ningún caso, debe llegarse sin haber buscado de los órganos del Poder Judicial el remedio de la lesión constitucional que se cree haber sufrido.</w:t>
      </w:r>
    </w:p>
    <w:p w:rsidR="00256EE9" w:rsidRDefault="00256EE9" w:rsidP="00256EE9">
      <w:pPr>
        <w:pStyle w:val="TextoNormal"/>
      </w:pPr>
      <w:r>
        <w:t>En el presente caso, y en contra de lo que en el escrito de alegaciones afirma la representación de la recurrente, el acto recurrido en amparo era susceptible de recurso en el orden contencioso-administrativo; tan susceptible de ser recurrido que, efectivamente, lo fue y que la resolución de ese recurso es el Auto de 26 de septiembre de 1984, cuya copia se acompaña a las alegaciones. Ni en dicho Auto ni en otro documento alguno facilitado a este Tribunal y, ni siquiera a través de la afirmación de la recurrente, hay indicio alguno de que se alegara ante el Tribunal Supremo el derecho constitucionalmente garantizado que ante nosotros se intenta hacer valer. Muy al contrario, se nos dice expresamente que dicha alegación no se hizo aunque intente justificarse tal omisión sosteniendo, en contra de la evidencia, que no hubo ocasión para hacerla.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anterior, la Sección ha acordado la inadmisión del presente recurso de amparo.</w:t>
      </w:r>
    </w:p>
    <w:p w:rsidR="00256EE9" w:rsidRDefault="00256EE9" w:rsidP="00256EE9">
      <w:pPr>
        <w:pStyle w:val="TextoNormal"/>
      </w:pPr>
    </w:p>
    <w:p w:rsidR="00256EE9" w:rsidRDefault="00256EE9" w:rsidP="00256EE9">
      <w:pPr>
        <w:pStyle w:val="TextoNormal"/>
      </w:pPr>
      <w:r>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6" w:name="AUTO_1985_45"/>
      <w:r>
        <w:lastRenderedPageBreak/>
        <w:t>AUTO 45/1985, de 23 de enero de 1985</w:t>
      </w:r>
    </w:p>
    <w:bookmarkEnd w:id="106"/>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ECLI:ES:TC:1985:45A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752/1984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día 29 de octubre de 1984 tuvo entrada en el Registro del Tribunal un escrito, presentado por el Procurador don Antonio Rueda Bautista, en nombre y representación de don Manuel Callejas Berdones, por el que se formulaba demanda de amparo constitucional contra la Sentencia de la Magistratura de Trabajo núm. 1 de Madrid, de 26 de enero de. 1984, confirmada por la del Tribunal Central de Trabajo de 14 de septiembre siguiente, por presunta vulneración del art. 24, apartados 1 y 2 de la Constitución. </w:t>
      </w:r>
    </w:p>
    <w:p w:rsidR="00256EE9" w:rsidRDefault="00256EE9" w:rsidP="00256EE9">
      <w:pPr>
        <w:pStyle w:val="TextoNormal"/>
      </w:pPr>
      <w:r>
        <w:t xml:space="preserve">El actor prestaba servicios como médico para la empresa «Clínica Quirúrgica Virgen de la Fuensanta, S. L.», hasta el día 14 de diciembre de 1982, en que fue despedido, imputándole la comisión de faltas de asistencia al trabajo. Formulada demanda judicial, se celebró juicio en el que el actor propuso y practicó prueba testifical y documental y la Empresa demandada, confesión del actor, documental y testifical del director del personal y administrador. El día 13 de abril de 1983 dictó Sentencia el Magistrado de Trabajo núm. 1 de Madrid declarando probado «que el demandante, al que correspondía efectuar el turno de guardia en la Clínica de la demandada los martes desde las ocho de la mañana, durante veinticuatro horas, no se presentó al trabajo de dicho turno de guardia los días 2, 9, 16, 23 y 30 del mes de noviembre pasado, así como tampoco los días 7 y 14 del siguiente mes de diciembre, y en su lugar, sin conocimiento ni consentimiento de la Empresa, se puso de acuerdo con otro médico, ajeno a la demandada, para que durante dichos días efectuara éste las guardias de aquél, como así realizó». A la vista de ello, y a tenor de lo dispuesto en el núm. 2, apartados a) y b) del art. 54 del Estatuto de los Trabajadores, el Magistrado declaró la procedencia del despido. </w:t>
      </w:r>
    </w:p>
    <w:p w:rsidR="00256EE9" w:rsidRDefault="00256EE9" w:rsidP="00256EE9">
      <w:pPr>
        <w:pStyle w:val="TextoNormal"/>
      </w:pPr>
      <w:r>
        <w:t xml:space="preserve">La citada Sentencia de Magistratura fue anulada por el Tribunal Central de Trabajo que repuso las actuaciones al momento de citación para el juicio por infracción de normas esenciales de procedimiento; por lo que volvió a celebrarse el juicio, en el que el actor propuso la prueba documental ya incorporada al procedimiento y la demandada igual prueba y la de confesión del actor, dictándose nueva Sentencia el 26 de enero de 1984. En ella, el Magistrado de Trabajo declaró probados iguales hechos que en la primitiva Sentencia y desestimó la demanda por considerar procedente el despido. </w:t>
      </w:r>
    </w:p>
    <w:p w:rsidR="00256EE9" w:rsidRDefault="00256EE9" w:rsidP="00256EE9">
      <w:pPr>
        <w:pStyle w:val="TextoNormal"/>
      </w:pPr>
      <w:r>
        <w:t>El actor interpuso recurso de suplicación que fue desestimado por Sentencia del Tribunal Central de Trabajo de 14 de septiembre de 1984, que rechazó la pretendida infracción del art. 24 de la Constitución por que había existido actividad probatoria que acreditó la existencia de los hechos.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de amparo, tras exponer la aplicabilidad del art. 24.2 de la Constitución que consagra la presunción de inocencia, a un supuesto como el de examen, señala que la destrucción de tal presunción requiere una mínima actividad probatoria. En el presente caso, del examen de la prueba practicada se deriva necesariamente la ausencia de todo cargo en contra del actor, pues la documental en nada le afecta en orden a cualquier tipo de responsabilidad y en confesión rechaza de plano cuantos hechos le vienen imputados. El actor afirma ignorar de qué elementos de convicción ha podido servirse el juzgador, pues una cosa es apreciar la prueba en conciencia y otra muy distinta, como ocurre en la Sentencia impugnada, decidir una opción sin motivar realmente la decisión. La decisión judicial de instancia se ha producido, pues, sin apoyo en prueba alguna, abriendo con ello el cauce a una presunción de culpabilidad en la comisión de las faltas que se le imputaban en la carta de despido. </w:t>
      </w:r>
    </w:p>
    <w:p w:rsidR="00256EE9" w:rsidRDefault="00256EE9" w:rsidP="00256EE9">
      <w:pPr>
        <w:pStyle w:val="TextoNormal"/>
      </w:pPr>
      <w:r>
        <w:t>Denuncia, en segundo lugar, la demanda la existencia del vicio de indefensión motivado por el carácter genérico de algunas imputaciones de la carta de despido que hace ineficaz cualquier defensa por la imprecisión de sus términos. Del mismo modo se produce dicha irregularidad formal cuando la Sentencia enjuicia hechos distintos a los que la Empresa refleja en su comunicación de despido, pues mientras ésta alude a faltas de puntualidad y asistencia, el Magistrado introduce el enjuiciamiento de hechos nuevos, a los que la Ley trata diferenciadamente, al subsumirlos en otro incumplimiento contractual como es la transgresión de la buena fe y el abuso de confianza. Incluir en la Sentencia hechos nuevos como la sustitución del médico por otro ajeno a la Empresa, que además no encuentra apoyo en la más mínima actividad probatoria, constituye, por ello, indefensión. Quiebra, por fin, el derecho a la tutela cuando la Sentencia impugnada no hace sino repetir miméticamente en todos sus términos la anterior anulada por el Tribunal Central, pues resulta impensable obtener idénticos resultados en períodos y contenidos de probanza distintos.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Cuarta de este Tribunal, en su reunión de 12 de diciembre de 1984, acordó poner de manifiesto la posible existencia de la causa de inadmisión regulada por el art. 50.2 b) de la Ley Orgánica de este Tribunal por cuanto la demanda pudiera carecer de contenido que justifique una decisión por parte de este Tribunal y en virtud de ello otorgó un plazo común de diez días al solicitante del amparo y al Ministerio Fiscal a fin de que dentro de él alegaran lo que a su derecho pudiera convenir. </w:t>
      </w:r>
    </w:p>
    <w:p w:rsidR="00256EE9" w:rsidRDefault="00256EE9" w:rsidP="00256EE9">
      <w:pPr>
        <w:pStyle w:val="TextoNormal"/>
      </w:pPr>
      <w:r>
        <w:t xml:space="preserve">Dentro del mencionado término han presentado sus alegaciones el solicitante del amparo y el Ministerio Fiscal. </w:t>
      </w:r>
    </w:p>
    <w:p w:rsidR="00256EE9" w:rsidRDefault="00256EE9" w:rsidP="00256EE9">
      <w:pPr>
        <w:pStyle w:val="TextoNormal"/>
      </w:pPr>
      <w:r>
        <w:t xml:space="preserve">El solicitante del amparo insiste en sus pretensiones iniciales y entiende que la demanda de amparo debe justificar una decisión del Tribunal, por cuanto a través de ella se pretende el restablecimiento del Derecho constitucional a la tutela efectiva de los Jueces y Tribunales y el mantenimiento del principio de presunción de inocencia. Y para alcanzar el vigor en la tutela que la Constitución protege en su art. 24, considerado como un todo, es preciso rebasar el área de lo meramente formal, para darse en su pleno contenido material. Resulta incuestionable la existencia de una actividad jurisdiccional en pleito contradictorio, pero esto, lejos de justificar por sí mismo el pleno cumplimiento de las garantías inherentes a todo proceso, no debe bastar para afirmar la efectividad en la tutela que se persigue. Ahondando en este calificativo, resulta que si indefensión existe cuando la patronal imputa genéricamente faltas disciplinarias, que hace ineficaz cualquier defensa por la imprecisión de sus términos, enjuiciándose hechos distintos a los que refleja en su comuncación de despido, más ineficaz resulta todavía el ejercicio del Poder jurisdiccional, </w:t>
      </w:r>
      <w:r>
        <w:lastRenderedPageBreak/>
        <w:t xml:space="preserve">cuando la Sentencia de 26 de enero de 1984 de la Magistratura de Trabajo núm. 1 de las de Madrid, no hace sino repetir en todos sus términos otra de fecha 13 de abril de 1983, declarada nula por el Tribunal Central de Trabajo, y manifiestamente se advierte la existencia de prueba distinta en contenido, alcance, formulación y tiempo -en uno y otro acto de vista oral-. Con esto, al menos de irregularidad técnica cabría pensar. </w:t>
      </w:r>
    </w:p>
    <w:p w:rsidR="00256EE9" w:rsidRDefault="00256EE9" w:rsidP="00256EE9">
      <w:pPr>
        <w:pStyle w:val="TextoNormal"/>
      </w:pPr>
      <w:r>
        <w:t xml:space="preserve">Fracasa, pues, el dato esencial de la efectividad en la tutela, cuando se produce la situación antes descrita, infringiéndose derecho constitucional y quedando comprometido con ello el eficaz ejercicio del Poder jurisdiccional. </w:t>
      </w:r>
    </w:p>
    <w:p w:rsidR="00256EE9" w:rsidRDefault="00256EE9" w:rsidP="00256EE9">
      <w:pPr>
        <w:pStyle w:val="TextoNormal"/>
      </w:pPr>
      <w:r>
        <w:t xml:space="preserve">Añade el solicitante del amparo que interpretando el art. 24 de nuestra Constitución como un todo dotado de sentido global, manifestó en su demanda de amparo que no sólo basta la existencia de mínima actividad probatoria en pleito contradictorio. Esto sí se ha dado, y en todo caso habría de darse por cuanto es requisito imprescindible para proceder a través de la presente vía, conforme establece el art. 44 a) de la Ley Orgánica 2/1979, de 3 de octubre. Pero aun dándose, preciso es de nuevo rebasar el área de lo formal, pues de atenernos a un criterio restrictivo de la prueba se derivaría la imposibilidad de que prosperara ningún recurso de amparo formulado en esta causa. </w:t>
      </w:r>
    </w:p>
    <w:p w:rsidR="00256EE9" w:rsidRDefault="00256EE9" w:rsidP="00256EE9">
      <w:pPr>
        <w:pStyle w:val="TextoNormal"/>
      </w:pPr>
      <w:r>
        <w:t xml:space="preserve">Sentada esta consideración, reiteramos la ausencia de eficacia en la tutela de la Magistratura de Trabajo, toda vez que la Sentencia de instancia se ha producido sin apoyo en prueba alguna por cuanto, como se evidencia, las ausencias al trabajo que se imputan al actor son negados por éste en todo momento, y la patronal no aporta apoyo alguno a su declaración de despido y en el período probatorio. </w:t>
      </w:r>
    </w:p>
    <w:p w:rsidR="00256EE9" w:rsidRDefault="00256EE9" w:rsidP="00256EE9">
      <w:pPr>
        <w:pStyle w:val="TextoNormal"/>
      </w:pPr>
      <w:r>
        <w:t xml:space="preserve">Hay pruebas (aspecto formal incuestionado), pero ninguna compromete el derecho a la presunción de inocencia de la persona a quien se sanciona, y al hacerse éste vulnerado, junto al correlativo de no haberse otorgado eficaz tutela jurisdiccional, entendemos por ello que la demanda de amparo no carece de contenido constitucional, conforme a lo establecido en el art. 41.1 de la Ley Orgánica del Tribunal. </w:t>
      </w:r>
    </w:p>
    <w:p w:rsidR="00256EE9" w:rsidRDefault="00256EE9" w:rsidP="00256EE9">
      <w:pPr>
        <w:pStyle w:val="TextoNormal"/>
      </w:pPr>
      <w:r>
        <w:t xml:space="preserve">El Fiscal General del Estado señala que frente a las decisiones judiciales recaídas se afirma que las mismas han llevado al actor a una situación de indefensión y a desconocer el derecho a presunción de inocencia, con quiebra de los principios y derechos que se contemplan en el art. 24.1 y 2 de la Constitución. </w:t>
      </w:r>
    </w:p>
    <w:p w:rsidR="00256EE9" w:rsidRDefault="00256EE9" w:rsidP="00256EE9">
      <w:pPr>
        <w:pStyle w:val="TextoNormal"/>
      </w:pPr>
      <w:r>
        <w:t xml:space="preserve">Del examen de los autos se desprende que el actor tuvo acceso a la jurisdicción; propuso las pruebas que tuvo por pertinentes; que fueron practicadas, que pudo ejercitar sin limitación su derecho a defensa, incluso el acceso a la segunda instancia -de forma reiterada- produciéndose, finalmente, en ambas instancias resolución fundada en Derecho, siquiera fuera de tenor opuesto a las pretensiones del interesado. </w:t>
      </w:r>
    </w:p>
    <w:p w:rsidR="00256EE9" w:rsidRDefault="00256EE9" w:rsidP="00256EE9">
      <w:pPr>
        <w:pStyle w:val="TextoNormal"/>
      </w:pPr>
      <w:r>
        <w:t xml:space="preserve">Con estas notas, queda patente que cuantos requisitos integran el derecho a tutela judicial efectiva, sin que en ningún caso se produzca indefensión, según quiere la norma fundamental e interpreta la jurisdicción constitucional, han sido cumplidos. </w:t>
      </w:r>
    </w:p>
    <w:p w:rsidR="00256EE9" w:rsidRDefault="00256EE9" w:rsidP="00256EE9">
      <w:pPr>
        <w:pStyle w:val="TextoNormal"/>
      </w:pPr>
      <w:r>
        <w:t xml:space="preserve">En esencia, se somete a la alta jurisdicción no la carencia de tutela judicial efectiva, sino la discrepancia entre la decisión de los Tribunales competentes al efecto, de acuerdo con lo establecido en el art. 117.3 de la Constitución, y el criterio personal de quien demanda, y esto es obvio, queda plenamente cardinado en el motivo de inadmisión recogido en el art. 50.2 b) de la LOTC. </w:t>
      </w:r>
    </w:p>
    <w:p w:rsidR="00256EE9" w:rsidRDefault="00256EE9" w:rsidP="00256EE9">
      <w:pPr>
        <w:pStyle w:val="TextoNormal"/>
      </w:pPr>
      <w:r>
        <w:t xml:space="preserve">Al propio tiempo, se esgrime como derecho fundamental lesionado el relativo a presunción de inocencia, a cuyo efecto, y sin perjuicio de las decisiones de la jurisprudencia constitucional que parcialmente se recogen en la demanda, entre otros, en Auto de 3 de marzo de 1982 (R. A. 406/1981), ya se dijo que «el derecho a presunción de inocencia, reconocido en el art. 24 de la Constitución se halla explícitamente incluido en el ámbito </w:t>
      </w:r>
      <w:r>
        <w:lastRenderedPageBreak/>
        <w:t xml:space="preserve">del amparo..., y como ha tenido ocasión de señalar esta Sala en Sentencia de 28 de julio de 1981, al Tribunal Constitucional corresponde estimar en caso de recurso si dicha presunción de carácter iuris tantum ha quedado desvirtuada. Pero esta estimación ha de hacerse respetando el principio de libre valoración de la prueba por los Tribunales ordinarios, por lo que, en vía de amparo, lo que compete al Tribunal Constitucional es examinar si existe una mínima actividad probatoria, producida con las debidas garantías procesales, que de alguna forma pueda entenderse de cargo y de la que se pueda deducir, por tanto, la culpabilidad...». </w:t>
      </w:r>
    </w:p>
    <w:p w:rsidR="00256EE9" w:rsidRDefault="00256EE9" w:rsidP="00256EE9">
      <w:pPr>
        <w:pStyle w:val="TextoNormal"/>
      </w:pPr>
      <w:r>
        <w:t xml:space="preserve">Por otra parte, en Sentencia de 1 de abril de 1982 (R. A. 179/1981) se ha puesto de manifiesto que el derecho a la presunción de inocencia «... no puede entenderse.reducido al estricto campo del enjuiciamiento de conductas puramente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 </w:t>
      </w:r>
    </w:p>
    <w:p w:rsidR="00256EE9" w:rsidRDefault="00256EE9" w:rsidP="00256EE9">
      <w:pPr>
        <w:pStyle w:val="TextoNormal"/>
      </w:pPr>
      <w:r>
        <w:t xml:space="preserve">Mas en trance de trasladar el tema al ámbito laboral, las restricciones son evidentes, como se desprende del Auto de 9 de junio de 1982 (R. A. 150/1982), abundando en este orden de cosas, la Sentencia de 23 de febrero de 1984 (R. A. 96/1983), relativa al orden laboral y por haberse declarado «procedente el despido basado en incumplimiento grave y culpable del trabajador». </w:t>
      </w:r>
    </w:p>
    <w:p w:rsidR="00256EE9" w:rsidRDefault="00256EE9" w:rsidP="00256EE9">
      <w:pPr>
        <w:pStyle w:val="TextoNormal"/>
      </w:pPr>
      <w:r>
        <w:t xml:space="preserve">En el supuesto de Autos, la actividad mínima probatoria de cargo se ha producido, como se desprende tanto de las propias manifestaciones del interesado, a lo largo de su demanda, como de la específica referencia al tema por parte de la Sentencia de instancia, con lo que de nuevo se vuelve al aspecto antes señalado: discrepancia del demandante acerca de la forma de valorar esa actividad mínima probatoria, que por resultar desfavorable a sus intereses pretende sustituir por la que el propio interesado ofrece. </w:t>
      </w:r>
    </w:p>
    <w:p w:rsidR="00256EE9" w:rsidRDefault="00256EE9" w:rsidP="00256EE9">
      <w:pPr>
        <w:pStyle w:val="TextoNormal"/>
      </w:pPr>
      <w:r>
        <w:t>Las precedentes consideraciones llevan a juicio del Fiscal a entender que estamos, en ambos aspectos, ante la carencia manifiesta de contenido de la demanda que justifique una decisión por parte del Tribunal, es decir, ante el motivo de inadmisión ya apuntado, con arreglo a lo establecido en el artículo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Sin necesidad de entrar a analizar en profundidad los problemas que puede plantear el derecho constitucional de presunción de inocencia, consagrado en el art. 24.2 de la Constitución y principalmente su aplicabilidad a supuestos ajenos al Derecho Penal o al Derecho Administrativo sancionador -en concreto a procesos relativos a la resolución del contrato de trabajo-, en el presente caso para considerar infundado el primer motivo del recurso formulado por don Manuel Callejas Berdones, basta con atender al hecho de que no resulta acreditada la falta de prueba que se denuncia.</w:t>
      </w:r>
    </w:p>
    <w:p w:rsidR="00256EE9" w:rsidRDefault="00256EE9" w:rsidP="00256EE9">
      <w:pPr>
        <w:pStyle w:val="TextoNormal"/>
      </w:pPr>
      <w:r>
        <w:t xml:space="preserve">El demandante aduce la inexistencia de prueba porque la de confesión practicada, según se expone en el acta, se traduce en una mera negativa de los hechos imputados, de modo que la resolución judicial, lejos de ser el resultado de una valoración en conciencia de la prueba, consiste en una opción entre dos afirmaciones contrapuestas. Ello no se ajusta, sin embargo, a la realidad de los hechos.  El Tribunal Central de Trabajo expone en su Sentencia que el Magistrado formó su criterio movido por una circunstancia decisiva reflejada en el acta del Juicio: haber confesado el actor que el 14 de diciembre en que fue </w:t>
      </w:r>
      <w:r>
        <w:lastRenderedPageBreak/>
        <w:t>despedido estaba haciendo la guardia en vez de él otro médico ajeno a la clínica y que ese día no fue el único en que así aconteció.</w:t>
      </w:r>
    </w:p>
    <w:p w:rsidR="00256EE9" w:rsidRDefault="00256EE9" w:rsidP="00256EE9">
      <w:pPr>
        <w:pStyle w:val="TextoNormal"/>
      </w:pPr>
      <w:r>
        <w:t>El actor pretende restar trascendencia a tal afirmación indicando que resulta ajena a la litis por no haberse invocado en la carta de despido la cuestión relativa a la sustitución.  Con esta alegación, así como con la que trata de negar la utilidad de una prueba documental a la que acusa de tendenciosa, el actor se adentra realmente en el terreno de valoración de la prueba y de su eficacia en relación al derecho material debatido en el pleito, cuestiones que son enteramente extrañas al derecho constitucional que invoca como vulnerado.  En el proceso en que se declaró la procedencia de su despido, existió práctica de prueba y sobre ella asentó el Magistrado de Trabajo su pronunciamiento haciendo uso de la libertad de valoración que le reconoce el Ordenamiento y cuyo resultado no puede ser corregido por este Tribunal.</w:t>
      </w:r>
    </w:p>
    <w:p w:rsidR="00256EE9" w:rsidRDefault="00256EE9" w:rsidP="00256EE9">
      <w:pPr>
        <w:pStyle w:val="TextoNormal"/>
      </w:pPr>
    </w:p>
    <w:p w:rsidR="00256EE9" w:rsidRDefault="00256EE9" w:rsidP="00256EE9">
      <w:pPr>
        <w:pStyle w:val="TextoNormal"/>
      </w:pPr>
      <w:r w:rsidRPr="00256EE9">
        <w:rPr>
          <w:rStyle w:val="NumeroAFNegritaCaracter"/>
        </w:rPr>
        <w:t>2</w:t>
      </w:r>
      <w:r>
        <w:t>. No menos privadas de fundamento están las alegaciones del demandante que pretenden poner de manifiesto la existencia de diversas vulneraciones del art.  24.1 de la Constitución.</w:t>
      </w:r>
    </w:p>
    <w:p w:rsidR="00256EE9" w:rsidRDefault="00256EE9" w:rsidP="00256EE9">
      <w:pPr>
        <w:pStyle w:val="TextoNormal"/>
      </w:pPr>
      <w:r>
        <w:t>Con la referencia a la imprecisión en determinados extremos de la carta de despido que habría originado indefensión, el demandante está confundiendo las cuestiones relativas a la validez de la carta como requisito formal ineludible para el despido con el hecho de la defensa en juicio que en modo alguno le ha sido negada o limitada.  En todo caso, conviene señalar que ni el recurrente planteó tal presunta indefensión en el recurso que interpuso contra la Sentencia de Magistratura, omisión que vedaría el conocimiento del tema en el amparo, ni las imputaciones presuntamente imprecisas fueron las determinantes de la declaración judicial de la procedencia del despido que se basó en unas determinadas ausencias en el trabajo claramente descritas en la notificación del despido.</w:t>
      </w:r>
    </w:p>
    <w:p w:rsidR="00256EE9" w:rsidRDefault="00256EE9" w:rsidP="00256EE9">
      <w:pPr>
        <w:pStyle w:val="TextoNormal"/>
      </w:pPr>
      <w:r>
        <w:t>Similar confusión a la señalada se da cuando el actor imputa a la Sentencia la introducción de hechos nuevos y de calificaciones jurídicas divergentes en relación a la carta de despido, siendo además igualmente erróneas las imputaciones, pues la Sentencia de Magistratura declara como hecho probado que el actor «no se presentó al trabajo...» afirmación que coincide literalmente con la acusación empresarial de inasistencia al trabajo, y en relación con la cual la constatación del acuerdo con otro médico para que efectuase las guardias en su lugar no añade nada, del mismo modo que nada añade el que se califique la conducta del actor como transgresión de la buena fe contractual cuando, además, se la ha calificado previamente como falta de asistencia.</w:t>
      </w:r>
    </w:p>
    <w:p w:rsidR="00256EE9" w:rsidRDefault="00256EE9" w:rsidP="00256EE9">
      <w:pPr>
        <w:pStyle w:val="TextoNormal"/>
      </w:pPr>
      <w:r>
        <w:t>Por fin, ninguna infracción constitucional puede imputarse al hecho de que la Sentencia dictada por el Magistrado de Trabajo coincida con la primitiva anulada por defectos de forma por el Tribunal Central. No pudiendo sostenerse la alegación relativa a la falta de actividad probatoria, la identidad de resultado lejos de ser «impensable» como se aduce es sólo la lógica consecuencia de la constatación de la veracidad de los hechos.  En suma, la demanda de amparo carece de contenido constitucional y concurre la causa de inadmisión del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presente recurso de amparo.</w:t>
      </w:r>
    </w:p>
    <w:p w:rsidR="00256EE9" w:rsidRDefault="00256EE9" w:rsidP="00256EE9">
      <w:pPr>
        <w:pStyle w:val="TextoNormal"/>
      </w:pPr>
    </w:p>
    <w:p w:rsidR="00256EE9" w:rsidRDefault="00256EE9" w:rsidP="00256EE9">
      <w:pPr>
        <w:pStyle w:val="TextoNormal"/>
      </w:pPr>
      <w:r>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7" w:name="AUTO_1985_46"/>
      <w:r>
        <w:lastRenderedPageBreak/>
        <w:t>AUTO 46/1985, de 23 de enero de 1985</w:t>
      </w:r>
    </w:p>
    <w:bookmarkEnd w:id="107"/>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ECLI:ES:TC:1985:46A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770/1984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Jesús Alfaro Matos, en nombre y representación de doña Antonia Jiménez Torrado, don Rafael Portillo Espinosa y don Manuel Romero Jiménez, interpusieron el día 6 de noviembre de 1984 recurso de amparo constitucional contra las Sentencias de la Magistratura de Trabajo núm. 3 de Sevilla, de 28 de junio, y del Tribunal Central de Trabajo de 15 de octubre del año en curso. </w:t>
      </w:r>
    </w:p>
    <w:p w:rsidR="00256EE9" w:rsidRDefault="00256EE9" w:rsidP="00256EE9">
      <w:pPr>
        <w:pStyle w:val="TextoNormal"/>
      </w:pPr>
      <w:r>
        <w:t xml:space="preserve">Los actores, trabajadores al servicio de la empresa «Olivol, S. L.», tuvieron suspendida su relación laboral desde el 7 de octubre de 1982 hasta el 6 de abril de 1983, como consecuencia de un expediente de regulación de empleo por fuerza mayor al haber sufrido un incendio la citada Empresa, percibiendo durante dicho período las prestaciones por desempleo. </w:t>
      </w:r>
    </w:p>
    <w:p w:rsidR="00256EE9" w:rsidRDefault="00256EE9" w:rsidP="00256EE9">
      <w:pPr>
        <w:pStyle w:val="TextoNormal"/>
      </w:pPr>
      <w:r>
        <w:t xml:space="preserve">Habiendo cesado en la Empresa el 8 de abril de 1983 por despido que la jurisdicción laboral calificó de improcedente, solicitaron prestaciones de desempleo que les fueron concedidas por sendas resoluciones del Instituto Nacional de Empleo con una duración de un año. Contra dichos Acuerdos interpusieron reclamación previa, desestimada por silencio administrativo, y demanda judicial en solicitud de reconocimiento de dieciocho meses de prestación de desempleo en atención al período cotizado durante los cuatro años anteriores y por considerar que los seis meses de desempleo disfrutados como consecuencia de suspensión por fuerza mayor no debía serles descontado, pues ello supondría una discriminación con respecto a los beneficiarios que, encontrándose en igual situación, vieron extinguido su contrato por resolución administrativa en vez de por despido improcedente. </w:t>
      </w:r>
    </w:p>
    <w:p w:rsidR="00256EE9" w:rsidRDefault="00256EE9" w:rsidP="00256EE9">
      <w:pPr>
        <w:pStyle w:val="TextoNormal"/>
      </w:pPr>
      <w:r>
        <w:t>La Magistratura de Trabajo núm. 3 de Sevilla dictó Sentencia le 28 de junio de 1984, desestimando la demanda. El Magistrado, apoyándose en una reiterada jurisprudencia del Tribunal Central de Trabajo, estima la situación a la que los actores pretendían equipararse como una excepción a la regla general de cómputo de los periodos de percibo de la prestación que, como tal, ha de aplicarse exclusivamente al caso previsto por la Ley; al tiempo rechaza la imputación de discriminación por entender que el distinto trato otorgado se apoya en la causa y procedimiento de control de la extinción del contrato, debiendo advertirse al respecto el trato indemnizatorio más beneficioso en el caso del despido improcedente que en el caso de extinción por autorización administrativa. Interpuesto recurso de suplicación, el Tribunal Central de Trabajo confirmó la Sentencia de Magistratura por la suya de 15 de octubre de 1984.</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xml:space="preserve">. La demanda de amparo denuncia la vulneración del art. 14 de la Constitución y solicita se reconozca el derecho de los actores a percibir los seis meses de desempleo descontados en su día. El art. 14.4 del Reglamento de Desempleo, que establece que «cuando se autorice a una Empresa, en primer lugar, a reducir el número de días o de horas de trabajo o a suspender los contratos por períodos no superiores a seis meses y, con posterioridad, se autorice por resolución administrativa la extinción de las relaciones laborales, los trabajadores que hayan sido afectados por las autorizaciones sucesivas tendrán derecho a las prestaciones por desempleo, sin que se les compute, a efectos de la duración máxima de los mismos, el tiempo durante el que percibieron la de desempleo parcial o total de la primera o primeras autorizaciones», no puede ser interpretado de forma restrictiva sino analógicamente, tanto teniendo en cuenta la identidad de razón, que es incluso favorable al supuesto de autos, pues el contrato se extingue por despido injusto y no por causa justificada, como atendiendo a la dinámica social, pues la Seguridad Social tiende a ampliar su campo de cobertura especialmente en caso de desempleo, como afirma el art. 41.1 de la Constitución. </w:t>
      </w:r>
    </w:p>
    <w:p w:rsidR="00256EE9" w:rsidRDefault="00256EE9" w:rsidP="00256EE9">
      <w:pPr>
        <w:pStyle w:val="TextoNormal"/>
      </w:pPr>
      <w:r>
        <w:t>Si no se interpretara así se incurriría en discriminación, pues se estaría otorgando un trato desigual a trabajadores que se encuentran en iguales circunstancias, sin que resulte posible fundamentarlo en la distinta vía extintiva seguida en cada caso, pues los efectos de la extinción en relación al desempleo son idénticos. Es cierto que las indemnizaciones son diferentes, pero las mismas se sitúan en otro plano jurídico como es el de la relación existente entre las partes y pretenden resarcir los daños causados, en tanto que la prestación de desempleo va dirigida a cubrir el estado de necesidad ocasionado por la pérdida del puesto de trabajo, que es igual cualquiera que sea la causa que la produce.</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Cuarta de este Tribunal, en su reunión de 12 de diciembre de 1984, acordó poner de manifiesto la posible existencia de la causa de inadmisión regulada por el art. 50.2 b) de la Ley Orgánica de este Tribunal por cuanto la demanda pudiera carecer de contenido que justifique una decisión por parte de este Tribunal y en virtud de ello otorgó un plazo común de diez días al solicitante del amparo y al Ministerio Fiscal, a fin de que dentro de él alegaran lo que a su derecho pudiera convenir. </w:t>
      </w:r>
    </w:p>
    <w:p w:rsidR="00256EE9" w:rsidRDefault="00256EE9" w:rsidP="00256EE9">
      <w:pPr>
        <w:pStyle w:val="TextoNormal"/>
      </w:pPr>
      <w:r>
        <w:t xml:space="preserve">Dentro del mencionado término han presentado sus alegaciones el Fiscal General del Estado y el solicitante del amparo. </w:t>
      </w:r>
    </w:p>
    <w:p w:rsidR="00256EE9" w:rsidRDefault="00256EE9" w:rsidP="00256EE9">
      <w:pPr>
        <w:pStyle w:val="TextoNormal"/>
      </w:pPr>
      <w:r>
        <w:t xml:space="preserve">Este último insiste en sus pretensiones iniciales, entendiendo que estamos ante un supuesto en el que trabajadores que se encuentran en situaciones iguales a otros reciben un tratamiento distinto en cuanto a las prestaciones de desempleo. </w:t>
      </w:r>
    </w:p>
    <w:p w:rsidR="00256EE9" w:rsidRDefault="00256EE9" w:rsidP="00256EE9">
      <w:pPr>
        <w:pStyle w:val="TextoNormal"/>
      </w:pPr>
      <w:r>
        <w:t xml:space="preserve">Que los trabajadores se encuentran en situaciones iguales es claro. Así, tanto los que perciben un tipo como otro de prestaciones de desempleo han perdido su trabajo, es decir, han visto extinguida su relación laboral y se encuentran en situación de desempleo. Igualmente todos ellos tienen realizadas las cotizaciones precisas para percibir prestaciones de desempleo con mayor o menor duración, según sean más o menos el número de días cotizados, sucediendo que a un número igual de cotizaciones unos perciben más prestaciones que otros. </w:t>
      </w:r>
    </w:p>
    <w:p w:rsidR="00256EE9" w:rsidRDefault="00256EE9" w:rsidP="00256EE9">
      <w:pPr>
        <w:pStyle w:val="TextoNormal"/>
      </w:pPr>
      <w:r>
        <w:t>La única diferencia existente entre un supuesto u otro es la forma de extinción del contrato, si lo fue por expediente de regulación de empleo o por otra vía distinta. Pero tal diferencia no puede ser motivo suficiente para que las prestaciones de desempleo sean distintas en uno u otro caso, pues ambos se encuentran en un mismo estado de necesidad, y con los requisitos de cotización cubiertos en iguales condiciones. A mayor abundamiento, incluso en los casos de extinción del contrato por despido, tal medida se impone al trabaja</w:t>
      </w:r>
      <w:r>
        <w:lastRenderedPageBreak/>
        <w:t xml:space="preserve">dor por la decisión unilateral del empresario, y tal decisión no tiene causa ni motivo que lo justifique, como ha sucedido en el caso de mis representados, al ser declarados sus despidos improcedentes, y al contrario en los casos de expedientes de regulación de empleo la extinción del contrato viene motivada, no por la voluntad unilateral y sin causa del empresario, sino por autorización de la Autoridad laboral al existir causas de fuerza mayor, o económicas, o tecnológicas. Es decir, las extinciones infundadas tienen consecuencias más perjudiciales que las extinciones fundadas. Aquí está el origen del tratamiento desigual en cuanto a las indemnizaciones se perciben en uno u otro caso, sin que ello pueda ser motivo de inadmisibilidad del recurso, pues su ámbito es distinto y además está justificado. </w:t>
      </w:r>
    </w:p>
    <w:p w:rsidR="00256EE9" w:rsidRDefault="00256EE9" w:rsidP="00256EE9">
      <w:pPr>
        <w:pStyle w:val="TextoNormal"/>
      </w:pPr>
      <w:r>
        <w:t xml:space="preserve">Por su parte, el Fiscal señala que debe recordarse la doctrina de este Tribunal, que no considera vulnerado el principio de igualdad contenido en el art. 14 de la Constitución, porque dicho principio «no implica en todos los casos un tratamiento legal igual con abstracción de cualquier elemento diferenciador de relevancia jurídica», declarando que «sólo es discriminatoria la desigualdad irracional» (Sentencia 79/1983, de 5 de octubre); y que «el principio de igualdad encierra una prohibición de discriminación, de tal manera que ante situaciones iguales deben darse tratamientos iguales» (Sentencia 10 de julio de 1981 y Sentencia 103/1983, de 22 de noviembre); que, «cuando la interpretación y aplicación de las Leyes efectuadas por los Tribunales ordinarios no sean irrazonables, el Tribunal Constitucional ha de respetar los criterios jurisprudenciales» sin que «haya de entrar a conocer en cuestiones de mera legalidad» (Auto de 16 de noviembre de 1983); y, finalmente, el Auto de 21 de diciembre de 1983, en el que se dice que «cuando se alega la existencia de una vulneración del principio de igualdad -art. 14 de la Constitución-, «es preciso poner de manifiesto la existencia de una identidad de situaciones». </w:t>
      </w:r>
    </w:p>
    <w:p w:rsidR="00256EE9" w:rsidRDefault="00256EE9" w:rsidP="00256EE9">
      <w:pPr>
        <w:pStyle w:val="TextoNormal"/>
      </w:pPr>
      <w:r>
        <w:t xml:space="preserve">Aparece de los hechos descritos que el tratamiento desigual atribuido por la Ley a los trabajadores se debe a situaciones distintas, y que tal cuestión fue razonadamente resuelta, tanto por la Sentencia de la Magistratura de Trabajo núm. 3 de Sevilla, como por el Tribunal Central de Trabajo en su Sentencia de 29 de septiembre de 1984. </w:t>
      </w:r>
    </w:p>
    <w:p w:rsidR="00256EE9" w:rsidRDefault="00256EE9" w:rsidP="00256EE9">
      <w:pPr>
        <w:pStyle w:val="TextoNormal"/>
      </w:pPr>
      <w:r>
        <w:t>Por lo dicho, el Fiscal interesa del Tribunal que, de acuerdo con lo dispuesto en el art. 86.1 de la Ley Orgánica del Tribunal Constitucional, dicte Auto declarando la inadmisión del recurso de amparo por encontrarse en el supuesto del art. 50.2 b) de dicha Ley Orgánica, al carecer manifiestamente de contenido que justifique una decisión por parte del Tribunal Constitucional.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FD024E">
        <w:rPr>
          <w:rStyle w:val="NumeroAFNegritaCaracter"/>
        </w:rPr>
        <w:t>Único.</w:t>
      </w:r>
      <w:r w:rsidRPr="00256EE9">
        <w:rPr>
          <w:rStyle w:val="TextoNormalNegritaCaracter"/>
        </w:rPr>
        <w:t xml:space="preserve"> </w:t>
      </w:r>
      <w:r>
        <w:t>La demanda de amparo, salvando el error de imputar la infracción constitucional a las Sentencias recaídas y no a las resoluciones administrativas, que fueron las que, al reconocer las prestaciones por desempleo, descontaron el período ya disfrutado como consecuencia de suspensión de los contratos por fuerza mayor, pretende el reconocimiento del derecho de los actores a la percepción de los seis meses que les fueron descontados por entender que ello viene exigido por el principio de igualdad.</w:t>
      </w:r>
    </w:p>
    <w:p w:rsidR="00256EE9" w:rsidRDefault="00256EE9" w:rsidP="00256EE9">
      <w:pPr>
        <w:pStyle w:val="TextoNormal"/>
      </w:pPr>
      <w:r>
        <w:t>La igualdad predicada lo es respecto del supuesto regulado por los artículos 22.6 de la Ley Básica de Empleo, de 8 de octubre de 1980, y 14.4 del Reglamento de Prestaciones de Desempleo, de 24 de abril de 1981. Conforme a tales preceptos, «cuando se autorice a una Empresa, en primer lugar, a reducir el número de días o de horas de trabajo o a suspender los contratos por periodo no superior a seis meses y, con posterioridad, se autorice por resolución administrativa la extinción de las relaciones laborales, los trabajadores que ha</w:t>
      </w:r>
      <w:r>
        <w:lastRenderedPageBreak/>
        <w:t>yan sido afectados por las dos autorizaciones sucesivas tendrán derecho a la prestación por desempleo sin que se les compute, a efectos de la duración máxima de la misma, el tiempo durante el que percibieron la de desempleo parcial o total en virtud de la primera autorización».</w:t>
      </w:r>
    </w:p>
    <w:p w:rsidR="00256EE9" w:rsidRDefault="00256EE9" w:rsidP="00256EE9">
      <w:pPr>
        <w:pStyle w:val="TextoNormal"/>
      </w:pPr>
      <w:r>
        <w:t>En opinión de los actores, el precepto debe recibir una interpretación extensiva de modo que abarque también a quien tras un periodo de suspensión vea extinguido su contrato como consecuencia de despido improcedente.</w:t>
      </w:r>
    </w:p>
    <w:p w:rsidR="00256EE9" w:rsidRDefault="00256EE9" w:rsidP="00256EE9">
      <w:pPr>
        <w:pStyle w:val="TextoNormal"/>
      </w:pPr>
      <w:r>
        <w:t>Mas es claro que, desde una perspectiva constitucional, el problema no puede consistir en el carácter extensivo o restrictivo de la interpretación del precepto legal. En cuanto tal precepto con rango legal o reglamentario, la cuestión relativa a su alcance pertenece a la competencia de la jurisdicción laboral, quien, ha entendido que constituyendo la norma una excepción al régimen general de cómputo de los períodos de disfrute de la prestación, no puede aplicarse sino de forma estricta y exclusiva al supuesto expresamente previsto.</w:t>
      </w:r>
    </w:p>
    <w:p w:rsidR="00256EE9" w:rsidRDefault="00256EE9" w:rsidP="00256EE9">
      <w:pPr>
        <w:pStyle w:val="TextoNormal"/>
      </w:pPr>
      <w:r>
        <w:t>Partiendo de dicha interpretación, resulta patente que la Ley ha previsto un distinto régimen relativo al cómputo del período de prestación -que se traduce, en su caso, en una mayor duración- en función de la causa que motiva la extinción del contrato, siendo ello inconstitucional para los actores, pues, según entienden, al ser iguales las repercusiones de la extinción, iguales debían ser en todo supuesto sus consecuencias jurídicas relativas al desempleo.</w:t>
      </w:r>
    </w:p>
    <w:p w:rsidR="00256EE9" w:rsidRDefault="00256EE9" w:rsidP="00256EE9">
      <w:pPr>
        <w:pStyle w:val="TextoNormal"/>
      </w:pPr>
      <w:r>
        <w:t>Ahora bien, aceptar tal planteamiento implica sostener que las prestaciones por desempleo toman en cuenta como factor exclusivo de regulación el hecho de los efectos de la extinción; de modo que la identidad de situaciones se valoraría en atención a tal fundamento.</w:t>
      </w:r>
    </w:p>
    <w:p w:rsidR="00256EE9" w:rsidRDefault="00256EE9" w:rsidP="00256EE9">
      <w:pPr>
        <w:pStyle w:val="TextoNormal"/>
      </w:pPr>
      <w:r>
        <w:t>Con ello, como se ve con claridad, los demandantes están predeterminando la solución del caso, pero lo están haciendo ilegítimamente, pues el propio precepto muestra que no es sólo el problema relativo a los efectos el determinante de la protección sino también el referente a la causa extintiva.  Cuestionar tal hecho puede hacerse, ciertamente, desde una perspectiva político-social, pero desde la perspectiva jurídico-constitucional nada puede oponerse al mismo, pues nada obliga constitucionalmente a que el legislador regule las prestaciones de desempleo atendiendo a un factor y no a otro.</w:t>
      </w:r>
    </w:p>
    <w:p w:rsidR="00256EE9" w:rsidRDefault="00256EE9" w:rsidP="00256EE9">
      <w:pPr>
        <w:pStyle w:val="TextoNormal"/>
      </w:pPr>
      <w:r>
        <w:t>Desde el punto de vista constitucional no puede sino constatarse que la legislación ha previsto distintas soluciones atendiendo parcialmente a la causa de la extinción del contrato, y que la diferencia de trato, en la medida en que se basa en una diversidad de circunstancias, que está objetivamente predeterminada, no es discriminatoria. No corresponde a este Tribunal valorar cuál ha sido la razón que ha llevado al legislador a tomar en consideración la causa de la extinción del contrato ni, mucho menos, si ello es o no adecuado, puesto que todo ello pertenece a una libre decisión de orden político, bastando con apreciar que la diferencia de régimen jurídico no es caprichosa o arbitraria, sino que está fundada en una real diversidad de condiciones.</w:t>
      </w:r>
    </w:p>
    <w:p w:rsidR="00256EE9" w:rsidRDefault="00256EE9" w:rsidP="00256EE9">
      <w:pPr>
        <w:pStyle w:val="TextoNormal"/>
      </w:pPr>
      <w:r>
        <w:t>Por lo expuesto, procede decretar la inadmisibilidad de este recurso por falta manifiesta de contenido constitucional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presente recurso de amparo.</w:t>
      </w:r>
    </w:p>
    <w:p w:rsidR="00256EE9" w:rsidRDefault="00256EE9" w:rsidP="00256EE9">
      <w:pPr>
        <w:pStyle w:val="TextoNormal"/>
      </w:pPr>
    </w:p>
    <w:p w:rsidR="00256EE9" w:rsidRDefault="00256EE9" w:rsidP="00256EE9">
      <w:pPr>
        <w:pStyle w:val="TextoNormal"/>
      </w:pPr>
      <w:r>
        <w:lastRenderedPageBreak/>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8" w:name="AUTO_1985_47"/>
      <w:r>
        <w:lastRenderedPageBreak/>
        <w:t>AUTO 47/1985, de 23 de enero de 1985</w:t>
      </w:r>
    </w:p>
    <w:bookmarkEnd w:id="108"/>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ECLI:ES:TC:1985:47A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789/1984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este Tribunal Constitucional el día 15 de noviembre de 1984, don Emilio García Fernández, Procurador de los Tribunales, interpone recurso de amparo constitucional en nombre y representación de doña Evangelina Rodríguez Peral, contra la Sentencia dictada con fecha 24 de octubre de 1984 por el Juzgado de Primera Instancia de Arévalo (Avila) resolviendo la apelación interpuesta contra la del Juzgado de Distrito de la misma población, en Autos de juicio de cognición, número 30/1983. </w:t>
      </w:r>
    </w:p>
    <w:p w:rsidR="00256EE9" w:rsidRDefault="00256EE9" w:rsidP="00256EE9">
      <w:pPr>
        <w:pStyle w:val="TextoNormal"/>
      </w:pPr>
      <w:r>
        <w:t xml:space="preserve">La demanda se fundamenta en los siguientes hechos: </w:t>
      </w:r>
    </w:p>
    <w:p w:rsidR="00256EE9" w:rsidRDefault="00256EE9" w:rsidP="00256EE9">
      <w:pPr>
        <w:pStyle w:val="TextoNormal"/>
      </w:pPr>
      <w:r>
        <w:t xml:space="preserve">A) Doña Evangelina Rodríguez Peral, vendió mediante contrato privado, a don Antonio Rafael Sánchez Hierro, por la suma de 300.000 pesetas, una finca urbana sita en la localidad de Sanchidrián (Avila). Debiendo surtir efectos el referido contrato privado ante un órgano judicial, la vendedora satisfizo la cantidad de 42.000 pesetas, como importe de la cuota tributaria del Impuesto de Transmisiones Patrimoniales, por la compraventa de que se ha hecho mérito, cuya cantidad luego reclamó al comprador en el juicio de cognición núm. 30/1983, tramitado ante el Juzgado de Distrito de Arévalo (Avila). </w:t>
      </w:r>
    </w:p>
    <w:p w:rsidR="00256EE9" w:rsidRDefault="00256EE9" w:rsidP="00256EE9">
      <w:pPr>
        <w:pStyle w:val="TextoNormal"/>
      </w:pPr>
      <w:r>
        <w:t xml:space="preserve">B) En la contestación a la demanda, el comprador se opuso, sosteniendo que el pago del Impuesto de Transmisiones había sido un acto caprichoso y voluntario por parte de la vendedora; asimismo, formuló reconvención pidiendo la condena de la vendedora al otorgamiento de la escritura pública. La parte actora, y hoy solicitante de amparo, se opuso a la reconvención alegando, entre otras, la excepción de incompetencia de jurisdicción por alcanzar la del Juzgado de Distrito a la cuantía de 50.000 pesetas y estimar que la cuantía de la reconvención era de 300.000 pesetas, valor de la finca urbana reconocido por ambas partes en el documento privado. </w:t>
      </w:r>
    </w:p>
    <w:p w:rsidR="00256EE9" w:rsidRDefault="00256EE9" w:rsidP="00256EE9">
      <w:pPr>
        <w:pStyle w:val="TextoNormal"/>
      </w:pPr>
      <w:r>
        <w:t xml:space="preserve">C) El Juzgado de Distrito de Arévalo dictó Sentencia el 14 de julio de 1984, desestimando la pretensión de la actora por entender que la liquidación del contrato había sido un acto voluntario y caprichoso, y estimando la reconvención, por lo que declaró la obligación de la vendedora de otorgar escritura pública. </w:t>
      </w:r>
    </w:p>
    <w:p w:rsidR="00256EE9" w:rsidRDefault="00256EE9" w:rsidP="00256EE9">
      <w:pPr>
        <w:pStyle w:val="TextoNormal"/>
      </w:pPr>
      <w:r>
        <w:t xml:space="preserve">D) Interpuesto recurso de apelación contra la indicada Sentencia por doña Evangelina Rodríguez, para ante el Juzgado de Primera Instancia de Arévalo, se dictó Sentencia el 24 de octubre de 1984, estimando en parte el recurso interpuesto. Entendió el Juez que procedía condenar a la parte apelada al pago de las 42.612 pesetas satisfechas por el Impuesto antes indicado, pero confirmó la Sentencia de instancia respecto de la reconvención, por lo que condenó a la actora al otorgamiento de escritura pública. Respecto de la impugnación </w:t>
      </w:r>
      <w:r>
        <w:lastRenderedPageBreak/>
        <w:t xml:space="preserve">formulada sobre la cuantía de la reconvención consideró el Juzgado ad quem que la obligación del Juez de Distrito hubiera sido la de tramitar incidente de impugnación de cuantía y que, al no hacerlo así incurrió en un patente quebrantamiento de las formas procesales. </w:t>
      </w:r>
    </w:p>
    <w:p w:rsidR="00256EE9" w:rsidRDefault="00256EE9" w:rsidP="00256EE9">
      <w:pPr>
        <w:pStyle w:val="TextoNormal"/>
      </w:pPr>
      <w:r>
        <w:t>En virtud del principio de economía procesal entró, sin embargo, el Juez de Segunda Instancia a conocer de esta cuestión y entendió que para determinar el valor de la demanda había que estar al valor dable al costo de otorgamiento de escritura pública que formalice la compraventa y que el valor de la demanda reconvencional no era otro que el que correspondiera a los gastos notariales.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fundamentos jurídicos de la demanda son los siguientes: </w:t>
      </w:r>
    </w:p>
    <w:p w:rsidR="00256EE9" w:rsidRDefault="00256EE9" w:rsidP="00256EE9">
      <w:pPr>
        <w:pStyle w:val="TextoNormal"/>
      </w:pPr>
      <w:r>
        <w:t xml:space="preserve">A) Se ha violado el art. 24 de la C. E., toda vez que el Juez de Distrito ha vulnerado el art. 47 del Decreto de 21 de noviembre de 1952 al conocer de una reconvención cuya cuantía excede del límite asignado a los juicios de cognición. Con ello se ha impedido que conozca de dicha acción el Juez competente predeterminado por la Ley, que sería el Juez de Primera Instancia contra cuya Sentencia procedería recurso de apelación ante la Audiencia Territorial. </w:t>
      </w:r>
    </w:p>
    <w:p w:rsidR="00256EE9" w:rsidRDefault="00256EE9" w:rsidP="00256EE9">
      <w:pPr>
        <w:pStyle w:val="TextoNormal"/>
      </w:pPr>
      <w:r>
        <w:t xml:space="preserve">Habiéndose privado al recurrente de tales Jueces y Tribunales, por el hecho de haber invalidado el Juez de Distrito el ámbito competencial que corresponde a Juez superior, se ha producido a la actora clara y evidente indefensión y al mismo tiempo se ha vulnerado el párrafo 2 del art. 24 que garantiza el derecho al Juez predeterminado por la Ley. </w:t>
      </w:r>
    </w:p>
    <w:p w:rsidR="00256EE9" w:rsidRDefault="00256EE9" w:rsidP="00256EE9">
      <w:pPr>
        <w:pStyle w:val="TextoNormal"/>
      </w:pPr>
      <w:r>
        <w:t xml:space="preserve">B) La acción ejercitada por reconvención no puede tener otra cuantía que el valor o precio de la cosa litigiosa, en este caso 300.000 pesetas. No hay precedente alguno -al menos dentro de los conocimientos del recurrente- en el que en esta clase de acciones «se acuda a lo que pueda cobrar el Notario por el otorgamiento prescindiéndose del valor o precio de la cosa objeto del contrato de compraventa». </w:t>
      </w:r>
    </w:p>
    <w:p w:rsidR="00256EE9" w:rsidRDefault="00256EE9" w:rsidP="00256EE9">
      <w:pPr>
        <w:pStyle w:val="TextoNormal"/>
      </w:pPr>
      <w:r>
        <w:t>Solicita, por tanto, que se declare la nulidad de la Sentencia impugnada en cuanto que al estimar la reconvención y condenar a la solicitante de amparo al otorgamiento de escritura pública y a las costas de la reconvención, vulnera el art. 24 de la C. E. en relación con el 117.3 de la misma, por haber conocido de una acción, un Juez manifiestamente incompetente invadiendo el ámbito soberano y competencial del Juez superior.</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Mediante providencia de fecha 12 de diciembre del pasado año, la Sección Tercera de este T. C. acordó poner de manifiesto la posible existencia de las siguientes causas de inadmisibilidad: la del art. 50.1 b) en relación con el 44.1 c), ambos de la LOTC, y la del art. 50.2 b) de la misma Ley Orgánica, por cuanto la demanda pudiera carecer manifiestamente de contenido que justifique una decisión por parte del T. C.; y concedió un plazo común de diez días a la solicitante del amparo y al Ministerio Fiscal para que conforme al art. 50 de la LOTC, pudieran presentar las alegaciones que estimasen convenientes. </w:t>
      </w:r>
    </w:p>
    <w:p w:rsidR="00256EE9" w:rsidRDefault="00256EE9" w:rsidP="00256EE9">
      <w:pPr>
        <w:pStyle w:val="TextoNormal"/>
      </w:pPr>
      <w:r>
        <w:t>La solicitante de amparo, en escrito presentado el día 2 de enero del año actual, apoya y justifica la interposición del recurso en lo referente a la causa del art. 50.1 b) en relación con el 44.1 c) de la LOTC por cuanto la violación denunciada no ha sido conocida hasta que el Juez de Primera Instancia dicta la Sentencia contra la cual se interpone el recurso, puesto que, discutiéndose la excepción de incompetencia de jurisdicción no se produce la violación hasta que se da la Sentencia firme, y a pesar de ello, en la vista de la apelación contra la Sentencia del Juzgado de Distrito, ya se advirtió al Juzgado de Primera Instancia que se interpondría este recurso de amparo de no prosperar la pretensión ejercitada. Y en cuanto a la causa del art. 50.2 b), la demanda sí que tiene contenido que justifica una decisión del T. C., puesto que lo que en definitiva se discute, es que por haber invadido el Juz</w:t>
      </w:r>
      <w:r>
        <w:lastRenderedPageBreak/>
        <w:t xml:space="preserve">gado de Distrito un ámbito competencial que le está vedado, ha impedido a la demandante que la acción ejercitada por reconvención fuera decidida por Juez competente que en primera instancia sería del Juzgado de Primera Instancia, habiéndose privado a la misma de la oportuna apelación ante la Audiencia Territorial de Madrid, vulnerándose con ello el art. 24 de la C. E. Por todo ello, termina suplicando se declare la admisión de la demanda de amparo interpuesta y en su día se dicte la Sentencia peticionada en el escrito de demanda. </w:t>
      </w:r>
    </w:p>
    <w:p w:rsidR="00256EE9" w:rsidRDefault="00256EE9" w:rsidP="00256EE9">
      <w:pPr>
        <w:pStyle w:val="TextoNormal"/>
      </w:pPr>
      <w:r>
        <w:t xml:space="preserve">El Ministerio Fiscal, en sus alegaciones, hace constar que del contenido de la demanda que precautoriamente omite referirse al cumplimiento de lo preceptuado en el art. 44.1 c) de la LOTC, así como de la documentación que la acompaña, se desprende que, si a su manera de ver las cosas la vulneración del derecho alegado se produjo en la instancia, de suyo viene que al proponer la apelación debió llevar a cabo la invocación señalada, y no habiéndose realizado así, resulta evidente se ha incidido en defecto, a todas luces insubsanable, y al que se contrae el art. 50.1 b) de la LOTC comportando la inadmisión de la demanda. </w:t>
      </w:r>
    </w:p>
    <w:p w:rsidR="00256EE9" w:rsidRDefault="00256EE9" w:rsidP="00256EE9">
      <w:pPr>
        <w:pStyle w:val="TextoNormal"/>
      </w:pPr>
      <w:r>
        <w:t xml:space="preserve">Si el anterior motivo es de suyo bastante para rechazar a trámite el amparo, a mayor abundamiento cabe destacar que el problema básico viene determinado por la forma de interpretar el Juez civil tanto las normas que determinan su propia competencia, como las bases en que se asienta el proceso civil, y esto es materia de mera legalidad que el T. C. viene reiteradamente afirmando es algo que escapa a su propia competencia, así como el ámbito del proceso de amparo, por lo que efectivamente se está ante el también motivo de inadmisión señalado en el art. 50.2 b) de dicha Norma. </w:t>
      </w:r>
    </w:p>
    <w:p w:rsidR="00256EE9" w:rsidRDefault="00256EE9" w:rsidP="00256EE9">
      <w:pPr>
        <w:pStyle w:val="TextoNormal"/>
      </w:pPr>
      <w:r>
        <w:t>Y termina interesando se dicte Auto acordando la inadmisión de la demanda por incidir en los motivos que se recogen en el art. 50.1 b) y 2 b), todos ellos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No puede decirse que el actor no tuviera ocasión -y momento procesal al respecto- para invocar el derecho constitucional que, por cierto, sin razón, como luego vamos a ver, reputa vulnerado, pues deduciendo que se había quebrantado el derecho al Juez ordinario predeterminado por la Ley y el derecho a la defensa por consecuencia de que el Juez de Distrito conociera una pretensión reconvencional que él cree fuera del ámbito de competencia por la cuantía, es patente que el momento, al menos, fue la apelación deducida contra la Sentencia del Juez de Distrito, y al no hacerlo así, para dar a la cuestión un tratamiento desde parámetros constitucionales, tal como previene el art.  44.1 c) de la LOTC, muy acorde con la significación que al amparo asigna el art. 53.2 de la Constitución, se ha incurrido en la causa de inadmisión del art. 50.1 b) en relación con el 44.1 c)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 ser suficiente esta causa para que el recurso tenga que llevarse por soluciones de inadmisibilidad, es también patente que la demanda carece de contenido constitucional [art. 50.2 b)], pues toda la argumentación actora, dirigida a sostener que el Juez de Distrito -y en apelación el Juez de Primera Instanciadebió negar su competencia para la pretensión reconvencional, y que al no hacerlo violento el derecho al Juez predeterminado por la Ley, provocando unos cauces que en cuanto a la instancia y al régimen de apelación, se apoya en la interpretación de las reglas definidoras de la determinación cuantitativa de la pretensión, con lo que ninguna faceta constitucional se confiere al asunto.  Pero es que, además, tan Juez ordinario y predeterminado por la Ley, es el Juez de Distrito, como el Juez de </w:t>
      </w:r>
      <w:r>
        <w:lastRenderedPageBreak/>
        <w:t>Primera Instancia, y si lo que quiere decirse es que el quebrantamiento de las reglas de competencia, tanto en orden al territorio, como a la cuantía, son denunciables por la vía del recurso de amparo constitucional, en tanto referidas a la institución jurídica de las competencias legales y, por ende al Juez competente, se equivoca el recurrente, pues éstas tienen su régimen sin trascender al instituto del Juez ordinario predeterminado, y, por supuesto, al derecho de defensa, pues con ésta ha contado gozando de las organizadas para el proceso de que se trata.</w:t>
      </w:r>
    </w:p>
    <w:p w:rsidR="00256EE9" w:rsidRDefault="00256EE9" w:rsidP="00256EE9">
      <w:pPr>
        <w:pStyle w:val="TextoNormal"/>
      </w:pPr>
    </w:p>
    <w:p w:rsidR="00256EE9" w:rsidRDefault="00256EE9" w:rsidP="00256EE9">
      <w:pPr>
        <w:pStyle w:val="TextoNormal"/>
      </w:pPr>
      <w:r w:rsidRPr="00256EE9">
        <w:rPr>
          <w:rStyle w:val="NumeroAFNegritaCaracter"/>
        </w:rPr>
        <w:t>3</w:t>
      </w:r>
      <w:r>
        <w:t>. El doble alcance de las aludidas causas de inadmisión diseñan un cuadro que hemos de situar en el marco sancionador del art.  95.2 y 3 de la LOTC, pues el recurso se ha formulado contra lo que es patente, revelándose una conducta temeraria que comporta la condena en costas y una sanción que si fijamos en el minimum previsto en el mencionado precepto, es para advertir, al menos, que no puede traerse al T. C. lo tan carente de consistencia -en lo formal como en lo material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desestima el recurso interpuesto por doña Evangelina Rodríguez Peral, con imposición de costas y una sanción pecuniaria de 5.000 pesetas.</w:t>
      </w:r>
    </w:p>
    <w:p w:rsidR="00256EE9" w:rsidRDefault="00256EE9" w:rsidP="00256EE9">
      <w:pPr>
        <w:pStyle w:val="TextoNormal"/>
      </w:pPr>
    </w:p>
    <w:p w:rsidR="00256EE9" w:rsidRDefault="00256EE9" w:rsidP="00256EE9">
      <w:pPr>
        <w:pStyle w:val="TextoNormal"/>
      </w:pPr>
      <w:r>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09" w:name="AUTO_1985_48"/>
      <w:r>
        <w:lastRenderedPageBreak/>
        <w:t>AUTO 48/1985, de 23 de enero de 1985</w:t>
      </w:r>
    </w:p>
    <w:bookmarkEnd w:id="109"/>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ECLI:ES:TC:1985:48A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791/1984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este Tribunal el día 16 de noviembre de 1984, don Gabriel O. J. Iglesias Herrera manifiesta que interpone recurso de amparo por derecho propio, por estimar que la aplicación retroactiva por el Ministerio de Educación y Ciencia del apartado primero de la Base V de la Orden de 18 de marzo de 1983 ha lesionado los derechos constitucionales contenidos en los arts. 35.1, 19 y 20.2 de la C. E., no sólo del recurrente, sino de otros interesados que ejercen la docencia en la enseñanza estatal. </w:t>
      </w:r>
    </w:p>
    <w:p w:rsidR="00256EE9" w:rsidRDefault="00256EE9" w:rsidP="00256EE9">
      <w:pPr>
        <w:pStyle w:val="TextoNormal"/>
      </w:pPr>
      <w:r>
        <w:t xml:space="preserve">De la documentación aportada y demás alegaciones puede deducirse que el recurrente, que al presentar su referido escrito de solicitud de amparo, prestaba servicios como profesor agregado en expectativa de destino en el Instituto Nacional de Bachillerato «María de Moliner», de Coslada, Madrid, fue admitido al concurso-oposición para la provisión de plazas vacantes (turno restringido) en el Cuerpo de Profesores Agregados de Bachillerato, en la asignatura de Geografía e Historia, por resolución de la Dirección General de Personal del Ministerio de Educación y Ciencia de 1 de junio de 1983, en la que se preveía «sin que la inclusión en la relación de admitidos prejuzgue que los mismos reúnen las condiciones exigidas en la orden de convocatoria». Superada la oposición, e incluido en la lista publicada por Orden de 21 de septiembre de 1983, el Ministerio de Educación y Ciencia procedió a nombrar funcionarios en prácticas a los opositores relacionados en la mencionada Orden. La Resolución de 23 de mayo de 1984 excluye al recurrente por la causa de no figurar en las actas de las Comisiones evaluadoras. </w:t>
      </w:r>
    </w:p>
    <w:p w:rsidR="00256EE9" w:rsidRDefault="00256EE9" w:rsidP="00256EE9">
      <w:pPr>
        <w:pStyle w:val="TextoNormal"/>
      </w:pPr>
      <w:r>
        <w:t xml:space="preserve">Se formuló recurso de reposición contra la anterior resolución y, entretanto, la Orden de 6 de julio de 1984 incluye al interesado entre los profesores en expectativa de destino, siendo destinado provisionalmente a Madrid por Resolución de 1 de agosto de 1984. </w:t>
      </w:r>
    </w:p>
    <w:p w:rsidR="00256EE9" w:rsidRDefault="00256EE9" w:rsidP="00256EE9">
      <w:pPr>
        <w:pStyle w:val="TextoNormal"/>
      </w:pPr>
      <w:r>
        <w:t xml:space="preserve">Finalmente, la Orden de 26 de octubre de 1984, por la que se aprueba el expediente del concurso-oposición convocado el 17 de marzo de 1983, y en la que se relacionan los opositores nombrados funcionarios de carrera y los excluidos, no hace mención alguna del interesado. </w:t>
      </w:r>
    </w:p>
    <w:p w:rsidR="00256EE9" w:rsidRDefault="00256EE9" w:rsidP="00256EE9">
      <w:pPr>
        <w:pStyle w:val="TextoNormal"/>
      </w:pPr>
      <w:r>
        <w:t>El recurrente, con fecha 13 de noviembre, ha dirigido escrito a la Sala Segunda de lo Contencioso-Administrativo de la Audiencia Territorial de Madrid interponiendo recurso contra la resolución desestimatoria, por silencio administrativo, del recurso de reposición interpuesto contra la resolución ministerial referida de 23 de mayo de 1984.</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xml:space="preserve">. Por providencia de 5 de diciembre pasado se acordó poner de manifiesto la posible existencia de las siguientes causas de inadmisión: 1.ª, la regulada por el art. 50.1 b) en relación con el 81.1 de la Ley Orgánica de este Tribunal porque el legitimado en el proceso constitucional debe conferir su representación a un Procurador y actuar bajo la dirección del Abogado; 2.ª, la del art. 50.1 b) en relación con el 43.1 de la misma Ley Orgánica, porque las violaciones de derechos y libertades originadas por actos de la Administración podrán dar lugar al recurso de amparo, pero una vez que se haya agotado la vía judicial que es la contencioso-administrativa. Asimismo se acordaba otorgar un plazo de diez días al solicitante de amparo y al Ministerio Fiscal para que presentasen las alegaciones procedentes. </w:t>
      </w:r>
    </w:p>
    <w:p w:rsidR="00256EE9" w:rsidRDefault="00256EE9" w:rsidP="00256EE9">
      <w:pPr>
        <w:pStyle w:val="TextoNormal"/>
      </w:pPr>
      <w:r>
        <w:t xml:space="preserve">El Ministerio Fiscal ha alegado que, efectivamente, se dan las dos carencias indicadas, de postulación procesal y de seguimiento de la vía judicial previa. </w:t>
      </w:r>
    </w:p>
    <w:p w:rsidR="00256EE9" w:rsidRDefault="00256EE9" w:rsidP="00256EE9">
      <w:pPr>
        <w:pStyle w:val="TextoNormal"/>
      </w:pPr>
      <w:r>
        <w:t>El solicitante de amparo no ha formulado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Puesta en su día de manifiesto la posible concurrencia de las causas o motivos de inadmisibilidad establecidas en el art. 50.1 b) de la LOTC, en relación a los arts. 81.1 y 43.1 de la propia Ley, esto es, la comparecencia ante este Tribunal sin que el demandante lo verificara representado por Procurador y dirigido por Letrado, y, en el segundo aspecto, sin constancia de haberse agotado la vía judicial procedente, se está en el caso de acordar la inadmisión de este recurso constitucional de amparo, ante el silencio mantenido por el recurrente tras aquel proveído inicial, con persistencia del defecto atinente a la representación y defensa, y también en la misma falta de justificación del agotamiento de la exigible vía judicial previa.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w:t>
      </w:r>
    </w:p>
    <w:p w:rsidR="00256EE9" w:rsidRDefault="00256EE9" w:rsidP="00256EE9">
      <w:pPr>
        <w:pStyle w:val="TextoNormal"/>
      </w:pPr>
    </w:p>
    <w:p w:rsidR="00256EE9" w:rsidRDefault="00256EE9" w:rsidP="00256EE9">
      <w:pPr>
        <w:pStyle w:val="TextoNormal"/>
      </w:pPr>
      <w:r>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0" w:name="AUTO_1985_49"/>
      <w:r>
        <w:lastRenderedPageBreak/>
        <w:t>AUTO 49/1985, de 23 de enero de 1985</w:t>
      </w:r>
    </w:p>
    <w:bookmarkEnd w:id="110"/>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ECLI:ES:TC:1985:49A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818/1984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26 de noviembre de 1984, el Procurador de los Tribunales don Ramiro Reynolds de Miguel, en nombre y representación de don Rafael Morales Macías, interpone recurso de amparo contra el acuerdo de la Junta de Gobierno del Colegio de Arquitectos de Andalucía Oriental, de 26 de noviembre de 1982, que dejó en suspenso la colegiación de su representado. </w:t>
      </w:r>
    </w:p>
    <w:p w:rsidR="00256EE9" w:rsidRDefault="00256EE9" w:rsidP="00256EE9">
      <w:pPr>
        <w:pStyle w:val="TextoNormal"/>
      </w:pPr>
      <w:r>
        <w:t>Entiende el recurrente que dicho acuerdo vulnera el derecho a obtener la tutela efectiva de los Jueces y Tribunales en el ejercicio de los derechos e intereses legítimos, reconocido en el art. 24.1 de la Constitución, y solicita de este Tribunal Constitucional declare su nulidad y la de las resoluciones judiciales confirmatorias del mismo, declarando el derecho del recurrente a ser dado de alta como colegiado en el Colegio de Arquitectos de Andalucía Oriental y a ser indemnizado por los daños y perjuicios que el mencionado acuerdo le ha causado. Asimismo solicita, por otrosí, la suspensión del acuerdo impugnado, ya que de mantenerse indefinidamente la efectividad del presente recurso sería prácticamente nula, toda vez que los daños morales y los perjuicios económicos que se le están causando a su representado son ya prácticamente inmensurables e irreparables.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en que se basa la demanda de amparo son, en síntesis, los siguientes: </w:t>
      </w:r>
    </w:p>
    <w:p w:rsidR="00256EE9" w:rsidRDefault="00256EE9" w:rsidP="00256EE9">
      <w:pPr>
        <w:pStyle w:val="TextoNormal"/>
      </w:pPr>
      <w:r>
        <w:t xml:space="preserve">a) El demandante obtuvo, por Orden del Ministerio de Educación y Ciencia de 5 de noviembre de 1981, el reconocimiento del titulo de arquitecto que le fue expedido por la Universidad Central del Este de la República Dominicana, a los efectos académicos y profesionales a que habilita el título español de arquitecto. </w:t>
      </w:r>
    </w:p>
    <w:p w:rsidR="00256EE9" w:rsidRDefault="00256EE9" w:rsidP="00256EE9">
      <w:pPr>
        <w:pStyle w:val="TextoNormal"/>
      </w:pPr>
      <w:r>
        <w:t xml:space="preserve">b) Tras solicitar y obtener la incorporación al Colegio de Arquitectos de Cataluña, decide trasladar su residencia a Málaga, por lo que solicita su incorporación al Colegio de Andalucía Oriental, que le es concedida con carácter provisional, hasta su ratificación por la Junta de Gobierno, con fecha 7 de mayo de 1982. </w:t>
      </w:r>
    </w:p>
    <w:p w:rsidR="00256EE9" w:rsidRDefault="00256EE9" w:rsidP="00256EE9">
      <w:pPr>
        <w:pStyle w:val="TextoNormal"/>
      </w:pPr>
      <w:r>
        <w:t xml:space="preserve">El 17 de junio siguiente, el Colegio comunica al interesado que la Junta de Gobierno ha acordado no ratificar el alta provisional, dejando pendiente su colegiación y solicitando copia de su titulación académica. Con fecha 15 de julio de 1982, este acuerdo es anulado y ratificado el alta, al mismo tiempo que se inicia un expediente de revisión sobre la validez del título del interesado. </w:t>
      </w:r>
    </w:p>
    <w:p w:rsidR="00256EE9" w:rsidRDefault="00256EE9" w:rsidP="00256EE9">
      <w:pPr>
        <w:pStyle w:val="TextoNormal"/>
      </w:pPr>
      <w:r>
        <w:lastRenderedPageBreak/>
        <w:t xml:space="preserve">Tras diversas incidencias surgidas con motivo de la actitud negativa adoptada por la Delegación de Málaga del Colegio de Arquitectos, en enero de 1983 el ahora recurrente en amparo recibe una comunicación del Colegio en la que se le notifica un acuerdo de 26 de noviembre de 1982 por el que queda en suspenso su colegiación «como consecuencia del error de hecho sufrido por este Colegio... debiendo proseguir el expediente de revisión sobre la titulación del mismo acordado instruir en sesión de esta Junta de Gobierno de 15 de julio de 1982». </w:t>
      </w:r>
    </w:p>
    <w:p w:rsidR="00256EE9" w:rsidRDefault="00256EE9" w:rsidP="00256EE9">
      <w:pPr>
        <w:pStyle w:val="TextoNormal"/>
      </w:pPr>
      <w:r>
        <w:t xml:space="preserve">Al no recibir traslado de lo actuado en el expediente ni notificación alguna, el señor Morales Macías requiere notarialmente al Decano del mencionado Colegio «para que le comunique si está o no colegiado y, en caso contrario, proceda a su colegiación inmediata sin restricción alguna». </w:t>
      </w:r>
    </w:p>
    <w:p w:rsidR="00256EE9" w:rsidRDefault="00256EE9" w:rsidP="00256EE9">
      <w:pPr>
        <w:pStyle w:val="TextoNormal"/>
      </w:pPr>
      <w:r>
        <w:t>c) No habiendo obtenido contestación y entendiendo que se ha desestimado su petición por silencio administrativo, interpone recurso contencioso-administrativo contra el Acuerdo de 26 de noviembre de 1982 ante la Audiencia Territorial de Granada, que dicta Sentencia el 22 de mayo de 1984, inadmitiéndolo, por entender que debió presentarse dentro del plazo de diez días contados a partir de la notificación del acuerdo impugnado, fallo que es confirmado por la Sala Tercera de lo Contencioso-Administrativo del Tribunal Supremo en su Sentencia de 4 de octubre de 1984.</w:t>
      </w:r>
    </w:p>
    <w:p w:rsidR="00256EE9" w:rsidRDefault="00256EE9" w:rsidP="00256EE9">
      <w:pPr>
        <w:pStyle w:val="TextoNormal"/>
      </w:pPr>
    </w:p>
    <w:p w:rsidR="00256EE9" w:rsidRDefault="00256EE9" w:rsidP="00256EE9">
      <w:pPr>
        <w:pStyle w:val="TextoNormal"/>
      </w:pPr>
      <w:r w:rsidRPr="00256EE9">
        <w:rPr>
          <w:rStyle w:val="NumeroAFNegritaCaracter"/>
        </w:rPr>
        <w:t>3</w:t>
      </w:r>
      <w:r>
        <w:t>. Como fundamentación jurídica de su demanda de amparo, el recurrente aduce que al negársele su derecho, reconocido en la Orden ministerial de 5 de noviembre de 1981, a ejercer la profesión de arquitecto, sin procedimiento alguno, manteniéndole indefinidamente en esta situación, el Colegio de Arquitectos de Andalucía Oriental está conculcando el art. 24.1 de la Constitución, pues al colocarle en la más absoluta indefensión, le priva de la tutela efectiva en el ejercicio de sus legítimos derechos e intereses.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12 de diciembre de 1984, la Sección Primera de la Sala Primera de este Tribunal Constitucional acuerda conceder un plazo común de diez días al Ministerio Fiscal y al solicitante de amparo, de conformidad con lo dispuesto en el art. 50 de la Ley Orgánica del Tribunal Constitucional (LOTC), a fin de que formulen las alegaciones que estimen pertinentes respecto a la posible concurrencia del siguiente motivo de inadmisión, previsto en el art. 50.1 b) en relación con el 43.1, ambos de la LOTC: </w:t>
      </w:r>
    </w:p>
    <w:p w:rsidR="00256EE9" w:rsidRDefault="00256EE9" w:rsidP="00256EE9">
      <w:pPr>
        <w:pStyle w:val="TextoNormal"/>
      </w:pPr>
      <w:r>
        <w:t>No haber agotado la vía judicial procedente. Asimismo acuerda comunicar al interesado que, una vez se decida sobre la admisión o no a trámite del recurso, se resolverá sobre la suspensión solicitada.</w:t>
      </w:r>
    </w:p>
    <w:p w:rsidR="00256EE9" w:rsidRDefault="00256EE9" w:rsidP="00256EE9">
      <w:pPr>
        <w:pStyle w:val="TextoNormal"/>
      </w:pPr>
    </w:p>
    <w:p w:rsidR="00256EE9" w:rsidRDefault="00256EE9" w:rsidP="00256EE9">
      <w:pPr>
        <w:pStyle w:val="TextoNormal"/>
      </w:pPr>
      <w:r w:rsidRPr="00256EE9">
        <w:rPr>
          <w:rStyle w:val="NumeroAFNegritaCaracter"/>
        </w:rPr>
        <w:t>5</w:t>
      </w:r>
      <w:r>
        <w:t>. El Ministerio Fiscal, en su escrito de 21 de diciembre, manifiesta que el presente recurso se sitúa dentro del art. 43 de la LOTC y que el recurrente debió, por tanto, cumplir el requisito exigido en el inciso final de su epígrafe 1, el agotamiento de la vía judicial procedente. Tal requisito, a su juicio, no fue cumplido, pues el uso de la vía judicial de forma extemporánea equivale, a efectos del recurso de amparo, a la no utilización de la misma, como ha sostenido el Tribunal Constitucional en diversas ocasiones, por lo que procede la inadmisión del recurso.</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Por su parte, la representación del recurrente, en escrito de 31 de diciembre de 1984, alega que este Tribunal no puede renunciar a conocer del fondo del asunto, basándose en las razones aducidas por las Sentencias impugnadas, pues la primera cuestión a dilucidar </w:t>
      </w:r>
      <w:r>
        <w:lastRenderedPageBreak/>
        <w:t xml:space="preserve">es si el recurso interpuesto contra el acuerdo del Colegio de Arquitectos fue extemporáneo, dado que los actos nulos de pleno derecho, como lo es el impugnado, son siempre recurribles a los efectos de declarar su nulidad sin sujeción a plazo o término de ningún género. </w:t>
      </w:r>
    </w:p>
    <w:p w:rsidR="00256EE9" w:rsidRDefault="00256EE9" w:rsidP="00256EE9">
      <w:pPr>
        <w:pStyle w:val="TextoNormal"/>
      </w:pPr>
      <w:r>
        <w:t>Por ello solicita la admisión del recurso, dando por reproducidas las alegaciones contenidas en el escrito inicial de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Constitución y la Ley Orgánica del Tribunal Constitucional han configurado el recurso de amparo como un medio subsidiario de defensa de los derechos y libertades reconocidos en los arts.  14 a 29 y 30.2 de la Constitución. Por ello la LOTC exige, para poder acceder a la vía de amparo, que el recurrente haya invocado formalmente en el proceso el derecho constitucional vulnerado, tan pronto como, una vez conocida la violación, hubiere lugar para ello, y que haya agotado la vía judicial procedente. Tales requisitos tienen como finalidad que los Tribunales ordinarios tengan la oportunidad de pronunciarse sobre las vulneraciones alegadas y de proceder, en su caso, al reconocimiento de los derechos y libertades ilegítimamente lesionados por la actuación administrativa y, en consecuencia, al restablecimiento del recurrente en la integridad de los mismos.  Es esta la razón, como ha señalado este Tribunal Constitucional en repetidas ocasiones, por la que la inadmisión de un recurso debido a haberse presentado fuera de plazo equivale a la no utilización de dicho recurso e implica el no agotamiento de la vía judicial.</w:t>
      </w:r>
    </w:p>
    <w:p w:rsidR="00256EE9" w:rsidRDefault="00256EE9" w:rsidP="00256EE9">
      <w:pPr>
        <w:pStyle w:val="TextoNormal"/>
      </w:pPr>
    </w:p>
    <w:p w:rsidR="00256EE9" w:rsidRDefault="00256EE9" w:rsidP="00256EE9">
      <w:pPr>
        <w:pStyle w:val="TextoNormal"/>
      </w:pPr>
      <w:r w:rsidRPr="00256EE9">
        <w:rPr>
          <w:rStyle w:val="NumeroAFNegritaCaracter"/>
        </w:rPr>
        <w:t>2</w:t>
      </w:r>
      <w:r>
        <w:t>. En el presente caso, el interesado, al actuar extemporáneamente en la defensa de sus derechos, ha impedido que se cumpliese la finalidad perseguida con el requisito establecido en el art. 43.1 de la LOTC, lo que, si en el plano de la tutela judicial ordinaria, por razones de orden público procesal, ha llevado consigo el cierre de la vía contencioso-administrativa prevista en la Ley 62/1978, de 26 de diciembre, de protección jurisdiccional de los derechos fundamentales de la persona, en sede constitucional se traduce en la imposibilidad de admitir a trámite el recurso de amparo, ya que, de otro modo, al convertirse el Tribunal Constitucional en una primera instancia, perdería el recurso de amparo su carácter subsidiario.</w:t>
      </w:r>
    </w:p>
    <w:p w:rsidR="00256EE9" w:rsidRDefault="00256EE9" w:rsidP="00256EE9">
      <w:pPr>
        <w:pStyle w:val="TextoNormal"/>
      </w:pPr>
    </w:p>
    <w:p w:rsidR="00256EE9" w:rsidRDefault="00256EE9" w:rsidP="00256EE9">
      <w:pPr>
        <w:pStyle w:val="TextoNormal"/>
      </w:pPr>
      <w:r w:rsidRPr="00256EE9">
        <w:rPr>
          <w:rStyle w:val="NumeroAFNegritaCaracter"/>
        </w:rPr>
        <w:t>3</w:t>
      </w:r>
      <w:r>
        <w:t>. A todo lo anterior hay que añadir que las Sentencias de la Audiencia Territorial de Granada y del Tribunal Supremo son resoluciones jurídicamente fundadas en las que se pone de manifiesto al recurrente que los plazos de interposición fijados en la Ley 62/1978, notablemente más breves que los establecidos para igual trámite en la Ley de la Jurisdicción Contencioso-Administrativa, dada la naturaleza sumaria y urgente de la tramitación que en aquella Ley se prevé, no se han cumplido tanto si se contabilizan desde la fecha en que se notificó el acuerdo impugnado como si se admitiera que el requerimiento notarial realizado el 30 de mayo de 1983 contenía una petición del Colegio de Arquitectos, contra cuya denegación presunta se hubiera acudido a la vía contencioso-administrativa.</w:t>
      </w:r>
    </w:p>
    <w:p w:rsidR="00256EE9" w:rsidRDefault="00256EE9" w:rsidP="00256EE9">
      <w:pPr>
        <w:pStyle w:val="TextoNormal"/>
      </w:pPr>
      <w:r>
        <w:t>El recurrente aduce, en su escrito de alegaciones, que el recurso debe ser admitido porque la primera cuestión de fondo a dilucidar es precisamente si siendo, a su juicio, el acuerdo impugnado del Colegio de Arquitectos un acto nulo de pleno derecho, está sujeto a plazo o término de algún género.</w:t>
      </w:r>
    </w:p>
    <w:p w:rsidR="00256EE9" w:rsidRDefault="00256EE9" w:rsidP="00256EE9">
      <w:pPr>
        <w:pStyle w:val="TextoNormal"/>
      </w:pPr>
      <w:r>
        <w:lastRenderedPageBreak/>
        <w:t>Es evidente que esta alegación del recurrente supone un juicio de estricta legalidad, vedado a este Tribunal Constitucional por el art. 41.3 de su propia Ley Orgánica.</w:t>
      </w:r>
    </w:p>
    <w:p w:rsidR="00256EE9" w:rsidRDefault="00256EE9" w:rsidP="00256EE9">
      <w:pPr>
        <w:pStyle w:val="TextoNormal"/>
      </w:pPr>
    </w:p>
    <w:p w:rsidR="00256EE9" w:rsidRDefault="00256EE9" w:rsidP="00256EE9">
      <w:pPr>
        <w:pStyle w:val="TextoNormal"/>
      </w:pPr>
      <w:r w:rsidRPr="00256EE9">
        <w:rPr>
          <w:rStyle w:val="NumeroAFNegritaCaracter"/>
        </w:rPr>
        <w:t>4</w:t>
      </w:r>
      <w:r>
        <w:t>. De acuerdo con las consideraciones anteriores, es preciso concluir que no cabe pronunciamiento alguno de este Tribunal sobre el acto concreto impugnado en la demanda de amparo, por incurrir ésta en el motivo de inadmisión previsto en el art. 50.1 b) en relación con el 43.1, ambos de la LOTC, y, en consecuencia, tampoco procede pronunciamiento alguno sobre la suspensión solicitada.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ello, la Sección acuerda la inadmisión del recurso de amparo interpuesto por el Procurador de los Tribunales don Ramiro Reynolds de Miguel, en nombre y representación de don Rafael Morales Macías, y el archivo de las actuaciones.</w:t>
      </w:r>
    </w:p>
    <w:p w:rsidR="00256EE9" w:rsidRDefault="00256EE9" w:rsidP="00256EE9">
      <w:pPr>
        <w:pStyle w:val="TextoNormal"/>
      </w:pPr>
    </w:p>
    <w:p w:rsidR="00256EE9" w:rsidRDefault="00256EE9" w:rsidP="00256EE9">
      <w:pPr>
        <w:pStyle w:val="TextoNormal"/>
      </w:pPr>
      <w:r>
        <w:t>Madrid, a veintitrés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1" w:name="AUTO_1985_50"/>
      <w:r>
        <w:lastRenderedPageBreak/>
        <w:t>AUTO 50/1985, de 24 de enero de 1985</w:t>
      </w:r>
    </w:p>
    <w:bookmarkEnd w:id="111"/>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ECLI:ES:TC:1985:50A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308/1984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En 27 de abril de 1984, el Procurador don Santos Gandarillas Carmona, en representación de la Caja de Ahorros y Monte de Piedad de Cáceres, formula recurso de amparo contra la Sentencia de la Sala Primera del Tribunal Supremo de 16 de marzo de 1984, contra el Auto dictado por la Sala de lo Civil de la Audiencia Territorial de Cáceres de 25 de septiembre de 1981, y el del Juzgado de Primera Instancia núm. 2 de Cáceres, de 11 de marzo de 1981, en procedimiento judicial sumario núm. 26/1979, confirmados por la referida Sentencia del Tribunal Supremo. En la demanda se suplica la declaración de nulidad de las resoluciones impugnadas, con reposición de las actuaciones y continuación de los trámites del procedimiento judicial sumario: y, en segundo término, el reconocimiento de la vigencia y existencia del derecho real de hipoteca del que es titular la Caja de Ahorros y Monte de </w:t>
      </w:r>
    </w:p>
    <w:p w:rsidR="00256EE9" w:rsidRDefault="00256EE9" w:rsidP="00256EE9">
      <w:pPr>
        <w:pStyle w:val="TextoNormal"/>
      </w:pPr>
      <w:r>
        <w:t>Piedad de Cáceres, sobre la finca sita en dicha población, antes propiedad del Movimiento Nacional y hoy del Estado, denominada «Quinta de San Francisco».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en que se fundamenta la demanda son, sustancialmente, los siguientes: </w:t>
      </w:r>
    </w:p>
    <w:p w:rsidR="00256EE9" w:rsidRDefault="00256EE9" w:rsidP="00256EE9">
      <w:pPr>
        <w:pStyle w:val="TextoNormal"/>
      </w:pPr>
      <w:r>
        <w:t xml:space="preserve">a) Con fecha 20 de abril de 1976, el Movimiento Nacional constituyó hipoteca a favor de la Caja de Ahorros y Monte de Piedad de Cáceres sobre una finca urbana propiedad de aquél denominada «Quinta de San Francisco». </w:t>
      </w:r>
    </w:p>
    <w:p w:rsidR="00256EE9" w:rsidRDefault="00256EE9" w:rsidP="00256EE9">
      <w:pPr>
        <w:pStyle w:val="TextoNormal"/>
      </w:pPr>
      <w:r>
        <w:t xml:space="preserve">b) Impagados el crédito e intereses devengados, la Caja de Ahorros formalizó demanda del art. 131 de la Ley Hipotecaria en 16 de enero de 1979. </w:t>
      </w:r>
    </w:p>
    <w:p w:rsidR="00256EE9" w:rsidRDefault="00256EE9" w:rsidP="00256EE9">
      <w:pPr>
        <w:pStyle w:val="TextoNormal"/>
      </w:pPr>
      <w:r>
        <w:t xml:space="preserve">El Juzgado de Primera Instancia de Cáceres declaró no haber lugar a admitirla por haberse extinguido el Movimiento Nacional; interpuesto recurso de apelación, la Audiencia Territorial, por Auto de 3 de mayo de 1980, revocó el del Juzgado. </w:t>
      </w:r>
    </w:p>
    <w:p w:rsidR="00256EE9" w:rsidRDefault="00256EE9" w:rsidP="00256EE9">
      <w:pPr>
        <w:pStyle w:val="TextoNormal"/>
      </w:pPr>
      <w:r>
        <w:t xml:space="preserve">c) Devueltos los autos al Juzgado, éste requiere al Estado, y dicta providencia de 3 de junio de 1980 por la que tiene por personado al Abogado del Estado y, conforme a lo solicitado por el mismo, acuerda la suspensión del procedimiento, para consulta. Apelada dicha resolución, la Audiencia la revocó por Auto de 3 de febrero de 1981, por entender que se trata de una «acción directamente ejercitada contra la finca hipotecada». </w:t>
      </w:r>
    </w:p>
    <w:p w:rsidR="00256EE9" w:rsidRDefault="00256EE9" w:rsidP="00256EE9">
      <w:pPr>
        <w:pStyle w:val="TextoNormal"/>
      </w:pPr>
      <w:r>
        <w:t xml:space="preserve">d) Devueltos los autos al Juzgado, éste, por propia iniciativa y sin petición de parte, dicta Auto de 11 de marzo de 1981 -aquí impugnado-, cuya parte dispositiva declara terminado el procedimiento por falta de jurisdicción del Juzgado para continuarlo, debiendo </w:t>
      </w:r>
      <w:r>
        <w:lastRenderedPageBreak/>
        <w:t xml:space="preserve">acudir la parte al procedimiento adecuado y al órgano competente para su sustanciación. La tesis del Juzgado fue la misma que en las resoluciones anteriores, o sea que se trataba de un procedimiento contencioso, que el demandado era el Estado al haber asumido las obligaciones del Movimiento Nacional, y que contra el mismo y su patrimonio no se puede despachar mandamiento de ejecución según la Ley General Tributaria, careciendo la justicia ordinaria de competencia para el procedimiento de apremio. </w:t>
      </w:r>
    </w:p>
    <w:p w:rsidR="00256EE9" w:rsidRDefault="00256EE9" w:rsidP="00256EE9">
      <w:pPr>
        <w:pStyle w:val="TextoNormal"/>
      </w:pPr>
      <w:r>
        <w:t xml:space="preserve">e) Recurrido el Auto en apelación, la Audiencia de Cáceres, contradiciéndose de la reiterada doctrina mantenida en sus Autos de 3 de mayo de 1980 y 3 de febrero de 1981, declaró en Auto de 25 de septiembre de 1981, objeto del presente recurso, que al haber devenido la finca propiedad del Estado «se advierte la imposibilidad de despachar ejecución» contra el mismo, por lo que confirma la resolución del Juzgado. </w:t>
      </w:r>
    </w:p>
    <w:p w:rsidR="00256EE9" w:rsidRDefault="00256EE9" w:rsidP="00256EE9">
      <w:pPr>
        <w:pStyle w:val="TextoNormal"/>
      </w:pPr>
      <w:r>
        <w:t xml:space="preserve">f) Formalizado recurso de casación contra el Auto de la Audiencia de 25 de septiembre de 1981, la Sala de lo Civil del Tribunal Supremo declaró no haber lugar al mismo por Sentencia de 16 de marzo de 1984, también recurrida en amparo. En dicha Sentencia se razona que al pasar la finca a la Hacienda Pública se inserta en su especial régimen de dominio con todas sus particularidades normativas, como son las de inembargabilidad y ejecución forzosa, lo que impide conceptuarlas susceptibles de gravámenes hipotecarios o de embargos y apremios, siendo legalmente imposible toda acción hipotecaria de extracción de valor sobre los bienes demaniales o patrimoniales. </w:t>
      </w:r>
    </w:p>
    <w:p w:rsidR="00256EE9" w:rsidRDefault="00256EE9" w:rsidP="00256EE9">
      <w:pPr>
        <w:pStyle w:val="TextoNormal"/>
      </w:pPr>
      <w:r>
        <w:t>En la demanda se indica que tanto al adquirir el Estado los bienes del Movimiento Nacional en virtud de Real Decreto-ley de 1 de abril de 1977 (art. 6), como en la fecha que inscribió su dominio en el Registro de la Propiedad, el 18 de noviembre de 1978, constaba en el mismo la inscripción del derecho real de hipoteca, por lo que el Estado se subrrogó en el gravamen. Este derecho, a juicio de la actora, según la mencionada Sentencia, queda prácticamente extinguido sin indemnización de ninguna especie a su titular.</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cuanto a los fundamentos jurídicos, la recurrente alega que se le ha producido indefensión derivada del hecho de que el Juez, que según la regla primera del art. 131 de la Ley Hipotecaria es competente para conocer de una demanda de ejercicio de la acción hipotecaria sobre una finca, se declare incompetente por propia iniciativa, aduciendo falta de jurisdicción, ordenando el archivo de las actuaciones y remitiendo a la parte «al procedimiento adecuado y al órgano competente para su sustanciación», sin especificar cuáles son el órgano competente ni el procedimiento adecuado, aunque de su argumentación se infiera que ha de acudirse a la vía administrativa. </w:t>
      </w:r>
    </w:p>
    <w:p w:rsidR="00256EE9" w:rsidRDefault="00256EE9" w:rsidP="00256EE9">
      <w:pPr>
        <w:pStyle w:val="TextoNormal"/>
      </w:pPr>
      <w:r>
        <w:t xml:space="preserve">La Sentencia del Tribunal Supremo, objeto del presente recurso, afirma que no hay defecto en el ejercicio de la jurisdicción, pues el Juez se atuvo a las disposiciones legales. Con esta doctrina, prosigue la demanda, no solamente se ha producido una extinción anómala del derecho de hipoteca, sino que se ha ocasionado una verdadera denegación de justicia con la consiguiente indefensión. </w:t>
      </w:r>
    </w:p>
    <w:p w:rsidR="00256EE9" w:rsidRDefault="00256EE9" w:rsidP="00256EE9">
      <w:pPr>
        <w:pStyle w:val="TextoNormal"/>
      </w:pPr>
      <w:r>
        <w:t xml:space="preserve">Después de referirse a los arts. 117.3 y 24.1 de la Constitución, así como el 24.2 en cuanto al derecho al Juez ordinario predeterminado por la Ley y a la interpretación de tales preceptos, los aplica a los antecedentes expuestos para concluir que se ha producido la indefensión del actor, con vulneración del art. 24.1 de la Constitución, porque es indudable que para el ejercicio de la acción hipotecaria no hay órgano competente dentro de la Administración del Estado ni puede seguirse otro procedimiento que el del art. 131 de la Ley Hipotecaria o, en su caso, el ejecutivo ordinario con arreglo a las normas de la Ley de Enjuiciamiento Civil, pero en ambos supuestos ante el Juzgado de Primera Instancia de Cáceres. </w:t>
      </w:r>
    </w:p>
    <w:p w:rsidR="00256EE9" w:rsidRDefault="00256EE9" w:rsidP="00256EE9">
      <w:pPr>
        <w:pStyle w:val="TextoNormal"/>
      </w:pPr>
      <w:r>
        <w:lastRenderedPageBreak/>
        <w:t>Desde otro punto de vista, el actor alega también la violación del art. 24.1 de la Constitución, por la indefensión que representa la extinción del derecho de hipoteca, que es consecuencia implícita de la Sentencia, al exponer que la integración de los bienes del Movimiento en la Hacienda Pública lo es con las particularidades de la inembargabilidad y ejecución forzosa, lo que «impide conceptuarlos susceptibles de gravámenes hipotecarios o de embargos y apremios» añadiendo después que se presupone «la imposibilidad legal, categóricamente formulada, de toda acción hipotecaria de extracción de valor sobre los bienes demaniales o patrimoniales». Tales afirmaciones prosigue la demanda, rotundamente expuestas, carecen de la más mínima base jurídica, lo que se razona seguidamente en la propia demanda con arreglo a la legalidad ordinaria.</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30 de mayo de 1984, la Sección acordó conceder un plazo común de diez días al Ministerio Fiscal y a la solicitante del amparo, para que pudieran alegar lo que estimasen conveniente en relación con el siguiente motivo de inadmisión: carecer la demanda manifiestamente de contenido que justifique una decisión por parte del Tribunal [art. 50.2 b)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5</w:t>
      </w:r>
      <w:r>
        <w:t>. En 13 de junio de 1984, la parte actora presenta escrito de alegaciones en el que reitera básicamente las que ya formuló en su escrito inicial de solicitud del amparo.</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En 13 de junio de 1984, el Ministerio Fiscal formula asimismo escrito de alegaciones el que -tras sugerir se traigan al proceso los Autos o resoluciones anteriores a la Sentencia- interesa la inadmisión del recurso de amparo por entender que concurre la causa de inadmisión indicada en la providencia. En este sentido, el Ministerio Fiscal pone de manifiesto: </w:t>
      </w:r>
    </w:p>
    <w:p w:rsidR="00256EE9" w:rsidRDefault="00256EE9" w:rsidP="00256EE9">
      <w:pPr>
        <w:pStyle w:val="TextoNormal"/>
      </w:pPr>
      <w:r>
        <w:t xml:space="preserve">a) Que los Tribunales no han cerrado el acceso a la vía judicial, sino que simplemente han declarado no ser competentes para conocer de la materia aquellos a los que ha acudido la parte. Cierto que por razón de la materia y del sujeto contra el que hipotéticamente se habrá de dirigir la acción, es posible sea necesario acudir ante todo a vías administrativas, pero, en definitiva, en base a lo establecido en el art. 106.1 de la Constitución, en última instancia se volvería al orden judicial competente para ello. </w:t>
      </w:r>
    </w:p>
    <w:p w:rsidR="00256EE9" w:rsidRDefault="00256EE9" w:rsidP="00256EE9">
      <w:pPr>
        <w:pStyle w:val="TextoNormal"/>
      </w:pPr>
      <w:r>
        <w:t>b) Del examen de las actuaciones no parece desprenderse que el proceso civil de que trae causa la resolución que ahora se impugna en amparo exista otra cuestión que un problema de mera legalidad, sin lesión alguna del derecho fundamental invocado.</w:t>
      </w:r>
    </w:p>
    <w:p w:rsidR="00256EE9" w:rsidRDefault="00256EE9" w:rsidP="00256EE9">
      <w:pPr>
        <w:pStyle w:val="TextoNormal"/>
      </w:pPr>
    </w:p>
    <w:p w:rsidR="00256EE9" w:rsidRDefault="00256EE9" w:rsidP="00256EE9">
      <w:pPr>
        <w:pStyle w:val="TextoNormal"/>
      </w:pPr>
      <w:r w:rsidRPr="00256EE9">
        <w:rPr>
          <w:rStyle w:val="NumeroAFNegritaCaracter"/>
        </w:rPr>
        <w:t>7</w:t>
      </w:r>
      <w:r>
        <w:t>. Por providencia de 3 de octubre de 1981, la Sección acordó otorgar un plazo de diez días a la actora para que subsanara el defecto consistente en no haber aportado copia de los Autos impugnados de 11 de marzo y 25 de septiembre de 1981; y asimismo, otorgar un plazo de diez días al recurrente y al Ministerio Fiscal para que pudieran alegar lo que estimasen pertinente en orden a la posible existencia de la causa de inadmisión insubsanable consistente en ser la demanda defectuosa por no haberse invocado formalmente en el proceso el derecho constitucional vulnerado tan pronto como, una vez conocida la violación, hubiera lugar para ello [arts. 50.1 b) en conexión con el 44.1 c) de la LOTC].</w:t>
      </w:r>
    </w:p>
    <w:p w:rsidR="00256EE9" w:rsidRDefault="00256EE9" w:rsidP="00256EE9">
      <w:pPr>
        <w:pStyle w:val="TextoNormal"/>
      </w:pPr>
    </w:p>
    <w:p w:rsidR="00256EE9" w:rsidRDefault="00256EE9" w:rsidP="00256EE9">
      <w:pPr>
        <w:pStyle w:val="TextoNormal"/>
      </w:pPr>
      <w:r w:rsidRPr="00256EE9">
        <w:rPr>
          <w:rStyle w:val="NumeroAFNegritaCaracter"/>
        </w:rPr>
        <w:t>8</w:t>
      </w:r>
      <w:r>
        <w:t>. El Ministerio Fiscal entiende que existe la mencionada causa de inadmisión; no basta alegar que se ha realizado la invocación sino que es necesario justificarla, y en la Sentencia impugnada no se hace referencia a dicha invocación.</w:t>
      </w:r>
    </w:p>
    <w:p w:rsidR="00256EE9" w:rsidRDefault="00256EE9" w:rsidP="00256EE9">
      <w:pPr>
        <w:pStyle w:val="TextoNormal"/>
      </w:pPr>
    </w:p>
    <w:p w:rsidR="00256EE9" w:rsidRDefault="00256EE9" w:rsidP="00256EE9">
      <w:pPr>
        <w:pStyle w:val="TextoNormal"/>
      </w:pPr>
      <w:r w:rsidRPr="00256EE9">
        <w:rPr>
          <w:rStyle w:val="NumeroAFNegritaCaracter"/>
        </w:rPr>
        <w:t>9</w:t>
      </w:r>
      <w:r>
        <w:t>. La representación de la actora entiende que no existe la causa de inadmisión mencionada. En el escrito de alegaciones se indica que una vez conocida la violación del art. 117.3 de la Constitución, al confirmar la Audiencia Territorial de Cáceres en su Auto de 25 de septiembre de 1981 la falta de jurisdicción alegada por el Juzgado, el actor interpuso recurso de casación civil, en cuyo motivo IV se dice textualmente que el Auto conculca el mandato, contenido en el art. 117.3 de la Constitución, de sentenciar y decidir los asuntos sometidos al conocimiento de los Tribunales de Justicia en materia de su competencia; e implica, sin duda, una dejación en el ejercicio de la jurisdicción, al decretar la terminación del proceso y su archivo, en lugar de haber continuado en el conocimiento y sustanciación del mismo. De otra parte, se afirma que el Letrado que suscribe el escrito, al defender el recurso de casación interpuesto, alegó en el acto de la vista ante la Sala que se pro duciría una clarísima indefensión con violación del art. 24.1 de la Constitución. Alegación que por inadvertencia de la Sala no fue recogida en la Sentencia ni en la diligencia de vista, pese a ser expuesta tal como se ha dicho.</w:t>
      </w:r>
    </w:p>
    <w:p w:rsidR="00256EE9" w:rsidRDefault="00256EE9" w:rsidP="00256EE9">
      <w:pPr>
        <w:pStyle w:val="TextoNormal"/>
      </w:pPr>
    </w:p>
    <w:p w:rsidR="00256EE9" w:rsidRDefault="00256EE9" w:rsidP="00256EE9">
      <w:pPr>
        <w:pStyle w:val="TextoNormal"/>
      </w:pPr>
      <w:r w:rsidRPr="00256EE9">
        <w:rPr>
          <w:rStyle w:val="NumeroAFNegritaCaracter"/>
        </w:rPr>
        <w:t>10</w:t>
      </w:r>
      <w:r>
        <w:t>. Por escrito presentado en 2 de noviembre de 1984, la parte actora acompaña los Autos de 11 de marzo y 25 de septiembre de 1981.</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existen las dos causas de inadmisión puestas de manifiesto en las providencias de 30 de mayo y 3 de octubre de 1981 (antecedentes 4 y 7).</w:t>
      </w:r>
    </w:p>
    <w:p w:rsidR="00256EE9" w:rsidRDefault="00256EE9" w:rsidP="00256EE9">
      <w:pPr>
        <w:pStyle w:val="TextoNormal"/>
      </w:pPr>
    </w:p>
    <w:p w:rsidR="00256EE9" w:rsidRDefault="00256EE9" w:rsidP="00256EE9">
      <w:pPr>
        <w:pStyle w:val="TextoNormal"/>
      </w:pPr>
      <w:r w:rsidRPr="00256EE9">
        <w:rPr>
          <w:rStyle w:val="NumeroAFNegritaCaracter"/>
        </w:rPr>
        <w:t>2</w:t>
      </w:r>
      <w:r>
        <w:t>. En la providencia de 3 de octubre de 1981, la Sección indicó la posible existencia de la causa de inadmisión consistente en ser la demanda defectuosa por no haber invocado en el proceso el derecho fundamental vulnerado tan pronto como, una vez conocida la violación, hubiere lugar para ello [art. 50.1 b) en conexión con el 44.1 c) de la LOTC]. El cumplimiento de este requisito no tiene un alcance meramente formal, como ha señalado el Tribunal en muy reiteradas ocasiones, pues su finalidad y razón de ser consiste en hacer posible el reconocimiento y restablecimiento del derecho en sede jurisdiccional ordinaria, al haberse configurado constitucionalmente el recurso de amparo como un medio último y subsidiario de garantía, incumbiendo al recurrente -cuando lo ha alegado en una vista pública- reclamar la constancia de tal invocación en la diligencia o acta correspondiente.</w:t>
      </w:r>
    </w:p>
    <w:p w:rsidR="00256EE9" w:rsidRDefault="00256EE9" w:rsidP="00256EE9">
      <w:pPr>
        <w:pStyle w:val="TextoNormal"/>
      </w:pPr>
      <w:r>
        <w:t>Pues bien, en el presente caso no cabe duda de que sí existe la causa de inadmisión alegada.  En primer lugar, porque la lesión del derecho fundamental -caso de haberse producido- lo habría sido por el Auto impugnado de 11 de marzo de 1981, y el actor ni tan siquiera alega que haya invocado el derecho fundamental vulnerado en el recurso de apelación -como hubiera sido procedente-, ni aun en el escrito de formalización del recurso de casación, en el que se refirió al art.  117.3, que trata de la función jurisdiccional y no de derechos fundamentales; se limita a afirmar, sin que conste en la correspondiente diligencia, que la invocación la efectuó en el acto de la vista en el recurso de casación.</w:t>
      </w:r>
    </w:p>
    <w:p w:rsidR="00256EE9" w:rsidRDefault="00256EE9" w:rsidP="00256EE9">
      <w:pPr>
        <w:pStyle w:val="TextoNormal"/>
      </w:pPr>
      <w:r>
        <w:t xml:space="preserve">En conclusión, es claro que sí existe el motivo de inadmisión indicado, tanto porque se incumplió el requisito de invocación en la apelación, como por no haberlo hecho en el escrito de formalización del recurso de casación; por último, tampoco puede acreditarse </w:t>
      </w:r>
      <w:r>
        <w:lastRenderedPageBreak/>
        <w:t>por el actor que la invocación se produjera en el acto de la vista, ni el recurrente afirma tan siquiera que reclamara la constancia de la invocación en la correspondiente acta o diligencia, ni por último, se efectúa referencia alguna en la Sentencia a la pretendida invocación.</w:t>
      </w:r>
    </w:p>
    <w:p w:rsidR="00256EE9" w:rsidRDefault="00256EE9" w:rsidP="00256EE9">
      <w:pPr>
        <w:pStyle w:val="TextoNormal"/>
      </w:pPr>
    </w:p>
    <w:p w:rsidR="00256EE9" w:rsidRDefault="00256EE9" w:rsidP="00256EE9">
      <w:pPr>
        <w:pStyle w:val="TextoNormal"/>
      </w:pPr>
      <w:r w:rsidRPr="00256EE9">
        <w:rPr>
          <w:rStyle w:val="NumeroAFNegritaCaracter"/>
        </w:rPr>
        <w:t>3</w:t>
      </w:r>
      <w:r>
        <w:t>. La segunda causa de inadmisión que debemos considerar es la prevista en el art. 50.2 b) de la LOTC, es decir, si la demanda carece o no manifiestamente de contenido que justifique una decisión por parte del Tribunal en forma de Sentencia, con el desarrollo procesal consiguiente.  A cuyo efecto hemos de examinar la vulneración del art. 24.1 de la Constitución alegada por el actor.</w:t>
      </w:r>
    </w:p>
    <w:p w:rsidR="00256EE9" w:rsidRDefault="00256EE9" w:rsidP="00256EE9">
      <w:pPr>
        <w:pStyle w:val="TextoNormal"/>
      </w:pPr>
      <w:r>
        <w:t>El art. 24.1 de la Constitución, que establece el derecho a la tutela judicial efectiva, ha sido interpretado en muy reiteradas ocasiones por el Tribunal en el sentido de que tal derecho fundamental comprende el de obtener una resolución fundada en Derecho, sea o no favorable a las pretensiones del actor.</w:t>
      </w:r>
    </w:p>
    <w:p w:rsidR="00256EE9" w:rsidRDefault="00256EE9" w:rsidP="00256EE9">
      <w:pPr>
        <w:pStyle w:val="TextoNormal"/>
      </w:pPr>
      <w:r>
        <w:t>El Tribunal ha afirmado también, en reiteradas ocasiones, que el contenido normal del derecho consiste en obtener una resolución de fondo, pero que se satisface también cuando la resolución no es de fondo, siempre que se fundamente en una causa legal; la apreciación de la legalidad queda confiada a los Jueces y Tribunales, y el Tribunal sólo entra a conocer de la misma cuando la resolución incida en el ámbito de los derechos fundamentales, para lo cual la resolución impugnada ha de ser arbitraria, o irrazonable, o irrazonada, o no interpretar la legalidad de conformidad con la Constitución y en el sentido más favorable para la efectividad del derecho fundamental.</w:t>
      </w:r>
    </w:p>
    <w:p w:rsidR="00256EE9" w:rsidRDefault="00256EE9" w:rsidP="00256EE9">
      <w:pPr>
        <w:pStyle w:val="TextoNormal"/>
      </w:pPr>
      <w:r>
        <w:t>Pues bien, en el presente caso la cuestión planteada, que es la del régimen jurídico aplicable a un bien hipotecado que pasa a ser propiedad del Estado, en los términos expuestos en los antecedentes, es un problema de mera legalidad que ha sido resuelto por los Jueces y Tribunales -en cuanto a la aplicabilidad o no del procedimiento del art.  131 de la Ley Hipotecaria que ha sido lo debatido- mediante resoluciones fundadas en Derecho. Tales resoluciones no suponen -como acertadamente señala el Ministerio Fiscal-, sino que el procedimiento a seguir tendrá que ser otro, pero ello, en sí mismo, es un tema de legalidad, como lo es el de si las resoluciones impugnadas han interpretado adecuadamente la legalidad aplicable, y el relativo a la vigencia y existencia del derecho real de hipoteca.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veinticuatro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2" w:name="AUTO_1985_51"/>
      <w:r>
        <w:lastRenderedPageBreak/>
        <w:t>AUTO 51/1985, de 24 de enero de 1985</w:t>
      </w:r>
    </w:p>
    <w:bookmarkEnd w:id="112"/>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ECLI:ES:TC:1985:51A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453/1984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20 de junio de 1984, el Procurador don José Luis Pinto Marabotto, en representación de don Fernando Vicente Pacheco Martínez, formula recurso de amparo contra la Sentencia dictada en la causa 12/1983, de 16 de febrero de 1984, por el Consejo de Guerra Ordinario de Aviación en la Escuela Militar de Paracaidismo «Méndez Parada» de Alcantarilla (Murcia), confirmada por la Sentencia de 11 de abril de 1984 dictada por el Capitán General de la Segunda Región Aérea de Sevilla, con la súplica de que se declare la nulidad de ambas Sentencias.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antecedentes que fundamentan la demanda son, sustancialmente, los siguientes: </w:t>
      </w:r>
    </w:p>
    <w:p w:rsidR="00256EE9" w:rsidRDefault="00256EE9" w:rsidP="00256EE9">
      <w:pPr>
        <w:pStyle w:val="TextoNormal"/>
      </w:pPr>
      <w:r>
        <w:t xml:space="preserve">a) El 16 de febrero de 1983, don Fernando Vicente Pacheco Martínez, que se encontraba entonces prestando su servicio militar, como soldado, en el Escuadrón de Paracaidistas de la Escuela Militar de Paracaidismo «Méndez Parada» de Alcantarilla (Murcia), con motivo de la desaparición de dos paracaídas, fue arrestado por el Coronel Jefe, en virtud del art. 44.3 del Código de Justicia Militar (CJM), que considera falta leve «enajenar o distraer prendas o efectos de equipo cuyo valor no exceda de 1.500 pesetas», para cumplir un correctivo de dos meses en los calabozos de la Unidad, sanción que comenzó a cumplir con esa misma fecha. </w:t>
      </w:r>
    </w:p>
    <w:p w:rsidR="00256EE9" w:rsidRDefault="00256EE9" w:rsidP="00256EE9">
      <w:pPr>
        <w:pStyle w:val="TextoNormal"/>
      </w:pPr>
      <w:r>
        <w:t xml:space="preserve">b) Mientras permanecía arrestado, se concedieron dos indultos por los que fueron puestos en libertad todos los presos y arrestados no sujetos a procedimiento, a excepción del recurrente quien, una vez cumplida la totalidad del arresto impuesto, continuó privado de libertad durante doce días, sin que se le notificase resolución alguna, hasta que en 26 de abril de 1983 se dictó Auto de procesamiento por el que se decretó su prisión preventiva. </w:t>
      </w:r>
    </w:p>
    <w:p w:rsidR="00256EE9" w:rsidRDefault="00256EE9" w:rsidP="00256EE9">
      <w:pPr>
        <w:pStyle w:val="TextoNormal"/>
      </w:pPr>
      <w:r>
        <w:t xml:space="preserve">c) Antes y después de producirse el arresto asegura el demandante que prestó declaraciones, que le fueron requeridas, ante sus Superiores y el Juzgado Militar, negándosele una vez tras otra sus peticiones de estar asistido por Abogado. Asimismo fue registrado el domicilio particular del recurrente, con resultado negativo, sin que conste su consentimiento ni la existencia de mandato judicial para efectuarlo. </w:t>
      </w:r>
    </w:p>
    <w:p w:rsidR="00256EE9" w:rsidRDefault="00256EE9" w:rsidP="00256EE9">
      <w:pPr>
        <w:pStyle w:val="TextoNormal"/>
      </w:pPr>
      <w:r>
        <w:t>d) El 16 de febrero del presente año, se dictó Sentencia en Consejo de Guerra, por la que condena al recurrente, como autor de un delito consumado de fraude previsto en el art. 403.4 del CJM, a la pena de nueve meses de prisión y accesorias y con el efecto de pérdi</w:t>
      </w:r>
      <w:r>
        <w:lastRenderedPageBreak/>
        <w:t xml:space="preserve">da para el servicio y antigüedad de un período de tiempo igual al de la misma, que señala el art. 229 del citado cuerpo legal. </w:t>
      </w:r>
    </w:p>
    <w:p w:rsidR="00256EE9" w:rsidRDefault="00256EE9" w:rsidP="00256EE9">
      <w:pPr>
        <w:pStyle w:val="TextoNormal"/>
      </w:pPr>
      <w:r>
        <w:t>e) El actor interpuso contra dicha resolución el recurso establecido en el art. 797 del CJM, a fin de que el Capitán General, disintiendo de la Sentencia, acuerde la remisión de los autos al Consejo Supremo de Justicia Militar para su revocación. Sin embargo, el 11 de abril de 1984 el Capitán General desestima el recurso interpuesto y confirma por sus propios fundamentos la Sentencia recurrida.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recurrente alega como vulnerados los arts. 14, 17.2, 17.3, 18.2 y 24.2 de la Constitución Española, por las razones siguientes: </w:t>
      </w:r>
    </w:p>
    <w:p w:rsidR="00256EE9" w:rsidRDefault="00256EE9" w:rsidP="00256EE9">
      <w:pPr>
        <w:pStyle w:val="TextoNormal"/>
      </w:pPr>
      <w:r>
        <w:t xml:space="preserve">a) El art. 14 se estima violado por entender que al demandante, al que se le había impuesto un correctivo de dos meses por una falta leve, se le discrimina y se le hace objeto de trato desigual en dos ocasiones: una de ellas el 13 de marzo de 1983 y la otra el 31 -festividad de Jueves Santo-, en las que se concedieron sendos indultos con motivo de la Jura de Bandera y la festividad indicada, en la que fueron puestos en libertad, en el Centro Militar donde se encontraba, los detenidos y presos en los calabozos del mismo a excepción del actor. </w:t>
      </w:r>
    </w:p>
    <w:p w:rsidR="00256EE9" w:rsidRDefault="00256EE9" w:rsidP="00256EE9">
      <w:pPr>
        <w:pStyle w:val="TextoNormal"/>
      </w:pPr>
      <w:r>
        <w:t xml:space="preserve">b) La vulneración del art. 17.2 se produjo porque el actor permaneció privado de libertad, una vez cumplido el arresto y hasta la notificación del Auto de procesamiento, por un período de tiempo de doce días, ignorando cuál era su situación legal, la acusación que sobre él recaía, y la conducta y recursos a seguir en su defensa; habiendo transcurrido por tanto el plazo máximo de setenta y dos horas con absoluto silencio y pasividad procesal, sin ser puesto el recurrente en libertad ni a disposición de la Autoridad judicial, mediante la notificación de la resolución pertinente. </w:t>
      </w:r>
    </w:p>
    <w:p w:rsidR="00256EE9" w:rsidRDefault="00256EE9" w:rsidP="00256EE9">
      <w:pPr>
        <w:pStyle w:val="TextoNormal"/>
      </w:pPr>
      <w:r>
        <w:t xml:space="preserve">c) El derecho a la defensa y asistencia de Letrado, reconocido en los arts. 17.3 y 24.2 de la Constitución Española, ha sido conculcado porque, pese a los múltiples requerimientos efectuados por el solicitante del amparo, le fue negada la asistencia letrada sistemáticamente hasta el momento de recibirle declaración indagatoria, tras notificársele el Auto de procesamiento el día 3 de mayo de 1983. </w:t>
      </w:r>
    </w:p>
    <w:p w:rsidR="00256EE9" w:rsidRDefault="00256EE9" w:rsidP="00256EE9">
      <w:pPr>
        <w:pStyle w:val="TextoNormal"/>
      </w:pPr>
      <w:r>
        <w:t>d) El art. 18.2 -inviolabilidad del domicilio- ha sido infringido porque, sin mandato ni resolución judicial de clase alguna, consta en las actuaciones la entrada y registro efectuado en el domicilio particular del actor con resultado negativo.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26 de julio de 1984, la Sección acordó reclamar las actuaciones antes de decidir sobre la admisión. Y, una vez recibidas, por providencia de 3 de octubre de 1983 acordó otorgar un plazo de diez días al solicitante del amparo y al Ministerio Fiscal a fin de que pudieran presentar las alegaciones que estimaran pertinentes en orden a la posible existencia de los siguientes motivos de inadmisión: </w:t>
      </w:r>
    </w:p>
    <w:p w:rsidR="00256EE9" w:rsidRDefault="00256EE9" w:rsidP="00256EE9">
      <w:pPr>
        <w:pStyle w:val="TextoNormal"/>
      </w:pPr>
      <w:r>
        <w:t xml:space="preserve">a) Ser la demanda defectuosa, en orden a la eventual vulneración de los derechos a la igualdad, libertad e inviolabilidad de domicilio, al no concurrir el requisito de ser directa e inmediatamente imputables tales presuntas violaciones a las resoluciones recurridas [arts. 50.1 b) y 44.1 b) de la Ley Orgánica del Tribunal Constitucional -LOTC-]. </w:t>
      </w:r>
    </w:p>
    <w:p w:rsidR="00256EE9" w:rsidRDefault="00256EE9" w:rsidP="00256EE9">
      <w:pPr>
        <w:pStyle w:val="TextoNormal"/>
      </w:pPr>
      <w:r>
        <w:t>b) Carecer la demanda manifiestamente de contenido que justifique una decisión por parte del Tribunal, respecto a la violación aducida de los derechos de defensa y asistencia letrada [art. 50.2 b) de la LOTC].</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El Ministerio Fiscal entiende que procede declarar inadmisible el recurso, por concurrir las causas de inadmisión mencionadas. En especial, el Ministerio Fiscal hace constar que en lo que se refiere a la asistencia letrada fue resuelta -como se lee en el dictamen del Auditor- por Decreto auditoriado del Capitán General de 16 de junio de 1983, que no ha sido impugnado.</w:t>
      </w:r>
    </w:p>
    <w:p w:rsidR="00256EE9" w:rsidRDefault="00256EE9" w:rsidP="00256EE9">
      <w:pPr>
        <w:pStyle w:val="TextoNormal"/>
      </w:pPr>
    </w:p>
    <w:p w:rsidR="00256EE9" w:rsidRDefault="00256EE9" w:rsidP="00256EE9">
      <w:pPr>
        <w:pStyle w:val="TextoNormal"/>
      </w:pPr>
      <w:r w:rsidRPr="00256EE9">
        <w:rPr>
          <w:rStyle w:val="NumeroAFNegritaCaracter"/>
        </w:rPr>
        <w:t>6</w:t>
      </w:r>
      <w:r>
        <w:t>. La representación del actor, por su parte, entiende que no concurren dichas causas de inadmisión. En cuanto a la primera, afirma que los derechos fueron violados directamente por el órgano que dictó la resolución judicial, bien por acción o por omisión, ya que dicho órgano pudo «dejar de hacer» y pudo acordar la nulidad de lo actuado y retrotraer las actuaciones al momento anterior a la violación o violaciones denunciadas. Y, respecto a la posible falta manifiesta de contenido constitucional, estima que no existe tal causa de inadmisión, pues el órgano judicial que dicta la resolución recurrida olvida y omite, al dictar ésta, la circunstancia de la denegación reiterada de la defensa y asistencia de Letrado; es precisa e imperativa una mínima actividad probatoria producida con todas las garantías procesales que no se ha dado en este caso, siendo por ello por lo que la demanda de amparo no carece de contenido constitucional, sin que la parte plantee la cuestión de si el Juzgador ha valorado bien o mal las pruebas; lo que verdaderamente se plantea es la violación de los derechos del recurrente, con cuya violación se ha obtenido un resultado concreto en las pruebas practicadas, resultado que hubiera podido ser otro, o hubiera sido susceptible de distinta valoración, si no se hubieran dado las violaciones del derecho.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existen las causas de inadmisión puestas de manifiesto en nuestra anterior providencia de 26 de julio de 1984 (antecedente 4).</w:t>
      </w:r>
    </w:p>
    <w:p w:rsidR="00256EE9" w:rsidRDefault="00256EE9" w:rsidP="00256EE9">
      <w:pPr>
        <w:pStyle w:val="TextoNormal"/>
      </w:pPr>
    </w:p>
    <w:p w:rsidR="00256EE9" w:rsidRDefault="00256EE9" w:rsidP="00256EE9">
      <w:pPr>
        <w:pStyle w:val="TextoNormal"/>
      </w:pPr>
      <w:r w:rsidRPr="00256EE9">
        <w:rPr>
          <w:rStyle w:val="NumeroAFNegritaCaracter"/>
        </w:rPr>
        <w:t>2</w:t>
      </w:r>
      <w:r>
        <w:t>. La primera de ellas es la relativa a ser la demanda defectuosa por no ser directa e inmediatamente imputables a las resoluciones impugnadas la alegada vulneración de los derechos constitucionales a la igualdad, libertad personal e inviolabilidad del domicilio [art.  50.1 b) en conexión con el 44.1 b) de la LOTC].</w:t>
      </w:r>
    </w:p>
    <w:p w:rsidR="00256EE9" w:rsidRDefault="00256EE9" w:rsidP="00256EE9">
      <w:pPr>
        <w:pStyle w:val="TextoNormal"/>
      </w:pPr>
      <w:r>
        <w:t>a) En cuanto a la violación alegada del principio de igualdad es claro que sí existe la causa de inadmisión de que tratamos, dado que la discriminación -de haberse producido- ha de referirse al cumplimiento de la sanción de arresto de 16 de febrero de 1983, y nada tiene que ver con el proceso que finaliza con las resoluciones aquí impugnadas.</w:t>
      </w:r>
    </w:p>
    <w:p w:rsidR="00256EE9" w:rsidRDefault="00256EE9" w:rsidP="00256EE9">
      <w:pPr>
        <w:pStyle w:val="TextoNormal"/>
      </w:pPr>
      <w:r>
        <w:t>b) En cuanto a la vulneración del art. 17.2, es claro que no es imputable ni por acción ni por omisión a las resoluciones impugnadas.  La violación alegada, consistente en que la detención -una vez cumplido el arresto- durara más de lo previsto en el art.  17.2 de la Constitución Española, finalizó en el momento en que el actor fue puesto a disposición judicial (art.  17.4 de la Constitución Española), por lo que ni es imputable directa e inmediatamente a las resoluciones impugnadas, ni correspondía a las mismas el restablecimiento del derecho; por otra parte, como era obligado, se ha tenido en cuenta en la liquidación de condena la totalidad del tiempo de arresto gubernativo, incluidos los días de exceso (folio 174 de las actuaciones).</w:t>
      </w:r>
    </w:p>
    <w:p w:rsidR="00256EE9" w:rsidRDefault="00256EE9" w:rsidP="00256EE9">
      <w:pPr>
        <w:pStyle w:val="TextoNormal"/>
      </w:pPr>
      <w:r>
        <w:t xml:space="preserve">c) En cuanto a la vulneración del art. 18.2 -inviolabilidad del domicilio-, es claro que tampoco es imputable al órgano judicial que dictó la Sentencia (según resulta del folio 30 </w:t>
      </w:r>
      <w:r>
        <w:lastRenderedPageBreak/>
        <w:t>de las actuaciones), ni incide para nada sobre la validez de la misma, ya que el resultado del registro fue negativo y no aportó prueba alguna; todo ello, sin perjuicio de que el actor hubiera podido ejercitar las acciones pertinentes en defensa de su derecho fundamental.</w:t>
      </w:r>
    </w:p>
    <w:p w:rsidR="00256EE9" w:rsidRDefault="00256EE9" w:rsidP="00256EE9">
      <w:pPr>
        <w:pStyle w:val="TextoNormal"/>
      </w:pPr>
    </w:p>
    <w:p w:rsidR="00256EE9" w:rsidRDefault="00256EE9" w:rsidP="00256EE9">
      <w:pPr>
        <w:pStyle w:val="TextoNormal"/>
      </w:pPr>
      <w:r w:rsidRPr="00256EE9">
        <w:rPr>
          <w:rStyle w:val="NumeroAFNegritaCaracter"/>
        </w:rPr>
        <w:t>3</w:t>
      </w:r>
      <w:r>
        <w:t>. La segunda causa de inadmisión es la falta manifiesta de contenido en la demanda que justifique una decisión del Tribunal en forma de Sentencia [art.  50.2 b) de la LOTC], causa de inadmisión que se refiere a la vulneración alegada de los arts. 17.3 y 24.2 de la Constitución Española, en cuanto a la asistencia y defensa de Letrado.</w:t>
      </w:r>
    </w:p>
    <w:p w:rsidR="00256EE9" w:rsidRDefault="00256EE9" w:rsidP="00256EE9">
      <w:pPr>
        <w:pStyle w:val="TextoNormal"/>
      </w:pPr>
      <w:r>
        <w:t>Pues bien, en relación con este punto, el art.  17.3 establece que se garantiza la asistencia de Abogado al detenido en las diligencias policiales y sumariales de los términos que la Ley establezca, y el art. 24.2 señala que todos tienen derecho a la defensa y asistencia de Letrado.</w:t>
      </w:r>
    </w:p>
    <w:p w:rsidR="00256EE9" w:rsidRDefault="00256EE9" w:rsidP="00256EE9">
      <w:pPr>
        <w:pStyle w:val="TextoNormal"/>
      </w:pPr>
      <w:r>
        <w:t>En las actuaciones consta que el defensor del actor formuló recurso de nulidad de actuaciones basado en que su defendido no había sido informado del derecho establecido en el art. 17.3 de la Constitución Española, de poder ser asistido de Letrado, lo que implica una violación de la norma contenida en el art. 154 del Código de Justicia Militar y del art. 24.2 de la Constitución Española (folios 52 y 11 de las actuaciones).  Recurso que fue desestimado por Decreto auditoriado de 16 de junio de 1983 «por cuanto desde el momento mismo en que el soldado Pacheco Martínez se encontraba en situación de procesado le fue puesto de manifiesto (folio 46 vt.°), su derecho a nombrar defensor a Oficial o Jefe de este Ejército o, en su caso, Letrado de ejercicio, por lo que se cumplimentó lo dispuesto en el art.  154 del Código de Justicia Militar, no habiéndose originado indefensión alguna»; en el folio 46, vt.°, mencionado, consta la notificación en 3 de mayo de 1983 del Auto de procesamiento, y la puesta de manifiesto del derecho de nombrar defensor, a lo que el actor contestó que designaba al Teniente Coronel del Cuerpo de Mutilados don Amado Blázquez Fontao, quien en comparecencia que figura al folio 48 manifestó que aceptaba la defensa, habiéndola ejercido, y constando en las actuaciones su condición militar y la de Letrado del Colegio de Abogados de Murcia (folio 52).</w:t>
      </w:r>
    </w:p>
    <w:p w:rsidR="00256EE9" w:rsidRDefault="00256EE9" w:rsidP="00256EE9">
      <w:pPr>
        <w:pStyle w:val="TextoNormal"/>
      </w:pPr>
      <w:r>
        <w:t>La irregularidad alegada se extiende pues al período anterior al Auto de procesamiento, en el cual ha de admitirse que el procesado debió contar también con el ofrecimiento de asistencia letrada, aun cuando no lo preceptuara el art. 154 del Código de Justicia Militar, como actuación más ajustada a la Constitución Española; pero es lo cierto que para determinar la consecuencia de la falta de asistencia, cuando se pretende que sea la nulidad de las resoluciones impugnadas, ha de examinarse si sus declaraciones efectuadas en tales condiciones han podido tener alguna relevancia en la Sentencia; y se observa de las actuaciones que el actor y su Letrado en la causa militar siempre han ofrecido la misma versión de los hechos (especialmente folios 28, 46 vt.°, 96, 147, 148 y 150 de las actuaciones), no coincidente con la contenida en la Sentencia, por lo que resulta claro que la falta de asistencia letrada en un periodo de tiempo no ha tenido transcendencia alguna en la Sentencia, por lo que no puede conducir a la estimación de la pretensión del actor de que declaremos la nulidad de la misma: esta pretensión carece así manifiestamente de contenido que justifique una decisión del Tribunal en forma de Sentencia, con el desarrollo procesal consiguiente, por lo que sí existe la causa de inadmisión prevista en el art.  50.2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de todo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veinticuatro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3" w:name="AUTO_1985_52"/>
      <w:r>
        <w:lastRenderedPageBreak/>
        <w:t>AUTO 52/1985, de 24 de enero de 1985</w:t>
      </w:r>
    </w:p>
    <w:bookmarkEnd w:id="113"/>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ECLI:ES:TC:1985:52A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574/1984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entidad mercantil «Libra, Mutua de Seguros Generales», representada por el Procurador de los Tribunales don José Tejedor Moyano, presenta escrito ante este Tribunal Constitucional (T.C.) por el que promueve recurso de amparo contra la Sentencia de la Sala Sexta del Tribunal Supremo de 3 de julio que desestimó el recurso de casación por infracción de Ley interpuesto por la recurrente contra Sentencia dictada por la Magistratura de Trabajo núm. 8 de Madrid de fecha 3 de junio de 1982 en incidente de nulidad de actuaciones del proceso núm. 344/81.</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De la demanda de amparo y restante documentación aportada, resultan los siguientes hechos: a) El 23 de marzo de 1981, la Magistratura núm. 8 de las de Madrid dictó Sentencia en la que se declaraba la improcedencia del despido de don Víctor Ortega Ibarra, trabajador al servicio de «Libra, Mutua de Seguros», y se condenaba a la Empresa demandada a que a su opción, readmitiera al trabajador despedido o le indemnizara, con el abono en ambos supuestos de los salarios de tramitación. Notificada la anterior resolución a la Empresa condenada en fecha 9 de abril, al día siguiente la representación y asistencia letrada de la misma manifestó a la Magistratura por escrito «que su decisión es acatar lo dispuesto en la Sentencia, dando firmeza al fallo y optando por resolver el contrato de trabajo mediante la indemnización señalada en el fallo citado». b) El día 15 del mismo mes, el órgano judicial dictó providencia en la que se indicaba lo siguiente: «Y visto que la parte demandada ejercita opción a que se refiere la parte dispositiva de la Sentencia dictada en estos Autos, en el sentido de pronunciarse en su opción por la indemnización señalada en el fallo de la Sentencia, póngase ello en conocimiento de los demandantes por medio de notificación de la presente a efectos oportunos». Por otra providencia de igual fecha se acordó el archivo del procedimiento. c) En 22 de abril, la Entidad demandada anunció su intención de interponer recurso de casación por quebrantamiento de forma e infracción de Ley contra la Sentencia recaída en los anteriores autos. Por providencia de igual fecha, el órgano judicial declaró no haber lugar a lo solicitado en razón de que el representante de la referenciada Entidad «presentó escrito optando por resolver el contrato de trabajo del actor mediante la indemnización señalada en el fallo de la Sentencia dictada en estas actuaciones». Notificada la anterior resolución, el 7 de mayo se interpuso por el representante de «Libra, Mutua de Seguros Generales» recurso de reposición en cuyo «suplico» se solicitó </w:t>
      </w:r>
      <w:r>
        <w:lastRenderedPageBreak/>
        <w:t xml:space="preserve">la revocación de lo proveído y el dictado de una nueva providencia en la que se admitiera a trámite el recurso de casación. Con fecha 3 de junio, la Magistratura de Trabajo dictó Auto por el que se desestimó el recurso de reposición interpuesto contra la providencia de 22 de abril. Promovido recurso de queja contra el referido Auto, la Sala Sexta del Tribunal Supremo lo inadmitió por Auto de 2 de noviembre de ese mismo año. d) Por otra parte, el 24 de abril de 1981 la Empresa condenada remitió al señor Ortega Ibarra telegrama cuyo contenido literal fue el siguiente: «Próximo lunes día 27 reincorporarse puesto de trabajo 8 horas mientras se sustancia recurso de casación interpuesto (...) caso de no incorporación entendemos renuncia a puesto de trabajo y salarios durante sustanciación del recurso». Personado el trabajador en la Empresa en la fecha señalada, la reincorporación no tuvo lugar al entregarse por ésta a aquél nueva carta de despido. Planteada demanda por don Víctor Ortega Ibarra, la Magistratura núm. 20 de las de Madrid dictó Sentencia en la que, tras declararse en la narración de hechos que no parece acreditado que «entre uno y otro despido mediara la readmisión del trabajador demandante», se desestimó la reclamación. e) Con fecha 20 de noviembre, el señor Ortega Ibarra instó la ejecución del fallo de la Sentencia de 23 de marzo mediante escrito en el que se suplicaba se acordase despachar ejecución «por la cantidad de 1.687.508 pesetas de principal y otras 500.000 pesetas que se calculan para cubrir los gastos, intereses y costas del procedimiento. El día 25 de ese mismo mes, el Magistrado de instancia dictó providencia por la que se acordaba la ejecución y se decretaba «el embargo de bienes propiedad de la Empresa apremiada en cantidad suficiente para cubrir el importe principal que asciende a 1.687.508 pesetas más la suma de 337.500 pesetas que se calculan para costas y gastos». f) Por «Libra, Mutua General de Seguros» se promovió recurso de reposición contra la providencia última en el que se solicitaba la nulidad de las actuaciones a partir de la recepción por Magistratura del Auto del Tribunal Supremo inadmitiendo el recurso de queja en razón de no haber sido notificada esta resolución al recurrente así como la revocación de la providencia de ejecución, se impugnaba la ejecución acordada y, por un primer otrosí, se interesaba el pago al señor Ortega de la cantidad de 726.410 pesetas con cargo a los depósitos en su día efectuados. El día 2 de diciembre, se dictó providencia dando traslado del escrito de interposición del recurso a la otra parte, que formuló sus alegaciones. El día 9 de ese mismo mes, Magistratura acordó entregar al actor la suma de 684.410 pesetas, dictándose Auto desestimatorio del recurso de reposición el 19 de enero de 1982. g) El 25 de enero de 1982 el representante de la Empresa condenada formuló demanda de nulidad de actuaciones, solicitando la de todo lo actuado desde que por Magistratura se recibiera el Auto de la Sala Sexta del Tribunal Supremo inadmitiendo el recurso de queja y en su defecto, la nulidad de la providencia de la Magistratura de 25 de noviembre de 1981 acordando la ejecución de la Sentencia de 23 de marzo; en todo caso, la nulidad de la entrega al señor Ortega de 684.410 pesetas y, por último, la nulidad del Auto de 12 de enero de 1982. </w:t>
      </w:r>
    </w:p>
    <w:p w:rsidR="00256EE9" w:rsidRDefault="00256EE9" w:rsidP="00256EE9">
      <w:pPr>
        <w:pStyle w:val="TextoNormal"/>
      </w:pPr>
      <w:r>
        <w:t>h) Con fecha de 3 de junio de 1982, la Magistratura de Trabajo dictó Sentencia desestimatoria de la demanda incidental de actuaciones, acordando mantener las resoluciones impugnadas «así como la de todas las actuaciones obrantes en el procedimiento desde que por esta Magistratura se recibió el Auto de la Sala Sexta del Tribunal Supremo, resolviendo el recurso de queja interpuesto». i) Contra dicha Sentencia, la Empresa demandada anunció su intención de interponer recurso de casación por quebrantamiento de forma y por infracción de Ley. Formalizado el primero, la Sala Sexta del Tribunal Supremo la desestimó por Sentencia de 17 de junio de 1983, acordando emplazar a las partes para la formalización del de infracción de Ley y doctrina legal, desestimado igualmente por Sentencia de 3 de julio de 1984, que es la que se impugna en amparo.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escrito de demanda denuncia a la Sentencia recurrida de vulnerar el derecho a la tutela judicial efectiva consagrado en el art. 24.1 de la C.E. por los siguientes motivos: a) Por falta de notificación por parte de la Magistratura de Trabajo del Auto de la Sala Sexta del Tribunal Supremo de 2 de noviembre de 1981 resolviendo el recurso de queja interpuesto. Ello conculca el art. 920 de la Ley de Enjuiciamiento Civil, infringiendo el principio de defensa. b) Por no anular la resolución recurrida la providencia de 25 de noviembre de 1981 relativa a ejecución de la Sentencia de 23 de marzo y por la que se impuso una condena superior a la fijada en el fallo del que la ejecución traía causa, referido todo ello a los salarios de tramitación. </w:t>
      </w:r>
    </w:p>
    <w:p w:rsidR="00256EE9" w:rsidRDefault="00256EE9" w:rsidP="00256EE9">
      <w:pPr>
        <w:pStyle w:val="TextoNormal"/>
      </w:pPr>
      <w:r>
        <w:t xml:space="preserve">c) Por no otorgar el Auto de Magistratura de 19 de enero de 1982 recurso alguno, siendo así que la decisión impugnada expresamente reconoció la posibilidad de haberlo recurrido en casación. </w:t>
      </w:r>
    </w:p>
    <w:p w:rsidR="00256EE9" w:rsidRDefault="00256EE9" w:rsidP="00256EE9">
      <w:pPr>
        <w:pStyle w:val="TextoNormal"/>
      </w:pPr>
      <w:r>
        <w:t xml:space="preserve">La Sentencia recurrida infringe igualmente el derecho a un proceso sin dilaciones indebidas que el art. 24.2 de la C.E. enuncia. La mayor cantidad que ha de abonarse al trabajador despedido por salarios de tramitación se debe «a la pereza judicial», no pudiendo ser achacado al recurrente, carente «de cauces procesales para actuar», sino «a la Magistratura de instancia e incluso a las dilaciones del Tribunal Supremo». </w:t>
      </w:r>
    </w:p>
    <w:p w:rsidR="00256EE9" w:rsidRDefault="00256EE9" w:rsidP="00256EE9">
      <w:pPr>
        <w:pStyle w:val="TextoNormal"/>
      </w:pPr>
      <w:r>
        <w:t>En el «suplico», la demanda solicita de este T.C. dicte Sentencia por la que se acuerde retrotraer todo lo actuado al momento y hora en que por la Magistratura de instancia se debió notificar la recepción del Auto pronunciado por el Tribunal Supremo inadmitiendo el recurso de queja, declarándose por otra parte nula y sin efecto la ejecución decretada por el juzgador.</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10 de septiembre de 1984, la Sección acordó conceder un plazo común de diez días al Ministerio Fiscal y a la solicitante de amparo a fin de que alegasen lo pertinente en relación con la posible existencia de los siguientes motivos de inadmisión: a) no haberse agotado todos los recursos utilizables dentro de la vía judicial [art. 44.1 a) en conexión con el art. 50.1 b), ambos de la LOTC]; b) no haberse invocado formalmente en el proceso precedente el derecho constitucional vulnerado [art. 44.1 c) en relación con el art. 50.1 b), ambos de la LOTC], y c) carecer la demanda manifiestamente de contenido que justifique una decisión por parte de este T.C.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Evacuando el trámite, el Ministerio Fiscal comienza destacando la falta de precisión de la demanda en lo que se refiere a la resolución judicial impugnada. En el recurso se involucran distintas resoluciones y se atribuye a ellas vulneraciones de preceptos constitucionales, todo lo cual provoca una confusión sobre el verdadero objeto de la demanda de amparo. Con todo, se entiende como acto impugnado la Sentencia de la Sala Sexta del Tribunal Supremo de 3 de julio de 1984, que confirma Sentencia de la Magistratura de Trabajo núm. 8 de Madrid, de 3 de junio de 1982, sobre demanda incidental de nulidad de actuaciones. Siendo éste el objeto del recurso, el Ministerio Fiscal estima haberse agotado la vía judicial previa sobre la pretensión deducida por la parte recurrente y, por tanto, haberse cumplido el requisito del art. 44.1 a) de la LOTC. </w:t>
      </w:r>
    </w:p>
    <w:p w:rsidR="00256EE9" w:rsidRDefault="00256EE9" w:rsidP="00256EE9">
      <w:pPr>
        <w:pStyle w:val="TextoNormal"/>
      </w:pPr>
      <w:r>
        <w:t xml:space="preserve">En el presente caso no se ha acreditado, sin embargo, la invocación de los derechos constitucionales estimados como infringidos en el momento procesal adecuado, que fue el escrito de interposición del recurso de casación correspondiente. La demanda de amparo </w:t>
      </w:r>
      <w:r>
        <w:lastRenderedPageBreak/>
        <w:t xml:space="preserve">incurre, por consiguiente, en el defecto insubsanable previsto en el art. 44.1 c) de la LOTC. </w:t>
      </w:r>
    </w:p>
    <w:p w:rsidR="00256EE9" w:rsidRDefault="00256EE9" w:rsidP="00256EE9">
      <w:pPr>
        <w:pStyle w:val="TextoNormal"/>
      </w:pPr>
      <w:r>
        <w:t xml:space="preserve">En lo que concierne a la realidad de las violaciones denunciadas del artículo 24.1 de la C.E., sólo pueden tener trascendencia aquellas que resulten ser directamente imputables a las resoluciones judiciales que se impugnan. </w:t>
      </w:r>
    </w:p>
    <w:p w:rsidR="00256EE9" w:rsidRDefault="00256EE9" w:rsidP="00256EE9">
      <w:pPr>
        <w:pStyle w:val="TextoNormal"/>
      </w:pPr>
      <w:r>
        <w:t xml:space="preserve">El recurrente denuncia hasta tres infracciones del derecho a la tutela judicial efectiva, ninguna de las cuales, empero, se incardina en el procedimiento iniciado con la demanda incidental de nulidad de actuaciones y culminado con la Sentencia de la Sala Sexta del Tribunal Supremo de 3 de julio de 1984. </w:t>
      </w:r>
    </w:p>
    <w:p w:rsidR="00256EE9" w:rsidRDefault="00256EE9" w:rsidP="00256EE9">
      <w:pPr>
        <w:pStyle w:val="TextoNormal"/>
      </w:pPr>
      <w:r>
        <w:t xml:space="preserve">El art. 24.1 de la C.E. establece unas garantías procesales o instrumentales, sin alcanzar a la decisión adoptada por los órganos judiciales sobre el fondo del asunto, que es lo que pretende el recurrente. Todos los defectos procesales denunciados fueron objeto de estudio por las resoluciones impugnadas, y lo fueron mediante la interpretación y aplicación de las normas, que es la función que la Constitución atribuye a la jurisdicción. Por lo que se refiere a la presunta violación del art. 24.2 de la C.E., el recurrente la fundamenta en dilaciones indebidas del proceso, sin añadir, no obstante, ningún elemento que permita determinar dicha dilación, no bastando con afirmar que se ha demorado el proceso; es necesario poner de manifiesto -extremo que no se hace- en qué momento del iter procesal se produjo aquélla. Por lo demás, la dilación ha de ser indebida, esto es, atribuida a una actividad omisiva de los Tribunales, aspecto éste que tampoco se advierte en el caso a examen. </w:t>
      </w:r>
    </w:p>
    <w:p w:rsidR="00256EE9" w:rsidRDefault="00256EE9" w:rsidP="00256EE9">
      <w:pPr>
        <w:pStyle w:val="TextoNormal"/>
      </w:pPr>
      <w:r>
        <w:t xml:space="preserve">Por todo ello, el Ministerio Fiscal estima que la demanda de amparo carece de contenido constitucional, tratando de problemas de interpretación del derecho aplicable. </w:t>
      </w:r>
    </w:p>
    <w:p w:rsidR="00256EE9" w:rsidRDefault="00256EE9" w:rsidP="00256EE9">
      <w:pPr>
        <w:pStyle w:val="TextoNormal"/>
      </w:pPr>
      <w:r>
        <w:t>En razón de las consideraciones expuestas, se interesa de este T.C. dicte Auto de inadmisión.</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En su escrito de alegaciones, al que se acompañan, entre otros documentos, la Sentencia del Tribunal Supremo de 17 de junio de 1983, no aportada inicialmente, la recurrente se opone a los motivos de inadmisión comunicados por nuestra providencia de fecha 19 de septiembre de 1984, alegando: </w:t>
      </w:r>
    </w:p>
    <w:p w:rsidR="00256EE9" w:rsidRDefault="00256EE9" w:rsidP="00256EE9">
      <w:pPr>
        <w:pStyle w:val="TextoNormal"/>
      </w:pPr>
      <w:r>
        <w:t xml:space="preserve">a) En cuanto al no agotamiento de los recursos utilizables en vía judicial, se señala haber recurrido a cuantos estaban a su alcance y eran permitidos por la Ley y por la Magistratura de Trabajo en aplicación de la misma, insistiendo en que por Auto dictado por tal órgano y «del que trae causa este amparo» se impedía entablar cualquier recurso. Pese a ello, se replanteó el tema a través de demanda de nulidad de actuaciones y recursos de casación por quebrantamiento de forma y por infracción de Ley y doctrina legal. Con ello, se cumplió el mandato del art. 44.1 de la LOTC. </w:t>
      </w:r>
    </w:p>
    <w:p w:rsidR="00256EE9" w:rsidRDefault="00256EE9" w:rsidP="00256EE9">
      <w:pPr>
        <w:pStyle w:val="TextoNormal"/>
      </w:pPr>
      <w:r>
        <w:t xml:space="preserve">b) La violación de los preceptos constitucionales fue denunciada con carácter inmediato al Tribunal Supremo conocida la Sentencia dictada por el Juez de instancia al sustanciar la demanda incidental de nulidad. Tal invocación no pudo anticiparse antes de que se causara la violación. </w:t>
      </w:r>
    </w:p>
    <w:p w:rsidR="00256EE9" w:rsidRDefault="00256EE9" w:rsidP="00256EE9">
      <w:pPr>
        <w:pStyle w:val="TextoNormal"/>
      </w:pPr>
      <w:r>
        <w:t xml:space="preserve">c) Finalmente, el recurrente estima encontrarse en situación desfavorable para enjuiciar la alegada carencia de contenido constitucional de la demanda de amparo interpuesta, haciendo significar, no obstante, que los resultandos de la Sentencia del Tribunal Supremo que se impugna confirman que la Magistratura de Trabajo impidió recurrir el Auto del que trae causa este amparo y que ha transcurrido un tiempo dilatado desde la resolución judicial primaria hasta la fecha en que nos encontramos, pretendiéndose la inclusión de los salarios de tramitación a cargo de la demandante. </w:t>
      </w:r>
    </w:p>
    <w:p w:rsidR="00256EE9" w:rsidRDefault="00256EE9" w:rsidP="00256EE9">
      <w:pPr>
        <w:pStyle w:val="TextoNormal"/>
      </w:pPr>
      <w:r>
        <w:t>Por todo ello, solicita de este T.C. la admisión del presente recurso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primer extremo que conviene aclarar en el presente recurso es el relativo a la identificación de la resolución judicial impugnada.  Desde un punto de vista formal, el recurrente dice impugnar la Sentencia de la Sala Sexta del Tribunal Supremo de 3 de julio de 1984, por la que se desestima el recurso de casación promovido contra la resolución del juzgador de instancia de 3 de junio de 1982, que sustanció demanda de nulidad de actuaciones del proceso núm. 344/1981, en autos sobre despido promovido por don Víctor Ortega Ibarra.</w:t>
      </w:r>
    </w:p>
    <w:p w:rsidR="00256EE9" w:rsidRDefault="00256EE9" w:rsidP="00256EE9">
      <w:pPr>
        <w:pStyle w:val="TextoNormal"/>
      </w:pPr>
      <w:r>
        <w:t>Sin embargo, la lectura del confuso alegato jurídico del escrito de demanda fundamentó la idea de que la decisión judicial atacada desde una óptica material no era aquella Sentencia, sino el Auto de 19 de enero de 1982 de la Magistratura de Trabajo núm. 8 de las de Madrid, resolviendo el recurso de reposición promovido por la recurrente contra la providencia de 25 de noviembre de 1981 de ese mismo órgano judicial.</w:t>
      </w:r>
    </w:p>
    <w:p w:rsidR="00256EE9" w:rsidRDefault="00256EE9" w:rsidP="00256EE9">
      <w:pPr>
        <w:pStyle w:val="TextoNormal"/>
      </w:pPr>
      <w:r>
        <w:t>Los términos del «suplico» de la demanda y la calificación que la recurrente hace de ese Auto como la resolución judicial de la «que trae causa este amparo» así lo sugirieron.</w:t>
      </w:r>
    </w:p>
    <w:p w:rsidR="00256EE9" w:rsidRDefault="00256EE9" w:rsidP="00256EE9">
      <w:pPr>
        <w:pStyle w:val="TextoNormal"/>
      </w:pPr>
      <w:r>
        <w:t>La inicial consideración del tan citado Auto de 19 de enero de 1982, como la decisión judicial verdaderamente impugnada, explica el primer motivo de inadmisión advertido en nuestra providencia de 19 de septiembre de 1984.</w:t>
      </w:r>
    </w:p>
    <w:p w:rsidR="00256EE9" w:rsidRDefault="00256EE9" w:rsidP="00256EE9">
      <w:pPr>
        <w:pStyle w:val="TextoNormal"/>
      </w:pPr>
    </w:p>
    <w:p w:rsidR="00256EE9" w:rsidRDefault="00256EE9" w:rsidP="00256EE9">
      <w:pPr>
        <w:pStyle w:val="TextoNormal"/>
      </w:pPr>
      <w:r w:rsidRPr="00256EE9">
        <w:rPr>
          <w:rStyle w:val="NumeroAFNegritaCaracter"/>
        </w:rPr>
        <w:t>2</w:t>
      </w:r>
      <w:r>
        <w:t>. En su escrito de alegaciones, la recurrente mantiene su originaria ambigüedad, haciendo referencias entrecruzadas tanto al Auto y resoluciones precedentes como a la Sentencia de instancia que resolvió la demanda incidental de nulidad y decisiones judiciales posteriores. De su lado, el Ministerio Fiscal, tras advertir la falta de precisión en lo atinente a los actos impugnados, indica que el presente recurso de amparo ha de entenderse interpuesto contra la Sentencia de la Sala Sexta del Tribunal Supremo, que confirma Sentencia de la Magistratura de Trabajo sobre demanda incidental de nulidad de actuaciones.  Desde esta perspectiva, que la Sección hace ahora suya, ha de declararse que la demanda de amparo no incurre en el motivo de inadmisión consistente en falta de agotamiento de la vía judicial previa, debiendo ceñirse las consideraciones que a continuación siguen al indicado objeto del recurso de amparo y, por consiguiente, examinarse los restantes motivos de inadmisión enunciados en nuestra providencia desde dicho objeto.</w:t>
      </w:r>
    </w:p>
    <w:p w:rsidR="00256EE9" w:rsidRDefault="00256EE9" w:rsidP="00256EE9">
      <w:pPr>
        <w:pStyle w:val="TextoNormal"/>
      </w:pPr>
    </w:p>
    <w:p w:rsidR="00256EE9" w:rsidRDefault="00256EE9" w:rsidP="00256EE9">
      <w:pPr>
        <w:pStyle w:val="TextoNormal"/>
      </w:pPr>
      <w:r w:rsidRPr="00256EE9">
        <w:rPr>
          <w:rStyle w:val="NumeroAFNegritaCaracter"/>
        </w:rPr>
        <w:t>3</w:t>
      </w:r>
      <w:r>
        <w:t>. El art. 44.1 c) de la LOTC condiciona la admisión de las demandas de amparo a la invocación en el proceso ordinario del derecho constitucional vulnerado, «tan pronto como, una vez conocida la violación, hubiere lugar para ello».  En el caso a examen, el momento procesal pertinente para la observancia de aquella exigencia en relación con la alegada violación del artículo 24.1 de la C.E. debió de constituirlo, al menos, el primero de los recursos de casación planteados contra la resolución de instancia. Pero ni se efectuó tal invocación en esta fase procesal ni en el posterior escrito de formalización del segundo de los recursos de casación.  Y si bien es cierto, como en reiteradas ocasiones ha señalado este T.C., que la exigencia prevista en el art. 44.1 c) de la LOTC ha de interpretarse con criterios finalistas, ello no puede producir en ningún caso la supresión del requisito, que cumple la importante función de permitir a los órganos judiciales el reparar en su propia vía procesal los derechos fundamentales hipotéticamente infringidos, quedando el amparo constitucional como remedio último y subsidiario.</w:t>
      </w:r>
    </w:p>
    <w:p w:rsidR="00256EE9" w:rsidRDefault="00256EE9" w:rsidP="00256EE9">
      <w:pPr>
        <w:pStyle w:val="TextoNormal"/>
      </w:pPr>
      <w:r>
        <w:lastRenderedPageBreak/>
        <w:t>En el presente caso, el recurrente no invocó en ningún momento de las actuaciones procesales a las que nos venimos refiriendo la violación del derecho a la tutela judicial efectiva, limitándose en el escrito de interposición del recurso de casación por infracción de Ley a denunciar la violación de preceptos de la legalidad ordinaria. Esta reiterada omisión del ahora demandante en amparo demuestra que, en definitiva, el problema del recurso se contrae no a la vulneración de un derecho fundamental, sino a la discrepancia con la interpretación de la legislación laboral llevada a cabo por la jurisdicción ordinaria en el ejercicio de la función que con carácter propio le atribuye el art. 117.1 de la C.E.</w:t>
      </w:r>
    </w:p>
    <w:p w:rsidR="00256EE9" w:rsidRDefault="00256EE9" w:rsidP="00256EE9">
      <w:pPr>
        <w:pStyle w:val="TextoNormal"/>
      </w:pPr>
    </w:p>
    <w:p w:rsidR="00256EE9" w:rsidRDefault="00256EE9" w:rsidP="00256EE9">
      <w:pPr>
        <w:pStyle w:val="TextoNormal"/>
      </w:pPr>
      <w:r w:rsidRPr="00256EE9">
        <w:rPr>
          <w:rStyle w:val="NumeroAFNegritaCaracter"/>
        </w:rPr>
        <w:t>4</w:t>
      </w:r>
      <w:r>
        <w:t>. Con una mayor claridad aún, si cabe, se observa el incumplimiento del requisito establecido en el art.  44.1 c) de la LOTC en lo que concierne a la presunta vulneración del derecho a un proceso sin dilaciones indebidas que el recurrente estima igualmente haber sido conculcado. En el decir del recurrente, dichas dilaciones tendrían su origen en la «pereza» judicial al resolver, primeramente, el juzgador de instancia el recurso de reposición planteado contra la providencia de 22 de abril de 1981, que declaró la inadmisión del recurso de casación contra la Sentencia de 23 de marzo de igual año y, posteriormente, la Sala Sexta del Tribunal Supremo el recurso de queja contra el Auto desestimatorio del anterior recurso de reposición.  En ningún momento de las posteriores actuaciones procesales promovidas por la parte actora se hizo mención directa o indirectamente a la vulneración, presuntamente ya consumada, del derecho a un proceso sin dilaciones.</w:t>
      </w:r>
    </w:p>
    <w:p w:rsidR="00256EE9" w:rsidRDefault="00256EE9" w:rsidP="00256EE9">
      <w:pPr>
        <w:pStyle w:val="TextoNormal"/>
      </w:pPr>
    </w:p>
    <w:p w:rsidR="00256EE9" w:rsidRDefault="00256EE9" w:rsidP="00256EE9">
      <w:pPr>
        <w:pStyle w:val="TextoNormal"/>
      </w:pPr>
      <w:r w:rsidRPr="00256EE9">
        <w:rPr>
          <w:rStyle w:val="NumeroAFNegritaCaracter"/>
        </w:rPr>
        <w:t>5</w:t>
      </w:r>
      <w:r>
        <w:t>. Las observaciones que se acaban de exponer nos eximirían de entrar a examinar la realidad de las alegadas infracciones de derechos constitucionales. Con todo y a mayor abundamiento parece conveniente efectuar algunas consideraciones adicionales.</w:t>
      </w:r>
    </w:p>
    <w:p w:rsidR="00256EE9" w:rsidRDefault="00256EE9" w:rsidP="00256EE9">
      <w:pPr>
        <w:pStyle w:val="TextoNormal"/>
      </w:pPr>
      <w:r>
        <w:t>En primer lugar, la demanda acusa a la resolución impugnada de lesionar el derecho a la tutela judicial efectiva, lesión ésta que se habría producido por las siguientes razones: a) por falta de notificación del Auto dictado por el Tribunal Supremo en fecha 2 de noviembre de 1981, resolviendo recurso de queja; b) por no reconocerse la infracción por la providencia de 25 de noviembre de 1981 del art. 1.695 de la Ley de Enjuiciamiento Civil (L.E. C.), lo que determinó la confirmación de una ejecución que resolvió puntos sustanciales no controvertidos en el pleito ni decididos en la Sentencia, y c) por la contradicción que implica el que el Auto de Magistratura de 19 de enero de 1982 sostenga que contra el mismo no cabe recurso alguno y, sin embargo, la Sentencia de la Sala Sexta del Tribunal Supremo que se combate manifieste lo contrario.</w:t>
      </w:r>
    </w:p>
    <w:p w:rsidR="00256EE9" w:rsidRDefault="00256EE9" w:rsidP="00256EE9">
      <w:pPr>
        <w:pStyle w:val="TextoNormal"/>
      </w:pPr>
      <w:r>
        <w:t>Las reseñadas alegaciones carecen de la mínima consistencia y algunas incurren en manifiesta inexactitud.</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Arguye la recurrente que el Auto de 2 de noviembre de 1981, pronunciado por el Tribunal Supremo, desestimatorio del recurso de queja no le fue notificado por la Magistratura, que incumplió con ello el art.  920 de la L.E.C. y, paralelamente, el derecho a la tutela judicial efectiva consagrado en el art. 24.1 de la C.E. La alegación es de todo punto inconsistente, pues como razona el Ministerio Fiscal, se incardina en una resolución judicial definitiva que no es la impugnada en amparo.  Pese a que ello es motivo suficiente para desestimarla, es aún oportuno realizar algunas observaciones suplementarias.  Ciertamente, este T.C.  tiene declarado en reiteradas ocasiones que la falta de notificación a las partes o a una de ellas de los actos procesales constituye una infracción al derecho de defensa que el inciso final del art. 24.1 de la C.E. reconoce. Pero esta doctrina no sería, en </w:t>
      </w:r>
      <w:r>
        <w:lastRenderedPageBreak/>
        <w:t>modo alguno, de aplicación al presente caso, ya que el citado Auto fue notificado a la recurrente por la Sala Sexta del Tribunal Supremo a través de su Procurador debidamente personado en el recurso de queja.  El Auto que sustanció éste declaraba en su parte dispositiva «no haber lugar al recurso de queja», agregando que de ello «se dará conocimiento al Magistrado de instancia por carta orden para constancia en los autos originarios». Al atenerse al contenido del fallo, la Magistratura, como bien se expone en el Auto de 19 de enero de 1982, no incumplió trámite alguno, pues la finalidad procesal de las notificaciones es evitar la indefensión de las partes, y ésta no se produjo al ser comunicado el de 2 de noviembre por el propio Tribunal sentenciador con fecha 3 del mismo mes.</w:t>
      </w:r>
    </w:p>
    <w:p w:rsidR="00256EE9" w:rsidRDefault="00256EE9" w:rsidP="00256EE9">
      <w:pPr>
        <w:pStyle w:val="TextoNormal"/>
      </w:pPr>
    </w:p>
    <w:p w:rsidR="00256EE9" w:rsidRDefault="00256EE9" w:rsidP="00256EE9">
      <w:pPr>
        <w:pStyle w:val="TextoNormal"/>
      </w:pPr>
      <w:r w:rsidRPr="00256EE9">
        <w:rPr>
          <w:rStyle w:val="NumeroAFNegritaCaracter"/>
        </w:rPr>
        <w:t>7</w:t>
      </w:r>
      <w:r>
        <w:t>. En cuanto a la segunda de las razones causante, a juicio del recurrente, de infracción del art.  24.1 de la C.E., la misma es inexacta en su fundamentación.  Literalmente, la infracción se razona por el solicitante de amparo del modo siguiente: «Igualmente se ha producido un atentado del art. 24 de la C.E.  por parte de la Magistratura de Instancia y de la Sala Sexta del Tribunal Supremo porque a pesar de haber denunciado que en la resolución dictada de manera definitiva con fecha 19 de enero de 1982 se estaba atentando contra el art.  1.695 de la L.E.C.  (... ) ni la Magistratura ni la Sala Sexta del Tribunal Supremo han aceptado esta tesis a pesar de que ha quedado claro y contundente que la providencia de 25 de noviembre de 1981, acordando la ejecución de la Sentencia, impuso económicamente mayor cantidad que la señalada por el fallo del que traía causa la ejecución».</w:t>
      </w:r>
    </w:p>
    <w:p w:rsidR="00256EE9" w:rsidRDefault="00256EE9" w:rsidP="00256EE9">
      <w:pPr>
        <w:pStyle w:val="TextoNormal"/>
      </w:pPr>
      <w:r>
        <w:t>Como se ha dicho, el razonamiento. en su formulación, incurre en manifiesta inexactitud, pues la parte actora silencia que la Sentencia del Tribunal Supremo de 17 de junio de 1983, que resolvió el recurso de casación por quebrantamiento de forma promovido contra la resolución de Magistratura sustanciando el incidente de nulidad de actuaciones desestimó dicho recurso por «no estar amparado en ninguna de las específicas causas que se establecen en el art. 1.695 de la L.E.C. (...)».  Y será en el escrito de interposición del recurso de casación por infracción de Ley y doctrina legal en el que el recurrente alegue el reseñado precepto, mereciendo tal planteamiento la descalificación por la Sentencia de 3 de julio de 1984, pues «un precepto de carácter procesal no puede invocarse en casación por el cauce del núm. 1 del art.  167 de la Ley Procesal Laboral y sobre un tema ya resuelto por esta Sala en Sentencia de 17 de junio de 1983 (...)». Orillando elementales exigencias de defensa jurídica, la parte actora pretende imputar a decisiones judiciales lo que, en verdad, no es sino resultado de sus planteamientos procesales errados.  Inexacta en su formulación, la denuncia carece, además, de consistencia constitucional, pues lo que se hace es combatir la interpretación que el Magistrado hizo en orden al cómputo del plazo para la fijación de los salarios de tramitación, interpretación que corresponde efectuar a los órganos judiciales y que el recurrente pudo impugnar, y no lo hizo, por los cauces procesales adecuados.</w:t>
      </w:r>
    </w:p>
    <w:p w:rsidR="00256EE9" w:rsidRDefault="00256EE9" w:rsidP="00256EE9">
      <w:pPr>
        <w:pStyle w:val="TextoNormal"/>
      </w:pPr>
    </w:p>
    <w:p w:rsidR="00256EE9" w:rsidRDefault="00256EE9" w:rsidP="00256EE9">
      <w:pPr>
        <w:pStyle w:val="TextoNormal"/>
      </w:pPr>
      <w:r w:rsidRPr="00256EE9">
        <w:rPr>
          <w:rStyle w:val="NumeroAFNegritaCaracter"/>
        </w:rPr>
        <w:t>8</w:t>
      </w:r>
      <w:r>
        <w:t>. De fundamentación carece la tercera y última de las razones en que se basa la violación del art. 24.1 de la C.E. El Auto del juzgador de instancia de 19 de enero de 1981 señalaba en su último considerando que contra el mismo no cabría recurso alguno, advertencia que sería rectificada por la Sentencia del Tribunal Supremo de 3 de julio de 1984, cuyo considerando único vendría a admitir, obiter dicta, la posibilidad de haberlo intentado.</w:t>
      </w:r>
    </w:p>
    <w:p w:rsidR="00256EE9" w:rsidRDefault="00256EE9" w:rsidP="00256EE9">
      <w:pPr>
        <w:pStyle w:val="TextoNormal"/>
      </w:pPr>
      <w:r>
        <w:t>Para el recurrente, la contradicción entre ambas decisiones constituye una violación del derecho a la tutela judicial en su vertiente de derecho a promover los recursos pertinentes.</w:t>
      </w:r>
    </w:p>
    <w:p w:rsidR="00256EE9" w:rsidRDefault="00256EE9" w:rsidP="00256EE9">
      <w:pPr>
        <w:pStyle w:val="TextoNormal"/>
      </w:pPr>
      <w:r>
        <w:t xml:space="preserve">Planteada en los términos descritos, la argumentación de la defensa no es aceptable, porque habiéndose impugnado aquí la Sentencia de 3 de julio de 1984, y no el Auto de 19 </w:t>
      </w:r>
      <w:r>
        <w:lastRenderedPageBreak/>
        <w:t>de enero de 1982, es claro que dicha Sentencia no ha vulnerado el derecho a promover recursos, incluido en el derecho a la tutela judicial efectiva establecido en el art.  24 de la C.E. De haberse producido tal violación, la misma sería imputable a dicho Auto, ajeno al presente recurso, y contra él tenía que haberse interpuesto demanda de amparo en tiempo y forma oportunos.</w:t>
      </w:r>
    </w:p>
    <w:p w:rsidR="00256EE9" w:rsidRDefault="00256EE9" w:rsidP="00256EE9">
      <w:pPr>
        <w:pStyle w:val="TextoNormal"/>
      </w:pPr>
    </w:p>
    <w:p w:rsidR="00256EE9" w:rsidRDefault="00256EE9" w:rsidP="00256EE9">
      <w:pPr>
        <w:pStyle w:val="TextoNormal"/>
      </w:pPr>
      <w:r w:rsidRPr="00256EE9">
        <w:rPr>
          <w:rStyle w:val="NumeroAFNegritaCaracter"/>
        </w:rPr>
        <w:t>9</w:t>
      </w:r>
      <w:r>
        <w:t>. Finalmente, este Tribunal Constitucional no puede pasar por alto la temeridad que implica la denuncia de la infracción del derecho a un proceso público sin dilaciones indebidas que el art.  24.2 de la C.E.  consagra, dilaciones éstas atribuidas a la Magistratura de Trabajo y al Tribunal Supremo por su tardanza en resolver, respectivamente, el recurso de reposición con la providencia de 22 de abril de 1981 y el recurso de queja desestimatorio del anterior.  Basta una detenida lectura de los antecedentes de hecho del presente recurso para observar la temeridad de esta denuncia. La providencia de 22 de abril de 1981, declarando no haber lugar a la interposición del recurso de casación contra la Sentencia de 23 de marzo, se notifica a la representación de «Libra» el día 7 de mayo, y con esa misma fecha se interpone recurso de reposición resuelto por Auto de 3 de junio.  El recurso de queja contra la resolución anterior es resuelto por el Tribunal Supremo el 2 de noviembre, siendo notificado el día siguiente.  Estos son los hechos constitutivos, a juicio de la recurrente, de dilaciones indebidas, cuya falta de fundamentación es tan meridiana que nos exime de todo comentario jurídico.  El transcurso de siete meses desde la notificación de la Sentencia de instancia de 23 de marzo de 1981 hasta la notificación del recurso de queja, tantas veces citado, se debe, como con acierto razona el juzgador de instancia en su Auto de 19 de enero de 1982, al «anómalo comportamiento procesal de la Empresa condenada con sus contradictorias posturas, optando por la indemnización para seguidamente interponer un recurso de casación (...)».</w:t>
      </w:r>
    </w:p>
    <w:p w:rsidR="00256EE9" w:rsidRDefault="00256EE9" w:rsidP="00256EE9">
      <w:pPr>
        <w:pStyle w:val="TextoNormal"/>
      </w:pPr>
      <w:r>
        <w:t>Si a las anteriores consideraciones se agrega que, previamente a la sustanciación del recurso de casación por infracción de Ley y doctrina legal por la Sentencia de 3 de julio de 1984, la Sala Sexta del Tribunal Supremo había conocido y desestimado otro recurso de casación por quebrantamiento de forma por Sentencia de 17 de junio de 1983, y si se tiene en cuenta que la motivación de uno y otro recurso fue idéntica, como así se afirma en la resolución impugnada, necesariamente ha de convenirse que nuevamente tiene razón el Magistrado de instancia cuando, en el primer considerando del Auto de 19 de enero de 1982, señala que el planteamiento procesal de la recurrente «revela un torticero intento dilatorio del que fue ya inicial exponente la cuestión que resolvió por Auto de 2 de noviembre de 1981 la Sala Sexta del Tribunal Supremo» y del que -añadimos nosotros- siguen siendo exponentes las actuaciones posteriores, incluida, desde luego, esta demanda de amparo constitucional.</w:t>
      </w:r>
    </w:p>
    <w:p w:rsidR="00256EE9" w:rsidRDefault="00256EE9" w:rsidP="00256EE9">
      <w:pPr>
        <w:pStyle w:val="TextoNormal"/>
      </w:pPr>
      <w:r>
        <w:t>La temeraria ligereza con la que pretende traerse ante nosotros, revestido de entidad constitucional, lo que no resulta ser sino apasionada disconformidad con la interpretación y aplicación que los órganos judiciales hacen de concretas normas legales, imputando además a los mismos sin otro fundamento que esa disconformidad una negligencia en el cumplimiento de la función de impartir justicia, aconseja no sólo inadmitir la demanda, sino también imponer al recurrente tanto las costas del presente proceso como una sanción de 25.000 pesetas.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En virtud de las consideraciones expuestas, la Sección acuerda declarar inadmisible el presente recurso e imponer al demandante las costas de tramitación y una sanción de 25.000 pesetas.</w:t>
      </w:r>
    </w:p>
    <w:p w:rsidR="00256EE9" w:rsidRDefault="00256EE9" w:rsidP="00256EE9">
      <w:pPr>
        <w:pStyle w:val="TextoNormal"/>
      </w:pPr>
    </w:p>
    <w:p w:rsidR="00256EE9" w:rsidRDefault="00256EE9" w:rsidP="00256EE9">
      <w:pPr>
        <w:pStyle w:val="TextoNormal"/>
      </w:pPr>
      <w:r>
        <w:t>Madrid, a veinticuatro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4" w:name="AUTO_1985_53"/>
      <w:r>
        <w:lastRenderedPageBreak/>
        <w:t>AUTO 53/1985, de 24 de enero de 1985</w:t>
      </w:r>
    </w:p>
    <w:bookmarkEnd w:id="114"/>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ECLI:ES:TC:1985:53A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578/1984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en el Juzgado de Guardia de los de Madrid el día 26 de julio pasado y entrado en este Tribunal al día siguiente, el Procurador don Enrique Sorribes Torra interpuso, en nombre de doña Eligia Capella Samaranch y don José Llonch Salas, recurso de amparo contra los acuerdos de 5 de julio y 23 de agosto de 1978 del Ayuntamiento de Ripollet (Barcelona). Los demandantes solicitan de este Tribunal la anulación de los mencionados acuerdos, así como la de las Sentencias que los han confirmado y el reconocimiento de su derecho a la justa distribución de los beneficios y cartas del planeamiento por lo que respecta a la porción de su finca calificada como 8.a en el Plan General Metropolitano de Ordenación Urbana de Barcelona, ordenando por tanto a la Administración que proceda a delimitar el correspondiente polígono o unidad de actuación de acuerdo con el que puedan obtener dicha justa distribución en base a las operaciones de reparcelación o compensación que correspondan. Por otrosí solicitan que se reciba el recurso a prueba.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antecedentes que están a la base del presente recurso son los siguientes: </w:t>
      </w:r>
    </w:p>
    <w:p w:rsidR="00256EE9" w:rsidRDefault="00256EE9" w:rsidP="00256EE9">
      <w:pPr>
        <w:pStyle w:val="TextoNormal"/>
      </w:pPr>
      <w:r>
        <w:t xml:space="preserve">En escrito dirigido al Ayuntamiento de Ripollet, con fecha 20 de abril de 1978, los ahora solicitantes de amparo pidieron que se procediera a delimitar el polígono o unidad de actuación relativo a los terrenos en los que estaba ubicada una finca de su propiedad, determinar el correspondiente sistema de actuación, formular el oportuno proyecto de reparcelación y ordenar, consecuentemente, y por último, que se llevasen a cabo las pertinentes obras de urbanización, no concediendo, mientras tanto, ningún permiso de edificación. </w:t>
      </w:r>
    </w:p>
    <w:p w:rsidR="00256EE9" w:rsidRDefault="00256EE9" w:rsidP="00256EE9">
      <w:pPr>
        <w:pStyle w:val="TextoNormal"/>
      </w:pPr>
      <w:r>
        <w:t xml:space="preserve">Por acuerdo de 5 de julio del mismo año, el Ayuntamiento denegó la aludida solicitud. Interpuesto el oportuno recurso de reposición, la Corporación lo desestimó por acuerdo de 23 de agosto siguiente. </w:t>
      </w:r>
    </w:p>
    <w:p w:rsidR="00256EE9" w:rsidRDefault="00256EE9" w:rsidP="00256EE9">
      <w:pPr>
        <w:pStyle w:val="TextoNormal"/>
      </w:pPr>
      <w:r>
        <w:t>Interpuesto contra dichas resoluciones recurso contencioso-administrativo ante la Audiencia Territorial de Barcelona, la Sala Primera de ese orden jurisdiccional, por Sentencia de 17 de diciembre de 1981, lo desestimó. Interpuesto contra la misma por los señores Capella y Llonch recurso de apelación ante el Tribunal Supremo, la Sala Tercera, por Sentencia de 5 de marzo de 1984, lo desestimó, confirmando, en consecuencia, la resolución judicial de primera instancia.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xml:space="preserve">. Los solicitantes de amparo entienden que las resoluciones administrativas impugnadas han violado su derecho a la igualdad de trato consagrado en el art. 14 de la Constitución. </w:t>
      </w:r>
    </w:p>
    <w:p w:rsidR="00256EE9" w:rsidRDefault="00256EE9" w:rsidP="00256EE9">
      <w:pPr>
        <w:pStyle w:val="TextoNormal"/>
      </w:pPr>
      <w:r>
        <w:t>Tras referirse a la calificación asignada a su finca en el referido Plan General y concretando su pretensión exclusivamente, a efectos del presente recurso de amparo, a la calificación 8.a (zona de verde privado protegido) correspondiente a una porción de la finca de su propiedad, los demandantes señalan la diferencia de trato producida a los mismos en comparación con la calificación asignada por el Plan a las fincas de propietarios colindantes, diferencia de trato que, en su opinión, no responde a una situación fáctica que la justifique, ya que -añaden cuando el Plan fue aprobado su finca, calificada, según las distintas porciones de la misma, de 8.a y 6.b, formaba un terreno en el que únicamente se erigía una construcción en ruinas, mientras que las fincas vecinas, calificadas de 12 y 13.b y en la actualidad ya edificadas, eran, según ellos, unos solares de idénticas características a las de la primera, con la única diferencia de que no había ninguna construcción en ella. De ese modo -concluyen los demandantes-, los propietarios colindantes se vieron enormemente beneficiados por el plan, mientras que ellos se vieron sumidos en la desigualdad más flagrante. No pueden admitir -por fin- tener que conformarse con que sus vecinos puedan edificar todo lo que les permiten las normas de las zonas 12 y 13.b y que, en cambio, ellos no puedan edificar más que el 10 por 100 por encima del volumen de la ruinosa edificación actual y no construir nada en el resto de la finca, cuando la legislación urbanística (arts. 97.2 y 117.3 de la vigente Ley del Suelo) impone siempre la distribución justa entre los propietarios de los beneficios y cargas derivadas del planeamiento, distribución que ha sido negada por el Ayuntamiento, con la consiguiente infracción, no remediada por la jurisdicción contencioso-administrativa, del art. 14 de la Constitución.</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26 de septiembre pasado la Sección acordó tener por interpuesto recurso de amparo por doña Eligia Capella Samaranch y don José Llonch Salas y por personado y parte, en nombre y representación de los mismos, al Procurador señor Sorribes Torras, y a tenor del art. 85 de la LOTC, conceder un plazo de diez días a los solicitantes de amparo para que aportasen copias de la Sentencia de 17 de diciembre de 1981 de la Sala Primera de lo Contencioso-Administrativo de la Audiencia Territorial de Barcelona y de las resoluciones del Ayuntamiento de Ripollet, que fueron objeto del recurso contencioso-administrativo interpuesto ante aquella jurisdicción.</w:t>
      </w:r>
    </w:p>
    <w:p w:rsidR="00256EE9" w:rsidRDefault="00256EE9" w:rsidP="00256EE9">
      <w:pPr>
        <w:pStyle w:val="TextoNormal"/>
      </w:pPr>
    </w:p>
    <w:p w:rsidR="00256EE9" w:rsidRDefault="00256EE9" w:rsidP="00256EE9">
      <w:pPr>
        <w:pStyle w:val="TextoNormal"/>
      </w:pPr>
      <w:r w:rsidRPr="00256EE9">
        <w:rPr>
          <w:rStyle w:val="NumeroAFNegritaCaracter"/>
        </w:rPr>
        <w:t>5</w:t>
      </w:r>
      <w:r>
        <w:t>. Por providencia del pasado día 7 de noviembre, la Sección acordó tener por recibido el escrito del Procurador señor Sorribes Torra con los documentos que le acompañan, y a tenor de lo dispuesto en el art. 50 de la LOTC, conceder un plazo común de diez días al Ministerio Fiscal y a los solicitantes del amparo para que dentro del mismo alegasen lo que estimasen pertinente en relación con la posible existencia del motivo de inadmisión consistente en carecer la demanda manifiestamente de contenido constitucional.</w:t>
      </w:r>
    </w:p>
    <w:p w:rsidR="00256EE9" w:rsidRDefault="00256EE9" w:rsidP="00256EE9">
      <w:pPr>
        <w:pStyle w:val="TextoNormal"/>
      </w:pPr>
    </w:p>
    <w:p w:rsidR="00256EE9" w:rsidRDefault="00256EE9" w:rsidP="00256EE9">
      <w:pPr>
        <w:pStyle w:val="TextoNormal"/>
      </w:pPr>
      <w:r w:rsidRPr="00256EE9">
        <w:rPr>
          <w:rStyle w:val="NumeroAFNegritaCaracter"/>
        </w:rPr>
        <w:t>6</w:t>
      </w:r>
      <w:r>
        <w:t>. El Ministerio Fiscal, en su escrito de alegaciones, interesa de este Tribunal que acuerde la inadmisión del recurso por concurrir el motivo previsto en el art. 50.2 b) de la LOTC, por entender que si, como razona la Audiencia y confirma el Tribunal Supremo, no puede verse una carga urbanística en el suelo calificado bajo la clase 8.a desde el momento que se respeta la construcción existente y aún se permite un aumento de un 10 por 100, independientemente del régimen acordado para otras parcelas, la argumentación de la de</w:t>
      </w:r>
      <w:r>
        <w:lastRenderedPageBreak/>
        <w:t>manda de que hay una desigualdad injustificada en el reparto de cargas carece de toda base admisible, y al ser este pretendido agravio -lesión a la igualdad- el único motivo del presente recurso, es evidente la inconsistencia de éste.</w:t>
      </w:r>
    </w:p>
    <w:p w:rsidR="00256EE9" w:rsidRDefault="00256EE9" w:rsidP="00256EE9">
      <w:pPr>
        <w:pStyle w:val="TextoNormal"/>
      </w:pPr>
    </w:p>
    <w:p w:rsidR="00256EE9" w:rsidRDefault="00256EE9" w:rsidP="00256EE9">
      <w:pPr>
        <w:pStyle w:val="TextoNormal"/>
      </w:pPr>
      <w:r w:rsidRPr="00256EE9">
        <w:rPr>
          <w:rStyle w:val="NumeroAFNegritaCaracter"/>
        </w:rPr>
        <w:t>7</w:t>
      </w:r>
      <w:r>
        <w:t>. Los recurrentes, por su parte, reiteran en su escrito de alegaciones los argumentos expuestos en la demanda y solicitan la admisión a trámite de ésta.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existe la causa de inadmisión prevista en el art. 50.2 b) de la Ley Orgánica del Tribunal Constitucional (LOTC), es decir si la demanda carece manifiestamente de contenido que justifique una decisión por parte del Tribunal Constitucional en forma de Sentencia, con el desarrollo procesal consiguiente. A cuyo efecto hemos de examinar si las resoluciones impugnadas han podido vulnerar o no el art.  14 de la Constitución.</w:t>
      </w:r>
    </w:p>
    <w:p w:rsidR="00256EE9" w:rsidRDefault="00256EE9" w:rsidP="00256EE9">
      <w:pPr>
        <w:pStyle w:val="TextoNormal"/>
      </w:pPr>
    </w:p>
    <w:p w:rsidR="00256EE9" w:rsidRDefault="00256EE9" w:rsidP="00256EE9">
      <w:pPr>
        <w:pStyle w:val="TextoNormal"/>
      </w:pPr>
      <w:r w:rsidRPr="00256EE9">
        <w:rPr>
          <w:rStyle w:val="NumeroAFNegritaCaracter"/>
        </w:rPr>
        <w:t>2</w:t>
      </w:r>
      <w:r>
        <w:t>. El art.  14 de la Constitución establece que los españoles son iguales ante la Ley, sin que pueda prevalecer discriminación alguna por razón de nacimiento, raza, sexo, religión, opinión o cualquier otra condición o circunstancia personal o social.</w:t>
      </w:r>
    </w:p>
    <w:p w:rsidR="00256EE9" w:rsidRDefault="00256EE9" w:rsidP="00256EE9">
      <w:pPr>
        <w:pStyle w:val="TextoNormal"/>
      </w:pPr>
      <w:r>
        <w:t>Este precepto ha sido interpretado por el Tribunal en muy reiteradas ocasiones en el sentido de que comprende tanto la igualdad en la Ley como en la aplicación de la Ley; y, asimismo, ha señalado que, cuando se aduce la desigualdad en la aplicación de la Ley, debe aportarse un término de comparación en orden a acreditar que se ha producido un trato desigual en dos supuestos sustancialmente iguales.</w:t>
      </w:r>
    </w:p>
    <w:p w:rsidR="00256EE9" w:rsidRDefault="00256EE9" w:rsidP="00256EE9">
      <w:pPr>
        <w:pStyle w:val="TextoNormal"/>
      </w:pPr>
      <w:r>
        <w:t>En el presente caso la parte actora no alega que la calificación de sus terrenos -distinta de la correspondiente a los colindantes- se haya efectuado por el Plan con violación del principio de igualdad, el cual,como ha reiterado el Tribunal, no impide toda desigualdad sino aquella que sea discriminatoria.  En definitiva, pues, si se tiene en cuenta el carácter normativo del Plan General, no se aduce la violación del principio de igualdad en la Ley, sino en la aplicación de la Ley.</w:t>
      </w:r>
    </w:p>
    <w:p w:rsidR="00256EE9" w:rsidRDefault="00256EE9" w:rsidP="00256EE9">
      <w:pPr>
        <w:pStyle w:val="TextoNormal"/>
      </w:pPr>
      <w:r>
        <w:t>En efecto, la parte actora considera que tenía derecho a ser igualada a otros propietarios, en cuanto al contenido de su derecho de propiedad, a través de la reparcelación, que fue la cuestión suscitada ante el Ayuntamiento de Ripollet.</w:t>
      </w:r>
    </w:p>
    <w:p w:rsidR="00256EE9" w:rsidRDefault="00256EE9" w:rsidP="00256EE9">
      <w:pPr>
        <w:pStyle w:val="TextoNormal"/>
      </w:pPr>
      <w:r>
        <w:t>Ahora bien, como fácilmente se comprende, el problema que plantea no es susceptible de ser resuelto desde la perspectiva del principio de igualdad consagrado en la Constitución, pues la parte actora no invoca un término de comparación en virtud del cual se haya aplicado la reparcelación que se le deniega en un supuesto igual.  No se acredita, pues, que se haya producido desigualdad en cuanto a la aplicación de la reparcelación, y siendo esto asi es claro que no se ha vulnerado el art. 14 de la Constitución.</w:t>
      </w:r>
    </w:p>
    <w:p w:rsidR="00256EE9" w:rsidRDefault="00256EE9" w:rsidP="00256EE9">
      <w:pPr>
        <w:pStyle w:val="TextoNormal"/>
      </w:pPr>
      <w:r>
        <w:t>La cuestión que suscita la actora, en orden a la procedencia o no de la reparcelación, es de mera legalidad, ajena a la competencia del Tribunal, como lo es el determinar si los recurrentes tienen derecho a la justa distribución de beneficios y cargas y la forma de llevarla a cabo.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En virtud de lo expuesto, la Sección acuerda declarar inadmisible el recurso.  Archívense las presentes actuaciones.</w:t>
      </w:r>
    </w:p>
    <w:p w:rsidR="00256EE9" w:rsidRDefault="00256EE9" w:rsidP="00256EE9">
      <w:pPr>
        <w:pStyle w:val="TextoNormal"/>
      </w:pPr>
    </w:p>
    <w:p w:rsidR="00256EE9" w:rsidRDefault="00256EE9" w:rsidP="00256EE9">
      <w:pPr>
        <w:pStyle w:val="TextoNormal"/>
      </w:pPr>
      <w:r>
        <w:t>Madrid, a veinticuatro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5" w:name="AUTO_1985_54"/>
      <w:r>
        <w:lastRenderedPageBreak/>
        <w:t>AUTO 54/1985, de 24 de enero de 1985</w:t>
      </w:r>
    </w:p>
    <w:bookmarkEnd w:id="115"/>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ECLI:ES:TC:1985:54A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Ratificando la suspensión, previamente acordada, de la Ley 1/1984, del Parlamento de Galicia, en el recurso de inconstitucionalidad 646/1984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Presidente del Gobierno, mediante escrito presentado en el Juzgado de Guardia el 22 de agosto de 1984, interpuso recurso de inconstitucionalidad contra la Ley 1/1984, de 20 de febrero, del Parlamento de Galicia, del fondo de compensación financiera, haciendo expresa invocación del art. 161.2 de la Constitución Española (C. E.) en relación con el 30 de la Ley Orgánica del Tribunal Constitucional (LOTC), a fin de que se produjese la inmediata suspensión de la Ley recurrida y de las disposiciones y actos dictados, en su caso, para la ejecución de la misma.</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30 de agosto de 1984 se acordó admitir a trámite el recurso de inconstitucionalidad planteado y comunicar a los Presidentes del Parlamento y de la Junta de Galicia la suspensión de la vigencia y aplicación de la mencionada Ley 1/1984, de 20 de febrero, desde la fecha de formalización del recurso, así como publicar en el «Boletín Oficial del Estado» y «Diario Oficial» de la Junta de Galicia la formalización del recurso y la suspensión acordada.</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19 de diciembre de 1984, y estando próximo a finalizar el plazo de cinco meses que señala el art. 161.2 de la C. E., se acordó oír a las partes por plazo común de cinco días acerca del mantenimiento o levantamiento de la suspensión de la vigencia y aplicación de la Ley impugnada.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Dentro del referido plazo formuló sus alegaciones el Abogado del Estado diciendo que la Ley impugnada ha introducido un régimen de indiferenciación de los fondos públicos a disposición de la Comunidad Autónoma de Galicia, que hace correr el riesgo de incumplimiento de los fines asignados tanto a las asignaciones presupuestarias como a las transferencias del Fondo de Compensación Interterritorial, comprometiendo no sólo los clásicos principios presupuestarios, sino también los fines previstos para la economía en su conjunto, mientras que el mantenimiento de la suspensión no causaría ningún perjuicio </w:t>
      </w:r>
      <w:r>
        <w:lastRenderedPageBreak/>
        <w:t>a la Comunidad Autónoma, ya que lo único a que alcanzaría sería a la conservación de un principio de orden y especialidad presupuestaria.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Presidente del Parlamento de Galicia, en representación del mismo, manifestó por su parte estimar procedente el levantamiento de la suspensión teniendo en cuenta: a) el carácter coyuntural de la Ley, limitado determinada y transitoriamente al proceso de traspaso de competencias, y b) el principio constitucional de autonomía financiera que se proyecta principalmente en la vertiente del gasto, sujeto, de una parte, al Control del Tribunal de Cuentas. </w:t>
      </w:r>
    </w:p>
    <w:p w:rsidR="00256EE9" w:rsidRDefault="00256EE9" w:rsidP="00256EE9">
      <w:pPr>
        <w:pStyle w:val="TextoNormal"/>
      </w:pPr>
      <w:r>
        <w:t>La representación de la Junta de Galicia no formuló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A tenor de los arts.  161.2 de la C. E. y 30 de la LOTC, la impugnación por el Gobierno ante el Tribunal Constitucional (T. C.)  de las disposiciones y resoluciones de las Comunidades Autónomas producirá la suspensión de las mismas, pero el T. C., en su caso, deberá ratificarla o levantarla en un plazo no superior a cinco meses.  En el presente supuesto, no habiéndose dictado aún Sentencia y hallándose próximo a finalizar dicho plazo, se hace necesario decidir acerca del mantenimiento o levantamiento de la suspensión.</w:t>
      </w:r>
    </w:p>
    <w:p w:rsidR="00256EE9" w:rsidRDefault="00256EE9" w:rsidP="00256EE9">
      <w:pPr>
        <w:pStyle w:val="TextoNormal"/>
      </w:pPr>
    </w:p>
    <w:p w:rsidR="00256EE9" w:rsidRDefault="00256EE9" w:rsidP="00256EE9">
      <w:pPr>
        <w:pStyle w:val="TextoNormal"/>
      </w:pPr>
      <w:r w:rsidRPr="00256EE9">
        <w:rPr>
          <w:rStyle w:val="NumeroAFNegritaCaracter"/>
        </w:rPr>
        <w:t>2</w:t>
      </w:r>
      <w:r>
        <w:t>. Las alegaciones de las partes que las han formulado en el plazo concedido al efecto apenas aportan elementos de juicio respecto a la presente cuestión.  El Abogado del Estado se limita a señalar en abstracto la existencia de un riesgo, producido por la Ley impugnada, de que se llegue al incumplimiento de los fines asignados tanto a las asignaciones presupuestarias como a las transferencias del Fondo de Compensación Interterritorial, en contradicción con principios presupuestarios y ciertos fines de naturaleza económica; y niega que el mantenimiento de la suspensión cause perjuicio alguno a la Comunidad Autónoma.</w:t>
      </w:r>
    </w:p>
    <w:p w:rsidR="00256EE9" w:rsidRDefault="00256EE9" w:rsidP="00256EE9">
      <w:pPr>
        <w:pStyle w:val="TextoNormal"/>
      </w:pPr>
      <w:r>
        <w:t>La representación del Parlamento de Galicia, por su parte, omite toda consideración sobre la existencia o inexistencia de posibles perjuicios que pudieran derivarse del levantamiento o mantenimiento de la suspensión, aduciendo escuetamente unos argumentos cuya relación con la cuestión ahora debatida -la del levantamiento o confirmación de la suspensión- no es fácil advertir. Así, el carácter coyuntural de la Ley impugnada no impediría por sí solo la producción, en su caso, de perjuicios de difícil reparación; el principio constitucional de autonomía financiera podrá servir o no de fundamento para resolver la cuestión de fondo -la de la constitucionalidad de la Ley impugnada-, pero no para decidir sobre la suspensión de la misma; y el que la actividad de gasto público de la Comunidad Autónoma esté sujeta al control del Tribunal de Cuentas tampoco es óbice para que la aplicación de la Ley impugnada pudiera, en su caso, producir perjuicios que pudieran ser evitados mediante la suspensión de su ejecución.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Examinadas tales alegaciones y las circunstancias que concurren en el caso, y sin que ello suponga prejuzgar la cuestión de fondo, este Tribunal Constitucional estima razonable mantener la suspensión de la Ley impugnada, habida cuenta de que la misma se refiere genéricamente a la utilización que la Comunidad Autónoma de Galicia pueda hacer </w:t>
      </w:r>
      <w:r>
        <w:lastRenderedPageBreak/>
        <w:t>de «la totalidad de los fondos disponibles en su Tesorería, cualquiera que sea su origen y destino».</w:t>
      </w:r>
    </w:p>
    <w:p w:rsidR="00256EE9" w:rsidRDefault="00256EE9" w:rsidP="00256EE9">
      <w:pPr>
        <w:pStyle w:val="TextoNormal"/>
      </w:pPr>
      <w:r>
        <w:t>Si la aplicación de la Ley impugnada produjera o permitiera -como teme la representación del Gobierno- un uso indebido de tales fondos, tal aplicación causaría, como es obvio, graves perjuicios de orden financiero y de difícil reparación, o al menos el riesgo de que los mismos llegaran a producirse.  Mientras que si, como alega la representación del Parlamento de Galicia, la Ley impugnada tuviese como finalidad afrontar determinados problemas y desajustes derivados del proceso de traspaso de competencias, los posibles efectos negativos que derivasen de su inaplicación por suspensión habrían de tener también, presumiblemente, ese mismo carácter coyuntural y transitorio, por lo que difícilmente se trataría de perjuicios de difícil reparación: aparte de que la Comunidad Autónoma podría quizás evitar tales posibles perjuicios acudiendo al resto de los instrumentos ofrecidos por el ordenamiento jurídico-financiero vigente.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de todo lo anteriormente expuesto, el Tribunal Constitucional acuerda mantener la suspensión de la Ley 1/1984, de 20 de febrero, del Parlamento de Galicia, del fondo de compensación financiera.</w:t>
      </w:r>
    </w:p>
    <w:p w:rsidR="00256EE9" w:rsidRDefault="00256EE9" w:rsidP="00256EE9">
      <w:pPr>
        <w:pStyle w:val="TextoNormal"/>
      </w:pPr>
    </w:p>
    <w:p w:rsidR="00256EE9" w:rsidRDefault="00256EE9" w:rsidP="00256EE9">
      <w:pPr>
        <w:pStyle w:val="TextoNormal"/>
      </w:pPr>
      <w:r>
        <w:t>Publíquese la parte dispositiva del presente Auto en el «Boletín Oficial del Estado» y en el «Diario Oficial de Galicia» y notifíquese a las partes en el proceso.</w:t>
      </w:r>
    </w:p>
    <w:p w:rsidR="00256EE9" w:rsidRDefault="00256EE9" w:rsidP="00256EE9">
      <w:pPr>
        <w:pStyle w:val="TextoNormal"/>
      </w:pPr>
      <w:r>
        <w:t>Madrid, a veinticuatro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6" w:name="AUTO_1985_55"/>
      <w:r>
        <w:lastRenderedPageBreak/>
        <w:t>AUTO 55/1985, de 24 de enero de 1985</w:t>
      </w:r>
    </w:p>
    <w:bookmarkEnd w:id="116"/>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ECLI:ES:TC:1985:55A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Ratificando la suspensión, previamente acordada, del art. 3 del Decreto 125/1984, del Consejo Ejecutivo de la Generalidad de Cataluña, en el conflicto positivo de competencia 649/1984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Gobierno de la Nación, mediante escrito de 27 de agosto de 1984, planteó conflicto constitucional positivo de competencia en relación con el art. 3 del Decreto 125/1984, de 17 de abril, del Consejo Ejecutivo de la Generalidad de Cataluña, por el que se regula el uso de la lengua catalana en las escrituras públicas, con invocación expresa del art. 161.2 de la Constitución, al objeto de que fuese ordenada la suspensión de la disposición impugnada.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la Sección de vacaciones, de 30 de agosto de 1984, se tuvo por planteado el conflicto y se dio traslado de la demanda y documentos presentados al Consejo Ejecutivo de la Generalidad de Cataluña, teniéndose por producida la suspensión de la vigencia y aplicación del art. 3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00256EE9" w:rsidRDefault="00256EE9" w:rsidP="00256EE9">
      <w:pPr>
        <w:pStyle w:val="TextoNormal"/>
      </w:pPr>
      <w:r>
        <w:t>El Consejo Ejecutivo de la Generalidad de Cataluña presentó escrito de alegaciones el 4 de octubre de 1984, en solicitud de que en su día se dicte Sentencia declarando que la competencia controvertida corresponde a la Generalidad de Cataluña.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la Sección Primera, de 19 de diciembre de 1984, se acordó oír a las partes para que hicieran alegaciones en relación con el mantenimiento o levantamiento de la suspensión del art. 3 del Decreto objeto del conflicto. </w:t>
      </w:r>
    </w:p>
    <w:p w:rsidR="00256EE9" w:rsidRDefault="00256EE9" w:rsidP="00256EE9">
      <w:pPr>
        <w:pStyle w:val="TextoNormal"/>
      </w:pPr>
      <w:r>
        <w:t>El Abogado del Estado evacúa el traslado conferido, mediante escrito de 28 de diciembre último, interesando del Tribunal el mantenimiento de la suspensión. Justifica su solicitud en razón a que el precepto impugnado en el conflicto viene a introducir un régimen de ordenación e interpretación de los documentos jurídicos distinto al hasta entonces vigente en toda España, rompiendo la necesaria uniformidad en una materia no adecuada a la dis</w:t>
      </w:r>
      <w:r>
        <w:lastRenderedPageBreak/>
        <w:t xml:space="preserve">persión normativa, y en que mientras el mantenimiento no entraña ningún perjuicio, el levantamiento de la suspensión supondría dar entrada a un régimen singular que -caso de prosperar la pretension- causaría evidentes trastornos en la interpretación de los instrumentos públicos extendidos con arreglo a la legislación impugnada, cuando los anteriores y posteriores a dicho período transitorio quedarían sujetos a los preceptos comunes. </w:t>
      </w:r>
    </w:p>
    <w:p w:rsidR="00256EE9" w:rsidRDefault="00256EE9" w:rsidP="00256EE9">
      <w:pPr>
        <w:pStyle w:val="TextoNormal"/>
      </w:pPr>
      <w:r>
        <w:t>El Consejo Ejecutivo de la Generalidad, en su escrito de 31 de diciembre último, manifiesta que el precepto impugnado es un simple desarrollo del art. 10 de la Ley de Normalización Lingüística de 18 de abril de 1983, y que mientras el levantamiento de la suspensión no puede causar perjuicio alguno a los intereses generales, en tanto el conflicto se decida, ni comportar ninguna clase de discriminación respecto una de las dos lenguas oficiales en Cataluña, el mantenimiento podría producir una cierta situación de «laguna legal» que impediría la rápida solución de ciertas controversias para cuya resolución acaso no sea necesario ni conveniente acudir a la vía judicial, solicitándose en definitiva el levantamiento de la suspensión del art. 3 del Decreto impugnado en el presente conflicto.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art.  161.2 de la Constitución dice que el Gobierno podrá impugnar ante el Tribunal Constitucional las disposiciones y resoluciones adoptadas por los órganos de las Comunidades Autónomas.  La impugnación producirá la suspensión de la disposición o resolución recurrida, pero el Tribunal, en su caso, deberá ratificarla o levantarla en el plazo de cinco meses.  Próximo a expirar ese plazo en el presente conflicto procede, por tanto, que el Tribunal Constitucional se pronuncie sobre el mantenimiento o levantamiento de la suspensión de lo dispuesto en el art. 3 del Decreto 125/1984, de 17 de abril, del Consell de la Generalitat, relativo a la interpretación de los instrumentos públicos redactados en castellano y catalán.</w:t>
      </w:r>
    </w:p>
    <w:p w:rsidR="00256EE9" w:rsidRDefault="00256EE9" w:rsidP="00256EE9">
      <w:pPr>
        <w:pStyle w:val="TextoNormal"/>
      </w:pPr>
    </w:p>
    <w:p w:rsidR="00256EE9" w:rsidRDefault="00256EE9" w:rsidP="00256EE9">
      <w:pPr>
        <w:pStyle w:val="TextoNormal"/>
      </w:pPr>
      <w:r w:rsidRPr="00256EE9">
        <w:rPr>
          <w:rStyle w:val="NumeroAFNegritaCaracter"/>
        </w:rPr>
        <w:t>2</w:t>
      </w:r>
      <w:r>
        <w:t>. Para resolver la cuestión conviene ponderar las consecuencias que tendría sobre ella la Sentencia de este Tribunal resolviendo el conflicto en las diversas hipótesis posibles, en el bien entendido que la decisión que ahora se adopte no prejuzga en modo alguno la decisión sobre el fondo del conflicto.  Como dice el Abogado del Estado, el mantenimiento de la suspensión implica que continúe la situación actual.  Caso de que la Sentencia fuese favorable a la pretensión del Gobierno, no se produciría ningún perjuicio y caso de que le fuese desfavorable sólo supondría el retraso en la vigencia de unas normas relativas a la interpretación de los instrumentos públicos redactados en catalán y castellano en las contadas ocasiones en que pudieran surgir diferencias de interpretación entre ambos textos. Si, por el contrario, se levantase la suspensión, nada ocurriría si la Sentencia fuese favorable a la Generalidad, pero si no lo fuese se habría provocado una situación en que las normas para resolver las discrepancias entre ambos textos serían diferentes en un intervalo de tiempo de las que habían sido antes y de las que serían después.</w:t>
      </w:r>
    </w:p>
    <w:p w:rsidR="00256EE9" w:rsidRDefault="00256EE9" w:rsidP="00256EE9">
      <w:pPr>
        <w:pStyle w:val="TextoNormal"/>
      </w:pPr>
      <w:r>
        <w:t>Por ello, ponderados los intereses en conflicto, este Tribunal entiende que debe mantenerse la suspensión de la disposición impugnada.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el Tribunal Constitucional acuerda mantener la suspensión del art. 3 del Decreto 125/1984, de 17 de abril, del Consejo Ejecutivo de la Generalidad de Cataluña, impugnado por el Gobierno de la Nación en el conflicto de competencia núm.</w:t>
      </w:r>
    </w:p>
    <w:p w:rsidR="00256EE9" w:rsidRDefault="00256EE9" w:rsidP="00256EE9">
      <w:pPr>
        <w:pStyle w:val="TextoNormal"/>
      </w:pPr>
      <w:r>
        <w:t>649/1984.</w:t>
      </w:r>
    </w:p>
    <w:p w:rsidR="00256EE9" w:rsidRDefault="00256EE9" w:rsidP="00256EE9">
      <w:pPr>
        <w:pStyle w:val="TextoNormal"/>
      </w:pPr>
    </w:p>
    <w:p w:rsidR="00256EE9" w:rsidRDefault="00256EE9" w:rsidP="00256EE9">
      <w:pPr>
        <w:pStyle w:val="TextoNormal"/>
      </w:pPr>
      <w:r>
        <w:t>Publíquese en el «Boletín Oficial del Estado» y en el «Diario Oficial de la Generalidad de Cataluña».</w:t>
      </w:r>
    </w:p>
    <w:p w:rsidR="00256EE9" w:rsidRDefault="00256EE9" w:rsidP="00256EE9">
      <w:pPr>
        <w:pStyle w:val="TextoNormal"/>
      </w:pPr>
      <w:r>
        <w:t>Madrid, a veinticuatro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7" w:name="AUTO_1985_56"/>
      <w:r>
        <w:lastRenderedPageBreak/>
        <w:t>AUTO 56/1985, de 24 de enero de 1985</w:t>
      </w:r>
    </w:p>
    <w:bookmarkEnd w:id="117"/>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ECLI:ES:TC:1985:56A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695/1984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5 de octubre de 1984, tuvo entrada en este Tribunal recurso de amparo formulado por el Procurador de los Tribunales don Juan Luis Pérez Mulet Sánchez, en nombre y representación de la Asociación Nacional de Profesores Especiales Numerarios de Institutos Técnicos de Enseñanza Media (ITEM), contra Sentencia dictada por la Sala Quinta del Tribunal Supremo, en relación con el Real Decreto 1074/1978, de 19 de mayo, sobre integración de ciertos cuerpos docentes. La solicitud de amparo se basa en sustancia en lo siguiente: </w:t>
      </w:r>
    </w:p>
    <w:p w:rsidR="00256EE9" w:rsidRDefault="00256EE9" w:rsidP="00256EE9">
      <w:pPr>
        <w:pStyle w:val="TextoNormal"/>
      </w:pPr>
      <w:r>
        <w:t xml:space="preserve">A) Con fecha 30 de mayo de 1984, la Sala Quinta del Tribunal Supremo dictó Sentencia -notificada el día 13 de septiembre siguiente- por la que desestimó el recurso contencioso-administrativo interpuesto por la Entidad hoy solicitante de amparo contra el Real Decreto 1074/1978, de 19 de mayo, sobre integración en los Cuerpos de Catedráticos Numerarios y Profesores Agregados de Escuelas Universitarias y de Bachillerato, una vez que, en su día, fue presuntamente desestimado, mediante silencio administrativo, el recurso interpuesto por la misma Entidad contra dicho Real Decreto. </w:t>
      </w:r>
    </w:p>
    <w:p w:rsidR="00256EE9" w:rsidRDefault="00256EE9" w:rsidP="00256EE9">
      <w:pPr>
        <w:pStyle w:val="TextoNormal"/>
      </w:pPr>
      <w:r>
        <w:t xml:space="preserve">B) La presente demanda de amparo se dirige frente a la referida Sentencia de la Sala Quinta del Tribunal Supremo, y se fundamenta en una supuesta violación del derecho a la igualdad, reconocido por el art. 14 de la Constitución Española. Dicha violación se habría producido, según se alega en el escrito de amparo, mediante la discriminación causada a los profesores que integran la Asociación demandante por los arts. 4.1 (que dispone su integración en el Cuerpo de Profesores Agregados de Bachillerato) y 5.1 (que dispone la situación a extinguir de tales funcionarios en los casos de falta de la titulación requerida para la anterior integración), ambos del referido Real Decreto 1074/1978, por comparación a las disposiciones que este mismo Real Decreto contiene relativas a los catedráticos numerarios de ITEM, cuya integración o situación a extinguir se produce, en virtud de estas últimas disposiciones, respecto al Cuerpo de Catedráticos Numerarios de Bachillerato. </w:t>
      </w:r>
    </w:p>
    <w:p w:rsidR="00256EE9" w:rsidRDefault="00256EE9" w:rsidP="00256EE9">
      <w:pPr>
        <w:pStyle w:val="TextoNormal"/>
      </w:pPr>
      <w:r>
        <w:t>El motivo de la discriminación es, según se sostiene en el presente recurso, que tanto los profesores especiales numerarios como los catedráticos numerarios de ITEM eran dos Cuerpos docentes entre los que, con independencia de su denominación y de las retribuciones percibidas, no existía elemento diferenciador alguno, ni por el rango de sus títulos ni por la categoría de la disciplina que impartían, ni por jerarquía de ejercicio profesional, responsabilidad y función docente.</w:t>
      </w:r>
    </w:p>
    <w:p w:rsidR="00256EE9" w:rsidRDefault="00256EE9" w:rsidP="00256EE9">
      <w:pPr>
        <w:pStyle w:val="TextoNormal"/>
      </w:pPr>
    </w:p>
    <w:p w:rsidR="00256EE9" w:rsidRDefault="00256EE9" w:rsidP="00256EE9">
      <w:pPr>
        <w:pStyle w:val="TextoNormal"/>
      </w:pPr>
      <w:r w:rsidRPr="00256EE9">
        <w:rPr>
          <w:rStyle w:val="NumeroAFNegritaCaracter"/>
        </w:rPr>
        <w:t>2</w:t>
      </w:r>
      <w:r>
        <w:t>. Se solicita de este Tribunal que declare la nulidad de la denegación presunta del recurso de reposición por parte de la Administración Civil, así como la nulidad de la Sentencia de la Sala Quinta del Tribunal Supremo, y consecuentemente la nulidad radical del Real Decreto 1074/1978, en lo referente a la integración de los profesores especiales numerarios de ITEM, y que dichos profesores tienen derecho y deben ser integrados en el Cuerpo de Catedráticos Numerarios de Bachillerato con todos los derechos y deberes inherentes al mismo y con independencia de la titulación que poseen; y de forma alternativa y subsidiaria para los profesores especiales citados que no reúnan el requisito de la titulación, se declare el derecho a su integración en otros Cuerpos pendientes de tal integración y que reúnan las condiciones necesarias en Derecho; y en todo caso, a que se les acrediten y reconozcan a todos los profesores especiales numerarios de ITEM iguales devengos y derechos económicos a los del Cuerpo de Catedráticos Numerarios de Bachillerato.</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mediante providencia de 31 de octubre de 1984, acordó, de conformidad con lo dispuesto en el art. 50 de la Ley Orgánica del Tribunal Constitucional (LOTC) conceder un plazo de diez días al Ministerio Fiscal y a la Entidad solicitante de amparo para que, dentro de dicho término, alegasen lo que estimasen pertinente en relación con el siguiente motivo de inadmisión, previsto en el art. 50.2 b) de la misma LOTC: carecer la demanda manifiestamente de contenido que justifique una decisión por parte de este Tribunal Constitucional.</w:t>
      </w:r>
    </w:p>
    <w:p w:rsidR="00256EE9" w:rsidRDefault="00256EE9" w:rsidP="00256EE9">
      <w:pPr>
        <w:pStyle w:val="TextoNormal"/>
      </w:pPr>
    </w:p>
    <w:p w:rsidR="00256EE9" w:rsidRDefault="00256EE9" w:rsidP="00256EE9">
      <w:pPr>
        <w:pStyle w:val="TextoNormal"/>
      </w:pPr>
      <w:r w:rsidRPr="00256EE9">
        <w:rPr>
          <w:rStyle w:val="NumeroAFNegritaCaracter"/>
        </w:rPr>
        <w:t>4</w:t>
      </w:r>
      <w:r>
        <w:t>. Dentro del plazo conferido por la anterior providencia, el Ministerio Fiscal presentó escrito en el que interesa de este Tribunal la inadmisión del recurso de amparo, en base al vicio señalado por dicha providencia, por entender que es inexistente la identidad de circunstancias entre los llamados profesores titulares y los especiales sobre la que trata de fundamentarse la discriminación que se invoca. Dentro del mismo plazo, la representación de la Asociación demandante de amparo formuló escrito de alegaciones en el que reitera, en términos resumidos, las ya articuladas en su escrito inicial de solicitud de amparo, así como las pretensiones que en el mismo se contienen.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existe la causa de inadmisión prevista en el art. 50.2 b) de la Ley Orgánica del Tribunal Constitucional, es decir, si la demanda carece o no manifiestamente de contenido que justifique una decisión por parte del Tribunal Constitucional en forma de Sentencia, con el desarrollo procesal consiguiente. A cuyo efecto hemos de examinar la vulneración del art. 14 de la Constitución alegada por la Asociación recurrente.</w:t>
      </w:r>
    </w:p>
    <w:p w:rsidR="00256EE9" w:rsidRDefault="00256EE9" w:rsidP="00256EE9">
      <w:pPr>
        <w:pStyle w:val="TextoNormal"/>
      </w:pPr>
    </w:p>
    <w:p w:rsidR="00256EE9" w:rsidRDefault="00256EE9" w:rsidP="00256EE9">
      <w:pPr>
        <w:pStyle w:val="TextoNormal"/>
      </w:pPr>
      <w:r w:rsidRPr="00256EE9">
        <w:rPr>
          <w:rStyle w:val="NumeroAFNegritaCaracter"/>
        </w:rPr>
        <w:t>2</w:t>
      </w:r>
      <w:r>
        <w:t>. En primer lugar, examinamos si tal violación ha podido producirse por la Sentencia impugnada, para lo cual sería necesario que el propio órgano judicial hubiera resuelto de forma distinta en supuestos sustancialmente iguales, y que el apartamiento del precedente no estuviera motivado, según reiterada doctrina de este Tribunal.</w:t>
      </w:r>
    </w:p>
    <w:p w:rsidR="00256EE9" w:rsidRDefault="00256EE9" w:rsidP="00256EE9">
      <w:pPr>
        <w:pStyle w:val="TextoNormal"/>
      </w:pPr>
      <w:r>
        <w:t xml:space="preserve">Pues bien, la Asociación recurrente no aporta ningún término de comparación que permita afirmar la existencia de indicio alguno de que el principio de igualdad puede haberse </w:t>
      </w:r>
      <w:r>
        <w:lastRenderedPageBreak/>
        <w:t>violado por la Sentencia recurrida.  Por el contrario, su lectura evidencia que en la misma se afirma que la Sala no se aparta de la doctrina sostenida en resoluciones precedentes, sin que tal afirmación haya sido objeto de contradicción por la actora.</w:t>
      </w:r>
    </w:p>
    <w:p w:rsidR="00256EE9" w:rsidRDefault="00256EE9" w:rsidP="00256EE9">
      <w:pPr>
        <w:pStyle w:val="TextoNormal"/>
      </w:pPr>
    </w:p>
    <w:p w:rsidR="00256EE9" w:rsidRDefault="00256EE9" w:rsidP="00256EE9">
      <w:pPr>
        <w:pStyle w:val="TextoNormal"/>
      </w:pPr>
      <w:r w:rsidRPr="00256EE9">
        <w:rPr>
          <w:rStyle w:val="NumeroAFNegritaCaracter"/>
        </w:rPr>
        <w:t>3</w:t>
      </w:r>
      <w:r>
        <w:t>. En realidad, como pone acertadamente de manifiesto el Ministerio Fiscal, la vulneración del principio de igualdad, de existir, sería imputable al Real Decreto 1074/1978, cuya legalidad ha sido examinada detenidamente por la Sentencia impugnada, la cual afirma -considerando segundoque la pretendida igualdad no resulta de la situación anterior, pues «la Ley 16/1967, de 8 de abril, diferencia los catedráticos numerarios y los profesores especiales numerarios, distintos Cuerpos y distintos coeficientes, lo que va en contra de la alegación de que nacieron y siguieron siendo iguales; las convocatorias fueron distintas y diferentes los nombramientos, por lo que el seguir diferenciándose en el momento de integrarse en los Cuerpos de nueva creación no indica ninguna desigualdad jurídicamente lesiva para los recurrentes».</w:t>
      </w:r>
    </w:p>
    <w:p w:rsidR="00256EE9" w:rsidRDefault="00256EE9" w:rsidP="00256EE9">
      <w:pPr>
        <w:pStyle w:val="TextoNormal"/>
      </w:pPr>
    </w:p>
    <w:p w:rsidR="00256EE9" w:rsidRDefault="00256EE9" w:rsidP="00256EE9">
      <w:pPr>
        <w:pStyle w:val="TextoNormal"/>
      </w:pPr>
      <w:r w:rsidRPr="00256EE9">
        <w:rPr>
          <w:rStyle w:val="NumeroAFNegritaCaracter"/>
        </w:rPr>
        <w:t>4</w:t>
      </w:r>
      <w:r>
        <w:t>. Los considerandos anteriores acreditan que no puede imputarse a la Sentencia impugnada violación alguna del principio de igualdad ni, de acuerdo con la misma y con la realidad fáctica en que se basa, puede sostenerse que el Decreto 1074/1978, vulnera el principio de igualdad.</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veinticuatro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8" w:name="AUTO_1985_57"/>
      <w:r>
        <w:lastRenderedPageBreak/>
        <w:t>AUTO 57/1985, de 24 de enero de 1985</w:t>
      </w:r>
    </w:p>
    <w:bookmarkEnd w:id="11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ECLI:ES:TC:1985:57A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827/1984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Argimiro Vázquez Guillén, Procurador de los Tribunales, interpone en nombre y representación de don Rafael Moreno Escames y otros recurso de amparo constitucional contra la Sentencia del Tribunal Central de Trabajo de 10 de octubre de 1984, por la que se desestima el recurso de suplicación interpuesto por los actores contra la Sentencia de la Magistratura de Trabajo núm. 6 de las de Valencia, dictada en reclamación por extinción de contratos de trabajo, confirmando la misma.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pretensión que se postula se apoya en los siguientes hechos: a) Los demandantes venían prestando servicio en la empresa «Rosa Chancosa Zarzo». Tras el fallecimiento de ésta, acaecido el 11 de agosto de 1976, le sucedió/en la titularidad de la Empresa y dirección del negocio su esposo, don José Sanchís López, que a su vez falleció el 5 de mayo de 1982, siendo sus herederos don José Vicente Sanchís Chancosa y doña Rosa Sanchís Chancosa, ninguno de los cuales, tal y como consta en la narración fáctica de las Sentencias impugnadas, se hizo cargo de la gestión de la Empresa, que siguió funcionando varios meses bajo la dirección del encargado, don Salvador Chancosa Castellano. b) En fecha de 1 de mayo de 1983, los herederos de don José Sanchís López instaron expediente ante la Autoridad laboral en solicitud de extinción de los contratos de trabajo de los 15 trabajadores de la Empresa en base a la muerte del empresario. Por Resolución de 7 de abril de 1983, la Dirección Provincial de Trabajo y Seguridad Social de Valencia acordó constatar la solicitada extinción de las relaciones laborales, declarando en situación legal de desempleo a los trabajadores afectados. Promovido recurso de alzada contra la anterior decisión, la misma fue confirmada por Resolución de la Dirección General de Empleo de 1 de julio de 1983. </w:t>
      </w:r>
    </w:p>
    <w:p w:rsidR="00256EE9" w:rsidRDefault="00256EE9" w:rsidP="00256EE9">
      <w:pPr>
        <w:pStyle w:val="TextoNormal"/>
      </w:pPr>
      <w:r>
        <w:t xml:space="preserve">Interpuesto recurso contencioso-administrativo ante la Audiencia Territorial de Valencia, la Sala de lo Contencioso-Administrativo ha señalado el 12 de mayo de 1985 como día para votación y fallo de dicho recurso. c) De otro lado, 12 de los 15 trabajadores afectados por el expediente administrativo al que se ha hecho referencia promovieron ante la jurisdicción laboral demandas en reclamación de la extinción de los contratos de trabajo, solicitando la readmisión en sus puestos de trabajo. En fecha 28 de enero de 1984, la Magistratura de Trabajo núm. 6 de las de Valencia dictó Sentencia desestimatoria de las pretensiones deducidas, completando lo acordado por las resoluciones administrativas que </w:t>
      </w:r>
      <w:r>
        <w:lastRenderedPageBreak/>
        <w:t>constataron la extinción de las relaciones laborales por muerte del empresario en el sentido de reconocer a los demandantes el derecho a percibir una indemnización equivalente a una mensualidad de su salario. Recurrida en suplicación la anterior resolución, el Tribunal Central de Trabajo, por Sentencia de 10 de octubre de 1984, desestimó el recurso, confirmando en todos sus extremos la decisión judicial de instancia.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escrito de demanda denuncia la vulneración por la Sentencia impugnada del principio de igualdad proclamado en el art. 14 de la C. E., violación ésta que se habría producido por cuanto aquélla, pese a reconocer que los recurrentes en amparo estuvieron prestando servicios durante un año después de la muerte del empresario, legitima a los herederos para extinguir los contratos de trabajo por procedimiento distinto al previsto en el art. 51 del Estatuto de los Trabajadores, obligándoles a abonar una indemnización equivalente a una mensualidad de su salario, en lugar de la establecida para los supuestos de fuerza mayor. Al otorgar a los demandantes una menor indemnización que la fijada para el caso citado, se les discrimina sin justificación objetiva razonable, lesionando su derecho a la igualdad. </w:t>
      </w:r>
    </w:p>
    <w:p w:rsidR="00256EE9" w:rsidRDefault="00256EE9" w:rsidP="00256EE9">
      <w:pPr>
        <w:pStyle w:val="TextoNormal"/>
      </w:pPr>
      <w:r>
        <w:t xml:space="preserve">Pero, además, y en segundo lugar, la Sentencia combatida, al no prestar relevancia al plazo de un año de funcionamiento de la Empresa, vulnera el principio de seguridad jurídica consagrado en el art. 9.3 de la C. E., por cuanto los actores han estado sometidos a la decisión unilateral de los herederos para proceder a la liquidación del negocio «en la forma y tiempo más conveniente a sus intereses», lo que les ha ocasionado un notable perjuicio económico. </w:t>
      </w:r>
    </w:p>
    <w:p w:rsidR="00256EE9" w:rsidRDefault="00256EE9" w:rsidP="00256EE9">
      <w:pPr>
        <w:pStyle w:val="TextoNormal"/>
      </w:pPr>
      <w:r>
        <w:t xml:space="preserve">En el «suplico», se solicita de este Tribunal Constitucional (T. </w:t>
      </w:r>
    </w:p>
    <w:p w:rsidR="00256EE9" w:rsidRDefault="00256EE9" w:rsidP="00256EE9">
      <w:pPr>
        <w:pStyle w:val="TextoNormal"/>
      </w:pPr>
      <w:r>
        <w:t>C.) que, de un lado, declare la nulidad de la Sentencia en lo que concierne a la indemnización fijada y, de otro, reconozca el derecho de los recurrentes a una indemnización de veinte días de salario por año de servicio con el tope de doce meses con arregloa lo previsto en el art. 51 de la Ley 8/1978, de 10 de mayo, del Estatuto de los Trabajadores.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19 de diciembre de 1984, la Sección Segunda de este Tribunal Constitucional, tras tener por recibido el escrito de demanda y documentos adjuntos, acordó conceder al Ministerio Fiscal y a los recurrentes un plazo común de diez días a fin de que, dentro del mismo, formularen las alegaciones que estimaren pertinentes en orden a la posible concurrencia de los siguientes motivos de inadmisión: a) carecer la demanda manifiestamente de contenido que justifique una decisión por parte del T. C. </w:t>
      </w:r>
    </w:p>
    <w:p w:rsidR="00256EE9" w:rsidRDefault="00256EE9" w:rsidP="00256EE9">
      <w:pPr>
        <w:pStyle w:val="TextoNormal"/>
      </w:pPr>
      <w:r>
        <w:t>[art. 50.2 b) de la LOTC]; b) respecto de la alegada violación del art. 14 de la C. E., no haberse invocado en el proceso el derecho constitucional vulnerado [art. 50.1 b) en relación con el art. 44.1 c), ambos de la LOTC], y c) en cuanto a la presunta infracción del art. 9.3 de la C. E., deducirse la demanda respecto de derechos no susceptibles de amparo constitucional [art. 50.2 a)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Evacuando el trámite, el Ministerio Fiscal señala que la Sentencia impugnada del Tribunal Central de Trabajo confirma otra anterior, lo que muestra que la vulneración del art. 14 de la C. E., de haberse producido, lo fue con anterioridad a la formulación del recurso de suplicación, en el que hubo, por tanto, de invocarse el derecho estimado como infringido. Al no haberse hecho así, la demanda no se ajusta al requisito establecido en el art. 44.1 c) de la LOTC. De otro lado, tanto la Sentencia de instancia como la del órgano superior razonan el porqué de la aplicación del art. 49.7 del Estatuto de los Trabajadores y </w:t>
      </w:r>
      <w:r>
        <w:lastRenderedPageBreak/>
        <w:t xml:space="preserve">no del art. 51 del mismo texto legal, ya que cada uno responde a situaciones diferentes, por lo que la demanda carece de contenido constitucional. Finalmente, el Ministerio Fiscal estima la concurrencia de la causa de inadmisión del art. 50.2 a) de la LOTC, ya que el principio de seguridad jurídica no es susceptible de ser tutelado de manera directa por la vía del amparo constitucional. </w:t>
      </w:r>
    </w:p>
    <w:p w:rsidR="00256EE9" w:rsidRDefault="00256EE9" w:rsidP="00256EE9">
      <w:pPr>
        <w:pStyle w:val="TextoNormal"/>
      </w:pPr>
      <w:r>
        <w:t>En razón de lo expuesto, el Ministerio Fiscal interesa de este T. C. dicte Auto declarando la inadmisión del recurso promovido en base a lo establecido en los arts. 50.2 a) y 50.1 b), en relación con el art. 44.1 c), todos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En su escrito de alegaciones, los recurrentes comienzan señalando la efectiva vulneración del principio de igualdad, ya que las Sentencias han aplicado al supuesto de hecho un régimen extintivo que, sin justificación objetiva y razonable, establece una indemnización inferior a la que corresponde a los trabajadores cuyos contratos de trabajo se terminan por causa de fuerza mayor. De otra parte, los demandantes estiman haber cumplido con la exigencia señalada en el art. 44.1 c) de la LOTC, pues nada más conocer el fallo de la Sentencia de instancia que concedió la indemnización, se planteó la cuestión del tratamiento desigual. Por lo demás, la invocación del art. 9.3 de la C. E. se realiza en la demanda como una consecuencia de la vulneración del principio de igualdad. Por todo ello, se suplica dictar resolución acordando la continuación del proceso constitucional.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recurso de amparo se dirige contra la Sentencia dictada por el Tribunal Central de Trabajo, a la que se acusa de manera directa de haber lesionado derechos fundamentales.  Es obligado señalar, sin embargo, que dicha Sentencia no hizo sino confirmar en todos sus extremos la anterior resolución pronunciada por la Magistratura de Trabajo núm.  6 de las de Valencia, desestimando el recurso que, frente a ella, promovieron los actores.</w:t>
      </w:r>
    </w:p>
    <w:p w:rsidR="00256EE9" w:rsidRDefault="00256EE9" w:rsidP="00256EE9">
      <w:pPr>
        <w:pStyle w:val="TextoNormal"/>
      </w:pPr>
      <w:r>
        <w:t>La identidad entre ambas decisiones judiciales evidencia, por consiguiente, que las violaciones denunciadas, de haberse producido por las razones alegadas, arrancan de la Sentencia de instancia.</w:t>
      </w:r>
    </w:p>
    <w:p w:rsidR="00256EE9" w:rsidRDefault="00256EE9" w:rsidP="00256EE9">
      <w:pPr>
        <w:pStyle w:val="TextoNormal"/>
      </w:pPr>
      <w:r>
        <w:t>Este planteamiento tiene importancia a los efectos de verificar el cumplimiento del requisito establecido en el art.  44.1 c) de la LOTC, que condiciona la admisión de las demandas de amparo a la invocación en el proceso del derecho constitucional vulnerado, «tan pronto como, una vez conocida la violación hubiere lugar para ello».</w:t>
      </w:r>
    </w:p>
    <w:p w:rsidR="00256EE9" w:rsidRDefault="00256EE9" w:rsidP="00256EE9">
      <w:pPr>
        <w:pStyle w:val="TextoNormal"/>
      </w:pPr>
      <w:r>
        <w:t>En el caso a examen no se infiere la observancia de dicha exigencia.  La lectura de la Sentencia del Tribunal Central de Trabajo muestra, en efecto, que los recurrentes articularon el recurso de suplicación al amparo de dos motivos con los que se pretendía, de una parte, revisar la narración de hechos de la resolución de instancia y, de otra, combatir el derecho en ella aplicado.</w:t>
      </w:r>
    </w:p>
    <w:p w:rsidR="00256EE9" w:rsidRDefault="00256EE9" w:rsidP="00256EE9">
      <w:pPr>
        <w:pStyle w:val="TextoNormal"/>
      </w:pPr>
      <w:r>
        <w:t>En lo que a este segundo motivo concierne, se denunciaban como infringidos «el art.  1, apartados 1 y 2 del Estatuto de los Trabajadores, y el art. 49.7, en relación con el art. 44, del mismo cuerpo legal» por entender los hoy solicitantes de amparo que los codemandados «fueron continuadores del negocio del finado empresario» y por ende «considerar que los mismos quedaban subrogados en los derechos y obligaciones de éste».</w:t>
      </w:r>
    </w:p>
    <w:p w:rsidR="00256EE9" w:rsidRDefault="00256EE9" w:rsidP="00256EE9">
      <w:pPr>
        <w:pStyle w:val="TextoNormal"/>
      </w:pPr>
    </w:p>
    <w:p w:rsidR="00256EE9" w:rsidRDefault="00256EE9" w:rsidP="00256EE9">
      <w:pPr>
        <w:pStyle w:val="TextoNormal"/>
      </w:pPr>
      <w:r w:rsidRPr="00256EE9">
        <w:rPr>
          <w:rStyle w:val="NumeroAFNegritaCaracter"/>
        </w:rPr>
        <w:t>2</w:t>
      </w:r>
      <w:r>
        <w:t>. Las anteriores consideraciones muestran una falta de equivalencia entre las pretensiones deducidas en el proceso ordinario y las que ahora se postulan en este proceso cons</w:t>
      </w:r>
      <w:r>
        <w:lastRenderedPageBreak/>
        <w:t>titucional.  Aquellas primeras se contraían a solicitar la readmisión de los recurrentes en sus puestos de trabajo o, si se prefiere, el mantenimiento de las relaciones laborales, invocando como fundamento de su petición el principio de subrogación enunciado en el art. 44 del Estatuto de los Trabajadores, aplicable, a su juicio, al caso concreto en razón de que los herederos del empresario fallecido habían de tener la condición de adquirentes de la Empresa por haber continuado la actividad empresarial durante un año después del citado fallecimiento.  En la demanda de amparo, sin embargo, los actores alteran sus pretensiones, introduciendo en un momento procesal del todo punto inadecuado una dimensión constitucional en la defensa de sus intereses. El tema debatido en el recurso de suplicación no fue la eventual discriminación padecida por los solicitantes de amparo al haberse extinguido sus contratos por muerte del empresario y reconocérseles una indemnización inferior a la que la legislación prevé para otras causas de extinción del contrato de trabajo -crisis económica y tecnológica, pérdida de la personalidad contratante o fuerza mayor-. Lo impugnado fue la realidad misma de la extinción por las razones ya indicadas.</w:t>
      </w:r>
    </w:p>
    <w:p w:rsidR="00256EE9" w:rsidRDefault="00256EE9" w:rsidP="00256EE9">
      <w:pPr>
        <w:pStyle w:val="TextoNormal"/>
      </w:pPr>
      <w:r>
        <w:t>Este comportamiento procesal de los demandantes no puede prosperar, pues ello significaría transformar la naturaleza del propio recurso, remedio último y subsidiario para restablecer a los ciudadanos en el ejercicio de los derechos constitucionales infringidos por actos procedentes de los Poderes Públicos, naturaleza ésta que es, cabalmente, la que tiende a preservar la exigencia formulada en el art. 44.1 c) de la LOTC.</w:t>
      </w:r>
    </w:p>
    <w:p w:rsidR="00256EE9" w:rsidRDefault="00256EE9" w:rsidP="00256EE9">
      <w:pPr>
        <w:pStyle w:val="TextoNormal"/>
      </w:pPr>
      <w:r>
        <w:t>En razón de lo expuesto, en la demanda a examen concurre la causa de inadmisión prevista en el art. 50.1 b) de la LOTC, a la que, además, se adicionan otras sobre las que pasamos a continuación.</w:t>
      </w:r>
    </w:p>
    <w:p w:rsidR="00256EE9" w:rsidRDefault="00256EE9" w:rsidP="00256EE9">
      <w:pPr>
        <w:pStyle w:val="TextoNormal"/>
      </w:pPr>
    </w:p>
    <w:p w:rsidR="00256EE9" w:rsidRDefault="00256EE9" w:rsidP="00256EE9">
      <w:pPr>
        <w:pStyle w:val="TextoNormal"/>
      </w:pPr>
      <w:r w:rsidRPr="00256EE9">
        <w:rPr>
          <w:rStyle w:val="NumeroAFNegritaCaracter"/>
        </w:rPr>
        <w:t>3</w:t>
      </w:r>
      <w:r>
        <w:t>. Los recurrentes denuncian la violación por las Sentencias impugnadas del art. 9.3 de la C. E., alegando que la admisión como causa extintiva de la muerte del empresario tras un año de funcionamiento de la Empresa vulnera el principio de seguridad jurídica, quedando la continuidad o no de las relaciones laborales a la decisión unilateral de los herederos del empresario fallecido.  Frente a tal denuncia, cabe señalar que la demanda se deduce respecto de derechos no susceptibles de amparo constitucional (art.  53.2 de la C. E.).</w:t>
      </w:r>
    </w:p>
    <w:p w:rsidR="00256EE9" w:rsidRDefault="00256EE9" w:rsidP="00256EE9">
      <w:pPr>
        <w:pStyle w:val="TextoNormal"/>
      </w:pPr>
      <w:r>
        <w:t>Y aun cuando este T. C. ha señalado en distintas ocasiones que el citado principio ofrece facetas en las que pudieran estar involucrados otros derechos constitucionales protegidos con la garantía del amparo, como por ejemplo el principio de igualdad, ello no ocurre en el presente caso en el que el art.  9.3 se invoca autónomamente -pese a lo que de adverso se alega- sin conexión, directa o indirecta, con la lesión del derecho de igualdad.  Por lo demás, la Sentencia del Tribunal Central de Trabajo no crea incertidumbre jurídica alguna en los recurrentes, pues justifica razonablemente el porqué, pese a haber transcurrido un año, no cabe aplicar la subrogación regulada en el art.  44 del Estatuto de los Trabajadores.</w:t>
      </w:r>
    </w:p>
    <w:p w:rsidR="00256EE9" w:rsidRDefault="00256EE9" w:rsidP="00256EE9">
      <w:pPr>
        <w:pStyle w:val="TextoNormal"/>
      </w:pPr>
    </w:p>
    <w:p w:rsidR="00256EE9" w:rsidRDefault="00256EE9" w:rsidP="00256EE9">
      <w:pPr>
        <w:pStyle w:val="TextoNormal"/>
      </w:pPr>
      <w:r w:rsidRPr="00256EE9">
        <w:rPr>
          <w:rStyle w:val="NumeroAFNegritaCaracter"/>
        </w:rPr>
        <w:t>4</w:t>
      </w:r>
      <w:r>
        <w:t>. Finalmente y en cuanto al fondo del asunto acerca de la presunta vulneración del principio de igualdad, la demanda, aparte de lo ya indicado, incurre en falta manifiesta de contenido constitucional.</w:t>
      </w:r>
    </w:p>
    <w:p w:rsidR="00256EE9" w:rsidRDefault="00256EE9" w:rsidP="00256EE9">
      <w:pPr>
        <w:pStyle w:val="TextoNormal"/>
      </w:pPr>
      <w:r>
        <w:t xml:space="preserve">Como señaló el Auto de este Tribunal de 28 de septiembre de 1983 (Rec.  amp.  422/1983), corresponde al legislador determinar las justas causas de extinción del contrato, así como fijar sus efectos, no resultando «irrazonable que se haya establecido una gradación en los efectos de las causas de extinción» en atención a determinadas circunstancias, tales como la función extintiva desempeñada por la voluntad del trabajador -debida o ajena a esa voluntad-, dentro de las ajenas a su voluntad, el carácter objetivo o subjetivo de la imposibilidad de continuar la actividad de Empresa. La muerte del empresario, causa </w:t>
      </w:r>
      <w:r>
        <w:lastRenderedPageBreak/>
        <w:t>de extinción de los contratos de trabajo ajena a la voluntad del trabajador y centrada en una imposibilidad subjetiva, produce unos efectos indemnizatorios diferentes a los previstos en los casos de fuerza mayor o crisis económica, causa también ajena a la voluntad del trabajador, pero constitutiva de una imposibilidad objetiva.  Tales diferencias, entre otras, justifican el tratamiento diverso y, por tanto, la aplicación por los Tribunales del régimen extintivo propio de cada una, a la vista de los hechos declarados probados, no implica vulneración del principio de igualdad.</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los razonamientos anteriores, es evidente que concurren los motivos de inadmisión puestos de manifiesto por nuestra providencia de 19 de diciembre de 1984, acordando la Sección, por consiguiente, la inadmisibilidad del recurso, y el archivo de las</w:t>
      </w:r>
    </w:p>
    <w:p w:rsidR="00256EE9" w:rsidRDefault="00256EE9" w:rsidP="00256EE9">
      <w:pPr>
        <w:pStyle w:val="TextoNormal"/>
      </w:pPr>
      <w:r>
        <w:t>actuaciones.</w:t>
      </w:r>
    </w:p>
    <w:p w:rsidR="00256EE9" w:rsidRDefault="00256EE9" w:rsidP="00256EE9">
      <w:pPr>
        <w:pStyle w:val="TextoNormal"/>
      </w:pPr>
    </w:p>
    <w:p w:rsidR="00256EE9" w:rsidRDefault="00256EE9" w:rsidP="00256EE9">
      <w:pPr>
        <w:pStyle w:val="TextoNormal"/>
      </w:pPr>
      <w:r>
        <w:t>Madrid, a veinticuatro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19" w:name="AUTO_1985_58"/>
      <w:r>
        <w:lastRenderedPageBreak/>
        <w:t>AUTO 58/1985, de 30 de enero de 1985</w:t>
      </w:r>
    </w:p>
    <w:bookmarkEnd w:id="119"/>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ECLI:ES:TC:1985:58A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37/1984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que tuvo su entrada en este Tribunal Constitucional el día 16 de enero de 1984, don Juan Gómez Crespo promovía recurso de amparo contra la Sentencia dictada por la Audiencia Provincial de Barcelona con fecha 26 de mayo de 1982, en la causa núm. 67 del año 1980, rollo 2345, procedente del Juzgado de Instrucción núm. 3 de los de Hospitalet de Llobregat, que le condenó, como autor responsable de un delito de imprudencia con quebranto de la seguridad del tráfico, y de un delito de omisión del deber de socorro, con la concurrencia de la circunstancia de embriaguez no habitual en el segundo de ellos, a las penas, entre otras, de tres meses de arresto mayor y privación del permiso de conducir por cinco años por el primero, y un año de prisión menor por el segundo; cuya Sentencia fue confirmada por otra de la Sala Segunda del Tribunal Supremo de 5 de diciembre de 1983, que declara no haber lugar al recurso de casación por quebrantamiento de forma e infracción de Ley, interpuesto contra la primera. </w:t>
      </w:r>
    </w:p>
    <w:p w:rsidR="00256EE9" w:rsidRDefault="00256EE9" w:rsidP="00256EE9">
      <w:pPr>
        <w:pStyle w:val="TextoNormal"/>
      </w:pPr>
      <w:r>
        <w:t>En dicho escrito, solicitaba el nombramiento de Abogado y Procurador del turno de oficio para la formalización de la correspondiente demanda.</w:t>
      </w:r>
    </w:p>
    <w:p w:rsidR="00256EE9" w:rsidRDefault="00256EE9" w:rsidP="00256EE9">
      <w:pPr>
        <w:pStyle w:val="TextoNormal"/>
      </w:pPr>
    </w:p>
    <w:p w:rsidR="00256EE9" w:rsidRDefault="00256EE9" w:rsidP="00256EE9">
      <w:pPr>
        <w:pStyle w:val="TextoNormal"/>
      </w:pPr>
      <w:r w:rsidRPr="00256EE9">
        <w:rPr>
          <w:rStyle w:val="NumeroAFNegritaCaracter"/>
        </w:rPr>
        <w:t>2</w:t>
      </w:r>
      <w:r>
        <w:t>. Mediante providencia de fecha 1 de febrero de 1984, la Sección Cuarta de este Tribunal Constitucional acordó otorgar al solicitante de amparo un plazo de diez días para que justificase haber gozado del beneficio de pobreza en la vía judicial previa, o en su caso manifestase estar comprendido en alguno de los supuestos de pobreza que regulan los arts. 15 a 18 de la Ley de Enjuiciamiento Civil, debiendo en otro caso comparecer mediante Procurador con poder al efecto y asistido de Abogado de su designación y a su costa. Presentándose escrito por el solicitante de amparo, interesando se le nombrara como Procurador para que le representase a don Alejandro García Yuste y como Abogado a don Guillermo Clavería Almazor, acordándose por la Sección Tercera de este Tribunal en providencia de 20 de junio del pasado año, poner en conocimiento del interesado que siendo aquéllos de su elección no necesitaba designación de oficio, por lo que bajo la representación del expresado Procurador debidamente acreditada al efecto y bajo la dirección del Abogado antes citado, podría formalizarse la demanda de amparo en el plazo de veinte días, con sujeción a lo dispuesto en el art. 49 de la Ley Orgánica de este Tribunal.</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Por escrito que tuvo su entrada en este Tribunal Constitucional, el día 17 de noviembre del pasado año, el Procurador de los Tribunales don Alejandro García Yuste, en nombre y representación que en debida forma acreditaba de don Juan Gómez Crespo, formalizaba la correspondiente demanda de amparo contra las resoluciones judiciales a que se hizo mención al principio, por supuesta infracción de los preceptos recogidos en los artículos 25.1 y 24.1 y 2 de la Constitución; suplicando se dictase Sentencia concediendo el amparo pretendido y declarando la nulidad de la Sentencia dictada el 26 de mayo de 1982 por la Audiencia Provincial de Barcelona en la causa núm. 67/1980 instruida por el Juzgado de Instrucción núm. 3 de Hospitalet de Llobregat, rollo 2345, con retroactividad del procedimiento al momento anterior a dictarse Sentencia, y consecuentemente la nulidad de la posterior Sentencia de la Sala Segunda del Tribunal Supremo de 5 de diciembre de 1983, por ser confirmatoria de la directamente impugnada, e interesando por medio de otrosí la suspensión de la ejecución de la resolución judicial cuya nulidad se pretende.</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Tercera de este Tribunal, en providencia de fecha 5 de diciembre del pasado año, acordó poner de manifiesto la posible existencia de las siguientes causas de inadmisibilidad: 1.ª La del art. 50.1 b) en relación con el 44.1 c), ambos de la Ley Orgánica de este Tribunal. 2.ª La que regula el art. 50.2 b) de la misma Ley Orgánica, por cuanto la demanda pudiera carecer manifiestamente de contenido que justifique una decisión por parte del Tribunal Constitucional. Y otorgó un plazo común de diez días al solicitante de amparo y al Ministerio Fiscal, para que pudieran presentar las alegaciones a que se refiere el art. 50 de la LOTC; formándose la correspondiente Pieza Separada para sustanciar el incidente de suspensión de la Sentencia impugnada. </w:t>
      </w:r>
    </w:p>
    <w:p w:rsidR="00256EE9" w:rsidRDefault="00256EE9" w:rsidP="00256EE9">
      <w:pPr>
        <w:pStyle w:val="TextoNormal"/>
      </w:pPr>
      <w:r>
        <w:t xml:space="preserve">El solicitante de amparo, en escrito presentado el día 27 del antes indicado mes de diciembre, formula sus alegaciones a las indicadas causas de inadmisión, para terminar suplicando la admisión de la demanda de amparo. </w:t>
      </w:r>
    </w:p>
    <w:p w:rsidR="00256EE9" w:rsidRDefault="00256EE9" w:rsidP="00256EE9">
      <w:pPr>
        <w:pStyle w:val="TextoNormal"/>
      </w:pPr>
      <w:r>
        <w:t xml:space="preserve">El Ministerio Fiscal, en las suyas, expone que el recurrente funda su demanda de amparo en la presunta violación de los arts. 25.1 y 24.1 y 2 de la C. E., porque la Sentencia declara la comisión de un delito del art. 340 bis a) del Código Penal, «conducir bajo la influencia de bebidas alcohólicas, drogas tóxicas o estupefacientes» y lo hace sin que en el hecho se den los elementos del tipo penal que considera a este delito contenido del delito de imprudencia temeraria por el que se condena al recurrente. Y no dándose los elementos del tipo en los hechos, se infringe el art. 25.1 de la C. E. </w:t>
      </w:r>
    </w:p>
    <w:p w:rsidR="00256EE9" w:rsidRDefault="00256EE9" w:rsidP="00256EE9">
      <w:pPr>
        <w:pStyle w:val="TextoNormal"/>
      </w:pPr>
      <w:r>
        <w:t xml:space="preserve">En cuanto a la violación del art. 24.1 y 2 de la C. E., alega el demandante que la Sentencia se basa en la prueba de alcoholemia que fue realizada sin presencia de Letrado, sin advertencia de sus derechos constitucionales y con un aparato que no es legal. </w:t>
      </w:r>
    </w:p>
    <w:p w:rsidR="00256EE9" w:rsidRDefault="00256EE9" w:rsidP="00256EE9">
      <w:pPr>
        <w:pStyle w:val="TextoNormal"/>
      </w:pPr>
      <w:r>
        <w:t xml:space="preserve">Las dos alegaciones del recurrente no tienen contenido constitucional porque no se toma en consideración la totalidad de los términos y elementos de la Sentencia, pues la declaración de hechos probados de la misma describe de manera clara la conducta temeraria del autor en la conducción de un vehículo de motor. El dato de la prueba de alcohol es uno solo entre muchos y todos ellos han sido valorados por el Tribunal para llegar a la declaración de hechos probados, en la cual, el Tribunal determina que el recurrente se encontraba bajo los efectos de una sustancia tricloroetileno que utilizaba en su oficio y de alcohol, debido a la cantidad de cerveza que había consumido y ambas produjeron un estado que le incapacitaba para conducir, y cuya incapacidad queda acreditada con la sucesión de los hechos que protagonizó. </w:t>
      </w:r>
    </w:p>
    <w:p w:rsidR="00256EE9" w:rsidRDefault="00256EE9" w:rsidP="00256EE9">
      <w:pPr>
        <w:pStyle w:val="TextoNormal"/>
      </w:pPr>
      <w:r>
        <w:t xml:space="preserve">El Código Penal habla de drogas tóxicas o estupefacientes como dos entidades distintas y si el sujeto ingiere cualquier sustancia tóxica que le sitúe en un estado que le impida la </w:t>
      </w:r>
      <w:r>
        <w:lastRenderedPageBreak/>
        <w:t xml:space="preserve">conducción, se encuentra bajo la influencia de las mismas. La Sentencia aprecia también la ingestión de bebidas alcohólicas, que deduce de la cantidad consumida, y así lo señala en los hechos probados. </w:t>
      </w:r>
    </w:p>
    <w:p w:rsidR="00256EE9" w:rsidRDefault="00256EE9" w:rsidP="00256EE9">
      <w:pPr>
        <w:pStyle w:val="TextoNormal"/>
      </w:pPr>
      <w:r>
        <w:t xml:space="preserve">El juzgador ha valorado todas las pruebas de cargo y ha concluido que conducía bajo la influencia de bebidas alcohólicas. Se trata de un juicio de «legalidad ordinaria». </w:t>
      </w:r>
    </w:p>
    <w:p w:rsidR="00256EE9" w:rsidRDefault="00256EE9" w:rsidP="00256EE9">
      <w:pPr>
        <w:pStyle w:val="TextoNormal"/>
      </w:pPr>
      <w:r>
        <w:t xml:space="preserve">La conducción temeraria se configura y acota por conducir en esa condición y por las infracciones de las normas de tráfico realizadas como elemento único. No se agota en la conducción bajo la influencia de bebidas alcohólicas, como pretende el recurrente, como elemento único. Este no ha denunciado violación de la presunción de inocencia, sino solamente falta de tipificación del hecho cometido en el Código Penal. El Tribunal ha subsumido los hechos del tipo penal en base a la valoración de las pruebas aportadas al proceso y ha determinado con esa base los tipos penales pertinentes. </w:t>
      </w:r>
    </w:p>
    <w:p w:rsidR="00256EE9" w:rsidRDefault="00256EE9" w:rsidP="00256EE9">
      <w:pPr>
        <w:pStyle w:val="TextoNormal"/>
      </w:pPr>
      <w:r>
        <w:t xml:space="preserve">La invocación de este artículo de la C. E. no puede hacerse contra la interpretación que de las Leyes penales hagan los Jueces, porque el Tribunal Constitucional no es una nueva instancia revisora ni es su función valorar la interpretación que de las normas penales hagan los Tribunales ordinarios. </w:t>
      </w:r>
    </w:p>
    <w:p w:rsidR="00256EE9" w:rsidRDefault="00256EE9" w:rsidP="00256EE9">
      <w:pPr>
        <w:pStyle w:val="TextoNormal"/>
      </w:pPr>
      <w:r>
        <w:t xml:space="preserve">A éstos corresponde la potestad jurisdiccional, es decir, la fijación y calificación jurídica de los hechos que están en la base del proceso penal. Esta función es la realizada por la Sentencia impugnada. El delito del artículo 340 bis a) del Código Penal existe y el Tribunal ha calificado los hechos como constitutivos de este tipo penal y esa función es la propia de la jurisdicción. </w:t>
      </w:r>
    </w:p>
    <w:p w:rsidR="00256EE9" w:rsidRDefault="00256EE9" w:rsidP="00256EE9">
      <w:pPr>
        <w:pStyle w:val="TextoNormal"/>
      </w:pPr>
      <w:r>
        <w:t xml:space="preserve">Como consecuencia, podemos afirmar que no ha existido violación del artículo 25 de la C. E. </w:t>
      </w:r>
    </w:p>
    <w:p w:rsidR="00256EE9" w:rsidRDefault="00256EE9" w:rsidP="00256EE9">
      <w:pPr>
        <w:pStyle w:val="TextoNormal"/>
      </w:pPr>
      <w:r>
        <w:t xml:space="preserve">En cuanto a la violación del art. 24.1 y 2 de la C. E. alegada por el recurrente, no existe la misma, pues la irregularidad de la prueba de alcoholemia la centra el recurrente en la inoperancia de los aparatos empleados para realizarla, en la obligatoriedad de realizarla bajo pena de sanción gubernativa y la no presencia de Letrado en su práctica. Dicha prueba, se puede hacer o no hacer. La sanción para el caso de no hacerla producirá una cuestión de contenido distinto, con referencia a esta sanción, pero ello no anula la libertad de su realización. No será necesario la presencia de Letrado y la inoperatividad del aparato para realizarla sería objeto de valoración por el Tribunal en cuanto a la aceptación de su valor como prueba. Si el Tribunal la acepta es porque no ha sido desvirtuada por las alegaciones del recurrente. De otra parte, la prueba de alcoholemia es una prueba más en este proceso, en unión de otras practicadas y representa un dato objetivo que ratifica la convicción de la Sala respecto al estado del recurrente, estado que se ha probado por otros medios. No ha existido, pues, violación del art. 24.1 y 2 de la C. E. ni tampoco indefensión ni falta de pruebas de cargo suficientes para llegar a la convicción del Tribunal. </w:t>
      </w:r>
    </w:p>
    <w:p w:rsidR="00256EE9" w:rsidRDefault="00256EE9" w:rsidP="00256EE9">
      <w:pPr>
        <w:pStyle w:val="TextoNormal"/>
      </w:pPr>
      <w:r>
        <w:t>Termina el Ministerio Fiscal interesando se dicte Auto desestimando la demanda de amparo por incurrir la misma en las causas de inadmisión señaladas anteriormente.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Si ahora se sostiene el presente recurso por violación del derecho fundamental reconocido en el art. 25.1 y con escasa concreción por los derechos que constitucionaliza el art.  24, ambos de la Constitución, y la Sentencia de instancia es del 27 de mayo de 1982, y contra ella se formalizó el recurso de casación, es claro que fue en este recurso de casación cuando debió darse cumplimiento a lo que dispone el art.  44.1 c) de la LOTC, denuncián</w:t>
      </w:r>
      <w:r>
        <w:lastRenderedPageBreak/>
        <w:t>dose estas violaciones constitucionales, pues ello es presupuesto ineludible para que el amparo pueda entenderse correctamente planteado y no como mera exigencia formal o rituaria, sino como presupuesto inherente a la significación que al amparo asigna el art. 53.2 de la Constitución. Con notorio error quiere cubrir este requisito el recurrente diciendo que los hechos incriminados son anteriores a la LOTC o que bajo los motivos segundo y tercero de los de casación se cumplió lo que manda el mencionado art. 44.1 c).  Ni uno ni otro alegato son correctos, pues no es la fecha de la comisión de los hechos la que define la norma aplicable en el amparo en el presente caso en que la violación de los derechos se imputa a la Sentencia de instancia ni bajo los motivos segundo y tercero de casación se hizo denuncia de inconstitucionalidad.  Es claro que hubo momentos procesales posteriores a la LOTC, para denunciar la violación constitucional; y es claro también que en aludidos motivos de casación se acusó la indebida aplicación de los artículos 340 bis a) y 565.1 del Código Penal, pero ninguna con relevancia constitucional se hizo valer.</w:t>
      </w:r>
    </w:p>
    <w:p w:rsidR="00256EE9" w:rsidRDefault="00256EE9" w:rsidP="00256EE9">
      <w:pPr>
        <w:pStyle w:val="TextoNormal"/>
      </w:pPr>
    </w:p>
    <w:p w:rsidR="00256EE9" w:rsidRDefault="00256EE9" w:rsidP="00256EE9">
      <w:pPr>
        <w:pStyle w:val="TextoNormal"/>
      </w:pPr>
      <w:r w:rsidRPr="00256EE9">
        <w:rPr>
          <w:rStyle w:val="NumeroAFNegritaCaracter"/>
        </w:rPr>
        <w:t>2</w:t>
      </w:r>
      <w:r>
        <w:t>. Concurriendo el incumplimiento de lo que dispone el art. 44.1 c), y que da lugar a una causa de inadmisión subsumible en la genérica del art. 50.1 b) de la LOTC, nada tendríamos que añadir, pero como se advirtió a la parte actora y al Ministerio Fiscal que podía concurrir también la del art. 50.2 b), no vamos a eludir su análisis, aunque, insistimos, la primera de las estudiadas es bastante para negar la admisión del amparo. Desde dos vertientes se construye la demanda de amparo: una de ellas, el art. 25.1 y otra el art. 24, que parece referirlo a la prueba de la alcoholemia únicamente.  Pues bien, en cuanto a lo primero, el recurso no se refiere a un problema del art. 25.1; se sostiene una aplicación indebida de los mencionados artículos del Código Penal y no una violación constitucional. En cuanto a lo segundo, ni en todo el curso del proceso de instancia ni en la casación se denuncia la utilización de medios de prueba obtenidos contra lo que exigen los derechos constitucionales, y sólo ahora, se trae ex novo el tema de la prueba de alcoholemia.</w:t>
      </w:r>
    </w:p>
    <w:p w:rsidR="00256EE9" w:rsidRDefault="00256EE9" w:rsidP="00256EE9">
      <w:pPr>
        <w:pStyle w:val="TextoNormal"/>
      </w:pPr>
      <w:r>
        <w:t>No desconocemos que tal prueba, y más la forma de realización de la misma, puede presentar aspectos que merezcan una consideración del tema en Sentencia y que puede ofrecer su consideración contenido constitucional.  Pero no es aquí sin conexión alguna con los términos del debate judicial donde la cuestión ofrece ese contenido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las consideraciones expuestas, procede que esta Sección declara la inadmisión del recurso de que se ha hecho mérito, lo que deja sin contenido la petición de suspensión.</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0" w:name="AUTO_1985_59"/>
      <w:r>
        <w:lastRenderedPageBreak/>
        <w:t>AUTO 59/1985, de 30 de enero de 1985</w:t>
      </w:r>
    </w:p>
    <w:bookmarkEnd w:id="120"/>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ECLI:ES:TC:1985:59A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 los recursos de amparo 95 y 755/1984 (acumulados)</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presentado en este Tribunal Constitucional el día 13 de febrero de 1984, el Procurador de los Tribunales don Francisco de Guinea y Gauna, en nombre y representación de don Donato Loprete, ciudadano italiano, interpone recurso de amparo constitucional contra el Auto de 22 de noviembre de 1983 dictado por la Sección Segunda de lo Penal de la Audiencia Nacional, que resolviendo los expedientes de extradición números 15/1983 y 40/1983, acordó acceder a la extradición del mismo, solicitada por las autoridades italianas, así como contra el Auto de 8 de febrero de 1984 del Pleno de la Sala de lo Penal de la Audiencia Nacional, que estimó parcialmente el recurso de súplica interpuesto contra la anterior resolución, modificándola en sentido limitativo. Solicita el recurrente que se dicte Sentencia por la que, concediendo el amparo, se acuerde la nulidad de los Autos impugnados, negando su efecto de conceder la extradición del interesado, y, asimismo, que se suspenda, de conformidad con lo dispuesto en el art. 56. 1 de la Ley Orgánica del Tribunal Constitucional (LOTC), la ejecución de las resoluciones impugnadas, por darse en este caso las circunstancias previstas en el mencionado artículo. </w:t>
      </w:r>
    </w:p>
    <w:p w:rsidR="00256EE9" w:rsidRDefault="00256EE9" w:rsidP="00256EE9">
      <w:pPr>
        <w:pStyle w:val="TextoNormal"/>
      </w:pPr>
      <w:r>
        <w:t>Por otrosí, la representación del recurrente anuncia su propósito de interponer recurso de casación contra las anteriores resoluciones, recurso que si se admitiese, en virtud de una interpretación analógica favorable al extradicto, pondría fin a vía judicial; no obstante -indicainterpone la demanda ad cautelam por si se entendiese finalizada la vía judicial.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que se contrae la demanda son los siguientes: </w:t>
      </w:r>
    </w:p>
    <w:p w:rsidR="00256EE9" w:rsidRDefault="00256EE9" w:rsidP="00256EE9">
      <w:pPr>
        <w:pStyle w:val="TextoNormal"/>
      </w:pPr>
      <w:r>
        <w:t xml:space="preserve">a) Tras la incoación e instrucción, por el Juzgado Central de Instrucción núm. 2 de la Audiencia Nacional, de los expedientes de extradición núms. 15 y 40 de 1983, la Sección Segunda de lo Penal de la Audiencia Nacional dictó Auto el 22 de noviembre de 1983, cuya parte dispositiva es del siguiente tenor: </w:t>
      </w:r>
    </w:p>
    <w:p w:rsidR="00256EE9" w:rsidRDefault="00256EE9" w:rsidP="00256EE9">
      <w:pPr>
        <w:pStyle w:val="TextoNormal"/>
      </w:pPr>
      <w:r>
        <w:t xml:space="preserve">«La Sala acuerda acceder a la extradición del ciudadano italiano Donato Loprete, que ha solicitado el Gobierno de dicho país, para que sea juzgado por los Tribunales de Turín, de Módena o en su caso de Roma en los procesos penales ordinarios en los que han recaído las órdenes de captura 349/1981 RGGI, 419/1981 RMC, de 8 de octubre de 1981; núm. 192, de 30 de abril de 1982; 349/1981 RGGI; núm. 116/1983 RMC de 8 de marzo de 1983; núm. 4/1983-298/1980; número 165/1983, de 22 de febrero de 1983; núm. 381/1983, de 28 de abril de 1983. Si bien se subordina la entrega efectiva a que por las </w:t>
      </w:r>
      <w:r>
        <w:lastRenderedPageBreak/>
        <w:t xml:space="preserve">autoridades italianas se formule promesa solemne de respetar el principio de especialidad recogido en el art. 14 del Convenio.» b) Recurrida en súplica la resolución precedente, fue objeto de examen por el Pleno de la Sala de lo Penal de la Audiencia Nacional, que dictó con fecha 8 de febrero de 1984 el Auto que contiene el siguiente fallo: </w:t>
      </w:r>
    </w:p>
    <w:p w:rsidR="00256EE9" w:rsidRDefault="00256EE9" w:rsidP="00256EE9">
      <w:pPr>
        <w:pStyle w:val="TextoNormal"/>
      </w:pPr>
      <w:r>
        <w:t xml:space="preserve">«El Pleno de la Sala de lo Penal de la Audiencia Nacional, dando lugar parcialmente al presente recurso de súplica interpuesto por Donato Loprete eontra el Auto de 22 de noviembre de 1983, dictado por la Sección Segunda de la misma: </w:t>
      </w:r>
    </w:p>
    <w:p w:rsidR="00256EE9" w:rsidRDefault="00256EE9" w:rsidP="00256EE9">
      <w:pPr>
        <w:pStyle w:val="TextoNormal"/>
      </w:pPr>
      <w:r>
        <w:t xml:space="preserve">ACUERDA: </w:t>
      </w:r>
    </w:p>
    <w:p w:rsidR="00256EE9" w:rsidRDefault="00256EE9" w:rsidP="00256EE9">
      <w:pPr>
        <w:pStyle w:val="TextoNormal"/>
      </w:pPr>
      <w:r>
        <w:t xml:space="preserve">Primero: Acceder a la extradición del expresado Donato Loprete, solicitada por Italia y ordenar la entrega del mismo a dicho país reclamante para que aquél pueda ser enjuiciado por el Tribunal o Tribunales de Justicia italianos competentes, sólo y exclusivamente por los hechos que se le imputan en los mandatos de captura, relacionados en el quinto considerando de este Auto excepto de los comprendidos en el mandato 4/1983 expedido por el Juez de Instrucción del Tribunal de Módena, en 16 de febrero de 1983. </w:t>
      </w:r>
    </w:p>
    <w:p w:rsidR="00256EE9" w:rsidRDefault="00256EE9" w:rsidP="00256EE9">
      <w:pPr>
        <w:pStyle w:val="TextoNormal"/>
      </w:pPr>
      <w:r>
        <w:t>Segundo: Dicha extradición se otorga con las siguientes limitaciones y condicionamientos: a) no podrá ser juzgado por hechos comprendidos en dichos mandatos de captura que constituyan delitos fiscales de los enumerados en el art. 5 del Convenio Europeo de extradición; b) tampoco podrá ser perseguido, por hechos anteriores y distintos, a los que han motivado la presente extradición, mientras no concurran los requisitos exigidos por el art. 14 del citado Convenio; c) tampoco podrá ser sometido en Italia a ningún Tribunal de excepción, con arreglo a la Reserva formulada por España al art. 1 del repetido Convenio Europeo.»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Entiende la representación del recurrente que las mencionadas resoluciones conculcan el derecho fundamental contenido en el art. 24.1 y 2 de la Constitución, en relación con los arts. 25.1 y 9.3 de la misma, por cuanto dentro de las garantías han de entenderse incluídos el principio de legalidad y el de jerarquía normativa en relación con el de legalidad penal. A su juicio, las resoluciones adoptadas por la Sección Segunda de lo Penal y por el Pleno de la Sala de lo Penal de la Audiencia Nacional se han fundamentado en las fuentes legales que consideraron en vigor, sin que exista congruencia entre ambos fallos, lo cual implica que en el proceso extradicional no se han observado todas las garantías obligadas y reconocidas en beneficio del extradicto, originándole a él y a su defensa una inseguridad jurídica patente. La Sección Segunda establece en el Auto de 22 de noviembre de 1983, como normativa aplicable, el Convenio Europeo de Extradición de 13 de diciembre de 1957, el Tratado hispano-italiano de 22 de mayo de 1973, el principio de reciprocidad y, por último, la Ley española de 26 de diciembre de 1958. Asimismo establece que la promesa formal del Gobierno requirente en orden a respetar el principio de especialidad que exige el art. 7.2 de la Ley española mencionada no era óbice para conceder la extradición, condicionada a que tal promesa se hiciera con posterioridad. Sin embargo, el Auto del Pleno que resuelve el recurso de súplica afirma que no es de aplicación la Ley española, salvo en lo tocante al trámite procedimental, y que las condiciones, requisitos, presupuestos y efectos de la extradición se rigen por el Convenio Europeo, que recoge, a su vez, todas las garantías, lo cual no obsta para que añada en la fundamentación el hecho de que la Embajada italiana envió escrito en el que contrae la promesa formal exigida por la mencionada Ley. </w:t>
      </w:r>
    </w:p>
    <w:p w:rsidR="00256EE9" w:rsidRDefault="00256EE9" w:rsidP="00256EE9">
      <w:pPr>
        <w:pStyle w:val="TextoNormal"/>
      </w:pPr>
      <w:r>
        <w:t>A juicio del recurrente, deben respetarse las garantías establecidas en la Ley española, por suponer un «plus» sobre las contenidas en el Convenio Europeo; y la garantía de la promesa formal del Gobierno del Estado requirente prevista en el art. 7.2 de la menciona</w:t>
      </w:r>
      <w:r>
        <w:lastRenderedPageBreak/>
        <w:t xml:space="preserve">da Ley, condicionando la extradición a que el sujeto de la misma no sea perseguido por infracciones anteriores y ajenas a la solicitud de extradición formulada, debió exigirse antes de la extradición. Entiende el recurrente que no cabe la interpretación dada por el Pleno de la Sala de lo Penal en el sentido de que no es exigida por el art. 12 del Convenio Europeo como requisito previo de forma y que, al ser elevado el principio jurídico de especialidad al rango de derecho fundamental extradicional por el art. 14 del mencionado Convenio, es, en todo caso, jurisdiccionalmente exigible y tutelable, pues la práctica judicial italiana es contraria al respeto de dicho principio, como se pone de manifiesto a través de la jurisprudencia del Tribunal Supremo italiano. </w:t>
      </w:r>
    </w:p>
    <w:p w:rsidR="00256EE9" w:rsidRDefault="00256EE9" w:rsidP="00256EE9">
      <w:pPr>
        <w:pStyle w:val="TextoNormal"/>
      </w:pPr>
      <w:r>
        <w:t xml:space="preserve">De todo lo anterior deduce el recurrente que no se han observado las normas procedimentales de rigurosa aplicación y, en concreto, las garantías constitucionales sustantivas, irrenunciables por ser constitutivas de un orden público estatal, por lo que se ha vulnerado el art. 24 de la Constitución. Por otra parte, al no otorgarse vigencia y eficacia a la Ley española, resulta también vulnerado, a su juicio, el principio de legalidad y de seguridad jurídica, en estrecha relación con el derecho a obtener la tutela judicial efectiva. </w:t>
      </w:r>
    </w:p>
    <w:p w:rsidR="00256EE9" w:rsidRDefault="00256EE9" w:rsidP="00256EE9">
      <w:pPr>
        <w:pStyle w:val="TextoNormal"/>
      </w:pPr>
      <w:r>
        <w:t>Asimismo alega la representación del recurrente que las resoluciones impugnadas conculcan el derecho fundamental que en materia penal supone el principio non bis in idem, incardinable, según doctrina de este Tribunal Constitucional, en el art. 25.1 de la Constitución, pues los hechos imputados al extradicto por el Estado requirente ya han sido enjuiciados y condenados con anterioridad por la Corte dei Conti en Sentencia de 23 de mayo de 1983 y es un principio de la legislación española que de un mismo hecho no pueden derivarse responsabilidades administrativas y penales.</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15 de febrero de 1984, la Sección Primera de la Sala Primera de este Tribunal Constitucional acuerda tener por personado y parte, en nombre y representación de don Donato Loprete, al Procurador don Francisco de Guinea y Gauna, y suspender la tramitación del procedimiento hasta tanto no se resuelva el recurso de casación que dice se propone interponer el solicitante de amparo. Asimismo acuerda, en cuanto a la petición de suspensión, que, en su momento, se decidirá lo procedente.</w:t>
      </w:r>
    </w:p>
    <w:p w:rsidR="00256EE9" w:rsidRDefault="00256EE9" w:rsidP="00256EE9">
      <w:pPr>
        <w:pStyle w:val="TextoNormal"/>
      </w:pPr>
    </w:p>
    <w:p w:rsidR="00256EE9" w:rsidRDefault="00256EE9" w:rsidP="00256EE9">
      <w:pPr>
        <w:pStyle w:val="TextoNormal"/>
      </w:pPr>
      <w:r w:rsidRPr="00256EE9">
        <w:rPr>
          <w:rStyle w:val="NumeroAFNegritaCaracter"/>
        </w:rPr>
        <w:t>5</w:t>
      </w:r>
      <w:r>
        <w:t>. El 31 de octubre de 1984, el Procurador mencionado interpone de nuevo recurso de amparo, en nombre y representación del señor Loprete, esta vez contra el Auto dictado por la Sala Segunda del Tribunal Supremo de 10 de octubre de 1984, por el que se le denegó el recurso de queja contra el Auto de 24 de febrero de 1984 de la Sección Segunda de lo Penal de la Audiencia Nacional, que no admitió la preparación del recurso de casación frente al Auto de 8 de febrero de 1984 del Pleno de la Sala de lo Penal de la Audiencia Nacional, que acordó la extradición del ahora recurrente, así como contra la mencionada resolución de la Sección Segunda de lo Penal de la Audiencia Nacional de 24 de febrero de 1984.</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Reitera el recurrente la narración de los hechos ya transcrita, señalando expresamente que el Auto de 22 de noviembre de 1983, que otorgó la extradición solicitada, le ofreció el cauce de un recurso de súplica «atípico» que fue utilizado por el interesado, dictándose un Auto del Pleno de la Sala que modificó, en parte, el contenido de la anterior resolución, confirmando la misma a los efectos de decretar la entrega del extradicturus. </w:t>
      </w:r>
    </w:p>
    <w:p w:rsidR="00256EE9" w:rsidRDefault="00256EE9" w:rsidP="00256EE9">
      <w:pPr>
        <w:pStyle w:val="TextoNormal"/>
      </w:pPr>
      <w:r>
        <w:t xml:space="preserve">Preparado el recurso de casación por infracción de Ley, por entender no agotada la vía judicial, la referida Sección Segunda de la Audiencia Nacional, por Auto de 24 de febrero </w:t>
      </w:r>
      <w:r>
        <w:lastRenderedPageBreak/>
        <w:t xml:space="preserve">de 1984, declaró no haber lugar a la preparación del recurso de casación. Interpuesto el oportuno recurso de queja ante la Sala Segunda del Tribunal Supremo, el Auto de 10 de octubre de 1984 resolvió definitivamente no haber lugar al recurso de queja. </w:t>
      </w:r>
    </w:p>
    <w:p w:rsidR="00256EE9" w:rsidRDefault="00256EE9" w:rsidP="00256EE9">
      <w:pPr>
        <w:pStyle w:val="TextoNormal"/>
      </w:pPr>
      <w:r>
        <w:t xml:space="preserve">El ahora demandante de amparo solicita la nulidad de los referidos Autos, facultándose a la representación del extradicturus a interponer recurso de casación por infracción de Ley ante la Sala Segunda del Tribunal Supremo contra el Auto definitivo que concede la extradición de su mandante. </w:t>
      </w:r>
    </w:p>
    <w:p w:rsidR="00256EE9" w:rsidRDefault="00256EE9" w:rsidP="00256EE9">
      <w:pPr>
        <w:pStyle w:val="TextoNormal"/>
      </w:pPr>
      <w:r>
        <w:t xml:space="preserve">Citando la Sentencia de 21 de febrero de 1983 de este Tribunal Constitucional, que abre en determinados supuestos la vía de amparo a los procedimientos de extradición en caso de quebrantamiento de derechos fundamentales, expone el recurrente las razones técnicas y de conveniencia práctica que justificarían la pertinencia de la admisión del recurso de casación ante el Tribunal Supremo en los supuestos de extradición. </w:t>
      </w:r>
    </w:p>
    <w:p w:rsidR="00256EE9" w:rsidRDefault="00256EE9" w:rsidP="00256EE9">
      <w:pPr>
        <w:pStyle w:val="TextoNormal"/>
      </w:pPr>
      <w:r>
        <w:t xml:space="preserve">Así, partiendo del reconocimiento de la ausencia en nuestro Derecho del recurso extraordinario que se le ha negado, sienta la afirmación de que tal exclusión es inconstitucional, de aplicarse con rigor, por causante de indefensión. Ello explicaría el ofrecimiento de un «atípico» recurso de súplica ante el Pleno de la Sala de lo Penal de la Audiencia Nacional. </w:t>
      </w:r>
    </w:p>
    <w:p w:rsidR="00256EE9" w:rsidRDefault="00256EE9" w:rsidP="00256EE9">
      <w:pPr>
        <w:pStyle w:val="TextoNormal"/>
      </w:pPr>
      <w:r>
        <w:t xml:space="preserve">Tal recurso, a juicio del recurrente, no es más que un «sucedáneo» elaborado por vía interpretativa judicial para evitar una censura de inconstitucionalidad, dado que se trata de un recurso atípico e inexistente en nuestro ordenamiento jurídico procesal, interpretación que, a su vez, genera una nueva lesión, aunque distinta, al no permitir la interposición del recurso de casación. Argumenta, en este aspecto, que el Pleno de la Sala de lo Penal de la Audiencia Nacional no es jerárquicamente superior al órgano judicial a quo, y que la participación en el Pleno de quienes dictaron la resolución recurrida lleva a una identidad parcial en las personas, lo que acredita que no se trata de un órgano distinto, por lo que, en cierta medida, se despliega un «autocontrol» de legalidad. </w:t>
      </w:r>
    </w:p>
    <w:p w:rsidR="00256EE9" w:rsidRDefault="00256EE9" w:rsidP="00256EE9">
      <w:pPr>
        <w:pStyle w:val="TextoNormal"/>
      </w:pPr>
      <w:r>
        <w:t xml:space="preserve">La improcedencia del recurso de súplica y la inexistencia del remedio extraordinario de la casación, por imperativo del art. 848 de la L. E. Cr., conducen al resultado inconstitucional de que no existe en materia de extradición recurso alguno ante un Tribunal superior, siendo así que el procedimiento extraditorio tiene naturaleza penal y exige, por tanto, una doble instancia, por lo que solicita el amparo y la enunciación de una doctrina que integre y unifique el estado disarmónico de la cuestión debatida, colmando la laguna inexistente, y declare haber lugar al recurso de casación por infracción de Ley contra el Auto definitivo que resolvió la extradición. </w:t>
      </w:r>
    </w:p>
    <w:p w:rsidR="00256EE9" w:rsidRDefault="00256EE9" w:rsidP="00256EE9">
      <w:pPr>
        <w:pStyle w:val="TextoNormal"/>
      </w:pPr>
      <w:r>
        <w:t>En cuanto a la conveniencia de tal recurso extraordinario, el recurrente afirma que es el Tribunal Supremo el órgano judicial más adecuado para ejercitar el control de la aplicación de las normas adjetivas y sustantivas de los sujetos extraditados y de los tratados internacionales que resulten aplicables.</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Por providencia de 14 de noviembre de 1984, la Sección acuerda, antes de decidir sobre la admisión o no a trámite de la demanda y de conformidad con lo dispuesto en el art. 83 de la LOTC, oír a la parte actora y al Ministerio Fiscal sobre la posible acumulación de los recursos de amparo 95/1984 y 755/1984, por entender que pueden concurrir en ellos las circunstancias previstas en el mencionado artículo. </w:t>
      </w:r>
    </w:p>
    <w:p w:rsidR="00256EE9" w:rsidRDefault="00256EE9" w:rsidP="00256EE9">
      <w:pPr>
        <w:pStyle w:val="TextoNormal"/>
      </w:pPr>
      <w:r>
        <w:t>Evacuando dentro del plazo dicho trámite, el Ministerio Fiscal se pronuncia de modo afirmativo en relación con la acumulación, por entender que existe conexión entre los objetos de ambos procesos que justifica la unidad de tramitación y decisión, mientras que la parte recurrente se opone a la misma.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8</w:t>
      </w:r>
      <w:r>
        <w:t>. Por Auto de 28 de noviembre de 1984, la Sala Primera de este Tribunal, apreciando la conexión entre ambos recursos a que se refiere el artículo 83 de la LOTC, acuerda la acumulación del recurso de amparo número 755/1984 al registrado bajo el núm. 95/1984.</w:t>
      </w:r>
    </w:p>
    <w:p w:rsidR="00256EE9" w:rsidRDefault="00256EE9" w:rsidP="00256EE9">
      <w:pPr>
        <w:pStyle w:val="TextoNormal"/>
      </w:pPr>
    </w:p>
    <w:p w:rsidR="00256EE9" w:rsidRDefault="00256EE9" w:rsidP="00256EE9">
      <w:pPr>
        <w:pStyle w:val="TextoNormal"/>
      </w:pPr>
      <w:r w:rsidRPr="00256EE9">
        <w:rPr>
          <w:rStyle w:val="NumeroAFNegritaCaracter"/>
        </w:rPr>
        <w:t>9</w:t>
      </w:r>
      <w:r>
        <w:t>. Por sendos escritos de fecha 28 de noviembre de 1984, el Procurador de los Tribunales don Eduardo Muñoz-Cuéllar Pernia comparece en los Autos relativos a los recursos de amparo núms. 95/1984 y 755/1984, personándose en las actuaciones a fin de ser tenido por parte en las mismas en nombre y representación de don Donato Loprete, y solicita que en lo sucesivo se entiendan con él las ulteriores diligencias. Por otrosí manifiesta que, al haber encomendado el recurrente su defensa al Letrado don Jaime Miralles Alvarez, se hace necesario dar vista de lo actuado a la representación compareciente para la debida instrucción a fines de defensa.</w:t>
      </w:r>
    </w:p>
    <w:p w:rsidR="00256EE9" w:rsidRDefault="00256EE9" w:rsidP="00256EE9">
      <w:pPr>
        <w:pStyle w:val="TextoNormal"/>
      </w:pPr>
    </w:p>
    <w:p w:rsidR="00256EE9" w:rsidRDefault="00256EE9" w:rsidP="00256EE9">
      <w:pPr>
        <w:pStyle w:val="TextoNormal"/>
      </w:pPr>
      <w:r w:rsidRPr="00256EE9">
        <w:rPr>
          <w:rStyle w:val="NumeroAFNegritaCaracter"/>
        </w:rPr>
        <w:t>10</w:t>
      </w:r>
      <w:r>
        <w:t xml:space="preserve">. La Sección, por providencia de 5 de diciembre de 1984, acuerda tener por personado y parte en este procedimiento, en sustitución del Procurador que venía ejerciendo la representación del recurrente, al también Procurador don Eduardo Muñoz-Cuéllar Pernia, con el que se entenderán ésta y las sucesivas actuaciones, notificándose este proveído asimismo al Procurador cesante. </w:t>
      </w:r>
    </w:p>
    <w:p w:rsidR="00256EE9" w:rsidRDefault="00256EE9" w:rsidP="00256EE9">
      <w:pPr>
        <w:pStyle w:val="TextoNormal"/>
      </w:pPr>
      <w:r>
        <w:t>Se acuerda, asimismo, conceder al referido Procurador y al Ministerio Fiscal un plazo común de diez días para que aleguen lo que estimen pertinente en relación con la posible concurrencia del motivo de inadmisión de carácter insubsanable consistente en carecer las demandas de amparo acumuladas manifiestamente de contenido que justifique una decisión por parte de este Tribunal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11</w:t>
      </w:r>
      <w:r>
        <w:t xml:space="preserve">. Evacuando el traslado conferido, el Ministerio Fiscal interesa del Tribunal que dicte Auto declarando la inadmisión del recurso, de conformidad con los arts. 86.1 y 50.2 b) de su Ley Orgánica, pues las materias traídas a esta sede constitucional son de legalidad ordinaria, resueltas de acuerdo con su competencia por los órganos judiciales, conforme al art. 117.3 de la Constitución. </w:t>
      </w:r>
    </w:p>
    <w:p w:rsidR="00256EE9" w:rsidRDefault="00256EE9" w:rsidP="00256EE9">
      <w:pPr>
        <w:pStyle w:val="TextoNormal"/>
      </w:pPr>
      <w:r>
        <w:t xml:space="preserve">En cuanto al primer recurso de amparo, el Ministerio Fiscal sostiene que todas las cuestiones planteadas han sido analizadas detenidamente por las resoluciones judiciales en consideraciones ampliamente razonadas y fundadas, que, en modo alguno, pueden calificarse de arbitrarias o irrazonables. </w:t>
      </w:r>
    </w:p>
    <w:p w:rsidR="00256EE9" w:rsidRDefault="00256EE9" w:rsidP="00256EE9">
      <w:pPr>
        <w:pStyle w:val="TextoNormal"/>
      </w:pPr>
      <w:r>
        <w:t xml:space="preserve">Respecto al supuesto desconocimiento de las garantías básicas, olvida el recurrente que el art. 12 del Convenio Europeo, según razona la resolución del Pleno, consagra como derecho fundamental extradicional -exigible jurisdiccionalmente- el principio de especialidad que se puede ejercitar en todo momento ante los Tribunales del país requirente. Por otra parte, los delitos por los que se solicita la extradición, pormenorizados en ocho mandatos de captura, están comprendidos en la legislación penal sustantiva de ambos países -requirente y requerido-. Por último, no se constata la alegada vulneración del principio non bis in idem, originada porque la Corte dei Conti italiana le hubiera condenado a determinada sanción pecuniaria, dado que los hechos no son coincidentes y lo relevante -en términos constitucionales- habría sido que por dichos hechos hubiera sido juzgado en España. En todo caso, las garantías exigidas por el recurrente aparecen como limitaciones del otorgamiento de la extradición. </w:t>
      </w:r>
    </w:p>
    <w:p w:rsidR="00256EE9" w:rsidRDefault="00256EE9" w:rsidP="00256EE9">
      <w:pPr>
        <w:pStyle w:val="TextoNormal"/>
      </w:pPr>
      <w:r>
        <w:t xml:space="preserve">En cuanto al segundo recurso de amparo, señala el Ministerio Fiscal que el recurso de casación sólo procede en los casos en que la Ley lo autorice expresamente, y la exigencia, </w:t>
      </w:r>
      <w:r>
        <w:lastRenderedPageBreak/>
        <w:t>reconocida por este Tribunal Constitucional, de que toda persona declarada culpable de un delito tiene derecho a un recurso ante un Tribunal superior, no es aplicable al presente caso, porque la procedencia de la extradición no es en sí misma condena.</w:t>
      </w:r>
    </w:p>
    <w:p w:rsidR="00256EE9" w:rsidRDefault="00256EE9" w:rsidP="00256EE9">
      <w:pPr>
        <w:pStyle w:val="TextoNormal"/>
      </w:pPr>
    </w:p>
    <w:p w:rsidR="00256EE9" w:rsidRDefault="00256EE9" w:rsidP="00256EE9">
      <w:pPr>
        <w:pStyle w:val="TextoNormal"/>
      </w:pPr>
      <w:r w:rsidRPr="00256EE9">
        <w:rPr>
          <w:rStyle w:val="NumeroAFNegritaCaracter"/>
        </w:rPr>
        <w:t>12</w:t>
      </w:r>
      <w:r>
        <w:t xml:space="preserve">. Por su parte, el demandante reitera sus alegaciones anteriores manifestando, respecto de los Autos de la Audiencia Nacional impugnados en el primero de los recursos acumulados, que vulneran el principio de legalidad penal y el de jerarquía normativa garantizados en el art. 24.1 y 2, en relación con los arts. 25.1 y 9.3, todos de la Constitución, al no constar en Autos, al menos antes de la vista oral, la promesa formal del Estado requirente de respeto al principio de especialidad, lo que se traduce en una ausencia de garantías y en la producción de indefensión; indefensión que aparece, al propio tiempo, por la ausencia de la garantía básica de la concurrencia en Autos de la promesa formal del Estado requirente de no someter al extradicturus a Tribunal de excepción, y, en definitiva, por la no aportación de la traducción oficial al español de los textos en italiano aportados por el Estado requirente. Se cuestiona también la constitucionalidad de las resoluciones antes mencionadas por la vulneración del principio non bis in idem que garantiza el art. 25.1 de la Constitución. </w:t>
      </w:r>
    </w:p>
    <w:p w:rsidR="00256EE9" w:rsidRDefault="00256EE9" w:rsidP="00256EE9">
      <w:pPr>
        <w:pStyle w:val="TextoNormal"/>
      </w:pPr>
      <w:r>
        <w:t>En cuanto a los Autos del Pleno de la Sala de lo Penal de la Audiencia Nacional y de la Sala Segunda del Tribunal Supremo relativos a la pretensión del recurrente de acudir en casación a este último Tribunal, se sostiene que vulneran el derecho a la tutela efectiva de los Jueces y Tribunales al sustentar la tesis de que el recurso de súplica garantiza el doble grado jurisdiccional, siendo así que el Pleno de la Sala no puede considerarse un Tribunal superior jerárquico respecto a una de las Secciones que lo integran, y al someter a él el fallo extraditorio lo que se hace en definitiva es someter la cuestión al mismo Tribunal que lo adoptó, ampliando el número de sus miembros.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consiste en determinar si los Autos de 22 de noviembre de 1983 de la Sección Segunda de lo Penal de la Audiencia Nacional y de 8 de febrero de 1984 del Pleno de la correspondiente Sala de lo Penal vulneran el art. 24.1 y 2 de la Constitución, en relación con los arts.  25.1 y 9.3 del citado Texto, y, asimismo, si los Autos de 24 de febrero de 1984 de la Sección Segunda de lo Penal de la mencionada Audiencia y de 10 de octubre de 1984 de la Sala Segunda del Tribunal Supremo vulneran el art. 24.1 y 2 de la Constitución, o si, por el contrario, al no aparecer vulnerados los derechos fundamentales invocados por el recurrente en las respectivas demandas de amparo, éstas carecen de contenido constitucional.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Este Tribunal Constitucional ha tenido ya ocasión de pronunciarse en materia de procedimientos de extradición, y así, en su Sentencia 11/1983, de 21 de febrero, ha afirmado que, si bien a la extradición se refiere el art.  13.3 de la Constitución que no figura entre los que son objeto de una protección especial a través del recurso de amparo, de ello «no se infiere que absolutamente todas las cuestiones que puedan suscitarse con motivo de expedientes o procesos de extradición deban quedar marginadas de la posibilidad del recurso de amparo constitucional, ya que cabe el planteamiento de pretendidos quebrantos de derechos y libertades constitucionalmente protegidos y, en concreto, los que afectan a </w:t>
      </w:r>
      <w:r>
        <w:lastRenderedPageBreak/>
        <w:t>la tutela efectiva de Jueces y Tribunales, indefensión se las personas, presunción de inocencia y principio de legalidad, consagrados en los arts.  24 y 25 de la Constitución.</w:t>
      </w:r>
    </w:p>
    <w:p w:rsidR="00256EE9" w:rsidRDefault="00256EE9" w:rsidP="00256EE9">
      <w:pPr>
        <w:pStyle w:val="TextoNormal"/>
      </w:pPr>
      <w:r>
        <w:t>En el presente caso, son precisamente tales preceptos los que se invocan por el recurrente con la pretensión de que en esta sede se aprecie y valore su alegada infracción y, en consecuencia, se declaren nulas las resoluciones judiciales impugnadas y se le restablezca en la integridad de los derechos y garantías constitucionales presuntamente vulnerados. Procede, pues, entrar a analizar los dos recursos de amparo promovidos por el recurrente, desde la perspectiva de los derechos reconocidos en los arts.  24 y 25 de la Constitución.</w:t>
      </w:r>
    </w:p>
    <w:p w:rsidR="00256EE9" w:rsidRDefault="00256EE9" w:rsidP="00256EE9">
      <w:pPr>
        <w:pStyle w:val="TextoNormal"/>
      </w:pPr>
    </w:p>
    <w:p w:rsidR="00256EE9" w:rsidRDefault="00256EE9" w:rsidP="00256EE9">
      <w:pPr>
        <w:pStyle w:val="TextoNormal"/>
      </w:pPr>
      <w:r w:rsidRPr="00256EE9">
        <w:rPr>
          <w:rStyle w:val="NumeroAFNegritaCaracter"/>
        </w:rPr>
        <w:t>3</w:t>
      </w:r>
      <w:r>
        <w:t>. En cuanto al primer recurso de amparo, en el que se impugnan los Autos de la Sección Segunda y de la Sala de lo Penal de la Audiencia Nacional, de 22 de noviembre de 1983 y 8 de febrero de 1984, respectivamente, la prolija argumentación contenida en el escrito de demanda se reduce a los siguientes puntos:</w:t>
      </w:r>
    </w:p>
    <w:p w:rsidR="00256EE9" w:rsidRDefault="00256EE9" w:rsidP="00256EE9">
      <w:pPr>
        <w:pStyle w:val="TextoNormal"/>
      </w:pPr>
      <w:r>
        <w:t>a) Que, al inaplicar las resoluciones judiciales la Ley española de Extradición Pasiva, de 26 de diciembre de 1958, se ha privado al hoy recurrente en amparo de las garantías en ella establecidas, superiores a las contenidas en el Convenio Europeo de Extradición, lo que supone una vulneración del art.  24.2 de la Constitución, que garantiza el derecho a un proceso «con todas las garantias». Dichas garantías son -señala el recurrente-, la promesa formal del Gobierno requirente en orden a respetar el principio de especialidad y a que el extradicto no será sometido a un Tribunal de excepción, así como la exigencia de traducción oficial de la documentación relativa a la demanda de extradición.</w:t>
      </w:r>
    </w:p>
    <w:p w:rsidR="00256EE9" w:rsidRDefault="00256EE9" w:rsidP="00256EE9">
      <w:pPr>
        <w:pStyle w:val="TextoNormal"/>
      </w:pPr>
      <w:r>
        <w:t>b) Que las resoluciones impugnadas conculcan el principio non bis in idem, incardinable en el art.  25.1 de la Constitución, pues el recurrente ha sido ya sancionado por los mismos delitos en Sentencia de la Corte dei Conti, de 25 de mayo de 1983.</w:t>
      </w:r>
    </w:p>
    <w:p w:rsidR="00256EE9" w:rsidRDefault="00256EE9" w:rsidP="00256EE9">
      <w:pPr>
        <w:pStyle w:val="TextoNormal"/>
      </w:pPr>
    </w:p>
    <w:p w:rsidR="00256EE9" w:rsidRDefault="00256EE9" w:rsidP="00256EE9">
      <w:pPr>
        <w:pStyle w:val="TextoNormal"/>
      </w:pPr>
      <w:r w:rsidRPr="00256EE9">
        <w:rPr>
          <w:rStyle w:val="NumeroAFNegritaCaracter"/>
        </w:rPr>
        <w:t>4</w:t>
      </w:r>
      <w:r>
        <w:t>. Por lo que se refiere al apartado a), basta la lectura de la parte dispositiva del Auto de 8 de febrero de 1984, así como de los considerandos primero y segundo del mismo, en los que el Pleno de la Sala de lo Penal de la Audiencia Nacional se pronuncia sobre la presunta omisión de los requisitos formales contenidos en la Ley española -alegada en el presente recurso para fundamentar la vulneración del artículo 24.2 de la Constitución-, razonando jurídicamente sobre la aplicabilidad de dicha Ley y sobre el cumplimiento de dichos requisitos, para concluir que el recurrente ha utilizado indebidamente el recurso de amparo, replanteando cuestiones de legalidad cuya resolución por el órgano judicial competente no supone vulneración alguna del art.  24.2 de la Norma fundamental.</w:t>
      </w:r>
    </w:p>
    <w:p w:rsidR="00256EE9" w:rsidRDefault="00256EE9" w:rsidP="00256EE9">
      <w:pPr>
        <w:pStyle w:val="TextoNormal"/>
      </w:pPr>
      <w:r>
        <w:t xml:space="preserve">En efecto, con independencia de la interpretación que el órgano judicial haya dado a las normas aplicables -interpretación que no corresponde valorar a este Tribunal Constitucional-, lo cierto es que el Pleno de la Sala de lo Penal accede a la extradición fijando unas limitaciones y condicionamientos que no representan otra cosa que las garantías de las que el recurrente dice haber sido privado: no podrá ser perseguido por hechos anteriores y distintos a los que han motivado la presente extradición mientras no concurran los requisitos exigidos por el art.  14 del Convenio Europeo, y tampoco podrá ser sometido en Italia a ningún Tribunal de excepción, con arreglo a la Reserva formulada por España al art.  1 del repetido Convenio. A ello hay que añadir que, de acuerdo con lo exigido por la Sección Segunda de lo Penal, la Embajada italiana envió escrito, que ha quedado incorporado al rollo, en el que contrae la promesa formal a que se refiere el recurrente.  Y, respecto al derecho a que los documentos sean traducidos, el mismo recurrente reconoce que tal omisión fue subsanada; por otra parte, en el considerando segundo, apartado c), del Auto impugnado, el Pleno razona que la traducción oficial no es requerida como obligatoria sino </w:t>
      </w:r>
      <w:r>
        <w:lastRenderedPageBreak/>
        <w:t>como facultativa por los arts. 12 y 23 del Convenio Europeo y, en cuanto a las traducciones aportadas, señala que son suficientes y bastantes y han pasado por los previos controles del Ministerio de Asuntos Exteriores de Italia y de España y del Ministerio de Justicia español, y, por último, que nadie ha probado su inautenticidad, ni siquiera lo ha intentado.</w:t>
      </w:r>
    </w:p>
    <w:p w:rsidR="00256EE9" w:rsidRDefault="00256EE9" w:rsidP="00256EE9">
      <w:pPr>
        <w:pStyle w:val="TextoNormal"/>
      </w:pPr>
    </w:p>
    <w:p w:rsidR="00256EE9" w:rsidRDefault="00256EE9" w:rsidP="00256EE9">
      <w:pPr>
        <w:pStyle w:val="TextoNormal"/>
      </w:pPr>
      <w:r w:rsidRPr="00256EE9">
        <w:rPr>
          <w:rStyle w:val="NumeroAFNegritaCaracter"/>
        </w:rPr>
        <w:t>5</w:t>
      </w:r>
      <w:r>
        <w:t>. En cuanto a la presunta vulneración del principio non bis in idem, alegada también ante el Pleno, del considerando octavo del mencionado Auto y de la parte dispositiva del mismo, se deduce que tampoco se ha producido.</w:t>
      </w:r>
    </w:p>
    <w:p w:rsidR="00256EE9" w:rsidRDefault="00256EE9" w:rsidP="00256EE9">
      <w:pPr>
        <w:pStyle w:val="TextoNormal"/>
      </w:pPr>
      <w:r>
        <w:t>En dicho considerando el Pleno de la Sala sostiene que los hechos objeto de la petición de extradición -que se analizan en el considerando sexto- son distintos a los juzgados por la Sentencia de la Corte dei Conti, que sólo tiene competencia para conocer y sancionar infracciones administrativas fiscales y aduaneras, infracciones, por otra parte, que no dan lugar a la extradición al no cumplirse los requisitos exigidos en el art. 5 del Convenio Europeo.</w:t>
      </w:r>
    </w:p>
    <w:p w:rsidR="00256EE9" w:rsidRDefault="00256EE9" w:rsidP="00256EE9">
      <w:pPr>
        <w:pStyle w:val="TextoNormal"/>
      </w:pPr>
      <w:r>
        <w:t>En cualquier caso, al excluirse expresamente de la concesión extradicional los delitos fiscales en la parte dispositiva del mencionado Auto del Pleno, es obvio que la alegación del recurrente relativa a la vulneración del art. 25 de la Constitución carece de fundamento.</w:t>
      </w:r>
    </w:p>
    <w:p w:rsidR="00256EE9" w:rsidRDefault="00256EE9" w:rsidP="00256EE9">
      <w:pPr>
        <w:pStyle w:val="TextoNormal"/>
      </w:pPr>
    </w:p>
    <w:p w:rsidR="00256EE9" w:rsidRDefault="00256EE9" w:rsidP="00256EE9">
      <w:pPr>
        <w:pStyle w:val="TextoNormal"/>
      </w:pPr>
      <w:r w:rsidRPr="00256EE9">
        <w:rPr>
          <w:rStyle w:val="NumeroAFNegritaCaracter"/>
        </w:rPr>
        <w:t>6</w:t>
      </w:r>
      <w:r>
        <w:t>. En definitiva, el recurrente ha obtenido dos resoluciones jurídicamente fundadas, en las que se han respetado las garantías a que se refiere en su escrito, pues éstas aparecen como limitaciones o condicionamientos del otorgamiento de la extradición, por lo que no cabe afirmar ni que el recurrente se ha visto privado de su derecho a una tutela judicial efectiva ni que el proceso se haya realizado sin las debidas garantías.</w:t>
      </w:r>
    </w:p>
    <w:p w:rsidR="00256EE9" w:rsidRDefault="00256EE9" w:rsidP="00256EE9">
      <w:pPr>
        <w:pStyle w:val="TextoNormal"/>
      </w:pPr>
      <w:r>
        <w:t>El recurrente afirma que ambas resoluciones son incongruentes y producen indefensión, pero no se puede atribuir incongruencia al hecho de que el Tribunal competente para revisar una resolución judicial determine las normas aplicables y decida en consecuencia; por otra parte, ambos fallos coinciden en acceder a la extradición, si bien el órgano superior la condiciona precisamente a las garantías que el recurrente considera que deben ser exigidas.</w:t>
      </w:r>
    </w:p>
    <w:p w:rsidR="00256EE9" w:rsidRDefault="00256EE9" w:rsidP="00256EE9">
      <w:pPr>
        <w:pStyle w:val="TextoNormal"/>
      </w:pPr>
      <w:r>
        <w:t>En realidad, lo que el recurrente plantea ante este Tribunal Constitucional es su discrepancia respecto a la normativa aplicable -lo que le lleva a hablar de vulneración de los principios de legalidad y de jerarquía normativa, consagrados en el art. 9.3 de la Constitución, artículo que, por otra parte, no es objeto de protección específica por la vía del recurso de amparo (arts.  53.2 de la Constitución y 41 de la LOTC) y respecto a la naturaleza de los supuestos delitos que dieron origen a la demanda de extradición.  Pero, como reiteradamente viene recordando este Tribunal, a él no le corresponde enjuiciar los hechos que han dado lugar al proceso ni valorar la forma en que Jueces y Tribunales ordinarios aplican las Leyes, salvo que al hacerlo violen garantías constitucionales que afecten a los derechos y libertades fundamentales susceptibles de amparo (arts. 117.3 de la Constitución y 54 de la LOTC), lo que manifiestamente no ha ocurrido, como acabamos de poner de manifiesto en el presente caso.</w:t>
      </w:r>
    </w:p>
    <w:p w:rsidR="00256EE9" w:rsidRDefault="00256EE9" w:rsidP="00256EE9">
      <w:pPr>
        <w:pStyle w:val="TextoNormal"/>
      </w:pPr>
    </w:p>
    <w:p w:rsidR="00256EE9" w:rsidRDefault="00256EE9" w:rsidP="00256EE9">
      <w:pPr>
        <w:pStyle w:val="TextoNormal"/>
      </w:pPr>
      <w:r w:rsidRPr="00256EE9">
        <w:rPr>
          <w:rStyle w:val="NumeroAFNegritaCaracter"/>
        </w:rPr>
        <w:t>7</w:t>
      </w:r>
      <w:r>
        <w:t>. En cuanto al amparo solicitado en el segundo recurso interpuesto contra los Autos de 24 de febrero de 1984 del Pleno de la Sala de lo Penal de la Audiencia Nacional y de 10 de octubre de 1984 de la Sala Segunda del Tribunal Supremo, la cuestión debatida se cen</w:t>
      </w:r>
      <w:r>
        <w:lastRenderedPageBreak/>
        <w:t>tra en la presunta exigencia constitucional del recurso de casación en materia de extradición.</w:t>
      </w:r>
    </w:p>
    <w:p w:rsidR="00256EE9" w:rsidRDefault="00256EE9" w:rsidP="00256EE9">
      <w:pPr>
        <w:pStyle w:val="TextoNormal"/>
      </w:pPr>
      <w:r>
        <w:t>Una vez más es preciso recordar la doctrina mantenida por este Tribunal Constitucional en el sentido de que el art. 24.1 de la Constitución garantiza a todos los ciudadanos la tutela judicial efectiva mediante el acceso al proceso y a los recursos previstos en la Ley, pero que no otorga el derecho a un doble enjuiciamiento y mucho menos a una serie indefinida de recursos, salvo la doble instancia en materia penal. Y respecto al recurso de casación, ha afirmado que dicho recurso es, por su propia naturaleza, un instrumento tasado y que, entendido como remedio extraordinario, sólo es utilizable en la medida en que el legislador lo haya previsto con carácter expreso, sin que ello signifique ausencia de tutela, dado que ésta se produce mediante los recursos ordinarios legalmente previstos.</w:t>
      </w:r>
    </w:p>
    <w:p w:rsidR="00256EE9" w:rsidRDefault="00256EE9" w:rsidP="00256EE9">
      <w:pPr>
        <w:pStyle w:val="TextoNormal"/>
      </w:pPr>
      <w:r>
        <w:t>En el caso que nos ocupa, el recurrente ha hecho uso de todos los medios que el ordenamiento jurídico le proporcionaba, sin que sea de aplicación, como pretende, la exigencia contenida en el art.  14.5 del Pacto Internacional de Derechos Civiles y Políticos -a cuya luz ha de interpretarse el art.  24. 1 de la Constitución, tal como establece el art.  10.2 de la misma-, según la cual «toda persona declarada culpable de un delito tendrá derecho a que el fallo condenatorio y la pena que se le haya impuesto sean sometidos a un Tribunal superior, conforme a lo prescrito por la Ley». La doble instancia no viene constitucionalmente impuesta en materia de extradición, dado que mediante la declaración de la procedencia de la extradición, como señala la Sala Segunda del Tribunal Supremo, «no se pronuncia una condena ni se impone ninguna pena», y en estos casos, en que no existe una Sentencia criminal condenatoria, como ha reconocido este Tribunal Constitucional en varias resoluciones, faltan los elementos subjetivos y objetivos determinantes de la aplicación del mencionado art.  14.5 del Pacto Internacional.</w:t>
      </w:r>
    </w:p>
    <w:p w:rsidR="00256EE9" w:rsidRDefault="00256EE9" w:rsidP="00256EE9">
      <w:pPr>
        <w:pStyle w:val="TextoNormal"/>
      </w:pPr>
    </w:p>
    <w:p w:rsidR="00256EE9" w:rsidRDefault="00256EE9" w:rsidP="00256EE9">
      <w:pPr>
        <w:pStyle w:val="TextoNormal"/>
      </w:pPr>
      <w:r w:rsidRPr="00256EE9">
        <w:rPr>
          <w:rStyle w:val="NumeroAFNegritaCaracter"/>
        </w:rPr>
        <w:t>8</w:t>
      </w:r>
      <w:r>
        <w:t>. De todo lo anteriormente expuesto se deduce que las resoluciones impugnadas no han vulnerado los derechos fundamentales invocados y que, en consecuencia, los presentes recursos de amparo incurren en el motivo de inadmisión previsto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su virtud, la Sección acuerda la inadmisión de los recursos de amparo registrados bajo los núms.  95/1984 y 755/1984, promovidos por don Donato Loprete, y el archivo de las actuaciones.</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1" w:name="AUTO_1985_60"/>
      <w:r>
        <w:lastRenderedPageBreak/>
        <w:t>AUTO 60/1985, de 30 de enero de 1985</w:t>
      </w:r>
    </w:p>
    <w:bookmarkEnd w:id="121"/>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ECLI:ES:TC:1985:60A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292/1984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21 de abril de 1984 tuvo entrada en el Tribunal Constitucional un escrito por el que don Juan Antonio Pérez Maldonado, Abogado, interpone en su propio nombre y derecho recurso de amparo constitucional contra Auto de la Sala Tercera del Tribunal Supremo de 8 de marzo de 1984 que desestimó el recurso de súplica interpuesto contra otro Auto de 28 de octubre de 1983 que desestimaba recurso de queja contra Auto de 24 de marzo de 1983 dictado por la Sala Primera de lo Contencioso-Administrativo de la Audiencia Territorial de Madrid, que inadmitió recurso de apelación contra providencia de 18 de febrero de 1983, de la misma Sala, que no dio lugar a recurso extraordinario de nulidad de actuaciones contra el Auto de 27 de mayo de 1982, que -se dice- desvirtuó la Sentencia del Tribunal Constitucional de 29 de marzo de 1982, al no admitir a trámite -por la vía especial de la Ley de 26 de diciembre de 1978- el recurso contencioso-administrativo interpuesto contra desestimación tácita del Rectorado de la Universidad Complutense de Madrid de reclamación sobre el nombramiento de profesores ayudantes de la Facultad de Derecho. </w:t>
      </w:r>
    </w:p>
    <w:p w:rsidR="00256EE9" w:rsidRDefault="00256EE9" w:rsidP="00256EE9">
      <w:pPr>
        <w:pStyle w:val="TextoNormal"/>
      </w:pPr>
      <w:r>
        <w:t>Pide que, con anulación de las resoluciones impugnadas, se retrotraigan las actuaciones al momento en que iba a dictarse la «llamada providencia de 18 de febrero de 1983, por la Sala Primera de lo Contencioso-Administrativo de la Audiencia Territorial de Madrid, pronunciándose sobre la admisión del planteamiento extraordinario de nulidad de actuaciones contra el Auto de 27 de mayo de 1982, que con un rebuscamiento en falso contra este subscribiente, dejó desvirtuada la Sentencia favorable de 28 de marzo de 1982, dictada por el Tribunal Constitucional (Sala Primera) (Recurso de amparo 219/1981)» (sic).</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que fundamentan la demanda deben ser precisados y sintetizados en los siguientes términos: </w:t>
      </w:r>
    </w:p>
    <w:p w:rsidR="00256EE9" w:rsidRDefault="00256EE9" w:rsidP="00256EE9">
      <w:pPr>
        <w:pStyle w:val="TextoNormal"/>
      </w:pPr>
      <w:r>
        <w:t xml:space="preserve">A) El día 7 de mayo de 1981, don Juan Antonio Pérez Maldonado interpuso recurso contencioso-administrativo, conforme a la Ley 67/1978, contra el Rectorado de la Universidad Complutense de Madrid, por no haber sido designado profesor ayudante de la misma, alegando que habian sido designadas personas con menor puntuación media académica que el recurrente. </w:t>
      </w:r>
    </w:p>
    <w:p w:rsidR="00256EE9" w:rsidRDefault="00256EE9" w:rsidP="00256EE9">
      <w:pPr>
        <w:pStyle w:val="TextoNormal"/>
      </w:pPr>
      <w:r>
        <w:t xml:space="preserve">B) Por Auto de 2 de junio de 1981, la Sala Primera de lo Contencioso-Administrativo de la Audiencia Territorial de Madrid acordó declarar la inadmisibilidad del recurso por </w:t>
      </w:r>
      <w:r>
        <w:lastRenderedPageBreak/>
        <w:t xml:space="preserve">no ser aplicable al principio de igualdad ante la Ley reconocido en el art. 14 de la Constitución el procedimiento especial establecido en la Ley 62/1978. </w:t>
      </w:r>
    </w:p>
    <w:p w:rsidR="00256EE9" w:rsidRDefault="00256EE9" w:rsidP="00256EE9">
      <w:pPr>
        <w:pStyle w:val="TextoNormal"/>
      </w:pPr>
      <w:r>
        <w:t xml:space="preserve">C) Tras haber utilizado sin éxito el recurso de apelación, don Juan Antonio Pérez Maldonado interpuso, el día 28 de julio de 1981, demanda de amparo constitucional que fue estimada mediante Sentencia de la Sala Primera del Tribunal Constitucional de 29 de marzo de 1982, en cuyo fallo acordó: </w:t>
      </w:r>
    </w:p>
    <w:p w:rsidR="00256EE9" w:rsidRDefault="00256EE9" w:rsidP="00256EE9">
      <w:pPr>
        <w:pStyle w:val="TextoNormal"/>
      </w:pPr>
      <w:r>
        <w:t xml:space="preserve">«En atención a todo lo expuesto, el Tribunal Constitucional, por la autoridad que le confiere la Constitución de la Nación española, ha decidido: </w:t>
      </w:r>
    </w:p>
    <w:p w:rsidR="00256EE9" w:rsidRDefault="00256EE9" w:rsidP="00256EE9">
      <w:pPr>
        <w:pStyle w:val="TextoNormal"/>
      </w:pPr>
      <w:r>
        <w:t xml:space="preserve">1.° Estimar en parte el recurso de amparo formulado por don Juan Antonio Pérez Maldonado y, a tal efecto, acuerda: </w:t>
      </w:r>
    </w:p>
    <w:p w:rsidR="00256EE9" w:rsidRDefault="00256EE9" w:rsidP="00256EE9">
      <w:pPr>
        <w:pStyle w:val="TextoNormal"/>
      </w:pPr>
      <w:r>
        <w:t xml:space="preserve">a) Declarar que el art. 14 de la Constitución está comprendido dentro del ámbito de aplicación de la Ley 62/1978, de 26 de diciembre, de protección jurisdiccional de los Derechos Fundamentales de la Persona. </w:t>
      </w:r>
    </w:p>
    <w:p w:rsidR="00256EE9" w:rsidRDefault="00256EE9" w:rsidP="00256EE9">
      <w:pPr>
        <w:pStyle w:val="TextoNormal"/>
      </w:pPr>
      <w:r>
        <w:t xml:space="preserve">b) Restablecer al recurrente en la integridad de su derecho a la tutela efectiva de los Jueces y Tribunales en el ejercicio de sus derechos, para lo cual se retrotraen las actuaciones del recurso contencioso-administrativo núm. 369/1981, interpuesto por don Juan Antonio Pérez Maldonado, ante la Sala Primera de lo Contencioso-Administrativo de la Audiencia Territorial de Madrid, al momento inmediatamente anterior al en que fue dictado el Auto de 2 de junio de 1981, que lo declaró inadmisible, Auto que se deja sin efecto alguno, así como también el de 14 de julio del mismo año, que vino a confirmarlo al resolver el recurso de apelación interpuesto. </w:t>
      </w:r>
    </w:p>
    <w:p w:rsidR="00256EE9" w:rsidRDefault="00256EE9" w:rsidP="00256EE9">
      <w:pPr>
        <w:pStyle w:val="TextoNormal"/>
      </w:pPr>
      <w:r>
        <w:t xml:space="preserve">2.° Desestimar el recurso en todo lo demás.» D) Mediante Auto de 27 de mayo de 1982, la Sala Primera de lo Contencioso-Administrativo de la Audiencia Territorial de Madrid volvió a declarar inadmisible el recurso contencioso-administrativo de que se ha hecho mérito en el apartado B) de estos antecedentes. Se entendió, esta vez, que no se había alegado por el recurrente, ni en vía administrativa ni en vía jurisdiccional, que en la actuación del Ente institucional, Universidad Complutense de Madrid, a través de su Rector, se haya producido una discriminación, en la resolución de su petición de nombramiento de profesor ayudante, sino que lo único que se ve alegado por el mismo es un derecho a ser nombrado con preferencia a otras personas con menor puntuación media académica, con lo cual se concluyó que el cauce procesal adecuado para el ejercicio de tal pretensión no podía ser el previsto en la Ley 62/1978, declarando inadmisible el recurso. </w:t>
      </w:r>
    </w:p>
    <w:p w:rsidR="00256EE9" w:rsidRDefault="00256EE9" w:rsidP="00256EE9">
      <w:pPr>
        <w:pStyle w:val="TextoNormal"/>
      </w:pPr>
      <w:r>
        <w:t xml:space="preserve">Dicho Auto fue confirmado en apelación por la Sala Tercera del Tribunal Supremo en resolución que no ha sido aportada al presente proceso. </w:t>
      </w:r>
    </w:p>
    <w:p w:rsidR="00256EE9" w:rsidRDefault="00256EE9" w:rsidP="00256EE9">
      <w:pPr>
        <w:pStyle w:val="TextoNormal"/>
      </w:pPr>
      <w:r>
        <w:t xml:space="preserve">E) Contra el Auto de 27 de mayo de 1982 interpuso el recurrente recurso de nulidad de actuaciones, siendo rechazado por providencia de 18 de febrero de 1983. La referida providencia fue impugnada en apelación, siendo rechazada por Auto de 24 de marzo de 1983. Contra esta resolución interpuso el solicitante de amparo recurso de súplica que fue desestimado por nuevo Auto de 26 de abril de 1983. Contra dicho Auto se interpuso recurso de queja ante la Sala Tercera del Tribunal Supremo, que lo desestimó también por Auto de 8 de marzo de 1984. </w:t>
      </w:r>
    </w:p>
    <w:p w:rsidR="00256EE9" w:rsidRDefault="00256EE9" w:rsidP="00256EE9">
      <w:pPr>
        <w:pStyle w:val="TextoNormal"/>
      </w:pPr>
      <w:r>
        <w:t>F) Contra el último de los Autos reseñados, y contra todos los anteriores, interpuso finalmente el recurrente el presente recurso de amparo constitucional.</w:t>
      </w:r>
    </w:p>
    <w:p w:rsidR="00256EE9" w:rsidRDefault="00256EE9" w:rsidP="00256EE9">
      <w:pPr>
        <w:pStyle w:val="TextoNormal"/>
      </w:pPr>
    </w:p>
    <w:p w:rsidR="00256EE9" w:rsidRDefault="00256EE9" w:rsidP="00256EE9">
      <w:pPr>
        <w:pStyle w:val="TextoNormal"/>
      </w:pPr>
      <w:r w:rsidRPr="00256EE9">
        <w:rPr>
          <w:rStyle w:val="NumeroAFNegritaCaracter"/>
        </w:rPr>
        <w:t>3</w:t>
      </w:r>
      <w:r>
        <w:t>. El recurrente aduce como fundamentos jurídicos de su demanda que el art. 24 de la Constitución garantiza también la indefensión intraprocesal y que «se le han negado oídos a los medios y alegaciones de defensa». El Auto de 27 de mayo de 1982 -se afirma tambien- infringe el art. 14 de la Constitución al no admitir su demanda.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Primera de la Sala Primera del Tribunal Constitucional, por providencia de 23 de mayo de 1984, acordó tener por interpuesto recurso de amparo y requerir a don Juan Antonio Pérez Maldonado para que en el plazo de diez días presentase ante el Tribunal los siguientes documentos: </w:t>
      </w:r>
    </w:p>
    <w:p w:rsidR="00256EE9" w:rsidRDefault="00256EE9" w:rsidP="00256EE9">
      <w:pPr>
        <w:pStyle w:val="TextoNormal"/>
      </w:pPr>
      <w:r>
        <w:t xml:space="preserve">1.° Copia del Auto de 27 de mayo de 1982, dictado por la Sala Primera de lo Contencioso-Administrativo de la Audiencia Territorial de Madrid. </w:t>
      </w:r>
    </w:p>
    <w:p w:rsidR="00256EE9" w:rsidRDefault="00256EE9" w:rsidP="00256EE9">
      <w:pPr>
        <w:pStyle w:val="TextoNormal"/>
      </w:pPr>
      <w:r>
        <w:t xml:space="preserve">2.° Copia de la resolución recaída en la apelación interpuesta, en su caso, contra el Auto anterior. </w:t>
      </w:r>
    </w:p>
    <w:p w:rsidR="00256EE9" w:rsidRDefault="00256EE9" w:rsidP="00256EE9">
      <w:pPr>
        <w:pStyle w:val="TextoNormal"/>
      </w:pPr>
      <w:r>
        <w:t xml:space="preserve">3.° Copia de la providencia de 18 de febrero de 1983, dictada por dicha Audiencia. </w:t>
      </w:r>
    </w:p>
    <w:p w:rsidR="00256EE9" w:rsidRDefault="00256EE9" w:rsidP="00256EE9">
      <w:pPr>
        <w:pStyle w:val="TextoNormal"/>
      </w:pPr>
      <w:r>
        <w:t xml:space="preserve">4.° Copia del Auto de la misma Audiencia de fecha 24 de marzo de 1983. </w:t>
      </w:r>
    </w:p>
    <w:p w:rsidR="00256EE9" w:rsidRDefault="00256EE9" w:rsidP="00256EE9">
      <w:pPr>
        <w:pStyle w:val="TextoNormal"/>
      </w:pPr>
      <w:r>
        <w:t xml:space="preserve">5.° Y de todas aquellas resoluciones citadas en su escrito de demanda y que no han sido aportadas con el mismo. </w:t>
      </w:r>
    </w:p>
    <w:p w:rsidR="00256EE9" w:rsidRDefault="00256EE9" w:rsidP="00256EE9">
      <w:pPr>
        <w:pStyle w:val="TextoNormal"/>
      </w:pPr>
      <w:r>
        <w:t>En cumplimiento de lo ordenado por la Sección, el recurrente aportó copia de los documentos requeridos, con excepción de la resolución recaída en la apelación interpuesta ante el Tribunal Supremo contra el Auto de 27 de mayo de 1982.</w:t>
      </w:r>
    </w:p>
    <w:p w:rsidR="00256EE9" w:rsidRDefault="00256EE9" w:rsidP="00256EE9">
      <w:pPr>
        <w:pStyle w:val="TextoNormal"/>
      </w:pPr>
    </w:p>
    <w:p w:rsidR="00256EE9" w:rsidRDefault="00256EE9" w:rsidP="00256EE9">
      <w:pPr>
        <w:pStyle w:val="TextoNormal"/>
      </w:pPr>
      <w:r w:rsidRPr="00256EE9">
        <w:rPr>
          <w:rStyle w:val="NumeroAFNegritaCaracter"/>
        </w:rPr>
        <w:t>5</w:t>
      </w:r>
      <w:r>
        <w:t>. Por providencia de 26 de julio de 1984, la Sección Primera acordó poner de manifiesto al solicitante de amparo y al Ministerio Fiscal, por plazo común de diez días, que el recurso podía presentar el defecto insubsanable de falta manifiesta de contenido que justifique una decisión por parte del Tribunal Constitucional [art. 50.2 b)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Ministerio Fiscal, por escrito de 31 de agosto de 1984, alega que, reiniciadas las actuaciones, en cumplimiento de lo acordado por Sentencia de 29 de marzo de 1982 de este Tribunal Constitucional, la Sala de la Territorial acordó de nuevo -por causa distinta- la inadmisión del recurso contencioso-administrativo por Auto de 27 de mayo de 1982 que, al parecer, fue confirmado por otro del Tribunal Supremo que no consta en las actuaciones constitucionales a pesar de haber sido el recurrente de amparo especificamente requerido para ello por la providencia de que se ha hecho mérito en el apartado 4 de estos antecedentes. Que todo ello podría constituir la causa de inadmisión prevista en el art. 50.1 b) de la LOTC, por no haberse subsanado el defecto en el plazo que se le concedió para ello, con arreglo al artículo 85.2 de la LOTC. Que, en consecuencia, tampoco consta con seguridad si se agotó o no la vía judicial, como exige el art. 44.1 a) de la LOTC. Pero que, en cualquier caso, la demanda carece manifiestamente de contenido que justifique una decisión por parte del Tribunal Constitucional. Se han debatido -en los sucesivos remedios procesales intenta dos cuestiones de mera legalidad resueltas por los órganos judiciales motivada y fundadamente. </w:t>
      </w:r>
    </w:p>
    <w:p w:rsidR="00256EE9" w:rsidRDefault="00256EE9" w:rsidP="00256EE9">
      <w:pPr>
        <w:pStyle w:val="TextoNormal"/>
      </w:pPr>
      <w:r>
        <w:t xml:space="preserve">El Tribunal Supremo ha razonado y fundamentado el régimen legal de los recursos aplicables en análisis pormenorizado de los preceptos vigentes, tanto de la L. J. C. A. como de la L. E. C., que justifican cumplidamente el fracaso de las pretensiones que, con más tenacidad que acierto, intentó el recurrente hasta el punto de calificar sus argumentos de «difícilmente comprensibles» (considerando tercero del Auto de 8 de marzo de 1984). Concluye afirmando que no se puede revisar, en vía de amparo, la valoración y aplicación de la Ley ordinaria hecha por los órganos del Poder Judicial, salvo en los supuestos en que se haya producido la vulneración de un derecho fundamental. En otro caso se convertiría el recurso de amparo en una tercera instancia o supercasación, lo que ha sido rechazado en </w:t>
      </w:r>
      <w:r>
        <w:lastRenderedPageBreak/>
        <w:t>reiterada jurisprudencia de este Tribunal. En el presente supuesto, la Sentencia del Tribunal Constitucional no decidió -como desmesuradamente pretende el recurrente- la admisión del recurso contencioso-administrativo interpuesto. Corregida la infracción producida del art. 24 de la C. E., la Audiencia entendió correctamente que la invocación efectuada del art. 14 de la Constitución carecía de toda consistencia. En conclusión, pide que se acuerde la inadmisión del recurso por incurrir en la causa prevista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7</w:t>
      </w:r>
      <w:r>
        <w:t>. El recurrente alega que las resoluciones judiciales impugnadas cometen violación del art. 24 de la Constitución y que le imponen por la fuerza un acto nulo, como lo es el Auto de 27 de mayo de 1982. Finalmente, tras otras afirmaciones, alega que si se inadmite la demanda se verá en el trance de acudir al Tribunal Europeo de Derechos Humanos como ya ha tenido que hacerlo anteriormente.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complejidad y pluralidad de remedios procesales intentados sin éxitos por el recurrente en distintas instancias exige precisar y aclarar sus pretensiones a efectos de resolver sobre el presente recurso de amparo.</w:t>
      </w:r>
    </w:p>
    <w:p w:rsidR="00256EE9" w:rsidRDefault="00256EE9" w:rsidP="00256EE9">
      <w:pPr>
        <w:pStyle w:val="TextoNormal"/>
      </w:pPr>
      <w:r>
        <w:t>En el «suplico» de la demanda se queja el recurrente de que ha sufrido una patente indefensión intraprocesal, al no ser oídas y no dar fruto alguno sus alegaciones fundadas y constantes ante la Sala Tercera del Tribunal Supremo.</w:t>
      </w:r>
    </w:p>
    <w:p w:rsidR="00256EE9" w:rsidRDefault="00256EE9" w:rsidP="00256EE9">
      <w:pPr>
        <w:pStyle w:val="TextoNormal"/>
      </w:pPr>
      <w:r>
        <w:t>En concreto, impugna el Auto de la Sala Tercera del Tribunal Supremo de 8 de marzo de 1984, que desestimó el recurso de súplica interpuesto frente a otro Auto de la misma Sala de 28 de octubre de 1983 que, a su vez, desestimó recurso de queja interpuesto contra Auto de 24 de marzo de 1983 de la Sala Primera de lo Contencioso-Administrativo de la Audiencia Territorial de Madrid.  La última de las resoluciones citadas -la de 24 de marzo de 1983- vino a inadmitir recurso de apelación contra una providencia de 18 de febrero de 1983, por la que se rechazó un incidente de nulidad de actuaciones promovido contra el Auto de 27 de mayo de 1982 de la Audiencia Territorial de Madrid, que declaró la inadmisibilidad de un recurso contencioso-administrativo interpuesto al amparo de la Ley 62/1978, de 26 de diciembre, de Protección Jurisdiccional de los Derechos Fundamentales de la Persona.</w:t>
      </w:r>
    </w:p>
    <w:p w:rsidR="00256EE9" w:rsidRDefault="00256EE9" w:rsidP="00256EE9">
      <w:pPr>
        <w:pStyle w:val="TextoNormal"/>
      </w:pPr>
      <w:r>
        <w:t>Si se examina la larga cadena de recursos intentada por el señor Pérez Maldonado se observa que, en cada una de las instancias, ha obtenido el recurrente resoluciones motivadas que han examinado las pretensiones deducidas por el mismo. No puede admitirse, por tanto, que no haya sido oído.</w:t>
      </w:r>
    </w:p>
    <w:p w:rsidR="00256EE9" w:rsidRDefault="00256EE9" w:rsidP="00256EE9">
      <w:pPr>
        <w:pStyle w:val="TextoNormal"/>
      </w:pPr>
      <w:r>
        <w:t>Es imposible atisbar sobre alguna de indefensión ex art.  24 de la C. E., respecto de quién ha logrado un número considerable de resoluciones que, en definitiva, vienen a declarar que el recurrente ha errado en sus planteamientos procesales. No compete a este Tribunal que -como ha repetido innumerables veces- no puede ser considerado una tercera instancia o supercasación, enjuiciar la corrección o incorrección de las resoluciones habidas en la vía judicial ordinaria.  Basta con declarar -y en el presente caso es manifiesto que así ocurre- que en ninguna de ellas se han vulnerado las garantías que reconoce el art. 24 de la Constitución Española.  Por tanto, la pretensión de amparo carece manifiestamente de contenido que justifique una decisión por parte del Tribunal Constitucional [ art.  50.2 b) de la LOTC ] respecto de las resoluciones judiciales de que se ha hecho mérito.</w:t>
      </w:r>
    </w:p>
    <w:p w:rsidR="00256EE9" w:rsidRDefault="00256EE9" w:rsidP="00256EE9">
      <w:pPr>
        <w:pStyle w:val="TextoNormal"/>
      </w:pPr>
    </w:p>
    <w:p w:rsidR="00256EE9" w:rsidRDefault="00256EE9" w:rsidP="00256EE9">
      <w:pPr>
        <w:pStyle w:val="TextoNormal"/>
      </w:pPr>
      <w:r w:rsidRPr="00256EE9">
        <w:rPr>
          <w:rStyle w:val="NumeroAFNegritaCaracter"/>
        </w:rPr>
        <w:t>2</w:t>
      </w:r>
      <w:r>
        <w:t>. Resulta, no obstante, que la pretensión de amparo critica también el Auto de la Audiencia Territorial de 27 de mayo de 1982, por el que se inadmitió, otra vez, el recurso contencioso-administrativo interpuesto, después de que la Sentencia de este Tribunal de 29 de marzo de 1982 retrotrayese las actuaciones del referido proceso al momento anterior en que fue dictado el Auto de 2 de junio de 1981 y restableciese al señor Pérez Maldonado en la integridad de su derecho a la tutela judicial efectiva, declarando que el artículo 14 de la Constitución está comprendido dentro del ámbito de aplicación de la Ley 62/1978, de 26 de diciembre.</w:t>
      </w:r>
    </w:p>
    <w:p w:rsidR="00256EE9" w:rsidRDefault="00256EE9" w:rsidP="00256EE9">
      <w:pPr>
        <w:pStyle w:val="TextoNormal"/>
      </w:pPr>
      <w:r>
        <w:t>La providencia de la Sección Primera de este Tribunal de 23 de mayo de 1984 requirió al recurrente para que aportase copia de la resolución recaída en la apelación interpuesta, en su caso, contra el Auto de 27 de mayo de 1982. Como señala el Ministerio Fiscal, el recurrente no ha aportado copia de la resolución citada, a la que se refiere el resultando primero, apartado séptimo del Auto de la Sala Tercera del Tribunal Supremo de 28 de octubre de 1983 y el apartado segundo del resultando primero del Auto de la misma Sala de 8 de marzo de 1984. Concurre, en consecuencia, respecto de la impugnación del Auto de 27 de mayo de 1982, la causa de inadmisión prevista en el art. 50.1 b) de la LOTC, ya que el recurrente no ha subsanado, en el plazo que se le concedió para ello, el defecto de la demanda que se le había puesto de manifiesto a efectos de lo dispuesto en el art. 85.2 de la LOTC. Este solo motivo sería suficiente para declarar inadmisible la demanda de amparo, en conexión con otros que la Sala debería haber podido comprobar como la extemporaneidad de la pretensión, a contar desde la fecha de notificación del precitado Auto (toda vez que el incidente de nulidad de actuaciones con el que se inicia la cadena de impugnaciones de que se ha hecho mérito en el fundamento anterior no tenía que ser considerado como necesario a efectos del art.  44.1 a) de la LOTC o, como señala el Ministerio Fiscal, la falta de constancia en estos Autos del agotamiento de la vía judicial previa [artículo 44.1 a) de la LOTC].</w:t>
      </w:r>
    </w:p>
    <w:p w:rsidR="00256EE9" w:rsidRDefault="00256EE9" w:rsidP="00256EE9">
      <w:pPr>
        <w:pStyle w:val="TextoNormal"/>
      </w:pPr>
      <w:r>
        <w:t>No obstante, la causa de inadmisión señalada, aun en conexión con los posibles defectos reseñados, no ha de servirnos para fundar la ratio dicendi del presente Auto.  Dado el antiformalismo que preside esta vía de amparo, conviene entrar a examinar la cuestión esencial que el solicitante de amparo nos suscita, a saber, si el Auto de la Audiencia Territorial de Madrid de 27 de mayo de 1982 produjo «un rebuscamiento en falso y peyorativo» contra el interesado al volver a decretar la inadmisión de su recurso contenciosoadministrativo tras acatar el fallo de la Sentencia de este Tribunal de 29 de marzo de 1982.</w:t>
      </w:r>
    </w:p>
    <w:p w:rsidR="00256EE9" w:rsidRDefault="00256EE9" w:rsidP="00256EE9">
      <w:pPr>
        <w:pStyle w:val="TextoNormal"/>
      </w:pPr>
      <w:r>
        <w:t>Pues bien, como señala el Ministerio Fiscal, la inadmisión decretada se ha debido a un motivo nuevo: la invocación defectuosa que del principio de igualdad hizo el recurrente en el recurso contencioso-administrativo interpuesto ante la Audiencia Territorial de Madrid.  Siendo así que nuestra Sentencia de 29 de marzo de 1982 declaró expresamente que no podíamos entrar a considerar si, de acuerdo con la Ley 62/1978, procedía o no admitir el recurso contencioso-administrativo, como nos pedía el demandante, y al haber sido desestimada en este extremo en forma expresa su pretensión de amparo, es obvio que carecen de fundamento las alegaciones que formula sobre el «rebuscamiento» de nuestra Sentencia.</w:t>
      </w:r>
    </w:p>
    <w:p w:rsidR="00256EE9" w:rsidRDefault="00256EE9" w:rsidP="00256EE9">
      <w:pPr>
        <w:pStyle w:val="TextoNormal"/>
      </w:pPr>
      <w:r>
        <w:t>La decisión de inadmisión adoptada, en fin, por la Audiencia Territorial, en el tantas veces citado Auto de 27 de mayo de 1982, por un motivo nuevo y correctamente fundado no ha vulnerado derecho fundamental alguno del recurrente por lo que la demanda, también desde esta perspectiva, carece manifiestamente de contenido que justifique una decisión por parte del Tribunal Constitucional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cabe acoger la causa de inadmisión establecida en el art.  50.2 b) de la Ley reguladora de esta Jurisdicción.</w:t>
      </w:r>
    </w:p>
    <w:p w:rsidR="00256EE9" w:rsidRDefault="00256EE9" w:rsidP="00256EE9">
      <w:pPr>
        <w:pStyle w:val="TextoNormal"/>
      </w:pPr>
    </w:p>
    <w:p w:rsidR="00256EE9" w:rsidRDefault="00256EE9" w:rsidP="00256EE9">
      <w:pPr>
        <w:pStyle w:val="TextoNormal"/>
      </w:pPr>
      <w:r>
        <w:t>Archívense las actuaciones.</w:t>
      </w: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2" w:name="AUTO_1985_61"/>
      <w:r>
        <w:lastRenderedPageBreak/>
        <w:t>AUTO 61/1985, de 30 de enero de 1985</w:t>
      </w:r>
    </w:p>
    <w:bookmarkEnd w:id="122"/>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ECLI:ES:TC:1985:61A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468/1984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día 29 de junio de 1984 se recibió en este Tribunal escrito presentado por don José María Muñoz Arenas, en el que manifiesta que no se le ha notificado la resolución del Tribunal Supremo en el recurso de casación que interpuso contra la Sentencia dictada por la Audiencia Provincial de Alicante, en el sumario 43/1979, por la que fue condenado y que la citada Audiencia le ha indicado que no ha lugar a rectificar la Sentencia, en atención a la Ley Orgánica 8/1983, de Reforma Urgente y Parcial del Código Penal. </w:t>
      </w:r>
    </w:p>
    <w:p w:rsidR="00256EE9" w:rsidRDefault="00256EE9" w:rsidP="00256EE9">
      <w:pPr>
        <w:pStyle w:val="TextoNormal"/>
      </w:pPr>
      <w:r>
        <w:t xml:space="preserve">Igualmente indicaba que se encuentra ingresado en Centro Penitenciario, cumpliendo la pena que le fue impuesta por la Sentencia impugnada. </w:t>
      </w:r>
    </w:p>
    <w:p w:rsidR="00256EE9" w:rsidRDefault="00256EE9" w:rsidP="00256EE9">
      <w:pPr>
        <w:pStyle w:val="TextoNormal"/>
      </w:pPr>
      <w:r>
        <w:t xml:space="preserve">La Sección, por providencia de 31 de julio, acordó comunicar al interesado que, si su propósito era interponer recurso de amparo, debería hacerlo por medio de Procurador y con asistencia de Letrado, o solicitar el nombramiento de ambos de oficio, para lo cual remitirá relación circunstanciada de los hechos. </w:t>
      </w:r>
    </w:p>
    <w:p w:rsidR="00256EE9" w:rsidRDefault="00256EE9" w:rsidP="00256EE9">
      <w:pPr>
        <w:pStyle w:val="TextoNormal"/>
      </w:pPr>
      <w:r>
        <w:t xml:space="preserve">Nuevamente se recibió en este Tribunal escrito del señor Muñoz Arenas, solicitando se le nombrara Abogado y Procurador de oficio para interponer recurso de amparo, por entender que en el sumario 43/1979 seguido contra él se hizo caso omiso de las pruebas presentadas y se le condenó en demasía. </w:t>
      </w:r>
    </w:p>
    <w:p w:rsidR="00256EE9" w:rsidRDefault="00256EE9" w:rsidP="00256EE9">
      <w:pPr>
        <w:pStyle w:val="TextoNormal"/>
      </w:pPr>
      <w:r>
        <w:t xml:space="preserve">Posteriormente presentó recurso de casación contra la Sentencia pronunciada por la Audiencia de Alicante, sin que le haya sido notificada resolución alguna. </w:t>
      </w:r>
    </w:p>
    <w:p w:rsidR="00256EE9" w:rsidRDefault="00256EE9" w:rsidP="00256EE9">
      <w:pPr>
        <w:pStyle w:val="TextoNormal"/>
      </w:pPr>
      <w:r>
        <w:t>La Sección, en 12 de septiembre pasado, acordó se designaran Abogado y Procurador del turno de oficio para la defensa y representación del recurrente, y una vez verificada dicha designación por los respectivos Colegios, se concedió a ambos profesionales el plazo de veinte días para formalizar las demandas de amparo y de justicia gratuita.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Dentro del plazo concedido, la representación del señor Muñoz Arenas presentó escrito de demanda que funda en los siguientes hechos: El recurrente fue condenado por la Audiencia Provincial de Alicante a la pena de cuatro años, dos meses y un día por delito de falsedad y seis meses por el de estafa. Contra la Sentencia indicada interpuso recurso de casación ante el Tribunal Supremo, sin que se le haya comunicado la resolución dictada por el mismo. La Audiencia Provincial de Alicante dictó Auto el 7 de marzo de 1984, acordando no haber lugar a la rectificación de la Sentencia, que entiende ratificada en su integridad. La Ley Orgánica 8/1983, de 25 de junio, en su disposición transitoria, párrafo </w:t>
      </w:r>
      <w:r>
        <w:lastRenderedPageBreak/>
        <w:t>primero, dispone que «los preceptos reformados del Código Penal se aplicarán a los hechos punibles que se realicen a partir de su entrada en vigor. Sin embargo, también se aplicarán, aunque hubiese sido realizado antes, cuanto favorezcan al reo». El recurrente entiende que resulta nítida la aplicación a su caso del párrafo descrito, ya que la reforma afecta a los arts. 528, 303 en relación con el 302, 10.15 a) y 1 18 del Código Penal, como afirma el propio Auto de la Audiencia Provincial de Alicante, pero no le fue aplicada.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5 de diciembre de 1984, se puso de manifiesto la posible existencia de las causas de inadmisión reguladas por los arts. 50.1 b), en relación con el 49.1 de la Ley Orgánica de este Tribunal: 50.2 a) y 50.2 b) de la misma Ley Orgánica, y se concedió a la representación del recurrente y al Ministerio Fiscal un plazo de diez días para alegaciones. </w:t>
      </w:r>
    </w:p>
    <w:p w:rsidR="00256EE9" w:rsidRDefault="00256EE9" w:rsidP="00256EE9">
      <w:pPr>
        <w:pStyle w:val="TextoNormal"/>
      </w:pPr>
      <w:r>
        <w:t xml:space="preserve">El Fiscal General del Estado presentó escrito en el que interesa se dicte Auto de inadmisión de la demanda por concurrir en ella las causas señaladas en la providencia de la Sección, ya que no se citan los preceptos constitucionales que se estiman infringidos y que, si bien de los términos confusos de la demanda se puede inferir que se alude a una posible indefensión, por no haber sido notificado el recurrente de la Sentencia dictada por el Tribunal Supremo, de ello no se infiere la razón del recurso porque, o se notificó la Sentencia al Procurador de la parte, lo que es suficiente según criterio del Tribunal Constitucional, o ni siquiera se notificó dicha resolución al Procurador, en cuyo caso lo que procede es instar la citada notificación porque el plazo para interponer el recurso de amparo sólo empieza a contarse después de la notificación (art. 44.2 de la LOTC). En cuanto se refiere al Auto de 7 de marzo de 1984,que denegó la rectificación de la Sentencia de la Audiencia Provincial de Alicante, el recurrente pudo acudir al recurso de casación, y si no lo hizo tuvo, sin embargo, a su disposición un medio de defensa que excluye cualquier indefensión o vulneración de derechos fundamentales. Ello sin perjuicio de que, tratándose de una cuestión de mera legalidad, no corresponde conocer de ella al Tribunal Constitucional. </w:t>
      </w:r>
    </w:p>
    <w:p w:rsidR="00256EE9" w:rsidRDefault="00256EE9" w:rsidP="00256EE9">
      <w:pPr>
        <w:pStyle w:val="TextoNormal"/>
      </w:pPr>
      <w:r>
        <w:t>La representación del recurrente no presentó escrito de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defensa del demandante de amparo ha dejado transcurrir el plazo que se le otorgó por nuestra providencia de 5 de diciembre último, sin subsanar, en lo que fueran subsanables, los defectos que bajo la referencia del art. 50.1 b) de la LOTC le fueron advertidos, y a esta causa, que opera como obtativa por sí sola de la admisión del recurso, se añade que ninguna referencia constitucional y, desde luego, ninguna invocación de derechos de los que según lo prevenido en el art. 53.2 de la Constitución y 41 de la LOTC son defendibles a través del amparo constitucional, se hace en la demanda, limitada a acusar que a su caso no se ha aplicado lo dispuesto en la Ley Orgánica de Reforma Parcial y Urgente del Código Penal respecto a la revisión -en lo favorable- de la Sentencia condenatoria, pudiendo, por ello, decir que desde el propio planteamiento del demandante es manifiesto que la demanda carece de contenido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El olvido de cuanto previene el art. 49.1 y la no subsanación en los términos amplios que autoriza el art. 85.2, ambos de la LOTC, ha dejado en la indefinición cuál es el acto por razón del cual se formula el amparo y lo que se pide, y la causa o razón de pedir.</w:t>
      </w:r>
    </w:p>
    <w:p w:rsidR="00256EE9" w:rsidRDefault="00256EE9" w:rsidP="00256EE9">
      <w:pPr>
        <w:pStyle w:val="TextoNormal"/>
      </w:pPr>
      <w:r>
        <w:lastRenderedPageBreak/>
        <w:t>Lo que se argumenta en la demanda lleva a pensar que es el Auto de la Audiencia de Alicante, que denegó la revisión o rectificación de la Sentencia condenatoria objeto del amparo.  En esta hipótesis es patente, por lo que indicamos en el fundamento anterior, que la demanda es inadmisible.  En algún pasaje de la demanda se alude a que contra la Sentencia condenatoria del 24 de octubre de 1980 interpuso, en su día, recurso de casación ante el Tribunal Supremo y que no ha recibido notificación de la decisión que adoptara el indicado Tribunal, mas lo que se está diciendo es que no se le notificó personalmente la Sentencia, con lo que todo lleva a la idea de que en el caso de que el indicado recurso de casación se hubiera interpuesto -pues ningún dato se proporciona al respecto-, la notificación al Procurador surte sus efectos. No se alcanza a ver, con ello, cuál es la violación constitucional que se haya podido producir, pues nada argumenta la defensa del demandante de amparo, por lo que también aquí concurren las causas de inadmisión del art.  50.1 b) en relación con los artículos 49.1 y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de amparo interpuesto por don José María Muñoz Arenas.</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3" w:name="AUTO_1985_62"/>
      <w:r>
        <w:lastRenderedPageBreak/>
        <w:t>AUTO 62/1985, de 30 de enero de 1985</w:t>
      </w:r>
    </w:p>
    <w:bookmarkEnd w:id="123"/>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ECLI:ES:TC:1985:62A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485/1984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entidad mercantil «Construcciones Pico, S. A.», representada por el Letrado don Hilario Salvador Bullón, formula demanda de amparo constitucional contra los Autos de la Sala Sexta del Tribunal Supremo de 7 de mayo y 4 de junio de 1984 por presunta vulneración del art. 24.1 de la Constitución Española. Los hechos y fundamentos de Derecho en que se basa la demanda son los siguientes: </w:t>
      </w:r>
    </w:p>
    <w:p w:rsidR="00256EE9" w:rsidRDefault="00256EE9" w:rsidP="00256EE9">
      <w:pPr>
        <w:pStyle w:val="TextoNormal"/>
      </w:pPr>
      <w:r>
        <w:t xml:space="preserve">a) En proceso sobre resolución de contratos, la Entidad demandante fue condenada por Sentencia de la Magistratura de Trabajo núm. 18 de Madrid, en cuyo fallo se le hacía saber la posibilidad de interponer recurso de casación, debiendo acreditar haber ingresado la cantidad objeto de la condena en el Banco de España, así como 5.000 pesetas en la Caja General de Depósitos. </w:t>
      </w:r>
    </w:p>
    <w:p w:rsidR="00256EE9" w:rsidRDefault="00256EE9" w:rsidP="00256EE9">
      <w:pPr>
        <w:pStyle w:val="TextoNormal"/>
      </w:pPr>
      <w:r>
        <w:t xml:space="preserve">b) La demandante preparó mediante escrito en plazo recurso de casación por quebrantamiento de forma e infracción de Ley, oponiéndose a la advertencia sobre consignaciones por imposibilidad de consignar la cantidad objeto de la condena al encontrarse en suspensión de pagos, y en cuanto al depósito de 5.000 pesetas, por ser un requisito inaplicable en el momento de preparación del recurso. La Magistratura de Trabajo dictó providencia de 3 de marzo de 1984, teniendo por preparado el recurso y disponiendo el emplazamiento de las partes para su comparecencia en quince días ante la Sala Sexta del Tribunal Supremo. </w:t>
      </w:r>
    </w:p>
    <w:p w:rsidR="00256EE9" w:rsidRDefault="00256EE9" w:rsidP="00256EE9">
      <w:pPr>
        <w:pStyle w:val="TextoNormal"/>
      </w:pPr>
      <w:r>
        <w:t xml:space="preserve">c) La demandante compareció ante la Sala Sexta mediante escrito de 6 de abril sin efectuar el depósito ordenado, dictándose Auto de 7 de mayo que tiene por desistidos los recursos de casación por quebrantamiento de forma e infracción de Ley y por no haber consignado 5.000 pesetas por cada uno de los recursos, como exige el art. 181 de la Ley de Procedimiento Laboral. Interpuesto recurso de súplica en el que se adujo la vulneración del art. 24 de la Constitución, considerando la omisión motivada por defectos de la resolución judicial y de la Ley, y aportando los resguardos acreditativos de los depósitos efectuados para superar la omisión, la Sala Sexta del Tribunal Supremo dictó Auto de 4 de junio desestimando el recurso. </w:t>
      </w:r>
    </w:p>
    <w:p w:rsidR="00256EE9" w:rsidRDefault="00256EE9" w:rsidP="00256EE9">
      <w:pPr>
        <w:pStyle w:val="TextoNormal"/>
      </w:pPr>
      <w:r>
        <w:t xml:space="preserve">d) La Entidad demandante denuncia la vulneración del art. 24.1 de la Constitución Española, que argumenta a través de una doble motivación: </w:t>
      </w:r>
    </w:p>
    <w:p w:rsidR="00256EE9" w:rsidRDefault="00256EE9" w:rsidP="00256EE9">
      <w:pPr>
        <w:pStyle w:val="TextoNormal"/>
      </w:pPr>
      <w:r>
        <w:t xml:space="preserve">1.° que el depósito de 5.000 pesetas es inconstitucional por constituir un requisito formal no justificado en la defensa de otros derechos, por lo que procede declarar la inconstitucionalidad del art. 181 de la Ley de Procedimiento Laboral, y 2.° que la no constitución del depósito se debió a error inducido por actos de los órganos judiciales, por lo que no se </w:t>
      </w:r>
      <w:r>
        <w:lastRenderedPageBreak/>
        <w:t xml:space="preserve">puede hacer recaer sobre la demandante las consecuencias de actos de los que no es responsable, especialmente cuando es patente la voluntad de la parte de proseguir el recurso efectuando el depósito cuando lo exigió el Tribunal Supremo, por lo que no cabe tenerse por desasistido. </w:t>
      </w:r>
    </w:p>
    <w:p w:rsidR="00256EE9" w:rsidRDefault="00256EE9" w:rsidP="00256EE9">
      <w:pPr>
        <w:pStyle w:val="TextoNormal"/>
      </w:pPr>
      <w:r>
        <w:t>Mediante otrosí solicita la suspensión de la ejecución de la Sentencia de Magistratura, por cuanto el pago de la elevada condena en la situación de suspensión de pagos y falta de liquidez se convierte en imposible y quebraría los esfuerzos para convenir la situación económica con los acreedores de la suspensión.</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19 de septiembre de 1984, la Sección acordó poner de manifiesto la posible existencia de las causas de inadmisibilidad del art. 50.1 b) en relación con el 81, ambos de la Ley Orgánica de este Tribunal (LOTC), por no comparecer la Sociedad demandante representada por Procurador, y del art. 50.2 b) de la misma Ley Orgánica, por cuanto la demanda pudiera carecer manifiestamente de contenido que justifique una decisión por parte del Tribunal, otorgando (art. 50 de la LOTC) a la solicitante de amparo y al Ministerio Fiscal un plazo común de diez días para alegaciones y subsanar lo procedente.</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Fiscal ante el Tribunal Constitucional despachó el trámite en escrito registrado el 6 de octubre. Señala en el mismo que el tema jurídico cuestionado ha sido ya resuelto por este Tribunal en Sentencias, entre otras, de 14 de marzo, 21 de julio y 14 de noviembre de 1983. Su doctrina puede resumirse en dos afirmaciones esenciales: a) Las formas y requisitos procesales, por el papel de capital importancia que cumplen para la ordenación del proceso, no pueden quedar al arbitrio de cada parte en cuanto a su cumplimiento y disponibilidad en el tiempo: y b) es necesario distinguir si se incumple la exigencia establecida en el art. 181 de la Ley de Procedimiento Laboral (L. P. L.) de constituir el depósito de modo claro del que se pueda deducir voluntariedad en el incumplimiento, de aquellos otros casos de defectuoso incumplimiento de una disposición reglamentaria -el Decreto de 11 de marzo de 1924- que permite las técnicas de subsanación. En el presente caso el Auto del Tribunal Supremo que desestimó el recurso de súplica fundamenta motivadamente y de manera en modo alguno arbitraria que no se trataba de mera irregularidad formal, sino de actitud muy diferente de la que dedujo que el supuesto era distinto al contemplado en la jurisprudencia constitucional invocada, por cuanto aquí se pretendía que fuese aceptado el recurso «sin las consignaciones preceptivas y tampoco se hicieron las consignaciones establecidas en el art. 181 de la L. P. L. que condicionan en todo caso la admisión del recurso de casación», según doctrina del propio Tribunal Supremo, ratificada por la Sentencia del Tribunal Constitucional de 20 de junio de 1983. Al pretender ahora el recurrente ver sustituida la resolución impugnada por otra que le sea favorable en esta sede, desnaturaliza el recurso de amparo, por lo que incide en la causa de inadmisión del art. 50.2 b) de la LOTC. </w:t>
      </w:r>
    </w:p>
    <w:p w:rsidR="00256EE9" w:rsidRDefault="00256EE9" w:rsidP="00256EE9">
      <w:pPr>
        <w:pStyle w:val="TextoNormal"/>
      </w:pPr>
      <w:r>
        <w:t>También señala el Ministerio Fiscal el motivo previsto en el art. 50.1 b) de la citada Ley Orgánica por incumplimiento de lo exigido por el art. 81.1 de la misma, a no ser que haya sido subsanado.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diligencia del Secretario, de 8 de enero de 1985, se hace constar que, efectuada la notificación de la providencia al Letrado, señor Salvador Bullón, por el Servicio de Correos, al no recibirse el acuse de recibo se hizo, el 17 de diciembre de 1984, la correspondiente reclamación al referido Servicio, el cual, con fecha 27 del mismo mes, comunicó </w:t>
      </w:r>
      <w:r>
        <w:lastRenderedPageBreak/>
        <w:t>que el envío por correo certificado con acuse de recibo remitido el 24 de septiembre de 1984 fue debidamente entregado a su destinatario en 25 del mismo mes y año, siendo firmado su recibí por el portero don Tomás Mañez.</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81.1 de la LOTC establece que las personas físicas o jurídicas cuyo interés les legitime para comparecer en los procesos constitucionales, deberán conferir su representación a un Procurador y actuar bajo la dirección de Letrado, y el 50.1 b) de la misma Ley Orgánica incluye la falta de los requisitos legales de la demanda ante los supuestos de inadmisibilidad del recurso, «sin perjuicio de lo establecido en el art. 85.2», el cual, a su vez, permite, previa notificación por el Tribunal al recurrente de los motivos subsanables de inadmisión que hubiere, su subsanación en el plazo de diez días.  El presente recurso ha sido interpuesto por Letrado, sin la representación preceptiva de Procurador, y señalada por la Sección, en su providencia de 19 de septiembre de 1984, esta circunstancia como primer motivo de posible inadmisión, la falta del requisito en cuestión pudo ser subsanada en el plazo de diez días otorgado en virtud de lo dispuesto en el art.  50 de la LOTC.  Ahora bien, no lo ha sido, por cuanto, constándole a esta Sección la recepción de su providencia en el domicilio del Letrado con fecha 25 de septiembre de 1984, en el tiempo transcurrido no se ha presentado escrito de Procurador alguno, con lo que el defecto de forma señalado subsiste, impidiendo la admisión del recurso, sin que proceda, por consiguiente, entrar en la otra causa señalada, ni proveer sobre la petición de suspensión.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4" w:name="AUTO_1985_63"/>
      <w:r>
        <w:lastRenderedPageBreak/>
        <w:t>AUTO 63/1985, de 30 de enero de 1985</w:t>
      </w:r>
    </w:p>
    <w:bookmarkEnd w:id="124"/>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ECLI:ES:TC:1985:63A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708/1984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ha tenido entrada en este Tribunal el día 15 de octubre de 1984, el Procurador de los Tribunales don Francisco Alvarez del Valle García, en nombre de la Comunidad de Propietarios de la Colonia San Alberto Magno de Galapagar (Madrid), interpone recurso de amparo constitucional contra la Sentencia dictada por el Juzgado de Primera Instancia núm. 26 de Madrid, de fecha 27 de septiembre de 1984 (rollo 6/1984), que resuelve apelación contra Sentencia del Juzgado de Distrito núm. 21 de Madrid, dictada en juicio verbal en el que fueron parte demandada los miembros de la Junta Rectora de la citada Comunidad de Propietarios. </w:t>
      </w:r>
    </w:p>
    <w:p w:rsidR="00256EE9" w:rsidRDefault="00256EE9" w:rsidP="00256EE9">
      <w:pPr>
        <w:pStyle w:val="TextoNormal"/>
      </w:pPr>
      <w:r>
        <w:t xml:space="preserve">Solicita la nulidad de la Sentencia recurrida, que confirmó en todas sus partes la dictada por el Juzgado de Distrito, por estimar se ha vulnerado el derecho a la defensa de la Comunidad de Propietarios de la Colonia San Alberto Magno, con reconocimiento del derecho de tal Comunidad a no ser condenada sin ser oída en juicio, con expresa imposición de costas a la parte que se oponga a tal pretensión. </w:t>
      </w:r>
    </w:p>
    <w:p w:rsidR="00256EE9" w:rsidRDefault="00256EE9" w:rsidP="00256EE9">
      <w:pPr>
        <w:pStyle w:val="TextoNormal"/>
      </w:pPr>
      <w:r>
        <w:t>Mediante otrosí solicita la suspensión de la ejecución de la mencionada Sentencia.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De las alegaciones y documentos aportados cabe deducir, en síntesis, lo siguiente: </w:t>
      </w:r>
    </w:p>
    <w:p w:rsidR="00256EE9" w:rsidRDefault="00256EE9" w:rsidP="00256EE9">
      <w:pPr>
        <w:pStyle w:val="TextoNormal"/>
      </w:pPr>
      <w:r>
        <w:t xml:space="preserve">a) La Junta General de la Comunidad de Propietarios ahora demandante aprobó en sesión celebrada el 27 de enero de 1982 la centralización de los cubos de basura en dos puntos de la Colonia situados en zonas comunes, dejando a criterio y acuerdo de la Junta Rectora la ubicación en dichas dos zonas comunes de las casetas necesarias. La citada Junta Rectora, en cumplimiento de lo acordado, y tras las oportunas consultas a los servicios municipales, optó por una de las zonas. </w:t>
      </w:r>
    </w:p>
    <w:p w:rsidR="00256EE9" w:rsidRDefault="00256EE9" w:rsidP="00256EE9">
      <w:pPr>
        <w:pStyle w:val="TextoNormal"/>
      </w:pPr>
      <w:r>
        <w:t xml:space="preserve">b) Promovida por una de las copropietarias demanda de juicio verbal contra la decisión adoptada por la Junta Rectora de la Comunidad, el Juzgado de Distrito núm. 21 de Madrid, la estima, declarando no ser ajustada a Derecho y contraria a los Estatutos la decisión adoptada por dicha Junta, por perjudicar a la parcela de la actora, condenando a dichos miembros a proceder a la retirada de la basura de su actual ubicación e instalación a lugar más apropiado con el unánime consentimiento de los comuneros. </w:t>
      </w:r>
    </w:p>
    <w:p w:rsidR="00256EE9" w:rsidRDefault="00256EE9" w:rsidP="00256EE9">
      <w:pPr>
        <w:pStyle w:val="TextoNormal"/>
      </w:pPr>
      <w:r>
        <w:t>c) La anterior resolución fue apelada, y cumplidos los trámites de emplazamiento y personación de las partes, admitida a trámite, dictándose el 27 de septiembre de 1984 Sen</w:t>
      </w:r>
      <w:r>
        <w:lastRenderedPageBreak/>
        <w:t xml:space="preserve">tencia en la que se desestima el recurso de apelación interpuesto, con la confirmación en todas sus partes de la resolución apelada. </w:t>
      </w:r>
    </w:p>
    <w:p w:rsidR="00256EE9" w:rsidRDefault="00256EE9" w:rsidP="00256EE9">
      <w:pPr>
        <w:pStyle w:val="TextoNormal"/>
      </w:pPr>
      <w:r>
        <w:t>Con invocación del art. 24.1 de la C. E., y de diversas Sentencias de este Tribunal, alega la recurrente la vulneración del derecho a la tutela efectiva de Jueces y Tribunales en razón a haber sido condenados sin haber sido oídos, ya que tanto la Comunidad de Propietarios de la Colonia San Alberto Magno como los comuneros de la misma se encuentran afectados por la Sentencia recurrida sin haber sido oídos en el juicio ni haber sido partes en el mismo.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31 de octubre de 1984 la Sección acuerda tener por interpuesto recurso de amparo por la Comunidad de Propietarios de la Colonia San Alberto Magno, de Galapagar, y por personado y parte en nombre y representación de la misma al Procurador señor Alvarez del Valle García, haciéndose saber la posible existencia del motivo de inadmisión de carácter subsanable a que se refiere el art. 49.2 b) en conexión con el 50.1 b), ambos de la Ley Orgánica del Tribunal Constitucional (LOTC). </w:t>
      </w:r>
    </w:p>
    <w:p w:rsidR="00256EE9" w:rsidRDefault="00256EE9" w:rsidP="00256EE9">
      <w:pPr>
        <w:pStyle w:val="TextoNormal"/>
      </w:pPr>
      <w:r>
        <w:t>Subsanado el defecto señalado se puso de manifiesto por providencia de 14 de noviembre de 1984, al Ministerio Fiscal y a la solicitante de amparo, la posible existencia del motivo de inadmisión consistente en carecer la demanda manifiestamente de contenido que justifique una decisión por parte de este Tribunal.</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En el plazo concedido, el Ministerio Fiscal despacha el trámite conferido señalando que en el presente recurso se reiteran los argumentos utilizados en las dos instancias del procedimiento judicial, tratando de convertir la vía de amparo en una tercera instancia, sin que aparezcan argumentos que fundamenten la violación pretendida. </w:t>
      </w:r>
    </w:p>
    <w:p w:rsidR="00256EE9" w:rsidRDefault="00256EE9" w:rsidP="00256EE9">
      <w:pPr>
        <w:pStyle w:val="TextoNormal"/>
      </w:pPr>
      <w:r>
        <w:t xml:space="preserve">En efecto, la alegada indefensión no aparece desde el momento en que al no ser demandada la Junta General de la Comunidad, no pudo ser parte, ni lo intentó, aun teniendo conocimiento de la demanda, ya que el Presidente de la Junta Rectora era, al propio tiempo, Presidente de la Junta General, por lo que su no citación y correspondiente audiencia no constituye indefensión. </w:t>
      </w:r>
    </w:p>
    <w:p w:rsidR="00256EE9" w:rsidRDefault="00256EE9" w:rsidP="00256EE9">
      <w:pPr>
        <w:pStyle w:val="TextoNormal"/>
      </w:pPr>
      <w:r>
        <w:t xml:space="preserve">En cualquier caso, la Sentencia impugnada realiza una interpretación de la legalidad ordinaria y la correspondiente aplicación del derecho así interpretado, y esto es función propia y excluyente de la jurisdicción ordinaria de acuerdo con el art. 117.3 de la C. E. </w:t>
      </w:r>
    </w:p>
    <w:p w:rsidR="00256EE9" w:rsidRDefault="00256EE9" w:rsidP="00256EE9">
      <w:pPr>
        <w:pStyle w:val="TextoNormal"/>
      </w:pPr>
      <w:r>
        <w:t>De todo lo cual deduce el Fiscal la concurrencia de la causa de inadmisión del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Por su parte, la demandante reitera sus anteriores alegaciones, manifestando, en definitiva, que quien ha resultado condenada y perjudicada por la Sentencia impugnada es la propia Comunidad de Propietarios, que fue quien tomó el acuerdo origen de este procedimiento, sin que haya podido defenderse, lo que supone una vulneración del art. 24.1 de la C. 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objeto del presente Auto es determinar si existe la causa de inadmisión prevista en el art.  50.2 b) de la Ley Orgánica del Tribunal Constitucional (LOTC), es decir, si la demanda carece o no manifiestamente de contenido que justifique una decisión por parte </w:t>
      </w:r>
      <w:r>
        <w:lastRenderedPageBreak/>
        <w:t>del Tribunal en forma de Sentencia, con el desarrollo procesal consiguiente, ya que el otro motivo de inadmisión de carácter subsanable consistente en no acompañar copia, traslado o certificación de la resolución recaída en el procedimiento judicial, fue cumplimentada en su día por la recurrente.  A tal efecto, hemos de examinar la vulneración del art.  24.1 de la Constitución alegada por la demandante.</w:t>
      </w:r>
    </w:p>
    <w:p w:rsidR="00256EE9" w:rsidRDefault="00256EE9" w:rsidP="00256EE9">
      <w:pPr>
        <w:pStyle w:val="TextoNormal"/>
      </w:pPr>
    </w:p>
    <w:p w:rsidR="00256EE9" w:rsidRDefault="00256EE9" w:rsidP="00256EE9">
      <w:pPr>
        <w:pStyle w:val="TextoNormal"/>
      </w:pPr>
      <w:r w:rsidRPr="00256EE9">
        <w:rPr>
          <w:rStyle w:val="NumeroAFNegritaCaracter"/>
        </w:rPr>
        <w:t>2</w:t>
      </w:r>
      <w:r>
        <w:t>. La vulneración del art.  24.1 de la Constitución se habría producido por no haber sido oída en el juicio ni haber sido parte en el mismo la Comunidad de Propietarios de la Colonia San Alberto Magno de Galapagar (Madrid), que es la demandante, la cual se ve afectada por la Sentencia recurrida.</w:t>
      </w:r>
    </w:p>
    <w:p w:rsidR="00256EE9" w:rsidRDefault="00256EE9" w:rsidP="00256EE9">
      <w:pPr>
        <w:pStyle w:val="TextoNormal"/>
      </w:pPr>
      <w:r>
        <w:t>La alegación aducida por la actora carece de todo fundamento, como se observa de modo inmediato.  La propia recurrente reconoce que en el proceso civil fueron demandadas determinadas personas, en su calidad de miembros de la Junta Rectora de la Comunidad, que uno de ellos era el Presidente de la Comunidad al que corresponde la representación legal de la misma, y que la litis versaba sobre un acuerdo de la Junta Rectora de la Comunidad.</w:t>
      </w:r>
    </w:p>
    <w:p w:rsidR="00256EE9" w:rsidRDefault="00256EE9" w:rsidP="00256EE9">
      <w:pPr>
        <w:pStyle w:val="TextoNormal"/>
      </w:pPr>
      <w:r>
        <w:t>En estas condiciones resulta absolutamente claro que, por encima de planteamientos formalistas, la demanda se ha dirigido, en definitiva, contra un órgano de la Comunidad, y que, en consecuencia, la propia Comunidad ha sido parte en el proceso.  Por otro lado, es claro que el representante de la Comunidad -su Presidente- ha sido parte en el proceso, y es también claro que ha tenido conocimiento de la litis por lo que hubiera podido comparecer formalmente en nombre de la Comunidad.</w:t>
      </w:r>
    </w:p>
    <w:p w:rsidR="00256EE9" w:rsidRDefault="00256EE9" w:rsidP="00256EE9">
      <w:pPr>
        <w:pStyle w:val="TextoNormal"/>
      </w:pPr>
      <w:r>
        <w:t>Es, por tanto, evidente que sí existe la causa de inadmisión prevista en el art.  50.2 b) de la LOTC, lo que conduce a la declaración de inadmisibilidad del recurso, siendo por ello improcedente tramitar la pieza separada de suspensión solicitada por la actora.</w:t>
      </w:r>
    </w:p>
    <w:p w:rsidR="00256EE9" w:rsidRDefault="00256EE9" w:rsidP="00256EE9">
      <w:pPr>
        <w:pStyle w:val="TextoNormal"/>
      </w:pPr>
    </w:p>
    <w:p w:rsidR="00256EE9" w:rsidRDefault="00256EE9" w:rsidP="00256EE9">
      <w:pPr>
        <w:pStyle w:val="TextoNormal"/>
      </w:pPr>
      <w:r w:rsidRPr="00256EE9">
        <w:rPr>
          <w:rStyle w:val="NumeroAFNegritaCaracter"/>
        </w:rPr>
        <w:t>3</w:t>
      </w:r>
      <w:r>
        <w:t>. El razonamiento anterior acredita la temeridad con que la parte actora ha iniciado el presente recurso, distrayendo la atención de este Tribunal de forma totalmente injustificada, por lo que de acuerdo con el art.  95.2 y 3 de la LOTC, resulta pertinente imponer las costas a la parte recurrente y una sanción pecuniaria de 50.000 pesetas.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e imponer a la parte actora las costas y una sanción pecuniaria de 50.000 pesetas.</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5" w:name="AUTO_1985_64"/>
      <w:r>
        <w:lastRenderedPageBreak/>
        <w:t>AUTO 64/1985, de 30 de enero de 1985</w:t>
      </w:r>
    </w:p>
    <w:bookmarkEnd w:id="125"/>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ECLI:ES:TC:1985:64A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720/1984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José Pérez Templado, en nombre de don Bernardo López Guillamón, recurre en amparo ante este Tribunal por escrito de demanda que tuvo entrada en el Registro General el día 19 de octubre de 1984 por haber violado el Juzgado de Instrucción de Cieza (Murcia), en Sentencia dictada en proceso seguido por la Ley Orgánica núm. 10/1980 y la Audiencia Provincial de Murcia, en grado de apelación, el art. 24 de la C. E. La pretensión se formula para que se estime el amparo solicitado y, en consecuencia, se declare la nulidad de las Sentencias dictadas por el Juzgado de Instrucción de Cieza de 17 de mayo de 1984 y la de la Audiencia Provincial de Murcia, de 26 de septiembre de 1984, sin que proceda su ejecución. </w:t>
      </w:r>
    </w:p>
    <w:p w:rsidR="00256EE9" w:rsidRDefault="00256EE9" w:rsidP="00256EE9">
      <w:pPr>
        <w:pStyle w:val="TextoNormal"/>
      </w:pPr>
      <w:r>
        <w:t xml:space="preserve">A) Los hechos a los que se contrae la demanda son, en extracto, los siguientes: a) A la esposa del recurrente en amparo pertenecían unos trozos de tierra plantados de almendros en el término municipal de Ricote (Cieza) que llevaba en régimen de aparcería a medias con Rosendo Sánchez Moreno, a quien el recurrente en amparo requirió notarialmente el día 10 de agosto de 1982 para que diese por resuelto el contrato y abandonase las tierras al recogerse los últimos productos, de acuerdo con la costumbre. </w:t>
      </w:r>
    </w:p>
    <w:p w:rsidR="00256EE9" w:rsidRDefault="00256EE9" w:rsidP="00256EE9">
      <w:pPr>
        <w:pStyle w:val="TextoNormal"/>
      </w:pPr>
      <w:r>
        <w:t xml:space="preserve">El recurrente en amparo creyendo que la costumbre le autorizaba a realizar los cultivos pendientes procedió a labrar las tierras con un tractor, lo que provocó una denuncia por coacciones y un juicio en el que por Sentencia del Juzgado de Instrucción de Cieza, de 20 de mayo de 1983, fue condenado por una falta del art. 585.5 del Código Penal y en nuevas Sentencias del Juzgado de Instrucción de Cieza, de 7 de octubre de 1983, y de la Audiencia Provincial de Murcia, de 29 de noviembre de 1983, fue condenado como autor de un delito de coacciones, como consecuencia de una fumigación efectuada en los árboles de la finca. b) Rosendo Sánchez denunció de modo falso ante el Juzgado, a juicio de la parte recurrente en amparo, que éste había recolectado entre los días 7 y 8 de septiembre de 1983 en la finca y vendido el producto a Adelaido Miñano. La denuncia se trasladó al Juzgado de Distrito de Cieza y en el acto del juicio el Fiscal solicitó, a la vista de los antecedentes, que se remitiesen los autos al Juzgado de Instrucción y el Juzgado de Distrito por Auto de 1 de febrero de 1984, decidió remitir lo actuado ante el Juzgado de Instrucción que incoó un proceso con arreglo a la Ley Orgánica 10/1980, de 11 de noviembre. c) Según afirma el recurrente, el juicio se celebró y en él no se practicó más prueba que la declaración del recurrente en amparo y no compareció ni un pastor que había declarado en el juicio de faltas ni Adelaido Miñano, que hizo constar en el atestado que había comprado la </w:t>
      </w:r>
      <w:r>
        <w:lastRenderedPageBreak/>
        <w:t xml:space="preserve">almendra al recurrente en amparo. El Juzgado de Instrucción de Cieza (Murcia) por Sentencia de 17 de mayo de 1984 condenó al recurrente en amparo a 40.000 pesetas de multa con arresto sustitutorio y costas. Esta Sentencia fue recurrida por el Ministerio Fiscal y el solicitante del amparo mediante recurso de apelación y la Audiencia Provincial de Murcia, por Sentencia de 26 de septiembre de 1984, condena a tres meses de arresto a don Bernardo López Guillamón, que es el recurrente en amparo. d) Según afirmación del recurrente, éste tenía derecho a las garantías previstas en los arts. 680, 701 y 791.8 de la Ley de Enjuiciamiento Criminal y en los arts. 10 y siguientes de la Ley Orgánica de 11 de noviembre de 1980, porque la Sentencia se dicta a la vista del acta del juicio de faltas y por una declaración, fuera del juicio de faltas y del otro juicio, del señor Adelaido Miñano que dijo que había comprado la almendra al recurrente en amparo. </w:t>
      </w:r>
    </w:p>
    <w:p w:rsidR="00256EE9" w:rsidRDefault="00256EE9" w:rsidP="00256EE9">
      <w:pPr>
        <w:pStyle w:val="TextoNormal"/>
      </w:pPr>
      <w:r>
        <w:t>B) Los fundamentos jurídicos en que se basa la parte recurrente son, en síntesis, los siguientes: a) Las Sentencias dictadas vulneran los derechos a la presunción de inocencia, celebración del juicio con todas las garantías e indefensión. b) La parte recurrente considera que las resoluciones judiciales recurridas son las causantes de la vulneración constitucional y que al formalizar el recurso se cumplen los requisitos procesales previstos en el articulado de la Ley Orgánica del Tribunal Constitucional (LOTC), citando el art. 56 de la LOTC, sobre suspensión de la ejecución de la Sentencia impugnada, sin fundamentar tal medida.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Segunda de la Sala Primera de este Tribunal por providencia de 21 de noviembre de 1984 acordó tener por interpuesto el recurso de amparo de don Bernardo López Guillamón y a tenor del art. 50 de la LOTC concedió un plazo de diez días a la parte recurrente y al Ministerio Fiscal para que alegasen lo procedente sobre el motivo de inadmisión previsto en el art. 50.2 b) de la LOTC. </w:t>
      </w:r>
    </w:p>
    <w:p w:rsidR="00256EE9" w:rsidRDefault="00256EE9" w:rsidP="00256EE9">
      <w:pPr>
        <w:pStyle w:val="TextoNormal"/>
      </w:pPr>
      <w:r>
        <w:t xml:space="preserve">En cuanto a la suspensión formulada, una vez se acuerde la admisión del recurso o inadmisión se resolverá lo procedente. </w:t>
      </w:r>
    </w:p>
    <w:p w:rsidR="00256EE9" w:rsidRDefault="00256EE9" w:rsidP="00256EE9">
      <w:pPr>
        <w:pStyle w:val="TextoNormal"/>
      </w:pPr>
      <w:r>
        <w:t xml:space="preserve">A) El Fiscal ante el Tribunal Constitucional, por escrito de 3 de diciembre de 1984 formula, resumidas, las siguientes alegaciones: </w:t>
      </w:r>
    </w:p>
    <w:p w:rsidR="00256EE9" w:rsidRDefault="00256EE9" w:rsidP="00256EE9">
      <w:pPr>
        <w:pStyle w:val="TextoNormal"/>
      </w:pPr>
      <w:r>
        <w:t xml:space="preserve">a) En el presente caso, como se sigue del considerando segundo de la Sentencia de la Audiencia, además de la versión del propio denunciante hubo el testimonio -que la Sala califica de firme- de quienes presenciaron los hechos no sólo en su primera fase (recolección de la almendra), sino en su culminación (adquisición de la almendra recolectada) por lo que, a juicio de la Sala, huelga hablar de presunción de inocencia que se refiere a situaciones bien distintas, donde las dudas no se desvanecieron, pero no cuando la presunción queda destruida, como lo ha sido en el caso presente, con la práctica de pruebas directas y diáfanas. </w:t>
      </w:r>
    </w:p>
    <w:p w:rsidR="00256EE9" w:rsidRDefault="00256EE9" w:rsidP="00256EE9">
      <w:pPr>
        <w:pStyle w:val="TextoNormal"/>
      </w:pPr>
      <w:r>
        <w:t xml:space="preserve">Puede concluirse que no se vulneró el art. 24.2 de la Constitución, al realizarse actividad probatoria de cargo que destruyó la presunción de inocencia, con el consiguiente reproche de culpabilidad de los órganos judiciales. </w:t>
      </w:r>
    </w:p>
    <w:p w:rsidR="00256EE9" w:rsidRDefault="00256EE9" w:rsidP="00256EE9">
      <w:pPr>
        <w:pStyle w:val="TextoNormal"/>
      </w:pPr>
      <w:r>
        <w:t xml:space="preserve">b) El recurrente tuvo en el proceso, en ambas instancias, y bajo el principio de contradicción, la oportunidad de defenderse y de proponer y practicar nuevas pruebas y, ciertamente, no pudo producirle indefensión, conforme a constante jurisprudencia constitucional (entre muchos, Auto de 19 de enero de 1983, R. A. </w:t>
      </w:r>
    </w:p>
    <w:p w:rsidR="00256EE9" w:rsidRDefault="00256EE9" w:rsidP="00256EE9">
      <w:pPr>
        <w:pStyle w:val="TextoNormal"/>
      </w:pPr>
      <w:r>
        <w:t xml:space="preserve">388/1982). </w:t>
      </w:r>
    </w:p>
    <w:p w:rsidR="00256EE9" w:rsidRDefault="00256EE9" w:rsidP="00256EE9">
      <w:pPr>
        <w:pStyle w:val="TextoNormal"/>
      </w:pPr>
      <w:r>
        <w:t xml:space="preserve">c) No concreta el recurrente la supuesta infracción de lo dispuesto en su art. 10 de la Ley Orgánica 10/1980 ni en los preceptos de la Ley procesal penal a los que reenvía, ni mucho menos lo fundamenta. </w:t>
      </w:r>
    </w:p>
    <w:p w:rsidR="00256EE9" w:rsidRDefault="00256EE9" w:rsidP="00256EE9">
      <w:pPr>
        <w:pStyle w:val="TextoNormal"/>
      </w:pPr>
      <w:r>
        <w:lastRenderedPageBreak/>
        <w:t xml:space="preserve">Finalmente, sus declaraciones estaban incorporadas en todo caso al proceso, como indica el considerando antes mencionado de la Sentencia de la Audiencia y tal incorporación la permite la citada Ley Orgánica 10/1980. </w:t>
      </w:r>
    </w:p>
    <w:p w:rsidR="00256EE9" w:rsidRDefault="00256EE9" w:rsidP="00256EE9">
      <w:pPr>
        <w:pStyle w:val="TextoNormal"/>
      </w:pPr>
      <w:r>
        <w:t xml:space="preserve">La cuestión, en suma, es de mera legalidad sin que por lo alegado se ponga de manifiesto indefensión procesal, constitucionalmente relevante. </w:t>
      </w:r>
    </w:p>
    <w:p w:rsidR="00256EE9" w:rsidRDefault="00256EE9" w:rsidP="00256EE9">
      <w:pPr>
        <w:pStyle w:val="TextoNormal"/>
      </w:pPr>
      <w:r>
        <w:t xml:space="preserve">El Fiscal interesa del Tribunal Constitucional que dicte Auto por el que declare la inadmisión de la demanda de amparo, de conformidad con los arts. 86.1 y 50.2 b), ambos de su Ley Orgánica. </w:t>
      </w:r>
    </w:p>
    <w:p w:rsidR="00256EE9" w:rsidRDefault="00256EE9" w:rsidP="00256EE9">
      <w:pPr>
        <w:pStyle w:val="TextoNormal"/>
      </w:pPr>
      <w:r>
        <w:t xml:space="preserve">Don José Pérez Templado, Procurador en nombre de don Bernardo Ló pez Guillamón, formula por escrito de 7 de diciembre de 1984, la alegación consistente en señalar que la condena se produjo como consecuencia de un juicio en el que no concurrieron las garantías que exige el art. 24 de la </w:t>
      </w:r>
    </w:p>
    <w:p w:rsidR="00256EE9" w:rsidRDefault="00256EE9" w:rsidP="00256EE9">
      <w:pPr>
        <w:pStyle w:val="TextoNormal"/>
      </w:pPr>
      <w:r>
        <w:t>Constitución, con subsiguiente indefensión del condenado y con violación de su presunción de inocencia y la Sentencia confirmatoria de la Audiencia, por tanto, desconoció también estos derechos constitucionales del señor López Guillamón.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actor del proceso constitucional de amparo, atribuye a la Sentencia del Juzgado de Instrucción de Cieza, de 17 de mayo de 1984, y a la que la confirmó de la Audiencia Provincial de Murcia, de 26 de septiembre siguiente, que le condenaron por un delito de coacciones por recogida ilegítima de cosecha de almendras, la vulneración del art. 24 de la Constitución, por indefensión, omisión de garantías procesales y falta de aplicación de la presunción de inocencia, debiendo examinarse la posible falta de presencia de tales lesiones constitucionales, ante la hipotética concurrencia de la causa de inadmisión del art. 50.2 b) de la LOTC, por carencia manifiesta de contenido constitucional, que justifique una decisión, en Sentencia, por parte de este Tribunal.</w:t>
      </w:r>
    </w:p>
    <w:p w:rsidR="00256EE9" w:rsidRDefault="00256EE9" w:rsidP="00256EE9">
      <w:pPr>
        <w:pStyle w:val="TextoNormal"/>
      </w:pPr>
    </w:p>
    <w:p w:rsidR="00256EE9" w:rsidRDefault="00256EE9" w:rsidP="00256EE9">
      <w:pPr>
        <w:pStyle w:val="TextoNormal"/>
      </w:pPr>
      <w:r w:rsidRPr="00256EE9">
        <w:rPr>
          <w:rStyle w:val="NumeroAFNegritaCaracter"/>
        </w:rPr>
        <w:t>2</w:t>
      </w:r>
      <w:r>
        <w:t>. Ciertamente, en la demanda las tres causas que se alegan de presuntas violaciones constitucionales, se reconducen a una sola, por entender exclusivamente el recurrente, que no existió prueba alguna en el proceso penal, que permitiera destruir la presunción de inocencia que en su favor determina el art.  24 de la C. E., por cuya idéntica razón, alega, además, la indefensión y la ausencia de garantías procesales debidas de observar.</w:t>
      </w:r>
    </w:p>
    <w:p w:rsidR="00256EE9" w:rsidRDefault="00256EE9" w:rsidP="00256EE9">
      <w:pPr>
        <w:pStyle w:val="TextoNormal"/>
      </w:pPr>
      <w:r>
        <w:t>Es evidente, que la Sentencia de dicha Audiencia, en su considerando segundo, asegura categóricamente, la inmediación de las pruebas practicadas ante el Juez de Instrucción que dictó la Sentencia de primera instancia y su debida valoración por el mismo, «asentada en el firme testimonio de quienes presenciaron la recolección del fruto parciario», y abonaron por ella el precio, por lo que resultaba imposible para dicho órgano de apelación aceptar la existencia de la presunción de inocencia, ni la presencia de duda, por tratarse de una situación dispar al hallarse aquélla destruida por la «práctica de pruebas directas y diáfanas».</w:t>
      </w:r>
    </w:p>
    <w:p w:rsidR="00256EE9" w:rsidRDefault="00256EE9" w:rsidP="00256EE9">
      <w:pPr>
        <w:pStyle w:val="TextoNormal"/>
      </w:pPr>
      <w:r>
        <w:t xml:space="preserve">Las anteriores aseveraciones del órgano judicial de apelación conducen a estimar la existencia de pruebas de cargo, que al menos con el carácter de mínimas, fueron suficientes para destruir la presunción de inocencia, de acuerdo con la doctrina de este Tribunal iniciada a partir de la Sentencia de 28 de julio de 1981, y su fehaciencia oficial no puede permitir se ponga en entredicho, como trata de realizarlo el recurrente, pero aunque en hipótesis se admitiera su tesis no se podría llegar a sus consecuencias, pues admite que en las actuaciones judiciales iniciadas en juicio de faltas, y que se convirtieron en el proceso </w:t>
      </w:r>
      <w:r>
        <w:lastRenderedPageBreak/>
        <w:t>por delito que regula la Ley Orgánica 10/1980, de 11 de noviembre, se produjeron declaraciones de dos testigos, uno, el comprador de la almendra objeto del delito, y otro, un pastor que comprobó la recolección de la misma por el acusado recurrente, y cuyos testimonios pretenden devalorar y desvirtuar, alegando especialmente para el del último, la situación de subnormalidad personal, y de manipulación de su testimonio, pero que indudablemente se produjeron dentro del proceso penal y ante los Jueces conocedores del mismo que realizaron su valoración en convicción psicológica, por lo que resulta irrelevante, que por causas desconocidas -y de ser ciertas las alegaciones del actor, que contradicen radicalmente las afirmaciones de la Audiencia- no comparecieron en el juicio oral, por no ser propuestas por la parte o por otras causas, ya que su testimonio podía ser valorado, al haberse producido en interrogatorios judiciales e incluso con intervención de la defensa del acusado, sin que por ello pueda entenderse existieron las infracciones de los arts.  680, 701 y 791.8 de la Ley de Enjuiciamiento Criminal, inaplicables al proceso seguido, y establecidas para otras diferentes, ni tampoco del art.  10 de la Ley 10/1980 citada, pues todas ellas se refieren a la posibilidad de practicar pruebas en el acto del juicio, lo que, sin embargo, no impide valorar las practicadas anteriormente en el proceso, con el acatamiento de las garantías legales de inmediación y contradicción.  Razones todas que conducen a estimar la presencia de la indicada causa de inadmisión establecida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inadmitir a trámite la demanda formulada por el Procurador don José Pérez Templado, en representación de don Bernardo López Guillamón, y el archivo de las actuaciones.</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6" w:name="AUTO_1985_65"/>
      <w:r>
        <w:lastRenderedPageBreak/>
        <w:t>AUTO 65/1985, de 30 de enero de 1985</w:t>
      </w:r>
    </w:p>
    <w:bookmarkEnd w:id="126"/>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ECLI:ES:TC:1985:65A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721/1984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pasado 19 de octubre quedó registrado en el Tribunal Constitucional un escrito mediante el que doña María Gracia Garrido Entrena, Procuradora de los Tribunales de Madrid, interpuso recurso de amparo en nombre y representación de don Vintila Horia lucal contra la Sentencia de la Sala de lo Contencioso-Administrativo de la Audiencia Nacional, de 16 de mayo de 1984, por la que se resolvió el recurso núm. 22.433.</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Se basa la demanda en las siguientes consideraciones de hecho: </w:t>
      </w:r>
    </w:p>
    <w:p w:rsidR="00256EE9" w:rsidRDefault="00256EE9" w:rsidP="00256EE9">
      <w:pPr>
        <w:pStyle w:val="TextoNormal"/>
      </w:pPr>
      <w:r>
        <w:t xml:space="preserve">a) Con fecha 2 de diciembre de 1980, el Rector de la Universidad de Alcalá de Henares comunicó al Subsecretario de Universidades la decisión de aquella Universidad en orden a proveer tres plazas de Catedráticos contratados. </w:t>
      </w:r>
    </w:p>
    <w:p w:rsidR="00256EE9" w:rsidRDefault="00256EE9" w:rsidP="00256EE9">
      <w:pPr>
        <w:pStyle w:val="TextoNormal"/>
      </w:pPr>
      <w:r>
        <w:t xml:space="preserve">b) El 16 de octubre de 1981 se dictó Resolución por el Ministerio de Educación y Ciencia en la que autorizaba a la citada Universidad para la contratación de dos Profesores, a nivel de Catedráticos. Aunque nada se dice expresamente en la demanda, de los resultandos y considerandos de la Sentencia recurrida en amparo se desprende claramente que, en esta Resolución, el Ministerio de Educación y Ciencia no se limitó a la autorización señalada, sino que procedió directamente a nombrar como Catedráticos contratados a dos de los propuestos en su día por la Universidad de Alcalá de Henares, siendo uno de los así nombrados el hoy solicitante de amparo, don Vintila Horia Iucal. </w:t>
      </w:r>
    </w:p>
    <w:p w:rsidR="00256EE9" w:rsidRDefault="00256EE9" w:rsidP="00256EE9">
      <w:pPr>
        <w:pStyle w:val="TextoNormal"/>
      </w:pPr>
      <w:r>
        <w:t xml:space="preserve">c) El 13 de diciembre de 1981 se interpuso contra la anterior Resolución recurso contencioso-administrativo ante la Sala competente de la Audiencia Nacional por don Francisco Bonnin Aguiló, pidiéndose en la demanda la anulación de la Resolución recurrida y la retroacción del expediente administrativo hasta el momento en que se dirigió por el Rector de la Universidad la comunicación correspondiente al Ministerio de Educación y Ciencia, comunicación en la que se anunciaba la decisión de la Universidad en orden a proveer tres plazas de Catedráticos. </w:t>
      </w:r>
    </w:p>
    <w:p w:rsidR="00256EE9" w:rsidRDefault="00256EE9" w:rsidP="00256EE9">
      <w:pPr>
        <w:pStyle w:val="TextoNormal"/>
      </w:pPr>
      <w:r>
        <w:t xml:space="preserve">d) Según se dice en la demanda, en el proceso contencioso-administrativo así iniciado actuó como parte demandada, de modo exclusivo, la Administración Pública, no habiendo podido intervenir como demandado el señor Vintila Horia, pues -se afirma- jamás fue emplazado para personarse ni tuvo, tampoco, conocimiento alguno, directo o indirecto, de la tramitación de dicho proceso. </w:t>
      </w:r>
    </w:p>
    <w:p w:rsidR="00256EE9" w:rsidRDefault="00256EE9" w:rsidP="00256EE9">
      <w:pPr>
        <w:pStyle w:val="TextoNormal"/>
      </w:pPr>
      <w:r>
        <w:lastRenderedPageBreak/>
        <w:t xml:space="preserve">e) El 23 de marzo de 1984 (no el día 13 del mismo mes y año, según se dice erróneamente en la demanda) se dictó Sentencia en el recurso contencioso-administrativo en la que se estimó la pretensión del actor, anulándose la Resolución recurrida y disponiéndose la reposición del expediente administrativo al momento en que por el Rector de la Universidad debiera haberse dado cumplimiento a lo requerido por el art. 3.5 del Decreto 2259/1974, de 20 de julio. Cabe señalar que en el citado precepto se reconoce meramente al Ministerio de Educación y Ciencia la competencia para fijar la dotación económica de los contratos suscritos por las Universidades con quienes fueran incorporados como Profesores Extraordinarios, pero no para nombrar a estos últimos, que es lo que en el presente caso se verificó y lo que fundamentó el recurso -promovido por uno de los no nombrados- y la posterior Sentencia estimatoria de la Sala. </w:t>
      </w:r>
    </w:p>
    <w:p w:rsidR="00256EE9" w:rsidRDefault="00256EE9" w:rsidP="00256EE9">
      <w:pPr>
        <w:pStyle w:val="TextoNormal"/>
      </w:pPr>
      <w:r>
        <w:t>f) La anterior Sentencia no habría sido notificada por el Tribunal al hoy recurrente en amparo, aunque sí comunicada, con fecha 1 de octubre de 1984, por el Vicerrector de la Universidad de Alcalá de Henares. No obstante, en opinión del Letrado, es relevante indicar cómo, en el fallo de la misma Sentencia de 23 de marzo, se dispone su notificación -« a tenor de lo dispuesto en el art. 260 de la Ley de Enjuiciamiento Civil»- a don Vintila Horia y a otro de los Profesores en su momento nombrados por la Resolución anulada del Ministerio de Educación y Ciencia.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fundamentación en Derecho del presente recurso de amparo puede sintetizarse como sigue: </w:t>
      </w:r>
    </w:p>
    <w:p w:rsidR="00256EE9" w:rsidRDefault="00256EE9" w:rsidP="00256EE9">
      <w:pPr>
        <w:pStyle w:val="TextoNormal"/>
      </w:pPr>
      <w:r>
        <w:t xml:space="preserve">a) La representación actora imputa a la Sentencia recurrida una violación directa e inmediata del derecho fundamental reconocido en el artículo 24.1 de la Norma fundamental, puesto que la no notificación personal de un proceso en el que se planteaban pretensiones que podrían afectar a sus derechos subjetivos o intereses legítimos supuso un quebrantamiento de su derecho a la tutela efectiva de los Tribunales, recogido en aquel precepto constitucional. </w:t>
      </w:r>
    </w:p>
    <w:p w:rsidR="00256EE9" w:rsidRDefault="00256EE9" w:rsidP="00256EE9">
      <w:pPr>
        <w:pStyle w:val="TextoNormal"/>
      </w:pPr>
      <w:r>
        <w:t xml:space="preserve">b) Invocando la doctrina establecida por el Tribunal Constitucional acerca de la interpretación a dar al art. 64.1 de la Ley Jurisdiccional -y citando expresamente la Sentencia de 31 de marzo de 1981, junto con otras posteriores-, la representación actora afirma ser evidente que el señor Vintila Horia debió ser personalmente emplazado «por cuanto su existencia era perfectamente conocida por la Sala ante la que se siguió el pleito, puesto que en ella se le menciona». </w:t>
      </w:r>
    </w:p>
    <w:p w:rsidR="00256EE9" w:rsidRDefault="00256EE9" w:rsidP="00256EE9">
      <w:pPr>
        <w:pStyle w:val="TextoNormal"/>
      </w:pPr>
      <w:r>
        <w:t xml:space="preserve">c) En cuanto a la fundamentación jurídico-procesal del recurso de amparo, se afirma el cumplimiento de todos los requisitos impuestos por la Ley Orgánica del Tribunal, habiéndose planteado la queja constitucional en tiempo, pues los veinte días hábiles para ello, según el art. 44.2 de la misma Ley, comenzaron a discurrir a partir de la comunicación de la Sentencia al recurrente por el Vicerrectorado de la Universidad, el 1 de octubre pasado. </w:t>
      </w:r>
    </w:p>
    <w:p w:rsidR="00256EE9" w:rsidRDefault="00256EE9" w:rsidP="00256EE9">
      <w:pPr>
        <w:pStyle w:val="TextoNormal"/>
      </w:pPr>
      <w:r>
        <w:t>En el «suplico» de la demanda se solicita del Tribunal se dicte Sentencia otorgando el amparo pedido por el recurrente y declarando la nulidad de la Sentencia impugnada, ordenándose la retroacción de las actuaciones al momento de la interposición del recurso contencioso-administrativo número 22.443.</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del pasado 21 de noviembre, la Sección Cuarta de este Tribunal acordó la admisión a trámite. </w:t>
      </w:r>
    </w:p>
    <w:p w:rsidR="00256EE9" w:rsidRDefault="00256EE9" w:rsidP="00256EE9">
      <w:pPr>
        <w:pStyle w:val="TextoNormal"/>
      </w:pPr>
      <w:r>
        <w:t xml:space="preserve">Una vez acordada ésta, conoció el Tribunal un nuevo escrito de la representación del recurrente, en el que se solicitaba la suspensión en la ejecución de la Sentencia impugnada, y en el cual, como argumento en apoyo de la suspensión solicitada, se hacía referencia </w:t>
      </w:r>
      <w:r>
        <w:lastRenderedPageBreak/>
        <w:t xml:space="preserve">a la pendencia ante el Tribunal Supremo de un recurso de apelación contra dicha Sentencia interpuesto por el Abogado del Estado. La Sección Tercera de este Tribunal, por providencia de 5 de diciembre, acordó llevar a los autos principales testimonio de dicho escrito. </w:t>
      </w:r>
    </w:p>
    <w:p w:rsidR="00256EE9" w:rsidRDefault="00256EE9" w:rsidP="00256EE9">
      <w:pPr>
        <w:pStyle w:val="TextoNormal"/>
      </w:pPr>
      <w:r>
        <w:t xml:space="preserve">Habiendo comunicado la Sala de lo Contencioso-Administrativo de la Audiencia Nacional (Sección Segunda), por escrito recibido el 12 de diciembre, que las actuaciones del contencioso-administrativo finalizado por la Sentencia impugnada, habían sido remitidas a la Sala Tercera del Tribunal Supremo a efectos de la sustanciación del recurso de apelación interpuesto por el Abogado del Estado, la misma Sección Tercera, por providencia del pasado 9 de enero, acordó poner de manifiesto a la representación del demandante y al Ministerio Fiscal la posible causa de inadmisión señalada en el art. 50.1 b) de la LOTC en relación con el 43.1 de la misma Ley, por no estar agotada la vía judicial, o con el 44.1 a), si se entendiese que el recurso se deduce exclusivamente contra la resolución judicial. </w:t>
      </w:r>
    </w:p>
    <w:p w:rsidR="00256EE9" w:rsidRDefault="00256EE9" w:rsidP="00256EE9">
      <w:pPr>
        <w:pStyle w:val="TextoNormal"/>
      </w:pPr>
      <w:r>
        <w:t xml:space="preserve">Dentro del plazo señalado han presentado sus alegaciones la representación del recurrente y el Ministerio Fiscal. </w:t>
      </w:r>
    </w:p>
    <w:p w:rsidR="00256EE9" w:rsidRDefault="00256EE9" w:rsidP="00256EE9">
      <w:pPr>
        <w:pStyle w:val="TextoNormal"/>
      </w:pPr>
      <w:r>
        <w:t xml:space="preserve">La representación del recurrente comienza por sostener que no se da la pretendida causa de inadmisión del art. 50.1 b) en relación con el 43.1 («según las citas legales y, a nuestro juicio, erróneas de la notificación recibida» -dice el recurrente-) porque la Sentencia recurrida en amparo no era recurrible en apelación de acuerdo con lo dispuesto en el art. 94.1 a) de la Ley de la Jurisdicción Contencioso-Administrativa. Dicha Sentencia, se afirma, «agota la vía judicial, por lo que cumple (sic) el requisito establecido en el art. 43.1 in fine en relación con el 44.1 a) de la LOTC» («por cierto citados en la providencia que se me ha notificado en forma errónea»). Añade la representación del recurrente, en segundo lugar, «por lo que se refiere a la posible causa de inadmisión referida en el art. 50.1 b)» (sic), que, como ya decía en el fundamento 4 de su demanda, se acompañaban a ésta todos los documentos exigidos en el art. 49.2 de la LOTC, agregando que «como por circunstancias que no alcanza esta parte a recordar, pudiera ser que hubiera habido extravío u omisión en la presentación de dichos documentos», acompaña de nuevo dos de ellos. </w:t>
      </w:r>
    </w:p>
    <w:p w:rsidR="00256EE9" w:rsidRDefault="00256EE9" w:rsidP="00256EE9">
      <w:pPr>
        <w:pStyle w:val="TextoNormal"/>
      </w:pPr>
      <w:r>
        <w:t xml:space="preserve">Concluye la representación del recurrente solicitando que se tengan por hechas las alegaciones y evacuado el trámite. </w:t>
      </w:r>
    </w:p>
    <w:p w:rsidR="00256EE9" w:rsidRDefault="00256EE9" w:rsidP="00256EE9">
      <w:pPr>
        <w:pStyle w:val="TextoNormal"/>
      </w:pPr>
      <w:r>
        <w:t xml:space="preserve">El Ministerio Fiscal comienza por precisar que el recurso de amparo debe entenderse formulado de acuerdo con lo dispuesto en el art. 44 de la LOTC. Siendo ello así, agrega, si la Sentencia impugnada en amparo era susceptible de recurso de apelación ante el Tribunal Supremo, antes de acudir a la jurisdicción constitucional, el actor debió acudir al recurso de apelación o postular, al menos, del Tribunal Supremo que se le admitiera en la calidad procesal que fuera correspondiente en esa segunda instancia. </w:t>
      </w:r>
    </w:p>
    <w:p w:rsidR="00256EE9" w:rsidRDefault="00256EE9" w:rsidP="00256EE9">
      <w:pPr>
        <w:pStyle w:val="TextoNormal"/>
      </w:pPr>
      <w:r>
        <w:t xml:space="preserve">No habiéndose hecho ni lo uno ni lo otro, y con independencia de que su solicitud de personación en segunda instancia resultara o no admisible, se incide en la causa de inadmisión a la que se contrae el art. 44.1 a) en relación con el 50.1 b). </w:t>
      </w:r>
    </w:p>
    <w:p w:rsidR="00256EE9" w:rsidRDefault="00256EE9" w:rsidP="00256EE9">
      <w:pPr>
        <w:pStyle w:val="TextoNormal"/>
      </w:pPr>
      <w:r>
        <w:t xml:space="preserve">De otro lado, y puesto que está pendiente el recurso de apelación, es evidente que está siendo objeto de conocimiento simultáneo, por la jurisdicción ordinaria y por la jurisdicción constitucional, una misma Sentencia. Como cabe, en lo posible, que la jurisdicción ordinaria dé satisfacción de algún modo, a los derechos constitucionales presuntamente vulnerados del actor, es de aplicación lo resuelto por Auto del Tribunal Constitucional de 6 de junio de 1984 (R. A. 243/1984) en el que, una vez más, se ha señalado que, dado el carácter subsidiario del recurso de amparo, es imposible la coexistencia temporal de un recurso de este género con otro seguido en la vía ordinaria. Concluye, por tanto, el Fiscal, solicitando que o bien se declare la inadmisión del recurso, por concurrencia de la causa </w:t>
      </w:r>
      <w:r>
        <w:lastRenderedPageBreak/>
        <w:t>de inadmisión señalada, o bien se acuerde la suspensión del proceso constitucional hasta que se dicte Sentencia firme en el que pende ante la jurisdicción ordinaria.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única cuestión a discutir en este trámite es la de si la pendencia de un recurso de apelación seguido ante el Tribunal Supremo contra la Sentencia que en amparo se impugna también ante nosotros, debe ser considerada como causa de inadmisión del recurso de amparo, en cuanto tal pendencia implica necesariamente, que en el presente caso no concurre, el requisito exigido por el art. 44.1 a) de la LOTC, es decir, uno de los requisitos legales cuya ausencia es considerada por la misma Ley [art. 50.1 b)] causa de inadmisión.</w:t>
      </w:r>
    </w:p>
    <w:p w:rsidR="00256EE9" w:rsidRDefault="00256EE9" w:rsidP="00256EE9">
      <w:pPr>
        <w:pStyle w:val="TextoNormal"/>
      </w:pPr>
      <w:r>
        <w:t>La respuesta a tal cuestión podría fundarse seguramente en la simple remisión a una doctrina continuada de este Tribunal de acuerdo con la cual no cabe el recurso de amparo contra decisiones judiciales que al mismo tiempo sean objeto de impugnación en la vía ordinaria, pues, dado el carácter subsidiario del amparo constitucional, «es imposible la coexistencia temporal de un recurso de este género con otro seguido en la vía ordinaria». Al Auto de 6 de junio de 1984 (R. A. 243/1984), al que se refiere el Ministerio Fiscal y al cual pertenece la frase entrecomillada, podrían agregarse en apoyo de la misma doctrina, entre otros muchos, los Autos de 15 de julio de 1981 (R. A.  84/1981), 8 de noviembre de 1983 (R. A.  538/1983) y 27 de junio de 1984 (R.  A.  178/1984).  Al margen de estas citas, no estará de más repetir, sin embargo, nuevamente la referida doctrina.</w:t>
      </w:r>
    </w:p>
    <w:p w:rsidR="00256EE9" w:rsidRDefault="00256EE9" w:rsidP="00256EE9">
      <w:pPr>
        <w:pStyle w:val="TextoNormal"/>
      </w:pPr>
      <w:r>
        <w:t>El recurso de amparo constitucional que protege a todos los ciudadanos frente a las violaciones de los derechos y libertades reconocidos por los arts.  14 a 30.1 de la Constitución (art. 41.2 de la LOTC) ha sido establecido sin perjuicio del sistema general de tutela de tales derechos y libertades, encomendado a los Tribunales de Justicia (arts.  53 de la C. E.  y 41.1 de la LOTC) y, por tanto, con carácter subsidiario.  El aseguramiento de tal carácter exige, evidentemente, que el acceso al recurso de amparo no quede abierto en tanto que no se hayan agotado todos los recursos utilizables en la vía ordinaria y, como es obvio, no pueden considerarse agotados dichos recursos en tanto que la decisión que pretende impugnarse ante nosotros no es firme precisamente porque no se han resuelto y, por tanto, no se han agotado todos los recursos utilizables dentro de la vía judicial [art. 44.1 a)].  Esta es la situación en el presente caso como bien sabe este Tribunal gracias a la noticia que de ella le dio la propia representación del recurrente al solicitar la suspensión de la Sentencia impugnada, confirmada después por el oficio de la Audiencia Nacional referido en los antecedentes.</w:t>
      </w:r>
    </w:p>
    <w:p w:rsidR="00256EE9" w:rsidRDefault="00256EE9" w:rsidP="00256EE9">
      <w:pPr>
        <w:pStyle w:val="TextoNormal"/>
      </w:pPr>
      <w:r>
        <w:t>Esta carencia del requisito exigido por el art.  44.1 a) en su aspecto puramente objetivo, basta para declarar inadmisible en el momento actual el presente recurso.  Pero es que, además, dicho requisito tiene también un aspecto subjetivo, dimana de él también una obligación de hacer que tampoco en el presente caso se ha cumplido.  A quien se siente lesionado por un acto o una omisión de los órganos del Poder Judicial no les basta, en efecto, con esperar a que esos actos (u omisiones) alcancen firmeza para acudir entonces ante nosotros en búsqueda de amparo.  Debe, por el contrario, tratar de impedir, en primer lugar, que la supuesta lesión de sus derechos o libertades se consolide, agotando para ello todos los medios procesales a su alcance, esto es, interponiendo todos los recursos utilizables y compareciendo, cuando por sí mismos no pudieran iniciarlos, en los recursos intentados por las otras partes del proceso.  No ha sido ése el proceder del recurrente en el presente caso, pues teniendo como tiene conocimiento de la pendencia de un recurso de ape</w:t>
      </w:r>
      <w:r>
        <w:lastRenderedPageBreak/>
        <w:t>lación contra la Sentencia a la que atribuye una vulneración de sus derechos procesales, según expresa manifestación de su representante ante este Tribunal, no ha hecho intento alguno de comparecer en tal recurso como el art.  95 de la Ley de la Jurisdicción Contencioso-Administrativa le permite.  Este incumplimiento del requisito impuesto por el art. 44.1 a) de la LOTC, también en su aspecto subjetivo, no puede ser sanado por la resolución del recurso de apelación y es, en consecuencia, un obstáculo insuperable para la admisión del presente recurso.  Este simple razonamiento priva, claro está, de su razón de ser implícita a la solicitud que, alternativamente, nos hace el Ministerio Fiscal para que acordemos la suspensión del presente recurso de amparo, solicitud a la que, en todo caso, nos sería imposible acceder, pues como también repetidamente hemos afirmado, no es el recurso de amparo un remedio cautelar o precautorio al que pueda acudirse para prevenir el riesgo de temidas y futuras lesiones aún no producidas, sino sólo un remedio subsidiario y último que únicamente cabe impetrar cuando no sólo se ha producido la lesión, sino que también se han agotado infructuosamente todos los recursos utilizables ante el Poder Judicial.</w:t>
      </w:r>
    </w:p>
    <w:p w:rsidR="00256EE9" w:rsidRDefault="00256EE9" w:rsidP="00256EE9">
      <w:pPr>
        <w:pStyle w:val="TextoNormal"/>
      </w:pPr>
    </w:p>
    <w:p w:rsidR="00256EE9" w:rsidRDefault="00256EE9" w:rsidP="00256EE9">
      <w:pPr>
        <w:pStyle w:val="TextoNormal"/>
      </w:pPr>
      <w:r w:rsidRPr="00256EE9">
        <w:rPr>
          <w:rStyle w:val="NumeroAFNegritaCaracter"/>
        </w:rPr>
        <w:t>2</w:t>
      </w:r>
      <w:r>
        <w:t>. La representación del recurrente atribuye a nuestra providencia del pasado 9 de enero el haber puesto de relieve la posible existencia de dos distintas causas de inadmisión: la que efectivamente señalamos y analizamos en el anterior fundamento y otra, a la que nuestra providencia para nada se refiere, no bien definida y que, aparentemente, se intenta remediar mediante el innecesario envío de nueva copia de alguno de los documentos que ya acompañaron a la demanda. Como es obvio que tal atribución sólo puede ser resultado de una apresurada lectura de nuestra providencia, a la que tal vez por eso se imputan también errores que no se concretan, huelga toda consideración sobre las alegaciones dirigidas a demostrar la inexistencia de la inexistente causa.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todo lo expuesto, la Sección ha acordado la inadmisión del presente recurso de amparo.</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7" w:name="AUTO_1985_66"/>
      <w:r>
        <w:lastRenderedPageBreak/>
        <w:t>AUTO 66/1985, de 30 de enero de 1985</w:t>
      </w:r>
    </w:p>
    <w:bookmarkEnd w:id="127"/>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ECLI:ES:TC:1985:66A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729/1984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23 de octubre de 1983 el Procurador don Francisco Alvarez del Valle García, en nombre de don José Manuel Zambada Cabellos, don Germán Angel Fernández Bonhaben y don Miguel Angel Pascual Pastor, representantes de la Federación del Sindicato de Banca, Ahorro y Entidades Financieras de la Confederación Nacional del Trabajo (C. N. T.), formuló demanda de amparo constitucional contra la Sentencia del Tribunal Central de Trabajo de 17 de julio de 1984, dictada en autos sobre conflicto colectivo, por presunta vulneración de los arts. 24 y 28 de la Constitución Española. La demanda asienta su pretensión sobre los siguientes hechos: </w:t>
      </w:r>
    </w:p>
    <w:p w:rsidR="00256EE9" w:rsidRDefault="00256EE9" w:rsidP="00256EE9">
      <w:pPr>
        <w:pStyle w:val="TextoNormal"/>
      </w:pPr>
      <w:r>
        <w:t xml:space="preserve">a) En el año 1982 fue firmado un Convenio Colectivo para la Banca Privada por la Asociación Española de Banca Privada (A. E. B) y por las Federaciones Sindicales, Federación Estatal de Banca de la Unión General de Trabajadores (U. G. T.) y Federación Independiente de los Trabajadores del Crédito (F. I. T. C.). </w:t>
      </w:r>
    </w:p>
    <w:p w:rsidR="00256EE9" w:rsidRDefault="00256EE9" w:rsidP="00256EE9">
      <w:pPr>
        <w:pStyle w:val="TextoNormal"/>
      </w:pPr>
      <w:r>
        <w:t xml:space="preserve">b) Considerando que el art. 22 de dicho Convenio vulneraba la legalidad, la Federación del Sindicato de Bolsa, Ahorro y Entidades Financieras de la Confederación Nacional del Trabajo (C. N. T.) promovió conflicto colectivo frente a los firmantes del Convenio y los restantes sindicatos representativos del Sector, Federación Estatal de Banca de Comisiones Obreras (CC. OO.) y Solidaridad de Trabajadores Vascos (E. L. A.-S. T. V.). </w:t>
      </w:r>
    </w:p>
    <w:p w:rsidR="00256EE9" w:rsidRDefault="00256EE9" w:rsidP="00256EE9">
      <w:pPr>
        <w:pStyle w:val="TextoNormal"/>
      </w:pPr>
      <w:r>
        <w:t xml:space="preserve">c) Ante la falta de avenencia de las partes, se remitió el procedimiento a la Magistratura de Trabajo y se celebró el juicio en el que se allanó la demandada Federación Estatal de Banca de CC. OO. y se opuso la demandada Asociación Española de Banca Privada alegando las excepciones de falta de legitimación activa, inadecuación de procedimiento y prescripción. </w:t>
      </w:r>
    </w:p>
    <w:p w:rsidR="00256EE9" w:rsidRDefault="00256EE9" w:rsidP="00256EE9">
      <w:pPr>
        <w:pStyle w:val="TextoNormal"/>
      </w:pPr>
      <w:r>
        <w:t xml:space="preserve">El Magistrado de Trabajo núm. 17, de Madrid, dictó Sentencia de 12 de abril de 1984 acogiendo las excepciones opuestas. </w:t>
      </w:r>
    </w:p>
    <w:p w:rsidR="00256EE9" w:rsidRDefault="00256EE9" w:rsidP="00256EE9">
      <w:pPr>
        <w:pStyle w:val="TextoNormal"/>
      </w:pPr>
      <w:r>
        <w:t xml:space="preserve">d) En recurso especial de suplicación, el Tribunal Central de Trabajo confirmó la Sentencia de instancia por la suya de 17 de julio de 1984, pronunciándose exclusivamente sobre la excepción de falta de legitimación activa que estima concurre en el caso y omitiendo todo pronunciamiento sobre las restantes excepciones acogidas por la Magistratura. La decisión se funda en la falta de acreditación de la suficiente implantación de la Federación demandante motivada por su apartamiento de la estructura de participación institucional, lo que resulta especialmente relevante en un proceso de impugnación de un Convenio Colectivo que no representa sino parte del proceso de negociación, con lo que se </w:t>
      </w:r>
      <w:r>
        <w:lastRenderedPageBreak/>
        <w:t>produce la contradicción de pretender ocupar un espacio en el proceso negociador que antes se había voluntariamente abandonado.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opinión de la Federación Sindical demandante, la Sentencia del Tribunal Central de Trabajo vulnera los arts. 28, 24.1 y 24.2 de la Constitución en relación con los arts. 7 y 37.2 del mismo Texto fundamental, así como las Sentencias del Tribunal Constitucional de 29 de noviembre de 1982, 14 de marzo de 1983 y los Convenios núms. 87 y 98 de la O. I. T. </w:t>
      </w:r>
    </w:p>
    <w:p w:rsidR="00256EE9" w:rsidRDefault="00256EE9" w:rsidP="00256EE9">
      <w:pPr>
        <w:pStyle w:val="TextoNormal"/>
      </w:pPr>
      <w:r>
        <w:t xml:space="preserve">El art. 28 de la Constitución se vulnera porque la Sentencia no ampara el derecho de la Federación de la C. N. T. a ejercer libremente su actividad en defensa y promoción de los intereses económicos y sociales que le son propios. La libertad sindical no puede entenderse en sentido estático sino dinámico y expansivo, reconociendo a sus titulares el derecho a actuar libremente dentro del respeto a la Constitución y a la Ley, sin que pueda desestimarse el derecho de la recurrente a adoptar medidas de conflicto colectivo alegando su supuesta falta de legitimación activa, que, en todo caso, viene a concurrir en defensa y promoción de los intereses de sus propios afiliados. </w:t>
      </w:r>
    </w:p>
    <w:p w:rsidR="00256EE9" w:rsidRDefault="00256EE9" w:rsidP="00256EE9">
      <w:pPr>
        <w:pStyle w:val="TextoNormal"/>
      </w:pPr>
      <w:r>
        <w:t xml:space="preserve">La violación del art. 24.1, que garantiza el derecho a la tutela efectiva no sólo a personas físicas, sino igualmente a las jurídicas, viene a ser vulnerado al negarse legitimación para promover el procedimiento de conflicto colectivo en defensa de los intereses de sus afiliados. El precepto vuelve también a ser vulnerado al haberse recurrido y solicitado pronunciamiento en el «suplico» del recurso sobre las excepciones de inadecuación de procedimiento y de prescripción y no hacerse pronunciamiento alguno por parte del Tribunal Central de Trabajo. </w:t>
      </w:r>
    </w:p>
    <w:p w:rsidR="00256EE9" w:rsidRDefault="00256EE9" w:rsidP="00256EE9">
      <w:pPr>
        <w:pStyle w:val="TextoNormal"/>
      </w:pPr>
      <w:r>
        <w:t>Solicita se reconozca su derecho a incoar procedimiento de conflicto colectivo sin que pueda enervarse por falta de legitimación activa y, subsidiariamente, se repongan los autos al momento de dictar Sentencia, que habrá de contener decisiones sobre las excepciones de inadecuación del procedimiento y de prescripción.</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por providencia de 5 de diciembre, acordó poner de manifiesto a los recurrentes la posible existencia de las siguientes causas de inadmisibilidad: 1.ª, la del art. 50.1 b) en relación con el 49.2 a), ambos de la Ley Orgánica del Tribunal Constitucional, por no acreditarse la representación de la Federación del Sindicato de Banca, Bolsa, Ahorro y Entidades Financieras de la Confederación Nacional del Trabajo (C. N. T.); y 2.ª, la del art. 50.2 b) de la misma Ley Orgánica, por cuanto la demanda pudiera carecer manifiestamente de contenido que justifique una decisión por parte del Tribunal.</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Ministerio Fiscal, en el obligado trámite de alegaciones, solicita la inadmisión del recurso. En su opinión no existe infracción del derecho de libre sindicación, pues el Tribunal Central ya aborda esta cuestión y la resuelve cuando afirma que ello nada tiene que ver con el hecho de que se niegue al sindicato demandante legitimación activa para plantear conflictos colectivos por no reconocérsele «notoria implantación en el centro de trabajo o marco general al que el conflicto se refiere». </w:t>
      </w:r>
    </w:p>
    <w:p w:rsidR="00256EE9" w:rsidRDefault="00256EE9" w:rsidP="00256EE9">
      <w:pPr>
        <w:pStyle w:val="TextoNormal"/>
      </w:pPr>
      <w:r>
        <w:t>No se lesiona el derecho a obtener la tutela efectiva cuando la resolución impugnada está fundada en Derecho y la única base para combatirla sea la mera discrepancia por parte del recurrente con la decisión adoptada por el órgano judicial. Tampoco se conculca el citado derecho por la circunstancia de que la Sentencia del Tribunal Central únicamente resuelva la excepción de legitimación activa alegada y no las otras dos excepciones, por</w:t>
      </w:r>
      <w:r>
        <w:lastRenderedPageBreak/>
        <w:t xml:space="preserve">que, admitida la primera, basta por sí sola para desestimar el recurso de suplicación, como así hace el Tribunal Central, siendo innecesaria la resolución de las otras dos excepciones. </w:t>
      </w:r>
    </w:p>
    <w:p w:rsidR="00256EE9" w:rsidRDefault="00256EE9" w:rsidP="00256EE9">
      <w:pPr>
        <w:pStyle w:val="TextoNormal"/>
      </w:pPr>
      <w:r>
        <w:t>Se advierte, además, que los demandantes no acompañan a la demanda los documentos que justifiquen su carácter de representantes de la Federación del Sindicato, lo que ya en el poder general para pleito que presentan se establece como requisito indispensable.</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relación con la primera causa de inadmisión, los demandantes exponen que, debido a que el Comité Confederal de la Organización no tiene otorgados poderes notariales a los representantes de sus Federaciones, no pudieron acreditar en su momento la representación que ostentan, haciéndolo ahora mediante la aportación de un documento suscrito por el Secretario General de la C. N. T. y con el sello de la Confederación que garantiza la autenticidad de la representatividad otorgada. </w:t>
      </w:r>
    </w:p>
    <w:p w:rsidR="00256EE9" w:rsidRDefault="00256EE9" w:rsidP="00256EE9">
      <w:pPr>
        <w:pStyle w:val="TextoNormal"/>
      </w:pPr>
      <w:r>
        <w:t xml:space="preserve">En cuanto a la segunda causa, entienden que la vulneración de los derechos invocados en la demanda es clara y notoria y sorprende especialmente el pronunciamiento del Tribunal Central de Trabajo si se le compara con la Sentencia del mismo Tribunal de 14 de marzo de 1984 que establece una presunción iuris tantum de implantación en favor de otro Sindicato. </w:t>
      </w:r>
    </w:p>
    <w:p w:rsidR="00256EE9" w:rsidRDefault="00256EE9" w:rsidP="00256EE9">
      <w:pPr>
        <w:pStyle w:val="TextoNormal"/>
      </w:pPr>
      <w:r>
        <w:t xml:space="preserve">Ello es pura racionalidad jurídica, ya que, delimitados los conceptos de representatividad e implantación, y no existiendo una norma que atribuya determinados efectos a la actuación del Sindicato que posea un volumen de efectivos con independencia de las de origen negocial reguladoras de las representaciones de Empresa, la justificación del condicionante jurisprudencial aparece como muy discutible. </w:t>
      </w:r>
    </w:p>
    <w:p w:rsidR="00256EE9" w:rsidRDefault="00256EE9" w:rsidP="00256EE9">
      <w:pPr>
        <w:pStyle w:val="TextoNormal"/>
      </w:pPr>
      <w:r>
        <w:t xml:space="preserve">Después de rechazar la virtualidad del criterio de la Audiencia del Sindicato, los denunciantes señalan que no se puede aceptar que la Federación de Sindicatos de Banca, Bolsa y Ahorro de la C. N. T no ha acreditado su implantación, cuando ésta no está regulada y no se tiene un criterio jurisprudencial claro. Se viene a producir de esta forma un grave problema de seguridad jurídica que no debería ser resuelto propiciando la existencia de un sindicalismo desigual. La vulneración viene a consumarse cuando ni tan siquiera, como en el caso de autos, se reconoce legitimación marginal para promover el procedimiento de conflicto colectivo en defensa de los intereses de sus propios afiliados. </w:t>
      </w:r>
    </w:p>
    <w:p w:rsidR="00256EE9" w:rsidRDefault="00256EE9" w:rsidP="00256EE9">
      <w:pPr>
        <w:pStyle w:val="TextoNormal"/>
      </w:pPr>
      <w:r>
        <w:t>Aparte de ello, la Sentencia impugnada no se pronuncia sobre las excepciones de inadecuación de procedimiento y de prescripción que también se habían recurrido y solicitado pronunciamiento en el «suplico» del recurso contra la Sentencia de Magistratura que sí se pronuncia sobre ellas.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presunta vulneración de los derechos reconocidos en los arts. 24.1 y 28.1 de la Constitución en relación con el 37.1 y con diversas Sentencias dictadas por el Tribunal Constitucional se habría producido, según los demandantes, por haber negado el Tribunal Central de Trabajo la legitimación de la Federación Sindical para promover conflicto colectivo en solicitud de declaración de nulidad de un precepto del Convenio vigente, legitimación que le correspondería en virtud de su condición de Sindicato y de la correspondiente libertad de actuación sindical.</w:t>
      </w:r>
    </w:p>
    <w:p w:rsidR="00256EE9" w:rsidRDefault="00256EE9" w:rsidP="00256EE9">
      <w:pPr>
        <w:pStyle w:val="TextoNormal"/>
      </w:pPr>
      <w:r>
        <w:t>Este Tribunal se ha planteado ya en diversas ocasiones el problema relativo a la legitimación de los sindicatos para promover el procedimiento de conflicto colectivo.  En su Sentencia núm.  70/1982, de 29 de noviembre («Boletín Oficial del Estado», de 29 de di</w:t>
      </w:r>
      <w:r>
        <w:lastRenderedPageBreak/>
        <w:t>ciembre), la Sala Segunda afirmó que «dentro del ámbito de actuación de los sindicatos de trabajadores considerados como piezas económicas y sociales indispensables para la defensa y promoción de sus intereses (art. 7 de la C. E.)  y dentro del marco del derecho definido en el art.  28 de la Constitución, hay que entender que los sindicatos tienen genéricamente capacidad para representar a los trabajadores y, por ende, pueden promover los procedimientos de conflicto colectivo que tengan por objeto la reinterpretación de un Convenio Colectivo» (fundamento jurídico 5) y, concretando más, señaló que «no basta con la simple condición de Entidad sindical para que en cada caso concreto la relación jurídica procesal pueda quedar regularmente trabada.  Ha de tratarse, como es obvio, de un Sindicato al cual pueda reconocérsele una relación directa con lo que es objeto del litigio por su notoria implantación en el centro de trabajo o marco general al que el conflicto se refiere, aunque a él no estén afiliados la totalidad de los trabajadores afectados por la Resolución» (fundamento jurídico 6).</w:t>
      </w:r>
    </w:p>
    <w:p w:rsidR="00256EE9" w:rsidRDefault="00256EE9" w:rsidP="00256EE9">
      <w:pPr>
        <w:pStyle w:val="TextoNormal"/>
      </w:pPr>
      <w:r>
        <w:t>Recogiendo esta doctrina y desarrollándola, la Sentencia núm. 37/1983, de 11 de mayo («Boletín Oficial del Estado» del 20), de la Sala Primera, explicó que «la libertad sindical implica la libertad para el ejercicio de la acción sindical, comprendiendo en ella todos los medios lícitos, entre los que los Tratados Internacionales...  incluyen la negociación colectiva y la huelga, debiendo extenderse también a la incoación de conflictos colectivos, pues sería paradójico que quien pueda defender los intereses de los trabajadores mediante la negociación o la huelga, no pudiera hacerlo mediante la utilización de los procedimientos legalmente previstos para el planteamiento y solución pacífica de los conflictos colectivos» (fundamento jurídico 2).  Y sobre el requisito de la implantación notoria, señaló que «el concepto de implantación no puede ser confundido...  con el de representatividad en el sentido de que este último es valorado por el Estatuto de los Trabajadores para atribuir legitimación para la negociación colectiva de eficacia general (art. 87) o para la representación institucional..., por lo que no cabe argumentar sobre la ausencia de miembros del Sindicato en los Comités de Empresa o, incluso, sobre la falta de presentación del mismo a los procesos electorales» (fundamento jurídico 3).</w:t>
      </w:r>
    </w:p>
    <w:p w:rsidR="00256EE9" w:rsidRDefault="00256EE9" w:rsidP="00256EE9">
      <w:pPr>
        <w:pStyle w:val="TextoNormal"/>
      </w:pPr>
      <w:r>
        <w:t>La Sentencia del Tribunal Central de Trabajo se ajusta estrictamente a estas bases. Reconoce la posibilidad de suscitar un conflicto colectivo para solicitar la nulidad de un convenio de sindicatos (se trata de una ampliación de la posibilidad reconocida en el art.  90.5 del Estatuto de los Trabajadores a la Autoridad laboral, que forma parte ya de la jurisprudencia consolidada del Tribunal Central), y afirma que el hecho de que la Federación de la C. N.  T. no haya formado parte de la Comisión deliberadora del Convenio por no reunir la representatividad suficiente no basta para negarle la legitimación procesal.  Exige, en cambio, que se acredite implantación suficiente, «es decir, constituir un factor de influencia en el ámbito del conflicto o en el marco laboral general».  Su negativa a aceptar la legitimación de C. N. T.  radica en que no se ha acreditado ello, pues reconociendo ésta que «su línea de actuación sindical se aparta de la estructura de participación institucional que las Leyes previenen para los sindicatos», se «hace imposible el medir el alcance de su presencia y la dosis de influencia que tiene en el Sector, sin que sea dato suficiente para suplir este presupuesto el reconocimiento de su crédito histórico» (considerando segundo).</w:t>
      </w:r>
    </w:p>
    <w:p w:rsidR="00256EE9" w:rsidRDefault="00256EE9" w:rsidP="00256EE9">
      <w:pPr>
        <w:pStyle w:val="TextoNormal"/>
      </w:pPr>
      <w:r>
        <w:t xml:space="preserve">No puede imputarse defecto alguno a esta consideración.  Habiendo declarado este Tribunal que los sindicatos con implantación suficiente están legitimados para promover conflictos colectivos y que no cabe confundir implantación con mayor representatividad, la determinación de si un Sindicato concreto posee o no tal implantación en un supuesto concreto es un problema de hecho que corresponde valorar a la jurisdicción laboral, cuya </w:t>
      </w:r>
      <w:r>
        <w:lastRenderedPageBreak/>
        <w:t>apreciación sólo podría ser corregida por este Tribunal en caso de ser abiertamente irrazonable, lo cual no sucede, sino justamente al contrario, en el caso a examen.</w:t>
      </w:r>
    </w:p>
    <w:p w:rsidR="00256EE9" w:rsidRDefault="00256EE9" w:rsidP="00256EE9">
      <w:pPr>
        <w:pStyle w:val="TextoNormal"/>
      </w:pPr>
      <w:r>
        <w:t>Obviamente, la participación en las elecciones y el resultado obtenido, constituyen el medio por excelencia para conocer la influencia del Sindicato.  Pero el Tribunal Central no dice que sea el único.  Si la legítima opción sindical de la C. N. T.  la lleva a rehuir las elecciones, no la priva de acreditar su implantación por otros medios.  Corresponde al demandante acreditarlo a través de las vías que estime pertinentes para que los Tribunales puedan, a la vista de la prueba, adoptar su decisión fundada.</w:t>
      </w:r>
    </w:p>
    <w:p w:rsidR="00256EE9" w:rsidRDefault="00256EE9" w:rsidP="00256EE9">
      <w:pPr>
        <w:pStyle w:val="TextoNormal"/>
      </w:pPr>
      <w:r>
        <w:t>Cuando no se ha hecho y no existe dato objetivo que lo haga notorio, la decisión judicial de negar la legitimación por no acreditar el presupuesto necesario para reconocerla es plenamente acorde a la legalidad y a la Constitución.</w:t>
      </w:r>
    </w:p>
    <w:p w:rsidR="00256EE9" w:rsidRDefault="00256EE9" w:rsidP="00256EE9">
      <w:pPr>
        <w:pStyle w:val="TextoNormal"/>
      </w:pPr>
      <w:r>
        <w:t>No cabe, por fin, afirmar, como hacen los demandantes, que la legitimación existe para defender los intereses de sus afiliados.  No era éste el problema debatido en el proceso y, por tanto, no ha sido ello lo negado.</w:t>
      </w:r>
    </w:p>
    <w:p w:rsidR="00256EE9" w:rsidRDefault="00256EE9" w:rsidP="00256EE9">
      <w:pPr>
        <w:pStyle w:val="TextoNormal"/>
      </w:pPr>
      <w:r>
        <w:t>El conflicto colectivo se promovió para obtener la declaración de nulidad de un precepto del Convenio Colectivo que se estimaba opuesto a la legalidad. Tal conflicto recaía sobre un convenio de eficacia general, es decir aplicable a todos los trabajadores y empresarios existentes dentro del ámbito territorial y funcional del Convenio Colectivo.  La declaración de nulidad afectaría, pues, a todos los trabajadores y empresarios y no sólo a los afiliados a la C.  N. T.  De ahí que la actuacíón había de ser exigiendo una implantación suficiente en el ámbito en que se desenvolvía el conflicto.</w:t>
      </w:r>
    </w:p>
    <w:p w:rsidR="00256EE9" w:rsidRDefault="00256EE9" w:rsidP="00256EE9">
      <w:pPr>
        <w:pStyle w:val="TextoNormal"/>
      </w:pPr>
    </w:p>
    <w:p w:rsidR="00256EE9" w:rsidRDefault="00256EE9" w:rsidP="00256EE9">
      <w:pPr>
        <w:pStyle w:val="TextoNormal"/>
      </w:pPr>
      <w:r w:rsidRPr="00256EE9">
        <w:rPr>
          <w:rStyle w:val="NumeroAFNegritaCaracter"/>
        </w:rPr>
        <w:t>2</w:t>
      </w:r>
      <w:r>
        <w:t>. Tampoco existe vulneración del derecho reconocido en el art.  24.1 de la Constitución en el hecho de que el Tribunal Central de Trabajo no se haya pronunciado en su Sentencia sobre las restantes excepciones acogidas por la Magistratura de Trabajo, pues habiendo desestimado el recurso formulado contra la primera y prioritaria -legitimación-, la Sentencia de instancia había necesariamente de ser confirmada, sin que añadiera ni quitara nada el tratamiento de los restantes temas suscitados.</w:t>
      </w:r>
    </w:p>
    <w:p w:rsidR="00256EE9" w:rsidRDefault="00256EE9" w:rsidP="00256EE9">
      <w:pPr>
        <w:pStyle w:val="TextoNormal"/>
      </w:pPr>
      <w:r>
        <w:t>La demanda incurre, por consiguiente, en la causa de inadmisión a que se refiere el art. 50.2 b) de la LOTC, por lo que no es preciso entrar en la del art.  50.1 b), también señalada en nuestra providencia.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recurso, y el archivo de las actuaciones.</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8" w:name="AUTO_1985_67"/>
      <w:r>
        <w:lastRenderedPageBreak/>
        <w:t>AUTO 67/1985, de 30 de enero de 1985</w:t>
      </w:r>
    </w:p>
    <w:bookmarkEnd w:id="128"/>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ECLI:ES:TC:1985:67A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741/1984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26 de octubre de 1984 tuvo entrada en este Tribunal, escrito presentado por el Procurador don Angel Deleito Villa, en nombre y representación de don Francisco Fernández Campillo y 189 más, interponiendo recurso de amparo contra Sentencia de la Sala Cuarta del Tribunal Central de Trabajo, de 12 de septiembre de 1984. La demanda se funda en los siguientes hechos: a) Los solicitantes de amparo, junto con otros trabajadores, formularon en 16 de enero de 1984 demanda contra el Instituto Nacional de Empleo y la Empresa Nacional de Autocamiones, S. A., por entender que la base reguladora de sus prestaciones de desempleo debía determinarse por las bases de cotización correspondiente a los seis meses inmediatamente anteriores al cese en el puesto de trabajo. b) La Magistratura de Trabajo núm. 6, de Madrid, dictó Sentencia en 17 de marzo de 1984, estimando la reclamación de los demandantes y declarando que la base reguladora había de calcularse en la forma pretendida por los mismos, condenando al I. N. E. M. a la revisión de los correspondientes expedientes administrativos y absolviendo a la Empresa codemandada. c) Contra dicha Sentencia el I. N. E. M. anunció y formalizó recurso de suplicación, en el que, según los demandantes de amparo, no impugnó la declaración de hechos probados efectuada por el Magistrado, pero planteando cuestiones nuevas, lo que fue denunciado por los trabajadores demandantes. d) La Sala Cuarta del Tribunal Central de Trabajo dictó Sentencia en 12 de septiembre de 1984, revocando la Sentencia recurrida, absolviendo al I. N. E. M. y manteniendo la absolución de la Empresa codemandada. Dicha Sentencia desestima determinadas alegaciones del I. N. E. M., referentes a caducidad o prescripción de la acción, pero fue estimada la infracción alegada de los arts. 19 y 22.4 de la Ley Básica de Empleo, de 8 de octubre de 1980, en relación con el art. 14.4 del Reglamento de Prestaciones, de 24 de abril de 1981, por considerar la Sala, en virtud de tales preceptos, que «conforme se declara en el resultando de hechos probados, habiendo percibido los demandantes por primera vez prestaciones por desempleo entre los meses de mayo a octubre de 1980, como consecuencia de un expediente reductor en un tercio de la jornada habitual, y reanudados éstos su actividad laboral por período superior a seis meses, con lo que la prestación inicial reconocida quedó extinguida -art. 12 b) del Reglamentoal producirse el cese definitivo de los actores en su actividad laboral por nuevo expediente, éstos tienen el derecho, de acuerdo con el art. 19.3 de la Ley Básica de Empleo, y 14.3 del Reglamento de Prestaciones, a optar entre el disfrute del derecho generado por la última actividad cotizada o la reanudación del derecho precedente, opción esta última la más favorable, que fue </w:t>
      </w:r>
      <w:r>
        <w:lastRenderedPageBreak/>
        <w:t>la reconocida a los actores por el I. N. E. M. que les reconoció la percepción de prestaciones por empleo durante dieciocho meses y con arreglo a la primera opción, lo que les hubiese correspondido hubiese sido seis meses de prestación, ahora bien, al ser reanudación de una situación de desempleo precedente, la base reguladora a computar será la que sirvió para determinar el derecho inicial, por lo que ha de estimarse correcta la actuación del Ente gestor». Los recurrentes de amparo consideran que se ha infringido el art. 24.1 de la Constitución por incongruencia de la Sentencia estimatoria del recurso de suplicación. Solicitan se repongan las actuaciones al momento en que se produjo la infracción alegada, anulando la Sentencia impugnada.</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de 5 de diciembre pasado puso de manifiesto la posible existencia de la causa de inadmisión regulada por el art. 50.2 b) de la Ley Orgánica de este Tribunal, y concedió un plazo común de diez días a los recurrentes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su escrito de alegaciones la parte actora insiste en sus manifestaciones y añade que la Sala del Tribunal Central de Trabajo alteró los hechos declarados probados por el Magistrado de instancia, según se colige de la lectura del segundo resultando y segundo considerando de la Sentencia de aquélla. Si bien es cierto que los trabajadores se vieron afectados por un expediente de reducción de jornada al 33 por 100, de mayo a octubre de 1980, esto no puede presuponer la aseveración que hace la Sala del Tribunal Central de Trabajo de que recibieran por primera vez prestaciones por desempleo, sino, por el contrario, que por el Instituto Nacional de Empleo se complementaba en un 33 por 100 el salario de los trabajadores, al ser el otro 64 por 100 abonado por la Empresa, quien por otra parte, seguía cotizando durante referido período, al 100 por 100, por la contingencia de desempleo, hasta la extinción de la relación laboral. La Sala del Tribunal Central de Trabajo varía los hechos probados nuevamente al afirmar en su considerando segundo que «... y reanudaron éstos su actividad laboral por período superior a seis meses», siendo así que aquellos trabajadores afectados por el expediente vieron resuelta su relación laboral el 31 de diciembre de 1980. </w:t>
      </w:r>
    </w:p>
    <w:p w:rsidR="00256EE9" w:rsidRDefault="00256EE9" w:rsidP="00256EE9">
      <w:pPr>
        <w:pStyle w:val="TextoNormal"/>
      </w:pPr>
      <w:r>
        <w:t xml:space="preserve">Al presentar escrito de formalización del recurso de suplicación, la parte contraria no impugnó el relato fáctico de la Sentencia de instancia, y cuando no existe tal impugnación, ni se decreta la nulidad de la Sentencia impugnada, y cuando la Sala del Tribunal Central de Trabajo hace suyos aquellos hechos, en ningún caso pueden alterarse por el principio de invariabilidad de los mismos. Estiman además los demandantes que existe incongruencia entre lo pedido y lo fallado por la Sentencia de la Sala Cuarta del Tribunal Central de Trabajo, que absuelve al I. N. E. M. en base a la aplicación de unos preceptos legales referidos a la aplicación de un derecho de opción. En ningún caso el Instituto Nacional de Empleo planteó a los trabajadores el tan traído derecho de opción, y aun en el supuesto de que tal derecho hubiera sido de aplicación a algunos de los demandantes, tendría que haber sido ejercitado personalmente por cada uno de los afectados y tal planteamiento debe caer por su propio peso al no haber sido nunca afectados. A mayor abundamiento, la aplicación que del art. 19.3 hace la Sala del Tribunal Central de Trabajo tiene que estar en concordancia con lo dispuesto en el párrafo 3 b) y 4 del art. 22 de la citada Ley Básica de Empleo y no sería aplicable al supuesto debatido, ya que la Empresa para la que prestaron sus servicios aquéllos siguió cotizando hasta la extinción de la relación laboral y el propio I. N. E. M. debió seguir cotizando por la cuota obrera. Por todo ello entienden que hay una </w:t>
      </w:r>
      <w:r>
        <w:lastRenderedPageBreak/>
        <w:t xml:space="preserve">irregularidad formal que erosiona las garantías procesales protegidas por el art. 24.1 de la Constitución. </w:t>
      </w:r>
    </w:p>
    <w:p w:rsidR="00256EE9" w:rsidRDefault="00256EE9" w:rsidP="00256EE9">
      <w:pPr>
        <w:pStyle w:val="TextoNormal"/>
      </w:pPr>
      <w:r>
        <w:t>El Fiscal General del Estado en su escrito de alegaciones hace constar que por reiterada doctrina de este Tribunal, el derecho contenido en el art. 24.1 de la Constitución se trata del derecho de acceso a la jurisdicción, a un proceso con las garantías debidas y a la obtención de una resolución fundada en Derecho, sin que pueda este Tribunal conocer de los hechos que dieron lugar al proceso, ni efectuar control de mera legalidad de lo decidido por los órganos judiciales dentro de su competencia, ni es misión del mismo corregir errores, ya que no toda ilegalidad supone inconstitucionalidad, sino sólo aquella que vulnera los derechos fundamentales y libertades públicas. La discrepancia entre la Sentencia de la Magistratura de Trabajo y la del Tribunal Central es una cuestión de criterio de mera legalidad, por lo que procede declarar la inadmisión del recurso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No ofrece duda que la interpretación de los preceptos que regulan la relación jurídica de la prestación de desempleo, y como uno de sus elementos la base para definir la cuantía de la prestación, y la aplicación de estos preceptos al caso de que se trate, corresponde -en vía jurisdiccional cuando se impugna la decisión del órgano del I. N. E. M.- a la jurisdicción laboral, sin que su juicio pueda revisarse en el recurso de amparo a pretexto de que incide en violación o en interpretación errónea de las normas de la Ley Básica de Empleo (arts.  19 y ss.)  o del Reglamento de desarrollo de esta Ley (arts.  14 y ss.).</w:t>
      </w:r>
    </w:p>
    <w:p w:rsidR="00256EE9" w:rsidRDefault="00256EE9" w:rsidP="00256EE9">
      <w:pPr>
        <w:pStyle w:val="TextoNormal"/>
      </w:pPr>
      <w:r>
        <w:t>Cuando esto se pretende en el recurso de amparo se pide algo contra lo prevenido en el art.  117.  de la Constitución y la demanda carece manifiestamente de contenido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Para eludir esta clara causa de inadmisión del amparo, el demandante dice que el Tribunal Central de Trabajo no respeta los «hechos probados» declarados en la Sentencia de instancia o que incurrió en error al enjuiciarlos, añadiendo que con ello se quebrantaron garantías procesales protegidas en el art.  24.1 de la Constitución.  Se incurre con esta fundamentación del amparo en atribuir a éste el cometido de interpretación del factum y de la aplicación al mismo de los preceptos reguladores de la prestación de desempleo, que, como decíamos en el fundamento anterior, pertenecen a la exclusividad jurisdiccional de los Tribunales de orden laboral.  Los demandantes han tenido acceso a la jurisdicción y han gozado del derecho al proceso, sin generarse indefensión, y han obtenido, al respecto, una Sentencia de fondo que si les ha sido adversa, nada autoriza, como hemos dicho, a revisar en sede constitucional.  El art.  50.2 b) de la LOTC debe llevar, por tanto, a la inadmisión del recurso.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que el recurso de que se ha hecho mérito es inadmisible.</w:t>
      </w:r>
    </w:p>
    <w:p w:rsidR="00256EE9" w:rsidRDefault="00256EE9" w:rsidP="00256EE9">
      <w:pPr>
        <w:pStyle w:val="TextoNormal"/>
      </w:pPr>
    </w:p>
    <w:p w:rsidR="00256EE9" w:rsidRDefault="00256EE9" w:rsidP="00256EE9">
      <w:pPr>
        <w:pStyle w:val="TextoNormal"/>
      </w:pPr>
      <w:r>
        <w:lastRenderedPageBreak/>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29" w:name="AUTO_1985_68"/>
      <w:r>
        <w:lastRenderedPageBreak/>
        <w:t>AUTO 68/1985, de 30 de enero de 1985</w:t>
      </w:r>
    </w:p>
    <w:bookmarkEnd w:id="129"/>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ECLI:ES:TC:1985:68A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Denegando la suspensión de la ejecución del acto que origina el recurso de amparo 746/1984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Juan Garau Bauza presentó ante este Tribunal, en 27 de octubre pasado, demanda de amparo constitucional contra las Sentencias pronunciadas por el Juzgado de Peligrosidad y Rehabilitación Social de Palma de Mallorca, en 28 de enero de 1984, y la Sala Especial de Peligrosidad de la Audiencia Nacional, en 28 de septiembre siguiente. Por medio de un otrosí del escrito de demanda interesaba la suspensión de la ejecución de las Sentencias determinantes del recurso, pues de llevarse a efecto produciría al demandante un irreparable perjuicio que haría perder al amparo su finalidad.</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14 de noviembre pasado se concedió a la representación del recurrente y al Ministerio Fiscal un plazo de tres días para alegaciones, de conformidad con lo determinado en el art. 56.2 de la Ley Orgánica de este Tribunal. </w:t>
      </w:r>
    </w:p>
    <w:p w:rsidR="00256EE9" w:rsidRDefault="00256EE9" w:rsidP="00256EE9">
      <w:pPr>
        <w:pStyle w:val="TextoNormal"/>
      </w:pPr>
      <w:r>
        <w:t xml:space="preserve">El Procurador señor Murga Rodríguez, en representación del recurrente, presentó escrito en el que reiteraba su petición de suspensión de un acto que vulnera el derecho a la libertad y que caso de no admitirse podría llevar al recurrente a la lamentable situación de ver estimado su recurso de amparo y, sin embargo, ser ilusoria la protección constitucional, por la ejecución de la Sentencia, con lo que no se procuraría la tutela efectiva de sus derechos preconizada en el art. 24.1 de la Constitución. </w:t>
      </w:r>
    </w:p>
    <w:p w:rsidR="00256EE9" w:rsidRDefault="00256EE9" w:rsidP="00256EE9">
      <w:pPr>
        <w:pStyle w:val="TextoNormal"/>
      </w:pPr>
      <w:r>
        <w:t>El Fiscal General del Estado en su escrito manifiesta que no se opone a la suspensión solicitada, pues si bien no consta que se haya ordenado el cumplimiento de las medidas de seguridad impuestas al recurrente, el art. 56.1 prevé la suspensión cuando la ejecución de lo resuelto pudiera producir un perjuicio irreparable. Por otra parte, en el caso presente se trata de una demanda admitida y no en trámite del art. 50 de la LOTC. Tampoco encuentra el Fiscal que se sacrifiquen intereses generales ni derechos fundamentales o libertades públicas de un tercero por la suspensión provisional de la Sentencia. En todo caso, procede que se garantice mediante caución el cumplimiento de la resolución impugnada.</w:t>
      </w:r>
    </w:p>
    <w:p w:rsidR="00256EE9" w:rsidRDefault="00256EE9" w:rsidP="00256EE9">
      <w:pPr>
        <w:pStyle w:val="TextoNormal"/>
      </w:pPr>
    </w:p>
    <w:p w:rsidR="00256EE9" w:rsidRDefault="00256EE9" w:rsidP="00256EE9">
      <w:pPr>
        <w:pStyle w:val="TextoNormal"/>
      </w:pPr>
      <w:r w:rsidRPr="00256EE9">
        <w:rPr>
          <w:rStyle w:val="NumeroAFNegritaCaracter"/>
        </w:rPr>
        <w:t>3</w:t>
      </w:r>
      <w:r>
        <w:t>. La Sala, en providencia de 12 de diciembre pasado, acordó recabar por vía telegráfica del Juzgado de Peligrosidad y Rehabilitación Social de Palma de Mallorca el informe a que se refiere el art. 56.2 de la LOTC y del Juzgado Central de Instrucción núm. 2, y, res</w:t>
      </w:r>
      <w:r>
        <w:lastRenderedPageBreak/>
        <w:t>pecto de la causa núm. 77/1983, testimonio de la Sentencia recaída: estado de ejecución de la misma: Auto de procesamiento, en su caso: resoluciones que permitan conocer la situación personal, en orden a la libertad o prisión del recurrente Juan Garay Bauza.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Juez de Peligrosidad y Rehabilitación Social de Palma de Mallorca contestó al telegrama que le fue dirigido, con otro en el que comunicaba que por providencia de 27 de noviembre pasado se había acordado la suspensión de la ejecución de la Sentencia contra el recurrente de amparo, no causando dicha suspensión perjuicio grave. </w:t>
      </w:r>
    </w:p>
    <w:p w:rsidR="00256EE9" w:rsidRDefault="00256EE9" w:rsidP="00256EE9">
      <w:pPr>
        <w:pStyle w:val="TextoNormal"/>
      </w:pPr>
      <w:r>
        <w:t xml:space="preserve">Con fecha 8 de enero de 1985 se recibieron en la Sala los testimonios recabados del Juzgado Central de Instrucción núm. </w:t>
      </w:r>
    </w:p>
    <w:p w:rsidR="00256EE9" w:rsidRDefault="00256EE9" w:rsidP="00256EE9">
      <w:pPr>
        <w:pStyle w:val="TextoNormal"/>
      </w:pPr>
      <w:r>
        <w:t>2 de Madrid.</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Ha sido la Autoridad judicial -esto es, el Juez de Peligrosidad y Rehabilitación Social- el que ha dispuesto la suspensión de la ejecución de la Sentencia por resolución de 27 de noviembre de 1984, quedando, dada esta decisión, sin contenido la pretensión incidental y cautelar que por el cauce del art.  56 de la Ley Orgánica de este Tribunal, ha deducido el reclamante, por lo que nada hay que otorgar en este estado del proceso respecto de la indicada pretensión.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Sala resuelve que no ha lugar a la pretensión de suspensión que de esta Sala había deducido el recurrente señor Garau Bauza.</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0" w:name="AUTO_1985_69"/>
      <w:r>
        <w:lastRenderedPageBreak/>
        <w:t>AUTO 69/1985, de 30 de enero de 1985</w:t>
      </w:r>
    </w:p>
    <w:bookmarkEnd w:id="130"/>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ECLI:ES:TC:1985:69A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757/1984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31 de octubre de 1984, el Procurador don Juan I. Avila del Hierro, en representación del Ayuntamiento de Barcelona, formula recurso de amparo contra el Auto de la Sala Segunda de lo Contencioso-Administrativo de la Audiencia Territorial de Barcelona de 8 de junio de 1984, recaído en el incidente de suspensión de la ejecución del acto administrativo impugnado en el recurso contencioso-administrativo núm. 909/1984, confirmado por el Auto de la misma Sala de 27 de julio del mismo año al resolver el recurso de súplica, que también se recurre en amparo, así como la providencia de 7 de octubre siguiente por el que se declara la inadmisibilidad del recurso de apelación interpuesto contra el anterior. En la súplica de la demanda se pide la declaración de nulidad de tales Autos, con retroacción de las actuaciones, reconociendo expresamente el derecho del recurrente a ser oído por el Tribunal de instancia contencioso-administrativo con anterioridad a la resolución del incidente.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antecedentes siguientes: </w:t>
      </w:r>
    </w:p>
    <w:p w:rsidR="00256EE9" w:rsidRDefault="00256EE9" w:rsidP="00256EE9">
      <w:pPr>
        <w:pStyle w:val="TextoNormal"/>
      </w:pPr>
      <w:r>
        <w:t xml:space="preserve">a) Por Resolución de 25 de abril de 1984, de la Unidad operativa de Personal del Ayuntamiento de Barcelona, don Luis Miranda Pitchot, adscrito al Centro Quirúrgico Municipal, fue destinado a prestar sus servicios en el Hospital del Mar de dicha ciudad, manteniendo su jornada semanal de treinta horas, distribuidas en seis horas diarias de lunes a viernes. </w:t>
      </w:r>
    </w:p>
    <w:p w:rsidR="00256EE9" w:rsidRDefault="00256EE9" w:rsidP="00256EE9">
      <w:pPr>
        <w:pStyle w:val="TextoNormal"/>
      </w:pPr>
      <w:r>
        <w:t xml:space="preserve">b) El señor Miranda Pitchot interpuso recurso contencioso-administrativo contra dicha resolución, en el que solicitó, mediante otrosí, la suspensión de la ejecución del acto impugnado. </w:t>
      </w:r>
    </w:p>
    <w:p w:rsidR="00256EE9" w:rsidRDefault="00256EE9" w:rsidP="00256EE9">
      <w:pPr>
        <w:pStyle w:val="TextoNormal"/>
      </w:pPr>
      <w:r>
        <w:t xml:space="preserve">c) Dicha petición dio lugar a la pieza separada de suspensión de la que se dio traslado al Abogado del Estado, dictándose el Auto ahora impugnado de 8 de junio de 1984 -al día siguiente del emplazamiento-, por el que se decreta la suspensión del acto impugnado de conformidad con el art. 122 de la Ley de la Jurisdicción Contencioso-Administrativa, sin que ello tuviera la menor noticia (ni por supuesto hubiere sido oído al respecto) el Ayuntamiento hasta el 16 de junio del mismo año, al serle notificado dicho Auto. </w:t>
      </w:r>
    </w:p>
    <w:p w:rsidR="00256EE9" w:rsidRDefault="00256EE9" w:rsidP="00256EE9">
      <w:pPr>
        <w:pStyle w:val="TextoNormal"/>
      </w:pPr>
      <w:r>
        <w:t xml:space="preserve">Por ello no pudo intervenir en el procedimiento antes de que hubiera concluido. </w:t>
      </w:r>
    </w:p>
    <w:p w:rsidR="00256EE9" w:rsidRDefault="00256EE9" w:rsidP="00256EE9">
      <w:pPr>
        <w:pStyle w:val="TextoNormal"/>
      </w:pPr>
      <w:r>
        <w:lastRenderedPageBreak/>
        <w:t xml:space="preserve">d) El Ayuntamiento interpuso contra dicha resolución recurso de súplica, manifestando y fundamentando la indefensión de que había sido objeto, siendo desestimado el recurso por resolución judicial de 27 de julio. </w:t>
      </w:r>
    </w:p>
    <w:p w:rsidR="00256EE9" w:rsidRDefault="00256EE9" w:rsidP="00256EE9">
      <w:pPr>
        <w:pStyle w:val="TextoNormal"/>
      </w:pPr>
      <w:r>
        <w:t>e) Contra dicha resolución interpuso el Ayuntamiento recurso de apelación, que no le fue admitido por providencia de 7 de octubre de 1984, de conformidad con el art. 94 de la Ley de la Jurisdicción.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cuanto a la fundamentación jurídica de su pretensión, dejando aparte otras consideraciones que se formulan en la demanda acerca de la cuestión objeto del recurso contencioso, el Ayuntamiento sostiene que se ha producido su indefensión al no haber podido intervenir en la sustanciación de la pieza separada de suspensión previamente a la resolución recaída en la misma. </w:t>
      </w:r>
    </w:p>
    <w:p w:rsidR="00256EE9" w:rsidRDefault="00256EE9" w:rsidP="00256EE9">
      <w:pPr>
        <w:pStyle w:val="TextoNormal"/>
      </w:pPr>
      <w:r>
        <w:t xml:space="preserve">Para justificar esta alegación, el Ayuntamiento recuerda que el Auto de suspensión se produce al día siguiente del emplazamiento, y que si en el mundo administrativo la audiencia del interesado es un principio de orden público, debe ser aplicado en todo caso. El Ayuntamiento ni fue ni pudo ser oído al decidir el Tribunal sobre la suspensión, por lo que se produce su indefensión: al establecer la Ley de la Jurisdicción que se dará traslado de la solicitud de suspensión al Abogado del Estado y a las partes que hubieran comparecido, no puede argumentarse que su cumplimiento literal es suficiente, pues no puede afirmarse que la Ley quiera que a espaldas de partes interesadas se lleven a cabo actuaciones que puedan afectar a sus derechos: si a alguien no debe dársele traslado será a aquel interesado que pudiendo comparecer no lo ha hecho. </w:t>
      </w:r>
    </w:p>
    <w:p w:rsidR="00256EE9" w:rsidRDefault="00256EE9" w:rsidP="00256EE9">
      <w:pPr>
        <w:pStyle w:val="TextoNormal"/>
      </w:pPr>
      <w:r>
        <w:t xml:space="preserve">Después de razonar la función que cumple el Abogado del Estado en el incidente de suspensión, que no es la de representar a la Administración, sino la de promotor o defensor del ordenamiento jurídico, el Ayuntamiento afirma que el principio de controversia no se ha cumplido en este caso, ya que ni siquiera se le ha dado oportunidad de defenderse, por lo que la interpretación literal del art. 123 de la Ley de la Jurisdicción -que ha sido la aplicada- vulnera el art. 24.1 de la Constitución. </w:t>
      </w:r>
    </w:p>
    <w:p w:rsidR="00256EE9" w:rsidRDefault="00256EE9" w:rsidP="00256EE9">
      <w:pPr>
        <w:pStyle w:val="TextoNormal"/>
      </w:pPr>
      <w:r>
        <w:t xml:space="preserve">Por último, el Ayuntamiento sostiene que lo que en ningún modo podrá argüirse es que ya ha sido oído al haber alegado contra la suspensión en vía de recurso, por lo que en nada cambiaría la situación con la retroacción de lo actuado al momento correspondiente. Y ello porque, en cualquier caso, la alegación municipal debe producirse con anterioridad a la suspensión y no una vez ya acordada, cuando la indefensión ya ha sido consumada. </w:t>
      </w:r>
    </w:p>
    <w:p w:rsidR="00256EE9" w:rsidRDefault="00256EE9" w:rsidP="00256EE9">
      <w:pPr>
        <w:pStyle w:val="TextoNormal"/>
      </w:pPr>
      <w:r>
        <w:t>La parte actora acompaña los tres Autos cuya nulidad solicita, razonándose en el de 27 de julio de 1984, que desestimó el recurso de súplica interpuesto contra el de 8 de junio, que la Sala cumplió estrictamente lo prevenido en el número segundo del art. 123 de la Ley de la Jurisdicción, «por lo que no puede alegarse indefensión por la Corporación Municipal recurrente, pues, con total abstracción de cualquier otra más progresiva interpretación del precepto cuestionado, lo cierto es que nuevamente examinadas las razones contenidas en la resolución, extemporáneamente ahora impugnada, permitirían al Tribunal, por el carácter provisional y reformable de dicha resolución, modificar(la) en el supuesto de no persistir en los mismos argumentos esgrimidos en el Auto de 8 de junio, determinante de la suspensión del Auto impugnado».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21 de noviembre de 1984, la Sección acordó otorgar un plazo de diez días al solicitante del amparo y al Ministerio Fiscal para que pudieran alegar lo que estimaren pertinente acerca de los posibles motivos de inadmisión: </w:t>
      </w:r>
    </w:p>
    <w:p w:rsidR="00256EE9" w:rsidRDefault="00256EE9" w:rsidP="00256EE9">
      <w:pPr>
        <w:pStyle w:val="TextoNormal"/>
      </w:pPr>
      <w:r>
        <w:lastRenderedPageBreak/>
        <w:t xml:space="preserve">a) No haberse agotado todos los recursos utilizables dentro de la vía judicial, de conformidad con lo dispuesto en el art. 50.1 b) de la Ley Orgánica del Tribunal Constitucional -LOTC-, en conexión con el 44.1 a) de la misma Ley. </w:t>
      </w:r>
    </w:p>
    <w:p w:rsidR="00256EE9" w:rsidRDefault="00256EE9" w:rsidP="00256EE9">
      <w:pPr>
        <w:pStyle w:val="TextoNormal"/>
      </w:pPr>
      <w:r>
        <w:t>b) Carecer la demanda manifiestamente de contenido que justifique la decisión por parte del Tribunal, según prevé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Tribunal Constitucional estima que procede declarar inadmisible el recurso por existir las dos causas enunciadas. En cuanto a la primera, entiende que frente a la providencia de 7 de octubre inadmitiendo la apelación procedía el recurso de queja, por lo que no se han agotado los medios de impugnación, tal y como exige el art. 44.1 c) de la LOTC: el Fiscal recuerda al respecto, el criterio reiterado del Tribunal acerca de la necesidad de recurrir en queja frente a las providencias o Autos que inadmitan el recurso de apelación en el procedimiento contencioso-administrativo, en virtud de la aplicación subsidiaria de la Ley de Enjuiciamiento Civil (arts. 398 a 400) contenida en la disposición adicional sexta de la Ley de la Jurisdicción. </w:t>
      </w:r>
    </w:p>
    <w:p w:rsidR="00256EE9" w:rsidRDefault="00256EE9" w:rsidP="00256EE9">
      <w:pPr>
        <w:pStyle w:val="TextoNormal"/>
      </w:pPr>
      <w:r>
        <w:t>En cuanto a la falta manifiesta de contenido, el Fiscal, sobre la base de lo dispuesto en el art. 63.1 de la Ley de la Jurisdicción, en conexión con los arts. 60 y 61 de la propia Ley, deduce que el Ayuntamiento hubo de estar emplazado con anterioridad y, si no compareció a tiempo, no tenía por qué ser oído.</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La representación del Ayuntamiento sostiene que no existe ninguna de las causas de inadmisión. </w:t>
      </w:r>
    </w:p>
    <w:p w:rsidR="00256EE9" w:rsidRDefault="00256EE9" w:rsidP="00256EE9">
      <w:pPr>
        <w:pStyle w:val="TextoNormal"/>
      </w:pPr>
      <w:r>
        <w:t xml:space="preserve">En cuanto al agotamiento de los recursos utilizables, estima que lo fueron al formular el de apelación, que, sin duda, no le fue admitido por entender la Sala de lo Contencioso que la causa versaba sobre la materia de personal, si bien la parte actora estimaba que la materia no era tanto de personal como de reorganización, duda que no creyó justificara un nuevo recurso de súplica, que en pura teoría cabría contra dicha providencia, pues tal recurso hubiera llevado a la misma conclusión, con la consiguiente dilatación de trámites, que no es compatible por esencia con la protección de derechos fundamentales. En este sentido, la actora aduce diversas resoluciones del Tribunal en orden a la interpretación del art. 44.1 a) de la LOTC, y, en especial, de la expresión «recursos utilizables», en el sentido de que son los recursos útiles para conseguir la revisión de la medida adoptada, siendo práctica del Tribunal la de no cerrar la vía de amparo mediante un enfoque excesivamente formalista. </w:t>
      </w:r>
    </w:p>
    <w:p w:rsidR="00256EE9" w:rsidRDefault="00256EE9" w:rsidP="00256EE9">
      <w:pPr>
        <w:pStyle w:val="TextoNormal"/>
      </w:pPr>
      <w:r>
        <w:t>Respecto a la segunda causa de inadmisión, el Ayuntamiento se refiere a la demanda para reiterar su posición en orden a la indefensión. Por otra parte, recuerda que la pretensión formulada es doble, por lo que, de acuerdo con el contenido del art. 55.1 de la LOTC relativo al posible contenido del fallo de la Sentencia, la no anulación -en su caso- de las resoluciones judiciales no dejaría sin contenido la demanda formulada en cuanto a la procedencia de que el Ayuntamiento hubiera sido oído con anterioridad a la resolución del incidente de suspensión.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existen las dos causas de inadmisión puestas de manifiesto en nuestra providencia de 21 de noviembre de 1984 (antecedente 4).</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La primera de ellas es la de ser la demanda defectuosa por no haberse cumplido el requisito de haber agotado todos los recursos utilizables dentro de la vía judicial [art. 50.1 b) en conexión con el 44.1 a) de la LOTC].</w:t>
      </w:r>
    </w:p>
    <w:p w:rsidR="00256EE9" w:rsidRDefault="00256EE9" w:rsidP="00256EE9">
      <w:pPr>
        <w:pStyle w:val="TextoNormal"/>
      </w:pPr>
      <w:r>
        <w:t>En relación con este punto se observa que la actuación llevada a cabo por la parte actora responde a la duda que ha tenido acerca de la calificación de la cuestión jurídica planteada.</w:t>
      </w:r>
    </w:p>
    <w:p w:rsidR="00256EE9" w:rsidRDefault="00256EE9" w:rsidP="00256EE9">
      <w:pPr>
        <w:pStyle w:val="TextoNormal"/>
      </w:pPr>
      <w:r>
        <w:t>En este sentido, debe señalarse que la actora solicita que declaremos la nulidad de la providencia de 7 de octubre de 1984 que se limitó a declarar inadmisible el recurso de apelación, y es lo cierto que frente a esta providencia no ha agotado los recursos judiciales utilizables -como reconoce la propia parte y el Ministerio Fiscal, aunque con tesis distintas-, por lo cual es claro que resulta inadmisible el recurso en cuanto a esta pretensión.</w:t>
      </w:r>
    </w:p>
    <w:p w:rsidR="00256EE9" w:rsidRDefault="00256EE9" w:rsidP="00256EE9">
      <w:pPr>
        <w:pStyle w:val="TextoNormal"/>
      </w:pPr>
      <w:r>
        <w:t>Esta causa de inadmisión no se extiende, sin embargo, al Auto de 8 de junio de 1984, y al de 27 de julio que viene a confirmarlo, cuya nulidad solicita la actora.  Pues, en relación al primero de ellos, se acepta por la Sección la calificación de la cuestión debatida como incluible en la materia de personal, y puede también entenderse por ello que se han agotado los recursos utilizables al formular el de súplica, resuelto por el Auto de 27 de julio de 1984 (arts.  94 y 93 de la Ley de la Jurisdicción).</w:t>
      </w:r>
    </w:p>
    <w:p w:rsidR="00256EE9" w:rsidRDefault="00256EE9" w:rsidP="00256EE9">
      <w:pPr>
        <w:pStyle w:val="TextoNormal"/>
      </w:pPr>
    </w:p>
    <w:p w:rsidR="00256EE9" w:rsidRDefault="00256EE9" w:rsidP="00256EE9">
      <w:pPr>
        <w:pStyle w:val="TextoNormal"/>
      </w:pPr>
      <w:r w:rsidRPr="00256EE9">
        <w:rPr>
          <w:rStyle w:val="NumeroAFNegritaCaracter"/>
        </w:rPr>
        <w:t>3</w:t>
      </w:r>
      <w:r>
        <w:t>. La segunda causa de inadmisión es la prevista en el art. 50.2 b) de la LOTC, es decir la de carecer la demanda manifiestamente de contenido que justifique una decisión por parte del Tribunal Constitucional en forma de Sentencia, con el desarrollo procesal consiguiente.  A cuyo efecto hemos de examinar la vulneración del art.  24.1 de la Constitución alegada por la representación del actor, que afirma se ha producido su indefensión.</w:t>
      </w:r>
    </w:p>
    <w:p w:rsidR="00256EE9" w:rsidRDefault="00256EE9" w:rsidP="00256EE9">
      <w:pPr>
        <w:pStyle w:val="TextoNormal"/>
      </w:pPr>
      <w:r>
        <w:t>En relación con esta alegación, la Sección debe recordar la interpretación sentada por el Tribunal acerca del derecho a la tutela judicial efectiva establecido en el art. 24.1 de la Constitución, en el sentido de que comprende el de obtener una resolución de fondo fundada en Derecho, como contenido normal, con aplicación del principio de contradicción.</w:t>
      </w:r>
    </w:p>
    <w:p w:rsidR="00256EE9" w:rsidRDefault="00256EE9" w:rsidP="00256EE9">
      <w:pPr>
        <w:pStyle w:val="TextoNormal"/>
      </w:pPr>
      <w:r>
        <w:t>En el presente caso no se duda de que tal principio se aplique en el proceso que ha de conducir a la Sentencia de la Sala de lo Contencioso, pero se afirma que no se ha observado en el incidente de suspensión, en cuanto el Ayuntamiento no ha sido oído antes de acordarla.</w:t>
      </w:r>
    </w:p>
    <w:p w:rsidR="00256EE9" w:rsidRDefault="00256EE9" w:rsidP="00256EE9">
      <w:pPr>
        <w:pStyle w:val="TextoNormal"/>
      </w:pPr>
      <w:r>
        <w:t>Centrada así la cuestión, el problema que se plantea es el de determinar si se vulnera el art. 24 de la Constitución cuando se adopta una medida cautelar de suspensión sin oír previamente a la parte demandada, aun no comparecida.</w:t>
      </w:r>
    </w:p>
    <w:p w:rsidR="00256EE9" w:rsidRDefault="00256EE9" w:rsidP="00256EE9">
      <w:pPr>
        <w:pStyle w:val="TextoNormal"/>
      </w:pPr>
      <w:r>
        <w:t>Para resolver esta pregunta debe tenerse en cuenta que el derecho a la tutela judicial efectiva, de sus derechos e intereses legítimos, la ostentan tanto el demandante como el demandado, y que no va contra el contenido esencial del derecho fundamental reconocido por el art. 24.1 de la Constitución, que debe respetar el legislador de acuerdo con el art. 53.1 de la misma, el que éste regule la adopción de las medidas cautelares, máxime si tienen carácter provisional y reformable, que tiendan a evitar la imposibilidad o grave dificultad de que puedan quedar tutelados los derechos o intereses legítimos del actor como consecuencia de una posible actuación del demandado, que puede incluso producirse en el tiempo que media desde el emplazamiento a la personación del mismo.  Por ello, en este caso el equilibrio o composición de los derechos fundamentales en presencia puede llevarse a cabo por el legislador, y por el Juez o Tribunal en aplicación de la Ley, sin afectar al contenido esencial del derecho de defensa, mediante la adopción del acuerdo de suspensión, sin perjuicio de que la demandada, si no hubiera sido oída, pueda replantear la procedencia de la suspensión, como aquí ha sucedido, salvaguardándose a posteriori el prin</w:t>
      </w:r>
      <w:r>
        <w:lastRenderedPageBreak/>
        <w:t>cipio de contradicción y las posibilidades de defensa.  Conclusión que, a nuestro juicio, resulta clara desde la perspectiva constitucional.</w:t>
      </w:r>
    </w:p>
    <w:p w:rsidR="00256EE9" w:rsidRDefault="00256EE9" w:rsidP="00256EE9">
      <w:pPr>
        <w:pStyle w:val="TextoNormal"/>
      </w:pPr>
      <w:r>
        <w:t>Las consideraciones anteriores conducen a la conclusión de que sí existe la causa de inadmisión establecida en el art.  50.2 b) de la LOTC, es decir que la demanda carece manifiestamente de contenido que justifique una decisión por parte del Tribunal Constitucional en forma de Sentencia, con el desarrollo procesal consiguiente.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1" w:name="AUTO_1985_70"/>
      <w:r>
        <w:lastRenderedPageBreak/>
        <w:t>AUTO 70/1985, de 30 de enero de 1985</w:t>
      </w:r>
    </w:p>
    <w:bookmarkEnd w:id="131"/>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ECLI:ES:TC:1985:70A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762/1984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registrado en el Tribunal Constitucional el 2 de noviembre de 1984, don Luis Pulgar Arroyo, Procurador de los Tribunales de Madrid, interpuso recurso de amparo constitucional en nombre de sus poderdantes doña Aurora Urruticoechea Zabala, don Juan María Urruticoechea Zabala y doña Begoña Urruticoechea Zabala, contra el Auto del Juzgado de Primera Instancia núm. 4 de Bilbao de fecha 5 de octubre por el que desestimó la reposición planteada por los actores frente a la providencia de 20 de septiembre de 1984, en la que por el mismo Juez se consideraron inadmisibles, como impertinentes, algunas de las pruebas propuestas por los hoy recurrentes en amparo.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Se basa la demanda de amparo en la siguiente fundamentación de hecho: </w:t>
      </w:r>
    </w:p>
    <w:p w:rsidR="00256EE9" w:rsidRDefault="00256EE9" w:rsidP="00256EE9">
      <w:pPr>
        <w:pStyle w:val="TextoNormal"/>
      </w:pPr>
      <w:r>
        <w:t xml:space="preserve">a) Los recurrentes promovieron en su día juicio declarativo ordinario de mayor cuantía -aún en tramitación- pretendiendo la declaración de nulidad de un contrato de compraventa formalizado por don José Urruticoechea Gorostiola, padre de los solicitantes de amparo, y por la Asociación «Club Recreativo Avae». </w:t>
      </w:r>
    </w:p>
    <w:p w:rsidR="00256EE9" w:rsidRDefault="00256EE9" w:rsidP="00256EE9">
      <w:pPr>
        <w:pStyle w:val="TextoNormal"/>
      </w:pPr>
      <w:r>
        <w:t xml:space="preserve">b) Abierto el período de prueba en este proceso, los demandantes propusieron las de confesión judicial, documental, pericial y testifical. El Juzgado, mediante la citada providencia de 20 de septiembre, admitió la prueba propuesta, con excepción de la documental, en alguno de sus elementos, y de la testifical, en lo relativo a dos preguntas del interrogatorio por la parte. En ambos casos la inadmisión se fundamentó en el motivo de ser dichas pruebas impertinentes. </w:t>
      </w:r>
    </w:p>
    <w:p w:rsidR="00256EE9" w:rsidRDefault="00256EE9" w:rsidP="00256EE9">
      <w:pPr>
        <w:pStyle w:val="TextoNormal"/>
      </w:pPr>
      <w:r>
        <w:t xml:space="preserve">c) Por escrito de 25 de septiembre, la parte actora interpuso recurso de reposición contra la resolución anterior, argumentando la pertinencia de las pruebas inadmitidas. </w:t>
      </w:r>
    </w:p>
    <w:p w:rsidR="00256EE9" w:rsidRDefault="00256EE9" w:rsidP="00256EE9">
      <w:pPr>
        <w:pStyle w:val="TextoNormal"/>
      </w:pPr>
      <w:r>
        <w:t xml:space="preserve">d) En Auto de 5 de octubre, el Juez resolvió el recurso de reposición, revocando la providencia del 20 de septiembre anterior sólo en lo referente a una de las preguntas del interrogatorio propuesto y confirmándola en lo demás. En el Auto recurrido en amparo, el Juzgador motivó el mantenimiento de su anterior decisión de inadmisión mediante fundamentaciones que a juicio de los recurrentes diferían de las expuestas en la providencia de 20 de septiembre. Si entonces se afirmó el carácter «impertinente» de algunas de las pruebas propuestas, ahora el Juzgado hace saber a la parte que una de las pruebas documentales definitivamente inadmitidas resulta carente de «finalidad alguna», no siendo tampoco </w:t>
      </w:r>
      <w:r>
        <w:lastRenderedPageBreak/>
        <w:t>aceptable la otra (igualmente documental) por «no concretarse los extremos sobre los que debe recaer».</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fundamentación en Derecho de la demanda puede sintetizarse del modo siguiente: </w:t>
      </w:r>
    </w:p>
    <w:p w:rsidR="00256EE9" w:rsidRDefault="00256EE9" w:rsidP="00256EE9">
      <w:pPr>
        <w:pStyle w:val="TextoNormal"/>
      </w:pPr>
      <w:r>
        <w:t xml:space="preserve">a) Entiende la parte actora que el Auto recurrido en amparo le deparó «indefensión» (art. 24.1 de la Constitución) y ello -sostiene- porque en dicha resolución el Juez confirmó la inadmisión de ciertas pruebas apreciando motivos distintos a los expuestos en su momento al dictarse la providencia de 20 de septiembre. </w:t>
      </w:r>
    </w:p>
    <w:p w:rsidR="00256EE9" w:rsidRDefault="00256EE9" w:rsidP="00256EE9">
      <w:pPr>
        <w:pStyle w:val="TextoNormal"/>
      </w:pPr>
      <w:r>
        <w:t xml:space="preserve">b) Como quiera -se dice- que cualquier resolución judicial ha de ser motivada, ha de entenderse que la fundamentación de la citada providencia de 20 de septiembre, al referirse a la «impertinencia» de las pruebas inadmitidas, estaba empleando esta expresión no en el sentido de una «apelación genérica e indeterminada a cualquier motivo posible de inadmisión», sino «en un significado concreto» que -dice el actor- es el que se deduce del art. 565 de la Ley de Enjuiciamiento Civil (L. E. C.): pruebas impertinentes habrían de ser las que «no se refieren a los hechos alegados por las partes ni a las cuestiones que se ventilan». </w:t>
      </w:r>
    </w:p>
    <w:p w:rsidR="00256EE9" w:rsidRDefault="00256EE9" w:rsidP="00256EE9">
      <w:pPr>
        <w:pStyle w:val="TextoNormal"/>
      </w:pPr>
      <w:r>
        <w:t xml:space="preserve">c) De ello se seguiría que, afirmada una causa de inadmisión («impertinencia», en el presente caso), no podría ya el juzgador, en la resolución del recurso de reposición, identificar otras posibles razones distintas para la inadmisión, porque en la providencia inicial se habría establecido negativamente la pulcritud procesal de las pruebas por cualquier otro motivo diferente de los inicialmente constatados. </w:t>
      </w:r>
    </w:p>
    <w:p w:rsidR="00256EE9" w:rsidRDefault="00256EE9" w:rsidP="00256EE9">
      <w:pPr>
        <w:pStyle w:val="TextoNormal"/>
      </w:pPr>
      <w:r>
        <w:t xml:space="preserve">d) Sin embargo, a juicio de los recurrentes, el Auto impugnado no se atuvo a tal regla de «congruencia», sino que innovó su fundamentación inicial, invocando causas de «inutilidad» o de «defecto en el modo de proposición» para decidir la inadmisión definitiva de algunas de las pruebas solicitadas. Dice la parte actora que un tal obrar del juzgador le ocasionó «indefensión», y ello de «dos maneras»: de modo «mediato o lejano», porque se le habría privado de instrumentos probatorios necesarios para el éxito de sus pretensiones; de modo «inmediato o próximo», porque el Juzgado, al separarse del criterio esgrimido en su anterior providencia, habría dejado sin contenido el derecho de la parte recurrente a utilizar el recurso ordinario previsto en el art. 567.2 de la L. E. C. (reposición), se entiende que frente a los «nuevos motivos» ahora constatados por el Juez. </w:t>
      </w:r>
    </w:p>
    <w:p w:rsidR="00256EE9" w:rsidRDefault="00256EE9" w:rsidP="00256EE9">
      <w:pPr>
        <w:pStyle w:val="TextoNormal"/>
      </w:pPr>
      <w:r>
        <w:t xml:space="preserve">Tal «indefensión» -se añade- lo sería «sin perjuicio de la posibilidad puramente eventual de que, en su día, en la segunda instancia del proceso, pueda reproducirse nuestra petición». </w:t>
      </w:r>
    </w:p>
    <w:p w:rsidR="00256EE9" w:rsidRDefault="00256EE9" w:rsidP="00256EE9">
      <w:pPr>
        <w:pStyle w:val="TextoNormal"/>
      </w:pPr>
      <w:r>
        <w:t>e) En el «suplico» de la demanda se solicita del Tribunal declare la nulidad parcial del Auto de 5 de octubre de 1984 en cuanto confirma la providencia de 20 de septiembre respecto de la declaración de inadmisibilidad de determinadas pruebas documentales propuestas, reconozca el derecho de los recurrentes a que «no se les produzca indefensión» y orden.e al Juzgado de Primera Instancia núm. 4 de Bilbao dictar nueva resolución en la que se declare la admisibilidad o inadmisibilidad de las pruebas controvertidas «desde el exclusivo criterio de su posible pertinencia o impertinencia».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por providencia de 5 de diciembre de 1984, acordó poner de manifiesto la posible existencia de las causas de inadmisión reguladas: primero por el art. 50.1 b) en relación con el 44.1 a), de la Ley Orgánica del Tribunal Constitucional (LOTC); y segundo, por el art. 50.2 b ) de la misma, por cuanto la demanda pudiera carecer de contenido que justifique una decisión por parte de este Tribunal; concediendo (art. 50 de la LOTC) </w:t>
      </w:r>
      <w:r>
        <w:lastRenderedPageBreak/>
        <w:t>un plazo común de diez días al representante legal de la recurrente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La representación de los recurrentes cursó un escrito por mediación del Gobierno Civil de Vizcaya «al efecto de que quede constancia de la fecha de su presentación», invocando la doctrina que se desprende de la Sentencia 125/1983, de 26 de diciembre, de este Tribunal. </w:t>
      </w:r>
    </w:p>
    <w:p w:rsidR="00256EE9" w:rsidRDefault="00256EE9" w:rsidP="00256EE9">
      <w:pPr>
        <w:pStyle w:val="TextoNormal"/>
      </w:pPr>
      <w:r>
        <w:t xml:space="preserve">Por lo que respecta al primer motivo de inadmisibilidad señalado en nuestra providencia, entiende que el art. 44.1 a) de la LOTC, en relación con el 567 de la L. E. C., no requiere que la parte que se siente víctima de una violación de un derecho fundamental como consecuencia de una denegación de las pruebas por ella propuestas en el proceso deba necesariamente provocar una segunda instancia y agotar el trámite previsto en el art. 862.1 de la L. E. C., por cuanto el primero habla de «recursos» y el trámite prevenido en el último no lo es, procesalmente hablando, y porque el referido artículo de la Constitución indica que «en ningún caso» puede producirse indefensión, habiendo interpretado este Tribunal la expresión en el sentido de que ésta ha de apreciarse en cada instancia (Sentencia de 13 de julio de 1983 en recurso de amparo núm. 46/1981). </w:t>
      </w:r>
    </w:p>
    <w:p w:rsidR="00256EE9" w:rsidRDefault="00256EE9" w:rsidP="00256EE9">
      <w:pPr>
        <w:pStyle w:val="TextoNormal"/>
      </w:pPr>
      <w:r>
        <w:t>En cuanto al motivo de inadmisión del art. 50.2 b), se remite a lo ya alegado en la demanda, puntualizando que el tema de fondo del recurso es el de si la facultad que el art. 566 de la L. E. C. otorga a los Jueces para admitir o rechazar las pruebas propuestas por los litigantes corresponde al ámbito de una plena discrecionalidad o al estrictamente jurisdiccional, con sujeción a la Ley en su ejercicio. En el segundo supuesto, que según la parte recurrente resulta del contenido del art. 24 de la C. E., cualesquiera resolución al respecto debe ser motivada, y el Juez, al resolver el recurso, queda vinculado a las razones inicialmente dadas para la inadmisión de las pruebas correspondientes, sin poder entrar en causas o motivos distintos de los iniciales. Por todo lo cual se solicita la admisión del recurso.</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Fiscal ante el Tribunal Constitucional, refiriéndose al motivo de inadmisibilidad del art. 50.1 b), en relación con el 44.1 a), de la LOTC, considera que incurre efectivamente en él la demanda de amparo, dado el carácter subsidiario de éste. Existe para la parte interesada la posibilidad de reproducir en segunda instancia la pretensión denegada en el recurso de reposición, debiendo resolverse en tal caso, según el art. 859 de la L. </w:t>
      </w:r>
    </w:p>
    <w:p w:rsidR="00256EE9" w:rsidRDefault="00256EE9" w:rsidP="00256EE9">
      <w:pPr>
        <w:pStyle w:val="TextoNormal"/>
      </w:pPr>
      <w:r>
        <w:t xml:space="preserve">E. C., con carácter previo y por el trámite de los incidentes (precepto aquél que tiene un contenido de economía judicial y rapidez en la ejecución, ya que las pruebas denegadas pueden no afectar a la Sentencia de primera instancia); por lo que se debió utilizar la vía que la propia legislación ordinaria ofrece para remediar la denegación impugnada. Por lo demás, sólo podrá entenderse violado el derecho alegado cuando haya recaído Sentencia. </w:t>
      </w:r>
    </w:p>
    <w:p w:rsidR="00256EE9" w:rsidRDefault="00256EE9" w:rsidP="00256EE9">
      <w:pPr>
        <w:pStyle w:val="TextoNormal"/>
      </w:pPr>
      <w:r>
        <w:t xml:space="preserve">También incurre la demanda, según el Ministerio Fiscal, en el motivo de inadmisibilidad del art. 50.2 b). El alegado de indefensión del recurrente sólo valdría si, propuesta la prueba, hubiese sido denegada, y tal prueba fuese congruente e influyente para la decisión. En realidad, la demanda plantea un problema de semántica. El Juez ha fundamentado la denegación de cada una de las pruebas en particular de manera razonada, basándose en preceptos legales, y no cabe fundar el recurso en la diferencia entre la declaración de impertinente y la declaración de inútil, que la jurisprudencia del Tribunal Supremo no ha hecho de manera general y abstracta, resolviendo en cada caso. Los dos adjetivos significan lo mismo: no tener relación con la litis. Y de otra parte, no podemos saber si la denegación de tales pruebas ha producido indefensión hasta que exista Sentencia decisoria. </w:t>
      </w:r>
    </w:p>
    <w:p w:rsidR="00256EE9" w:rsidRDefault="00256EE9" w:rsidP="00256EE9">
      <w:pPr>
        <w:pStyle w:val="TextoNormal"/>
      </w:pPr>
      <w:r>
        <w:t>En conclusión, el Ministerio Fiscal interesa de este Tribunal que desestime la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parte actora afirma haber sufrido indefensión y concreta esta queja aduciendo que la violación de su derecho puede apreciarse tanto mediata como inmediatamente en el Auto impugnado.  Mediatamente, porque, inadmitiéndose unas pruebas, se le habría privado de un instrumento de defensa necesario para sostener su pretensión central.  E inmediatamente, porque, en todo caso, la innovación en los motivos de inadmisión de las pruebas que afirma haberse producido en la última resolución judicial respecto de la primera le situó en una posición de indefensión, puesto que no tuvo ya ocasión de discutir los nuevos motivos aducidos por el juzgador mediante el recurso de reposición previsto en el art.  567 de la L. E. C.  El precepto constitucional invocado es, pues, el art.  24.1 de la Norma fundamental, no el núm.  2 de la misma disposición -derecho a servirse de los medios de prueba pertinentes para la propia defensa-, toda vez que los recurrentes no traen directamente hasta este Tribunal una queja respecto de la calificación dada por el Juez a quo a los medios probatorios por ellos propuestos.</w:t>
      </w:r>
    </w:p>
    <w:p w:rsidR="00256EE9" w:rsidRDefault="00256EE9" w:rsidP="00256EE9">
      <w:pPr>
        <w:pStyle w:val="TextoNormal"/>
      </w:pPr>
      <w:r>
        <w:t>Esta afirmación de la demanda carece, a juicio de la Sección, de fundamento sólido, no presentándose como verosímiles las lesiones alegadas, ni teniendo tampoco relevancia constitucional el planteamiento que en aquélla se hace.</w:t>
      </w:r>
    </w:p>
    <w:p w:rsidR="00256EE9" w:rsidRDefault="00256EE9" w:rsidP="00256EE9">
      <w:pPr>
        <w:pStyle w:val="TextoNormal"/>
      </w:pPr>
      <w:r>
        <w:t>En lo que atañe a la llamada producción «mediata o lejana» de la indefensión por el Auto impugnado, no cabe afirmar, como hace el actor, que la inadmisión de ciertos medios de prueba de los por él propuestos ha determinado aquella situación al privársele de instrumentos necesarios para el éxito de sus pretensiones.  Existe una reiterada doctrina de este Tribunal Constitucional a tenor de la cual, para poder apreciar una posible indefensión a causa de la inadmisión de medios probatorios en el proceso, es necesario no ya sólo determinar la efectiva pertinencia de los mismos, sino también su relevancia para la decisión del litigio.  Siendo esto así, «no se puede aducir la vulneración de este derecho fundamental antes de que se haya dictado el fallo del Tribunal, pues sólo, si acaso, a la vista de ese fallo y de la totalidad del proceso, podrá apreciarse la merma indebida de las posibilidades de defensa», como se dice en el Auto 340/1982, de 10 de noviembre, de la Sala Segunda (fundamento jurídico 1); por ello la demanda en este punto, dirigida contra un acto de un procedimiento todavía en curso, no puede considerarse fundada.</w:t>
      </w:r>
    </w:p>
    <w:p w:rsidR="00256EE9" w:rsidRDefault="00256EE9" w:rsidP="00256EE9">
      <w:pPr>
        <w:pStyle w:val="TextoNormal"/>
      </w:pPr>
      <w:r>
        <w:t>Lo mismo cabe decir de la segunda queja de los recurrentes (a la que parecen dar mayor relevancia) relativa a la presunta conculcación «inmediata o próxima» de su derecho fundamental, consistente en que, al haber variado el Juez la motivación inicial de la inadmisión, quebrantó las garantías del proceso y provocó la indefensión de la parte, que no pudo entablar un nuevo recurso de reposición.  Sin embargo, ni resulta indiscutible que tal modificación de la causa de inadmisión se produjera efectivamente, ni caso de haberse producido así, cabría entenderla como irregular de acuerdo con los principios reguladores del proceso desde la perspectiva del art.  24 de la C. E.</w:t>
      </w:r>
    </w:p>
    <w:p w:rsidR="00256EE9" w:rsidRDefault="00256EE9" w:rsidP="00256EE9">
      <w:pPr>
        <w:pStyle w:val="TextoNormal"/>
      </w:pPr>
      <w:r>
        <w:t>El concepto de «impertinencia» invocado en la providencia del 20 de septiembre no necesariamente quedó alterado en el Auto de 5 de octubre siguiente, como cree el recurrente.  En esta última resolución lo que se hace es especificar el contenido genérico de aquella categoría, a la vista del recurso interpuesto por la parte.  Se dice, así, que una de las pruebas documentales propuestas carece de «finalidad alguna» en el ámbito del objeto del juicio (considerando segundo del Auto) y que, respecto de la otra, no se han concretado por la parte los extremos sobre los que deba recaer (considerando tercero). La primera motiva</w:t>
      </w:r>
      <w:r>
        <w:lastRenderedPageBreak/>
        <w:t>ción no queda prima facie fuera del concepto jurídico-procesal de «impertinencia» y lo mismo puede decirse a propósito de la segunda: la jurisprudencia del Tribunal Supremo (ya desde la Sentencia de 27 de diciembre de 1897) tiende a asimilar al vicio de «impertinencia» el caso de la prueba que «se propone en términos vagos que impiden calificarla y aun practicarla».</w:t>
      </w:r>
    </w:p>
    <w:p w:rsidR="00256EE9" w:rsidRDefault="00256EE9" w:rsidP="00256EE9">
      <w:pPr>
        <w:pStyle w:val="TextoNormal"/>
      </w:pPr>
      <w:r>
        <w:t>La conclusión a que se llega es que la demanda incurre en la causa de inadmisión del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Como recuerda el Ministerio Fiscal en su escrito de alegaciones, el recurso de amparo tiene un carácter subsidiario, lo que significa que quien considere violado un derecho fundamental de los reconocidos en el art.  14, la sección primera del capítulo II y el art. 30.2 de la Constitución (C. E.), debe agotar, antes de acudir a él, la posibilidad de que la supuesta violación sea remediada dentro de la vía judicial ordinaria.  Es precisamente lo que no han hecho en el presente caso los recurrentes, al no utilizar todos los remedios jurisdiccionales a su alcance para que su queja por la lesión que dicen haber sufrido fuera satisfecha antes de llegar a este Tribunal.  Como reconocen expresamente en su escrito de demanda, el art.  567 de la L. E. C. dispone que la desestimación por el Juez del recurso de reposición no impedirá a la parte interesada «reproducir la misma pretensión en la segunda instancia». Como ha declarado este Tribunal en el fundamento jurídico 4 de la Sentencia 50/1982, de 15 de julio, de la Sala Segunda, ya antes mencionada, el remedio frente a las presuntas conculcaciones del derecho, reconocido en el art.  24.1 de la C. E., de no sufrir indefensión, ha de buscarse, de principio, ante las «instancias siguientes», y, en su caso, en «la casación por vicios relativos a la prueba», y sólo una vez agotados todos los medios disponibles en la vía judicial tendrá sentido la solicitud de amparo ante el Tribunal Constitucional. En el supuesto que aquí nos ocupa, los recurrentes, de haber recaído una decisión adversa, podrían instar la reparación de la lesión de que afirman haber sido víctimas en la segunda instancia, logrando en ésta, en su caso, la posibilidad de emplear los medios probatorios inadmitidos por el Juez de Primera Instancia. Incide, pues, la demanda en la causa de inadmisión del art. 50.1 b) en relación con el 44.1 a), ambos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2" w:name="AUTO_1985_71"/>
      <w:r>
        <w:lastRenderedPageBreak/>
        <w:t>AUTO 71/1985, de 30 de enero de 1985</w:t>
      </w:r>
    </w:p>
    <w:bookmarkEnd w:id="132"/>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ECLI:ES:TC:1985:71A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Acordando la suspensión condicionada de la ejecución del acto que origina el recurso de amparo 774/1984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Manuel Salvado Giménez, representado por Procurador y asistido de Letrado, mediante escrito que tuvo su entrada el 7 de noviembre de 1984, interpuso recurso de amparo contra la Sentencia del Juzgado de Instrucción núm. 1 de Santiago de Compostela de 27 de septiembre de 1984, dictada en recurso de apelación 125/1984 contra la del Juzgado de Distrito núm. 3 de Santiago de Compostela en juicio de faltas núm. 555/1984. </w:t>
      </w:r>
    </w:p>
    <w:p w:rsidR="00256EE9" w:rsidRDefault="00256EE9" w:rsidP="00256EE9">
      <w:pPr>
        <w:pStyle w:val="TextoNormal"/>
      </w:pPr>
      <w:r>
        <w:t xml:space="preserve">Los hechos en que se funda la demanda o que se desprenden de la documentación acompañada son los siguientes: </w:t>
      </w:r>
    </w:p>
    <w:p w:rsidR="00256EE9" w:rsidRDefault="00256EE9" w:rsidP="00256EE9">
      <w:pPr>
        <w:pStyle w:val="TextoNormal"/>
      </w:pPr>
      <w:r>
        <w:t xml:space="preserve">a) El solicitante de amparo, cuando conducía un vehículo de su propiedad, atropelló a doña Lourdes Pintos Maroña, que sufrió lesiones graves y falleció el 21 de octubre de 1983 dejando viudo a don Secundino García Garea y un hijo de ocho años. </w:t>
      </w:r>
    </w:p>
    <w:p w:rsidR="00256EE9" w:rsidRDefault="00256EE9" w:rsidP="00256EE9">
      <w:pPr>
        <w:pStyle w:val="TextoNormal"/>
      </w:pPr>
      <w:r>
        <w:t xml:space="preserve">b) Tras unas diligencias previas, se siguió un juicio de faltas, en el cual el Ministerio Fiscal pidió que se condenara al denunciado, don Manuel Salvado Giménez, a una multa de 5.000 pesetas, privación del permiso de conducir por un mes, y a indemnizar al Hospital General de Galicia en 107.000 pesetas, al esposo de la fallecida en 152.500 pesetas de gastos de sepelio y a los herederos en 1.000.000 de pesetas. El esposo perjudicado pidió 326.744 pesetas por gastos hospitalarios y funerarios y 7.000.000 de pesetas por la pérdida de su esposa. El denunciado pidió su absolución. </w:t>
      </w:r>
    </w:p>
    <w:p w:rsidR="00256EE9" w:rsidRDefault="00256EE9" w:rsidP="00256EE9">
      <w:pPr>
        <w:pStyle w:val="TextoNormal"/>
      </w:pPr>
      <w:r>
        <w:t xml:space="preserve">c) El Juzgado de Distrito núm. 3 de Santiago de Compostela, por Sentencia de 18 de mayo de 1984, condenó a don Manuel Salvado Giménez, como autor de una falta de imprudencia simple prevista y penada en el art. 583.3 del Código Penal, a multa de 5.000 pesetas, reprensión privada, privación del permiso de conducir por un mes, pago de costas e indemnizar en las siguientes cantidades: 107.000 pesetas al Hospital General de Galicia; 126.500, al esposo por gastos funerarios, y 3.000.000 por mitad a esposo e hijo. Debiendo pagar las indemnizaciones la Compañía aseguradora, dentro de los límites del seguro obligatorio, y quedando el resto a cargo exclusivamente del condenado. </w:t>
      </w:r>
    </w:p>
    <w:p w:rsidR="00256EE9" w:rsidRDefault="00256EE9" w:rsidP="00256EE9">
      <w:pPr>
        <w:pStyle w:val="TextoNormal"/>
      </w:pPr>
      <w:r>
        <w:t xml:space="preserve">d) Este último interpuso recurso de apelación, en el que pidió la revocación de la Sentencia. El Fiscal del Distrito y el apelado, don Secundino García, que no interpuso recurso alguno, pidieron la confirmación de la Sentencia apelada. </w:t>
      </w:r>
    </w:p>
    <w:p w:rsidR="00256EE9" w:rsidRDefault="00256EE9" w:rsidP="00256EE9">
      <w:pPr>
        <w:pStyle w:val="TextoNormal"/>
      </w:pPr>
      <w:r>
        <w:t>e) El Juzgado de Instrucción núm. 1 de Santiago de Compostela, mediante la Sentencia ahora impugnada de 27 de septiembre de 1984, notificada el 15 de octubre, en la que con</w:t>
      </w:r>
      <w:r>
        <w:lastRenderedPageBreak/>
        <w:t xml:space="preserve">sideró «que la Sentencia recurrida enjuicia certeramente los hechos denunciados», emitió, en consideración al « Plus de culpabilidad del apelante», el siguiente fallo: </w:t>
      </w:r>
    </w:p>
    <w:p w:rsidR="00256EE9" w:rsidRDefault="00256EE9" w:rsidP="00256EE9">
      <w:pPr>
        <w:pStyle w:val="TextoNormal"/>
      </w:pPr>
      <w:r>
        <w:t>«Que desestimando el recurso de apelación interpuesto contra la Sentencia dictada por el Juez de Distrito núm. 3 de Santiago de Compostela en fecha 18 de mayo de 1984, debo de confirmar en parte dicha resolución, la que se revoca en el particular de condenar a Manuel Salvado Giménez, a la privación del carné de conducir por dos meses e indemnice en 4.000.000 de pesetas a Secundino García Garea y en un 1.000.000 de pesetas a su hijo, Marcos García Pintos, a cargo de la Compañía de Unión Ibérica de Seguros S. A., y en todo caso del condenado, con aplicación del art. 921 bis de la L.E.C. Se imponen al apelante las costas de la alzada.</w:t>
      </w:r>
    </w:p>
    <w:p w:rsidR="00256EE9" w:rsidRDefault="00256EE9" w:rsidP="00256EE9">
      <w:pPr>
        <w:pStyle w:val="TextoNormal"/>
      </w:pPr>
    </w:p>
    <w:p w:rsidR="00256EE9" w:rsidRDefault="00256EE9" w:rsidP="00256EE9">
      <w:pPr>
        <w:pStyle w:val="TextoNormal"/>
      </w:pPr>
      <w:r w:rsidRPr="00256EE9">
        <w:rPr>
          <w:rStyle w:val="NumeroAFNegritaCaracter"/>
        </w:rPr>
        <w:t>2</w:t>
      </w:r>
      <w:r>
        <w:t>. El solicitante de amparo entiende que el art. 24 de la C. E. y el artículo 902 de la Ley de Enjuiciamiento Criminal vedan la posibilidad de la reformatio in peius, citando jurisprudencia del Tribunal Supremo y del Tribunal Constitucional (Auto de la Sala Primera, Sección Segunda, de 23 de mayo de 1984, en recurso de amparo 871/1983, Sentencia de la Sala Primera de 3 de febrero de 1984 y de la Sala Segunda de 6 de febrero de 1984), entendiendo asimismo infringido dicho art. 24 de la C. E., por la indefensión a que se ha visto sometido al agravar la Sentencia por su impulso -sólo él recurrió-, y por la vulneración de las garantías inherentes al proceso al haberse empeorado la condición del recurrente como condición de su propia impugnación. Por todo ello solicita que se anulen la Sentencia dictada en apelación y las subsiguientes resoluciones dictadas como consecuencia de la misma, retrotrayéndose las actuaciones al momento inmediatamente anterior a la Sentencia impugnada, para que, o bien se confirme la Sentencia apelada, o se dicte otra conforme a lo interesado en la vista del recurso.</w:t>
      </w:r>
    </w:p>
    <w:p w:rsidR="00256EE9" w:rsidRDefault="00256EE9" w:rsidP="00256EE9">
      <w:pPr>
        <w:pStyle w:val="TextoNormal"/>
      </w:pPr>
    </w:p>
    <w:p w:rsidR="00256EE9" w:rsidRDefault="00256EE9" w:rsidP="00256EE9">
      <w:pPr>
        <w:pStyle w:val="TextoNormal"/>
      </w:pPr>
      <w:r w:rsidRPr="00256EE9">
        <w:rPr>
          <w:rStyle w:val="NumeroAFNegritaCaracter"/>
        </w:rPr>
        <w:t>3</w:t>
      </w:r>
      <w:r>
        <w:t>. Por nuevo escrito de 15 de noviembre, que ha tenido su entrada el 26 de noviembre de 1984, el Procurador del solicitante de amparo interesa la suspensión de la ejecución de la Sentencia impugnada, sin afianzamiento o, en su caso, con señalamiento de la fianza que se estime necesaria por la Sala, por entender que, de llevarse a cabo la ejecución de la misma, se hace realidad la vulneración del precepto constitucional, pues, de estimarse el recurso interpuesto, podría resultar inviable el recobro de cantidades percibidas por el perjudicado, que podría resultar insolvente.</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Tercera de este Tribunal, en su reunión del pasado dia 9 de enero acordó admitir a trámite el recurso de amparo de don Manuel Salvado Giménez y formar la pieza para sustanciar la petición de suspensión, en la que se ha oído al solicitante del amparo y al Ministerio Fiscal. </w:t>
      </w:r>
    </w:p>
    <w:p w:rsidR="00256EE9" w:rsidRDefault="00256EE9" w:rsidP="00256EE9">
      <w:pPr>
        <w:pStyle w:val="TextoNormal"/>
      </w:pPr>
      <w:r>
        <w:t xml:space="preserve">El solicitante del amparo ha insistido en su solicitud de suspensión, alegando el perjuicio que le puede causar la eventual insolvencia, a la hora de la restitución, si el amparo prospera, de las personas a quienes ahora tiene que hacer el pago. </w:t>
      </w:r>
    </w:p>
    <w:p w:rsidR="00256EE9" w:rsidRDefault="00256EE9" w:rsidP="00256EE9">
      <w:pPr>
        <w:pStyle w:val="TextoNormal"/>
      </w:pPr>
      <w:r>
        <w:t>El Fiscal, en este punto, acepta también la suspensión en cuanto a la pena de privación temporal de la licencia para conducir automóviles.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Del art.  56 de la Ley Orgánica de este Tribunal se deduce que por regla general la interposición del recurso de amparo no suspende la ejecución de los actos de los Pode</w:t>
      </w:r>
      <w:r>
        <w:lastRenderedPageBreak/>
        <w:t>res Públicos recurridos, ya que para que la suspensión de la ejecución del acto se pueda producir es necesario que dicha ejecución ocasione un perjuicio que haga perder al amparo su finalidad.  El actual solicitante del amparo fue condenado en los Juzgados de Santiago de Compostela a una pena de multa, a una temporal suspensión del permiso de conducir y al pago de unas indemnizaciones a los perjudicados por los hechos.  Aun cuando el Fiscal se muestra partidario de suspender la ejecución de la pena de privación del permiso de conducir automóviles, el solicitante del amparo en sus dos escritos de 15 de noviembre de 1984 y 19 de enero de 1985 hace consistir el eventual perjuicio que a él le acarrea la ejecución, y que frustraría la finalidad del recurso de amparo, en la dificultad de la devolución de las sumas pagadas, por la posible insolvencia de los acreedores una vez recibido el pago, lo cual significa que en estricto Derecho no hay razón, pues no se nos ofrece, para suspender la ejecución de la Sentencia en lo que se refiere a la pena de multa y a la privación temporal del permiso de conducir.  Y en lo que concierne al alegado perjuicio, resulta notorio que más que otra cosa es un simple temor sobre cuyo fundamento no es posible formular en el momento actual un juicio claro, pues el solicitante del amparo no nos proporciona un fundamento razonable de este temor de insolvencia de los acreedores de la indemnización.</w:t>
      </w:r>
    </w:p>
    <w:p w:rsidR="00256EE9" w:rsidRDefault="00256EE9" w:rsidP="00256EE9">
      <w:pPr>
        <w:pStyle w:val="TextoNormal"/>
      </w:pPr>
      <w:r>
        <w:t>Ello no obstante, juzgamos conveniente acceder a la repetida solicitud de suspensión, en cuanto eleva la indemnización a favor de don Secundino García Garea y su hijo Marcos García Pintos a 4.000.000 y 1.000.00, pero no en cuanto a las cantidades reconocidas en la Sentencia del Juzgado de Instrucción núm. 1 de Santiago de Compostela. Siempre que queden garantizados debidamente los intereses de los acreedores de la indemnización, a quienes tampoco es lícito dificultar la percepción de sus créditos.</w:t>
      </w:r>
    </w:p>
    <w:p w:rsidR="00256EE9" w:rsidRDefault="00256EE9" w:rsidP="00256EE9">
      <w:pPr>
        <w:pStyle w:val="TextoNormal"/>
      </w:pPr>
      <w:r>
        <w:t>Por todo ello debe condicionarse la ejecución de la suspensión a la consignación en la Caja General de Depósitos, a disposición de esta Sala, de las cantidades objeto de condena y un 20 por 100 más de ellas como garantía de intereses y costas; consignación que podría ser sustituida por un aval bancario prestado en las antedichas condiciones.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Sala acuerda la suspensión de la ejecución de la Sentencia dictada por el Juzgado de Instrucción núm.  1 de Santiago de Compostela con fecha 27 de septiembre de 1984 en su recurso de apelación número 125/1984, en cuanto eleva la</w:t>
      </w:r>
    </w:p>
    <w:p w:rsidR="00256EE9" w:rsidRDefault="00256EE9" w:rsidP="00256EE9">
      <w:pPr>
        <w:pStyle w:val="TextoNormal"/>
      </w:pPr>
      <w:r>
        <w:t>indemnización de 3.000.000 a 5.000.000 de pesetas, suspensión que condicionamos a la constitución de garantía en cuantía de 2.400.000 pesetas, que podrá hacerse en cualquiera de las formas expresadas anteriormente.</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3" w:name="AUTO_1985_72"/>
      <w:r>
        <w:lastRenderedPageBreak/>
        <w:t>AUTO 72/1985, de 30 de enero de 1985</w:t>
      </w:r>
    </w:p>
    <w:bookmarkEnd w:id="133"/>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ECLI:ES:TC:1985:72A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794/1984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día 17 de noviembre de 1984 quedó registrado en el Tribunal Constitucional un escrito mediante el cual don Julio Antonio Tinaquero Herrero, Procurador de los Tribunales de Madrid, pretendió interponer demanda de amparo constitucional en nombre de sus poderdantes, don José Luis Casillas y doña Dolores Flores Vicente, contra el Auto de la Audiencia Provincial de Avila de 8 de noviembre del mismo año. </w:t>
      </w:r>
    </w:p>
    <w:p w:rsidR="00256EE9" w:rsidRDefault="00256EE9" w:rsidP="00256EE9">
      <w:pPr>
        <w:pStyle w:val="TextoNormal"/>
      </w:pPr>
      <w:r>
        <w:t xml:space="preserve">La relación de los hechos y la fundamentación fáctica y jurídica en el escrito son casi del todo inexistentes. Lo único que incorporan a él los recurrentes es la identificación del acto impugnado y de la causa petendi, reducida ésta a la mera invocación del art. 10 de la Ley de Enjuiciamiento Civil (L.E.C.) y al alegato de que, por la errónea interpretación de este precepto, la resolución recurrida deparó la «indefensión», sin mayores precisiones, de los actores; cerrándose el escrito de demanda con la solicitud de que el Tribunal «se sirva tener a esta parte por opuesta al Auto de fecha 8 de noviembre, dictado por la Audiencia Provincial de Avila por no ajustarse el mismo a Derecho». </w:t>
      </w:r>
    </w:p>
    <w:p w:rsidR="00256EE9" w:rsidRDefault="00256EE9" w:rsidP="00256EE9">
      <w:pPr>
        <w:pStyle w:val="TextoNormal"/>
      </w:pPr>
      <w:r>
        <w:t xml:space="preserve">No obstante estas carencias del escrito -y de su enjuiciamiento a la luz de lo dispuesto en el art. 49.1 de la LOTC-, cabe, a partir del texto que se adjunta de la resolución impugnada, resumir del modo que sigue los presupuestos de hecho. </w:t>
      </w:r>
    </w:p>
    <w:p w:rsidR="00256EE9" w:rsidRDefault="00256EE9" w:rsidP="00256EE9">
      <w:pPr>
        <w:pStyle w:val="TextoNormal"/>
      </w:pPr>
      <w:r>
        <w:t xml:space="preserve">a) Los recurrentes interpusieron demanda de desahucio contra don. Macario Jiménez Martín ante el Juzgado de Distrito de Avila, recayendo Sentencia en este juicio el 18 de septiembre de 1984, por la que se declaró no haber lugar a la pretensión de los demandantes. </w:t>
      </w:r>
    </w:p>
    <w:p w:rsidR="00256EE9" w:rsidRDefault="00256EE9" w:rsidP="00256EE9">
      <w:pPr>
        <w:pStyle w:val="TextoNormal"/>
      </w:pPr>
      <w:r>
        <w:t xml:space="preserve">b) Contra esta Sentencia, el 21 del mismo mes de septiembre interpusieron los recurrentes recurso de apelación, firmado tan sólo por el Procurador de los Tribunales don Antonio Fernández Martín, y que fue admitido por el Juzgado en providencia del siguiente día, emplazándose a las partes para que compareciesen ante la Audiencia. </w:t>
      </w:r>
    </w:p>
    <w:p w:rsidR="00256EE9" w:rsidRDefault="00256EE9" w:rsidP="00256EE9">
      <w:pPr>
        <w:pStyle w:val="TextoNormal"/>
      </w:pPr>
      <w:r>
        <w:t>c) Producida la personación ante el Tribunal Superior, éste, por el mencionado Auto de 8 de noviembre, anuló la providencia anterior del Juzgado de Distrito, toda vez que, según se afirma en el considerando primero de este Auto, la interposición de la apelación resultó defectuosa, por carecer de firma de Letrado el escrito de la misma. Este vicio, pese a no haber sido advertido en su momento por el juzgador de instancia, impediría la tramitación del recurso y, por lo tanto conllevaría la firmeza de la Sentencia recurrida, de conformidad con los arts. 382 y 386, en relación con el 408, todos ellos de la L.E.C. Ello es así -se añade en el Auto recurrido- no obstante el haber sido subsanable en su día tal falta en la inter</w:t>
      </w:r>
      <w:r>
        <w:lastRenderedPageBreak/>
        <w:t xml:space="preserve">posición de la apelación, si así lo hubiese advertido el Juez de Distrito y siempre que hubiera habido lugar para la subsanación del vicio dentro del plazo improrrogable de cinco días para la interposición del recurso de apelación. </w:t>
      </w:r>
    </w:p>
    <w:p w:rsidR="00256EE9" w:rsidRDefault="00256EE9" w:rsidP="00256EE9">
      <w:pPr>
        <w:pStyle w:val="TextoNormal"/>
      </w:pPr>
      <w:r>
        <w:t>d) Según se dijo, la fundamentación jurídica de la demanda es prácticamente inexistente. Los recurrentes se limitan a aducir que, de acuerdo con el art. 10 de la L.E.C., «la apelación de Sentencias por desahucios no llevan preceptivo (sic) la firma de Letrado», razón por la cual «se oponen», ante este Tribunal, a una resolución que les deparó indefensión.</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de 12 de diciembre de 1984, acordó poner de manifiesto la posible existencia de la causa de inadmisibilidad que regula el art. 50.1 b), en relación con el 49.1, ambos de la Ley Orgánica de este Tribunal (LOTC), otorgando, en aplicación de lo dispuesto en el art. 50 de la indicada Ley Orgánica, un plazo común de diez días a los solicitantes de amparo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representación de los recurrentes, en escrito registrado el 29 de diciembre de 1984, tras indicar brevemente que presentaron demanda de juicio de desahucio por precario contra don Macario Jiménez Martín, que recayó Sentencia desestimatoria el 18 de septiembre, que se interpuso recurso de apelación de dicha Sentencia ante la Audiencia Provincial, y que con fecha 8 de noviembre ésta dictó Auto denegándola al amparo de los arts. 382 y 386 de la L.E.C., no teniendo en cuenta el art. 10 de la misma, reitera que su oposición al Auto antes citado se interpuso «por denegar la apelación de una Sentencia dictada sobre la demanda de desahucio en precario, admitida en ambos efectos por el Juzgado de Distrito correspondiente». </w:t>
      </w:r>
    </w:p>
    <w:p w:rsidR="00256EE9" w:rsidRDefault="00256EE9" w:rsidP="00256EE9">
      <w:pPr>
        <w:pStyle w:val="TextoNormal"/>
      </w:pPr>
      <w:r>
        <w:t>También en relación con el «suplico», reproducen los recurrentes la escueta formulación del primer escrito, por cuanto solicitan de este Tribunal «tener a esta parte por opuesta al Auto de fecha 8 de noviembre del presente año (1984) dictado por la Ilma. Audiencia Provincial de Avila, por no ajustarse dicho Auto a Derecho.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31 de diciembre ingresó en este Tribunal el escrito de alegaciones del Fiscal ante el Tribunal Constitucional. Refiriéndose a la posible causa de inadmisión del art. 50.1 b) en relación con el 49.1, de la LOTC, y reconociendo que la demanda incurría «en una brevedad que desconcierta en una primera lectura», estima el Ministerio Fiscal que, «dada la flexibilidad que debe comportar la interpretación de la concurrencia de los requisitos exigidos por la LOTC, a fin de no frustrar el conocimiento de posibles vulneraciones constitucionales, se tenga que concluir admitiendo la no concurrencia de esta causa de inadmisión por estar determinados los extremos exigidos por el Tribunal Constitucional». </w:t>
      </w:r>
    </w:p>
    <w:p w:rsidR="00256EE9" w:rsidRDefault="00256EE9" w:rsidP="00256EE9">
      <w:pPr>
        <w:pStyle w:val="TextoNormal"/>
      </w:pPr>
      <w:r>
        <w:t>En cambio, un estudio del contenido de la demanda lleva al Ministerio Fiscal a cuestionar su constitucionalidad, y la posible concurrencia del artículo 50.2 b) de la LOTC. En efecto, el recurrente funda la indefensión no en el posible exceso en cuanto al formalismo exigido por el Auto de la Audiencia, sino en que éste no admite el recurso por una exigencia que la Ley no exige, partiendo del error de base de que, según el art. 10 de la L.E. C., «la Ley no exige la firma de Letrado en las apelaciones del juicio de desahucio», siendo así que dicho artículo no exige la firma de Letrado en «los juicios verbales y los de desahucio atribuidos a los Juzgados de Distrito», limitando la no exigencia de Letrado a los juicios que se desarrollen en el Juzgado de Distrito y por estas causas, sin decir nada de las apelaciones ante la Audiencia. Las excepciones que señala este artículo tienen ca</w:t>
      </w:r>
      <w:r>
        <w:lastRenderedPageBreak/>
        <w:t xml:space="preserve">rácter restrictivo en cuanto a su interpretación, por lo que no es posible ampliarla a la interposición de la apelación ante la Audiencia. </w:t>
      </w:r>
    </w:p>
    <w:p w:rsidR="00256EE9" w:rsidRDefault="00256EE9" w:rsidP="00256EE9">
      <w:pPr>
        <w:pStyle w:val="TextoNormal"/>
      </w:pPr>
      <w:r>
        <w:t xml:space="preserve">La falta de intervención de Letrado pudo haber sido subsanada en el tiempo que se concede para la interposición y no fue realizada. Pues bien, siendo las causas de la inadmisión del recurso la falta de actividad del recurrente en cuanto a dicha subsanación y el error en la interpretación del precepto de la L. E.C., no hay, por parte de la Audiencia, que ha interpretado y aplicado el Derecho respecto a los requisitos exigidos en la Ley para la admisión del recurso, nada que pueda constituir violación de un precepto constitucional y competa al conocimiento de este Tribunal. </w:t>
      </w:r>
    </w:p>
    <w:p w:rsidR="00256EE9" w:rsidRDefault="00256EE9" w:rsidP="00256EE9">
      <w:pPr>
        <w:pStyle w:val="TextoNormal"/>
      </w:pPr>
      <w:r>
        <w:t xml:space="preserve">Termina el Ministerio Fiscal afirmando que en la documentación aportada no se acredita el poder que confiera la representación al Procurador ni la intervención de Letrado, por lo que, mientras no se subsane esta falta estaríamos en presencia de la causa de inadmisión del art. 50.1 b) en relación con el 81.1 de la LOTC. </w:t>
      </w:r>
    </w:p>
    <w:p w:rsidR="00256EE9" w:rsidRDefault="00256EE9" w:rsidP="00256EE9">
      <w:pPr>
        <w:pStyle w:val="TextoNormal"/>
      </w:pPr>
      <w:r>
        <w:t>En conclusión, solicita el Ministerio Fiscal la desestimación de la demanda de amparo por incurrir la misma en las dos causas de inadmisión señaladas.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Establece el art.  49.1 de la LOTC que el recurso de amparo se iniciará mediante demanda en la que se expondrán con claridad y concisión los hechos que la fundamenten, se citarán los preceptos constitucionales que se estimen infringidos y se fijará con precisión el amparo que se solicita para preservar o restablecer el derecho o libertad que se considere vulnerado. Tales requisitos son obvios, porque, de lo contrario, faltarían los elementos de juicio necesarios para el juicio de este Tribunal.  Ahora bien, es evidente que el escrito presentado el 17 de noviembre de 1984 por la representación de los recurrentes no los cumplía, faltando en particular la mención del precepto constitucional que se estimaba violado, sustituida por una simple referencia a una indefensión sufrida, sin otro razonamiento que una interpretación del art.  10 de la L.E.C., discordante de la de la Audiencia Provincial de Avila, ni otra súplica que la de «tener a esta parte por opuesta» al Auto de la mencionada Audiencia de 8 de noviembre de 1984, por no ajustarse a Derecho.  Estos defectos pudieron subsanarse en el trámite de alegaciones, pero no lo han sido, por cuanto la representación de los recurrentes, ampliando algo la exposición de los hechos, sigue sin concretar precepto constitucional supuestamente infringido y reiterando su petición de que se tenga a esta parte por opuesta al Auto en cuestión.</w:t>
      </w:r>
    </w:p>
    <w:p w:rsidR="00256EE9" w:rsidRDefault="00256EE9" w:rsidP="00256EE9">
      <w:pPr>
        <w:pStyle w:val="TextoNormal"/>
      </w:pPr>
      <w:r>
        <w:t>Si bien es cierto, como señala el Ministerio Fiscal, que la interpretación de la concurrencia de los requisitos exigidos por la LOTC ha de interpretarse con flexibilidad, no lo es menos que tal flexibilidad -que por lo demás forma parte de la práctica de este Tribunal- tiene límites que en este caso han sido rebasados, y es preciso comprobar que los escritos de los recurrentes adolecen de las carencias a que se refiere el art. 50.1 b) de la LOTC en relación con el 49.1, sin que proceda abrir nuevo trámite de alegaciones relativo a la posible existencia de la causa de inadmisión del art.  50.2 b), invocada por el Ministerio Fiscal.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lastRenderedPageBreak/>
        <w:t>Por lo expuesto, la Sección ha acordado la inadmisión del recurso.</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4" w:name="AUTO_1985_73"/>
      <w:r>
        <w:lastRenderedPageBreak/>
        <w:t>AUTO 73/1985, de 30 de enero de 1985</w:t>
      </w:r>
    </w:p>
    <w:bookmarkEnd w:id="134"/>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ECLI:ES:TC:1985:73A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796/1984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Tribunal Constitucional el 19 de noviembre de 1984, don Eduardo Sánchez Alvarez, Procurador de los Tribunales, interpone recurso de amparo constitucional contra Auto de la Sección Cuarta de la Audiencia Provincial de Valencia de 23 de octubre de 1984 en recurso de apelación interpuesto contra Sentencia del Juzgado de Instrucción núm. 7 de la misma ciudad. Pide que se declare la nulidad de la resolución impugnada y se reconozca el derecho del solicitante de amparo a utilizar la prueba testifical propuesta. </w:t>
      </w:r>
    </w:p>
    <w:p w:rsidR="00256EE9" w:rsidRDefault="00256EE9" w:rsidP="00256EE9">
      <w:pPr>
        <w:pStyle w:val="TextoNormal"/>
      </w:pPr>
      <w:r>
        <w:t xml:space="preserve">La demanda se fundamenta en los siguientes hechos: A) La entidad mercantil AVRESA se querelló contra el solicitan te de amparo por un delito de emisión de cheque en descubierto. Llegado el proceso a la fase de juicio oral, el acusado propuso la práctica de prueba testifical consistente en el examen del testigo don Vicente Cervera Sanahúja, representante legal de la Empresa querellante. Admitida la prueba por el Juzgado, se citó al testigo quien, sin embargo, no compareció ante el Juzgado el día y hora del juicio. Pese a la incomparecencia del testigo, el Juzgado no suspendió la celebración del juicio y dictó Sentencia en la que condenó al acusado a multa de 20.000 pesetas, accesorias y costas. B) Interpuesto recurso de apelación ante la Audiencia Provincial de Valencia se solicitó mediante otrosí, en el escrito de interposición del recurso, la práctica de la prueba testifical que no pudo llevarse a cabo en la primera instancia. En el escrito de instrucción de los Autos se volvió a solicitar la práctica de la prueba testifical antedicha, con lo que se dio cumplimiento al art. 792 de la L.E.Cr. C) La Audiencia Provincial de Valencia, mediante Auto de 23 de octubre de 1984 desestimó la petición formulada por considerar que no había lugar a practicar la prueba propuesta por no concurrir los requisitos del art. 792 de la L.E.Cr. para su admisión y práctica. La parte apelante solicitó de la Sala la revocación del Auto dictado, pero se ratificó en el criterio anterior por Auto de 6 de noviembre de 1984. Los fundamentos jurídicos de la demanda son que se ha violado el art. 24 de la Constitución que reconoce el derecho a servirse de todos los medios de prueba sin que en ningún caso pueda producirse indefensión. </w:t>
      </w:r>
    </w:p>
    <w:p w:rsidR="00256EE9" w:rsidRDefault="00256EE9" w:rsidP="00256EE9">
      <w:pPr>
        <w:pStyle w:val="TextoNormal"/>
      </w:pPr>
      <w:r>
        <w:t>La prueba propuesta se considera esencial para la absolución del acusado.</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9 de enero de 1985 la Sección Cuarta, en el trámite del art. 50, puso de manifiesto a la parte actora y al Ministerio Fiscal la posible concurrencia del mo</w:t>
      </w:r>
      <w:r>
        <w:lastRenderedPageBreak/>
        <w:t>tivo de inadmisibilidad del art. 50.2 b) de la LOTC y les concedió un plazo común para alegaciones. En las suyas el Ministerio Fiscal se centra en el examen del considerando único del Auto impugnado y deduce de él que el demandante de amparo ha incurrido en la causa de inadmisibilidad invocada en nuestra providencia. Por su parte el recurrente insiste en su petitum, se remite expresamente a su demanda, muestra su temor y extrañeza ante la providencia de la Sección, afirma que este recurso no tiene una finalidad lúdica o gratuita, de expansión o de ejercicio dialéctico, alude a una «reciente Sentencia de diciembre del pasado año» (sic) de esta misma Sala y, tras otras consideraciones genéricas sostiene que tiene derecho a usar del medio de prueba de que se trata porque «lo manda la Constitución, lo reconoce expresamente el Tribunal que la interpreta, lo permite la L.E.Cr., y lo solicitó esta parte en tiempo y forma y no pudo llevarse a la práctica por causa no imputable al acusado».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Del considerando único del Auto de 23 de octubre de 1984, de la Sección Cuarta de la Audiencia Provincial de Valencia se desprende que el testigo propuesto por el entonces acusado y ahora demandante de amparo había sido también propuesto nominalmente por el Ministerio Fiscal, quien ante su incomparecencia pidió que se le impusiera la multa de 250 pesetas y que se tuvieran en cuenta sus manifestaciones, ya que, como el hoy recurrente confirma en su demanda, el testigo frustrado ya había declarado durante la fase de instrucción del procedimiento. Sin embargo, en ese mismo momento del proceso, no hizo el allí acusado «protesta o alegación alguna», según consta en el mismo Auto que se impugna. Aunque en su demanda de amparo afirma que «no la renunció durante el juicio», esto es, que no renunció expresamente a la prueba testifical que había propuesto, y aunque ahora se queja de que ante la incomparecencia del testigo el Juez «no suspendió la celebración del juicio y dictó Sentencia», es lo cierto que allí y entonces el acusado pudo y debió alegar los perjuicios que le ocasionaría aquella incomparecencia e incluso pudo y debió pedir la suspensión del juicio oral según permite una interpretación conjunta de los arts.  746.3; 801 y 791.8 de la L.E.Cr.</w:t>
      </w:r>
    </w:p>
    <w:p w:rsidR="00256EE9" w:rsidRDefault="00256EE9" w:rsidP="00256EE9">
      <w:pPr>
        <w:pStyle w:val="TextoNormal"/>
      </w:pPr>
      <w:r>
        <w:t>Pero no hizo nada de esto por lo que la Audiencia fundadamente consideró que había consentido tal incomparecencia lo que implica que su reiteración en apelación respecto a la práctica de la prueba testifical de don Vicente Cervera Sanahúja ya no incide en ninguno de los casos del art. 792 de la misma Ley. La denegación de la admisión y práctica de tal prueba es razonada expresa y sólidamente, no pudiendo decirse que sea infundada y arbitraria, y, sobre todo, está basada en una omisión procesal de la que es responsable la misma parte que ahora pide amparo por no haber hecho uso oportunamente de las posibilidades que el ordenamiento procesal le ofrecía, posibilidades que al mismo tiempo eran cargas para poder pedir luego en apelación lo que el Auto impugnado le negó.  Así las cosas es manifiesto, y por ello concurre la causa del 50.2 b), que no se ha producido indefensión en el sentido del art. 24 de la C. E., pues la imposibilidad de la práctica de la prueba en apelación arranca de la conducta misma del hoy recurrente que omitió hacer en primera instancia lo que, hecho con la debida diligencia, hubiera evitado las consecuencias (fundadas en Derecho) de las que ahora se lamenta.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En atención a todo lo expuesto, la Sección acuerda la inadmisión del amparo.</w:t>
      </w:r>
    </w:p>
    <w:p w:rsidR="00256EE9" w:rsidRDefault="00256EE9" w:rsidP="00256EE9">
      <w:pPr>
        <w:pStyle w:val="TextoNormal"/>
      </w:pPr>
    </w:p>
    <w:p w:rsidR="00256EE9" w:rsidRDefault="00256EE9" w:rsidP="00256EE9">
      <w:pPr>
        <w:pStyle w:val="TextoNormal"/>
      </w:pPr>
      <w:r>
        <w:t>Madrid, a treinta de enero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5" w:name="AUTO_1985_74"/>
      <w:r>
        <w:lastRenderedPageBreak/>
        <w:t>AUTO 74/1985, de 30 de enero de 1985</w:t>
      </w:r>
    </w:p>
    <w:bookmarkEnd w:id="135"/>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ECLI:ES:TC:1985:74A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Denegando la suspensión de la ejecución del acto que origina el recurso de amparo 821/1984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6" w:name="AUTO_1985_75"/>
      <w:r>
        <w:lastRenderedPageBreak/>
        <w:t>AUTO 75/1985, de 6 de febrero de 1985</w:t>
      </w:r>
    </w:p>
    <w:bookmarkEnd w:id="136"/>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ECLI:ES:TC:1985:75A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Declarando la extinción del proceso por satisfacción extraprocesal de la pretensión en el recurso de amparo 130/1984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7" w:name="AUTO_1985_76"/>
      <w:r>
        <w:lastRenderedPageBreak/>
        <w:t>AUTO 76/1985, de 6 de febrero de 1985</w:t>
      </w:r>
    </w:p>
    <w:bookmarkEnd w:id="137"/>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ECLI:ES:TC:1985:76A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435/1984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presentado en el Juzgado de Guardia de esta capital el día 15 de junio de 1984, la Procuradora de los Tribunales doña Esther Rodríguez Pérez, en nombre y representación de don Víctor Pérez Urdiales, interpone recurso de amparo constitucional contra la resolución del Juzgado de Distrito núm. 35, y del Juzgado de Primera Instancia núm. 26, ambos de Madrid, por estimar que en dichas Sentencias se ha incurrido en vulneración de los derechos fundamentales a la igualdad ante la Ley (art. 14 de la C. E.) y a la tutela efectiva de los Jueces y Tribunales, evitando que se produzca indefensión (art. 24 de la C. E.), y se solicita el restablecimiento del recurrente en los citados derechos. </w:t>
      </w:r>
    </w:p>
    <w:p w:rsidR="00256EE9" w:rsidRDefault="00256EE9" w:rsidP="00256EE9">
      <w:pPr>
        <w:pStyle w:val="TextoNormal"/>
      </w:pPr>
      <w:r>
        <w:t>Por otrosí se solicita la suspensión de la ejecución de la Sentencia dictada en apelación por el Juzgado de Primera Instancia.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De las alegaciones y documentos que se acompañan a la demanda, se deduce, en síntesis, lo siguiente: a) La Compañía Inmobiliaria Darsa Madrileña, S. A., formuló demanda de juicio verbal de desahucio contra el ahora demandante, en cuyo procedimiento, el Juzgado de Distrito núm. 35 de Madrid, dictó Sentencia absolviendo a don Víctor Pérez y declarando no haber lugar al desahucio solicitado. b) Interpuesto recurso de apelación, el Juzgado de Primera Instancia núm. 26 de Madrid, falló con fecha 9 de mayo de 1984 en los siguientes términos: «Que estimando el recurso de apelación interpuesto... debo revocar y revoco la indicada resolución, y en su virtud, y estimando la demanda promovida... debo declarar y declaro haber lugar al desahucio condenando al demandado don Víctor Pérez Urdiales a que desaloje la vivienda arrendada sita en Paseo de Santa María de la Cabeza número 153, 4.ª... » Alega el demandante, como fundamento de la invocación del art. 14 de la C.E., la existencia de una discriminación por causa de la aplicación en este caso de lo establecido en el art. 30.3 de la Ley de Viviendas de Protección Oficial de 1976 y en el art. 138 de su Reglamento, así como por la interpretación de las cláusulas del contrato tripartito que está en base de la relación arrendaticia, mientras que otras personas, igualmente inquilinos, han conseguido mantenerse en sus viviendas por acuerdo con las empresas o por reconocimiento expreso en convenio colectivo. </w:t>
      </w:r>
    </w:p>
    <w:p w:rsidR="00256EE9" w:rsidRDefault="00256EE9" w:rsidP="00256EE9">
      <w:pPr>
        <w:pStyle w:val="TextoNormal"/>
      </w:pPr>
      <w:r>
        <w:t xml:space="preserve">La vulneración del art. 24.1 de la C. E. se aprecia a juicio del demandante, en el hecho de no haberse admitido la excepción de inadecuación del procedimiento por aplicación de la doctrina jurisprudencial de la cuestión compleja, ya que el procedimiento de desahucio </w:t>
      </w:r>
      <w:r>
        <w:lastRenderedPageBreak/>
        <w:t xml:space="preserve">no era el adecuado para solventar el caso en cuestión, debiéndose haber optado por el procedimiento declarativo. No se hizo así, ni se admitió en ninguna de las dos instancias la excepción propuesta, por lo que se ha producido indefensión para los derechos e intereses legítimos del ahora demandante. </w:t>
      </w:r>
    </w:p>
    <w:p w:rsidR="00256EE9" w:rsidRDefault="00256EE9" w:rsidP="00256EE9">
      <w:pPr>
        <w:pStyle w:val="TextoNormal"/>
      </w:pPr>
      <w:r>
        <w:t>En primera instancia fueron invocados, al parecer, por el recurrente, además los arts. 15, 39, 47, 49 y 50 de la Constitución.</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18 de julio de 1984, la Sección acordó tener por recibido el escrito de demanda, haciendo saber a la representación del recurrente la posible concurrencia del motivo de inadmisión consistente en carecer la demanda manifiestamente de contenido que justifique una decisión por parte del Tribunal Constitucional, y concedió un plazo común de diez días al Ministerio Fiscal y al solicitante del amparo para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En el plazo otorgado, el Ministerio Fiscal solicitó la inadmisión de la demanda por el motivo contemplado en el art. 50.2 b) de la Ley Orgánica del Tribunal Constitucional (LOTC), ya que no cabe apreciar vulneración alguna de los derechos constitucionales invocados en las resoluciones impugnadas. </w:t>
      </w:r>
    </w:p>
    <w:p w:rsidR="00256EE9" w:rsidRDefault="00256EE9" w:rsidP="00256EE9">
      <w:pPr>
        <w:pStyle w:val="TextoNormal"/>
      </w:pPr>
      <w:r>
        <w:t>Ni se ha vulnerado el art. 24 de la C. E. por sustanciarse el juicio de desahucio por el procedimiento del juicio verbal, ni la diferencia en el tratamiento de situaciones distintas, establecido por la Ley, supone per se violación del art. 14 de la C. E., siendo así que se trata en este caso de un arrendamiento nacido de la relación laboral, distinto al que surge de la libre voluntad de las partes.</w:t>
      </w:r>
    </w:p>
    <w:p w:rsidR="00256EE9" w:rsidRDefault="00256EE9" w:rsidP="00256EE9">
      <w:pPr>
        <w:pStyle w:val="TextoNormal"/>
      </w:pPr>
    </w:p>
    <w:p w:rsidR="00256EE9" w:rsidRDefault="00256EE9" w:rsidP="00256EE9">
      <w:pPr>
        <w:pStyle w:val="TextoNormal"/>
      </w:pPr>
      <w:r w:rsidRPr="00256EE9">
        <w:rPr>
          <w:rStyle w:val="NumeroAFNegritaCaracter"/>
        </w:rPr>
        <w:t>5</w:t>
      </w:r>
      <w:r>
        <w:t>. Por su parte, el recurrente insiste en sus referencias a la dudosa constitucionalidad de la legislación aplicada y a la inadecuación del procedimiento seguido en este caso, que no se acomoda a la doctrina jurisprudencial sobre la cuestión compleja, y solicita del Tribunal Constitucional se pronuncie sobre los temas planteados «ya que de lo contrario, tanto mi representado (el recurrente), como un amplio colectivo que tiene su mismo problema se quedarían en una situación de total indefensión y sin conocer los motivos reales por los que se les quiere privar de sus viviendas».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objeto de este Auto es determinar si en el presente recurso de amparo concurre el motivo de la inadmisión señalado en nuestra providencia de 18 de julio de 1984, consistente en la carencia manifiesta de contenido que justifique una decisión por parte de este Tribunal Constitucional [art. 50.2 b) de la LOTC], en el sentido de que no sea necesario el desarrollo procesal que conduzca a una resolución por Sentencia, por ser suficientes los datos conocidos en el trámite de inadmisión para su decisión por Auto.  El recurso se plantea con ocasión de un desahucio por cese de relación laboral, en aplicación de la legislación especial sobre construcción de viviendas a personal de empresas y del contrato de arrendamiento que de acuerdo con esa legislación celebró el recurrente. Promovido el desahucio, se opuso el recurrente en amparo invocando diversas excepciones procesales. El Juzgado de Distrito rechazó esas excepciones, pero no dio lugar al desahucio por entender que la Empresa propietaria obraba con abuso de Derecho. Apelada la Sentencia por la Empresa, el Juzgado de Primera Instancia revocó la Sentencia del Juzgado de Distrito, </w:t>
      </w:r>
      <w:r>
        <w:lastRenderedPageBreak/>
        <w:t>por estimar que no se había producido abuso de Derecho por parte de la Empresa, pero hizo también un examen de las excepciones procesales alegadas en la primera instancia para considerarlas inaceptables.  El solicitante del amparo entiende que ambas Sentencias, la del Juzgado de Distrito y la de apelación, vulneran el art.  14 y 24.1 de la Constitución.</w:t>
      </w:r>
    </w:p>
    <w:p w:rsidR="00256EE9" w:rsidRDefault="00256EE9" w:rsidP="00256EE9">
      <w:pPr>
        <w:pStyle w:val="TextoNormal"/>
      </w:pPr>
    </w:p>
    <w:p w:rsidR="00256EE9" w:rsidRDefault="00256EE9" w:rsidP="00256EE9">
      <w:pPr>
        <w:pStyle w:val="TextoNormal"/>
      </w:pPr>
      <w:r w:rsidRPr="00256EE9">
        <w:rPr>
          <w:rStyle w:val="NumeroAFNegritaCaracter"/>
        </w:rPr>
        <w:t>2</w:t>
      </w:r>
      <w:r>
        <w:t>. Las Sentencias impugnadas vulnerarían el art.  14 de la Constitución ya que por la legislación especial correspondiente se niega al recurrente el derecho a la prórroga del arrendamiento y a la subrogación arrendaticia, olvidando que tales derechos son esenciales e irrenunciables. La invocación del art. 14 hace pensar que el recurrente entiende que existe una discriminación con los arrendatarios sometidos al régimen de la Ley de Arrendamientos Urbanos.</w:t>
      </w:r>
    </w:p>
    <w:p w:rsidR="00256EE9" w:rsidRDefault="00256EE9" w:rsidP="00256EE9">
      <w:pPr>
        <w:pStyle w:val="TextoNormal"/>
      </w:pPr>
      <w:r>
        <w:t>Pero como acertadamente señala el Ministerio Fiscal la discriminación no existe cuando se dan supuestos distintos en las relaciones tratadas desigualmente que justifiquen esa desigualdad, y el arrendamiento que nace de la libre voluntad de las partes es distinto del que nace en contemplación de una relación laboral determinada.</w:t>
      </w:r>
    </w:p>
    <w:p w:rsidR="00256EE9" w:rsidRDefault="00256EE9" w:rsidP="00256EE9">
      <w:pPr>
        <w:pStyle w:val="TextoNormal"/>
      </w:pPr>
      <w:r>
        <w:t>Cuestión distinta sobre la que no procede que se pronuncie este Tribunal Constitucional, por no ser de su competencia, el que se busquen por los Poderes Públicos soluciones a los problemas humanos que plantean los desahucios por cese de la relación laboral.</w:t>
      </w:r>
    </w:p>
    <w:p w:rsidR="00256EE9" w:rsidRDefault="00256EE9" w:rsidP="00256EE9">
      <w:pPr>
        <w:pStyle w:val="TextoNormal"/>
      </w:pPr>
    </w:p>
    <w:p w:rsidR="00256EE9" w:rsidRDefault="00256EE9" w:rsidP="00256EE9">
      <w:pPr>
        <w:pStyle w:val="TextoNormal"/>
      </w:pPr>
      <w:r w:rsidRPr="00256EE9">
        <w:rPr>
          <w:rStyle w:val="NumeroAFNegritaCaracter"/>
        </w:rPr>
        <w:t>3</w:t>
      </w:r>
      <w:r>
        <w:t>. Respecto a la vulneración del art.  24.1 de la Constitución se habría producido, según el recurrente, porque tanto el Juzgado de Distrito como el de Primera Instancia desestimaron la excepción alegada por el recurrente de la llamada «cuestión compleja», basada en la doctrina jurisprudencial según la cual el carácter especial y sumario que tiene el juicio de desahucio lo harían inadecuado cuando las cuestiones planteadas sean de tal complejidad que su decisión no es posible dentro del reducido marco de ese procedimiento.  Pero es lo cierto que tanto la Sentencia del Juzgado de Distrito como la del Juzgado de Primera Instancia consideraron la excepción y la rechazaron razonadamente. No cabe, pues, hablar de indefensión como hace el recurrente, ya que éste alegó lo que estimó oportuno sobre la excepción por él opuesta y los Tribunales desestimaron razonadamente su pretensión.</w:t>
      </w:r>
    </w:p>
    <w:p w:rsidR="00256EE9" w:rsidRDefault="00256EE9" w:rsidP="00256EE9">
      <w:pPr>
        <w:pStyle w:val="TextoNormal"/>
      </w:pPr>
      <w:r>
        <w:t>Incluso es de señalar que en la apelación el Juzgado de Primera Instancia examinó la excepción de la cuestión compleja con otras alegadas por el recurrente ante el Juzgado de Distrito, a pesar de que en la vista de la segunda instancia el recurrente no los reprodujo, sino que se limitó a pedir lisa y llanamente la confirmación de la Sentencia recurrida.  El Juez entendió, sin embargo, que debía examinar esas excepciones por referirse a elementos fundamentales del proceso que son de orden público, susceptibles de ser apreciados de oficio.  En esas circunstancias, lo que en realidad se pide a este Tribunal Constitucional es que revise las Sentencias de los Tribunales por no ser su decisión conforme a las pretensiones del recurrente. Pero ya hemos dicho en reiteradísimas ocasiones que el recurso de amparo contra resoluciones judiciales no es una tercera instancia y que los derechos consagrados en el art. 24.1 de la Constitución son esencialmente el de acceso a la jurisdicción y el de obtener una decisión judicial fundada en Derecho, siempre que se hayan seguido los cauces procesales legalmente establecidos, con independencia de que esa decisión sea conforme o no a las pretensiones del recurrente.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4.  De todo lo expuesto resulta que concurre en el recurso planteado la causa de inadmisión señalada en nuestra providencia de 18 de julio de 1984, consistente en carecer la demanda manifiestamente de contenido que justifique una decisión (entiéndase por</w:t>
      </w:r>
    </w:p>
    <w:p w:rsidR="00256EE9" w:rsidRDefault="00256EE9" w:rsidP="00256EE9">
      <w:pPr>
        <w:pStyle w:val="TextoNormal"/>
      </w:pPr>
      <w:r>
        <w:t>Sentencia) por parte de este Tribunal Constitucional de acuerdo con el art. 50.2 b) de la LOTC, lo que también hace innecesario pronunciarse sobre la suspensión solicitada.</w:t>
      </w:r>
    </w:p>
    <w:p w:rsidR="00256EE9" w:rsidRDefault="00256EE9" w:rsidP="00256EE9">
      <w:pPr>
        <w:pStyle w:val="TextoNormal"/>
      </w:pPr>
      <w:r>
        <w:t>En consecuencia, la Sección acuerda la inadmisión del recurso, y el archivo de las actuaciones.</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8" w:name="AUTO_1985_77"/>
      <w:r>
        <w:lastRenderedPageBreak/>
        <w:t>AUTO 77/1985, de 6 de febrero de 1985</w:t>
      </w:r>
    </w:p>
    <w:bookmarkEnd w:id="138"/>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ECLI:ES:TC:1985:77A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640/1984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día 16 de agosto de 1984 tuvo entrada en el Registro General de este Tribunal un escrito de don José Antonio Veiga Ordóñez, en el que se dirige a este Tribunal y hace constar que formula amparo constitucional contra la decisión de la Ilma. Junta del Colegio de Abogados de Valladolid que le niega la habilitación para autodefenderse. </w:t>
      </w:r>
    </w:p>
    <w:p w:rsidR="00256EE9" w:rsidRDefault="00256EE9" w:rsidP="00256EE9">
      <w:pPr>
        <w:pStyle w:val="TextoNormal"/>
      </w:pPr>
      <w:r>
        <w:t xml:space="preserve">En el escrito presentado se refiere a continuación de su escrito de 14 de mayo dirigido a este Tribunal, por lo que solicita que se acumule este recurso de amparo al núm. 351/1984, de la Sección Primera de la Sala Primera, y, finalmente considera que han sido vulnerados los arts. </w:t>
      </w:r>
    </w:p>
    <w:p w:rsidR="00256EE9" w:rsidRDefault="00256EE9" w:rsidP="00256EE9">
      <w:pPr>
        <w:pStyle w:val="TextoNormal"/>
      </w:pPr>
      <w:r>
        <w:t xml:space="preserve">1.1, 9, 10, 14, 17.1, 24.1, 25.2, 35.1 y 53.1 de la C. E., provocándole absoluta indefensión. Por otrosí señala que en el escrito de 14 de mayo de 1984, que dio lugar al recurso de amparo 351/1984, se contenía testimonio notarial del título de Licenciado en Derecho por lo que asume su representación y defensa conforme al art. 81 de la Ley Orgánica 2/1979. </w:t>
      </w:r>
    </w:p>
    <w:p w:rsidR="00256EE9" w:rsidRDefault="00256EE9" w:rsidP="00256EE9">
      <w:pPr>
        <w:pStyle w:val="TextoNormal"/>
      </w:pPr>
      <w:r>
        <w:t>Al escrito presentado acompaña dos oficios de la Secretaría del Colegio de Abogados de Valladolid en los que, con fecha de 7 de octubre de 1983, se le concede la habilitación necesaria a fin de defenderse en las medidas provisionales seguidas en el Juzgado de Primera Instancia núm. 1 de Valladolid con el núm. 1.017-B-76 y, con fecha de 2 de noviembre de 1983, se le concede habilitación para defenderse a sí mismo en las diligencias previas número 1.368-C-82 que se instruyen en el Juzgado de Instrucción núm. 2 de Valladolid.</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Primera de la Sala Primera de este Tribunal en providencia de 3 de octubre de 1984, acordó hacer saber al recurrente y al Ministerio Fiscal el motivo de inadmisión previsto en el art. 50.2 b) de la Ley Orgánica del Tribunal Constitucional (LOTC). </w:t>
      </w:r>
    </w:p>
    <w:p w:rsidR="00256EE9" w:rsidRDefault="00256EE9" w:rsidP="00256EE9">
      <w:pPr>
        <w:pStyle w:val="TextoNormal"/>
      </w:pPr>
      <w:r>
        <w:t xml:space="preserve">A) Por escrito de 13 de octubre de 1984, la parte recurrente formula una serie de alegaciones en las que hace constar que un Licenciado en Derecho puede autodefenderse, por aplicación de los principios de equidad y buena fe, ya que de lo contrario se produce indefensión a esta parte. </w:t>
      </w:r>
    </w:p>
    <w:p w:rsidR="00256EE9" w:rsidRDefault="00256EE9" w:rsidP="00256EE9">
      <w:pPr>
        <w:pStyle w:val="TextoNormal"/>
      </w:pPr>
      <w:r>
        <w:t xml:space="preserve">B) El Ministerio Fiscal por escrito de 18 de octubre de 1984 formula, en síntesis, las siguientes alegaciones: </w:t>
      </w:r>
    </w:p>
    <w:p w:rsidR="00256EE9" w:rsidRDefault="00256EE9" w:rsidP="00256EE9">
      <w:pPr>
        <w:pStyle w:val="TextoNormal"/>
      </w:pPr>
      <w:r>
        <w:t xml:space="preserve">a) El recurrente en amparo, don José Antonio Veiga Ordóñez, había interpuesto otro recurso el 14 de mayo de 1984, que correspondió al número 351/1984, que fue resuelto por </w:t>
      </w:r>
      <w:r>
        <w:lastRenderedPageBreak/>
        <w:t xml:space="preserve">Auto de 26 de julio de 1984 de este Tribunal, también -como éste- de su Sala Primera, Sección Primera. </w:t>
      </w:r>
    </w:p>
    <w:p w:rsidR="00256EE9" w:rsidRDefault="00256EE9" w:rsidP="00256EE9">
      <w:pPr>
        <w:pStyle w:val="TextoNormal"/>
      </w:pPr>
      <w:r>
        <w:t xml:space="preserve">El mencionado Auto acordó declarar inadmisible el recurso entonces formulado por incidir en la causa de inadmisión prevista en el art. 50. 1 b) de la LOTC en conexión con el art. 44.1 a) del mismo cuerpo legal. </w:t>
      </w:r>
    </w:p>
    <w:p w:rsidR="00256EE9" w:rsidRDefault="00256EE9" w:rsidP="00256EE9">
      <w:pPr>
        <w:pStyle w:val="TextoNormal"/>
      </w:pPr>
      <w:r>
        <w:t xml:space="preserve">El que se formula ahora es parcialmente coincidente con aquél y a los efectos del motivo de inadmisión de carácter insubsanable del art. 50.2 b) de la LOTC, se contrae a impugnar «la decisión de la Ilma. Junta del Colegio de Abogados de Valladolid, de negar habilitaciones en lo sucesivo para autodefenderse». </w:t>
      </w:r>
    </w:p>
    <w:p w:rsidR="00256EE9" w:rsidRDefault="00256EE9" w:rsidP="00256EE9">
      <w:pPr>
        <w:pStyle w:val="TextoNormal"/>
      </w:pPr>
      <w:r>
        <w:t xml:space="preserve">b) El planteamiento del recurrente carece, obviamente, de dimensión constitucional y tendría que haberlo reconducido al marco que le corresponde de sus derechos como miembro de un Colegio Profesional, ejercitando en el mismo las impugnaciones pertinentes, y ulteriormente en vía jurisdiccional. </w:t>
      </w:r>
    </w:p>
    <w:p w:rsidR="00256EE9" w:rsidRDefault="00256EE9" w:rsidP="00256EE9">
      <w:pPr>
        <w:pStyle w:val="TextoNormal"/>
      </w:pPr>
      <w:r>
        <w:t xml:space="preserve">Como establece el Auto de este Tribunal de 12 de enero de 1983 (R.A.418/1982), el derecho a obtener la tutela efectiva de Jueces y Tribunales en el ejercicio de sus derechos e intereses legítimos faculta a todos los españoles para pedir a los órganos del Poder Judicial una decisión fundada en Derecho acerca de los que tienen por tales. Y añade que si los Abogados recurrentes se hubieran visto impedidos de ejercer ante los órganos de la Justicia Militar o ante cualquier órgano del Poder Judicial las funciones propias de su profesión podrían haber acudido ante los órganos judiciales competentes para buscar el remedio oportuno y si estos órganos se hubieran negado a resolver, eventualmente, también ante este Tribunal Constitucional hubieran podido recurrir. </w:t>
      </w:r>
    </w:p>
    <w:p w:rsidR="00256EE9" w:rsidRDefault="00256EE9" w:rsidP="00256EE9">
      <w:pPr>
        <w:pStyle w:val="TextoNormal"/>
      </w:pPr>
      <w:r>
        <w:t xml:space="preserve">El Fiscal interesa del Tribunal Constitucional dicte Auto declarando la inadmisibilidad del recurso interpuesto por carecer manifiestamente de contenido constitucional de conformidad con los arts. 86.1 y 50.2 b) ambos de su Ley Orgánica. </w:t>
      </w:r>
    </w:p>
    <w:p w:rsidR="00256EE9" w:rsidRDefault="00256EE9" w:rsidP="00256EE9">
      <w:pPr>
        <w:pStyle w:val="TextoNormal"/>
      </w:pPr>
      <w:r>
        <w:t>C) En nuevo escrito de 10 de diciembre de 1984 el recurrente reitera ante el Tribunal la pretensión de que se admita 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objeto de este recurso de amparo consiste en determinar si concurre en la demanda el motivo de inadmisión previsto en el art. 50.2 b ) de la LOTC al que se hacía referencia en la providencia de 3 de octubre de 1984 y a este respecto hay que indicar que la pretensión que formula el recurrente se dirige contra la negativa de habilitación acordada por la Junta del Colegio de Abogados de Valladolid.</w:t>
      </w:r>
    </w:p>
    <w:p w:rsidR="00256EE9" w:rsidRDefault="00256EE9" w:rsidP="00256EE9">
      <w:pPr>
        <w:pStyle w:val="TextoNormal"/>
      </w:pPr>
      <w:r>
        <w:t>El recurrente formula una serie de preceptos que quedan al margen del amparo constitucional (arts.  1.1, 9, 10, 35.1, y 53.1 de la C.E.)  y no razona jurídicamente la vulneración de los artículos comprendidos en el ámbito de este recurso (arts. 14, 17.1, 24.2 y 25.2), por lo que el recurso está comprendido en el motivo de inadmisión previsto en el art. 50.2 b) de la LOTC.</w:t>
      </w:r>
    </w:p>
    <w:p w:rsidR="00256EE9" w:rsidRDefault="00256EE9" w:rsidP="00256EE9">
      <w:pPr>
        <w:pStyle w:val="TextoNormal"/>
      </w:pPr>
      <w:r>
        <w:t>Tan sólo se infiere de la narración de hecho que efectúa el recurrente que la Junta de Gobierno del Colegio de Abogados de Valladolid le negó la habilitación para poder defenderse en juicio y tal negativa debió residenciarse en sede jurisdiccional ordinaria, ya que la habilitación para autodefensa está comprendida en las funciones propias de la profesión.</w:t>
      </w:r>
    </w:p>
    <w:p w:rsidR="00256EE9" w:rsidRDefault="00256EE9" w:rsidP="00256EE9">
      <w:pPr>
        <w:pStyle w:val="TextoNormal"/>
      </w:pPr>
      <w:r>
        <w:t>Este criterio ya fue tenido en cuenta por este Tribunal en el recurso de amparo núm. 351/1984, que fue formulado por el solicitante del amparo y resuelto por Auto de 26 de julio de 1984.</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acuerda declarar inadmisible el recurso de amparo, y ordenar el archivo de las actuaciones.</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39" w:name="AUTO_1985_78"/>
      <w:r>
        <w:lastRenderedPageBreak/>
        <w:t>AUTO 78/1985, de 6 de febrero de 1985</w:t>
      </w:r>
    </w:p>
    <w:bookmarkEnd w:id="139"/>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ECLI:ES:TC:1985:78A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678/1984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fecha 25 de septiembre de 1984, tuvo entrada en este Tribunal Constitucional (T.C.) escrito presentado por don Domingo Domínguez García en solicitud de amparo frente a resoluciones administrativas del Ministerio de Defensa.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recurrente basa su pretensión en los hechos siguientes: </w:t>
      </w:r>
    </w:p>
    <w:p w:rsidR="00256EE9" w:rsidRDefault="00256EE9" w:rsidP="00256EE9">
      <w:pPr>
        <w:pStyle w:val="TextoNormal"/>
      </w:pPr>
      <w:r>
        <w:t xml:space="preserve">a) El demandante de amparo, Teniente Coronel del Ejército del Aire, reclamó, en su día, el derecho a indemnización por los gastos que le había ocasionado el cumplimiento, cuando era Comandante, de un mes de arresto militar en plaza distinta de la de su residencia oficial, solicitud que le fue denegada por resolución del Mando de Personal del Ejército del Aire de 24 de febrero de 1982. Interpuesto recurso de reposición, éste fue desestimado, con fecha 31 de mayo siguiente, mediante resolución del General Jefe del Estado Mayor del Aire, por delegación del Ministro de Defensa. </w:t>
      </w:r>
    </w:p>
    <w:p w:rsidR="00256EE9" w:rsidRDefault="00256EE9" w:rsidP="00256EE9">
      <w:pPr>
        <w:pStyle w:val="TextoNormal"/>
      </w:pPr>
      <w:r>
        <w:t>b) Interpuesto por el señor Domínguez García recurso contencioso-administrativo, éste fue desestimado mediante Sentencia de la Sala de lo Contencioso-Administrativo de la Audiencia Nacional, dictada con fecha 27 de febrero de 1984. Frente a dicha Sentencia, se interpuso recurso de apelación, en el que, con fecha 10 de julio de 1984, la Sala Quinta del Tribunal Supremo, mediante Auto, declaró mal admitida la apelación y anuló la providencia de dicha Sala de la Audiencia Nacional por la que, inicialmente, se acordó su admisión.</w:t>
      </w:r>
    </w:p>
    <w:p w:rsidR="00256EE9" w:rsidRDefault="00256EE9" w:rsidP="00256EE9">
      <w:pPr>
        <w:pStyle w:val="TextoNormal"/>
      </w:pPr>
    </w:p>
    <w:p w:rsidR="00256EE9" w:rsidRDefault="00256EE9" w:rsidP="00256EE9">
      <w:pPr>
        <w:pStyle w:val="TextoNormal"/>
      </w:pPr>
      <w:r w:rsidRPr="00256EE9">
        <w:rPr>
          <w:rStyle w:val="NumeroAFNegritaCaracter"/>
        </w:rPr>
        <w:t>3</w:t>
      </w:r>
      <w:r>
        <w:t>. La demanda de amparo se fundamenta en una presunta indefensión del autor del escrito, al ser sancionado por actos que no le son imputables, contra lo dispuesto en los arts. 24.1 y 25.1 de la C. E. En consecuencia, solicita de este T.C. le sea reconocido el derecho a indemnización por servicios forzosos realizados fuera del lugar donde tiene su residencia oficial y la imposición de costas a la Administración demandada.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mediante providencia de 17 de octubre de 1984, hizo saber al demandante que, de conformidad con lo dispuesto en el art. 81 de la Ley Orgánica del Tribunal Constitucional (LOTC), es preciso comparecer en el recurso de amparo por medio de Procurador que le represente y asistido de Abogado que le defienda, a cuyo fin, y para subsanar tal defecto, en aplicación de lo dispuesto en el art. 85.2 de la LOTC, se le concedió un </w:t>
      </w:r>
      <w:r>
        <w:lastRenderedPageBreak/>
        <w:t>plazo de diez días, para que se personase ante este T.C. representado por Procurador y asistido de Letrado, lo que llevó a cabo, dentro del término conferido, mediante escrito formulado, en nombre y representación del demandante, por el Procurador de los Tribunales don Rafael Sánchez-Izquierdo Flores.</w:t>
      </w:r>
    </w:p>
    <w:p w:rsidR="00256EE9" w:rsidRDefault="00256EE9" w:rsidP="00256EE9">
      <w:pPr>
        <w:pStyle w:val="TextoNormal"/>
      </w:pPr>
    </w:p>
    <w:p w:rsidR="00256EE9" w:rsidRDefault="00256EE9" w:rsidP="00256EE9">
      <w:pPr>
        <w:pStyle w:val="TextoNormal"/>
      </w:pPr>
      <w:r w:rsidRPr="00256EE9">
        <w:rPr>
          <w:rStyle w:val="NumeroAFNegritaCaracter"/>
        </w:rPr>
        <w:t>5</w:t>
      </w:r>
      <w:r>
        <w:t>. La Sección, por providencia de 14 de noviembre de 1984, a tenor de lo dispuesto en el art. 50 de la LOTC concedió un plazo común de diez días al Ministerio Fiscal y al solicitante de amparo para que alegasen lo que estimaran conveniente en relación con la posible existencia de los siguientes motivos de inadmisión: a) falta de invocación formal del derecho constitucional vulnerado, tan pronto como una vez conocida la violación hubo lugar para ello [art. 44.1 c) de la LOTC], y, b) carecer la demanda manifiestamente de contenido que justifique una decisión por parte de este T.C. [art. 50.2 b)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El Ministerio Fiscal, en su escrito de alegaciones, aprecia la existencia de los defectos anteriormente señalados y, en consecuencia, interesa la inadmisión del recurso de amparo.</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Por la representación del recurrente, se reiteran, básicamente, las alegaciones y pretensión formuladas en el escrito inicial de amparo, señalando: </w:t>
      </w:r>
    </w:p>
    <w:p w:rsidR="00256EE9" w:rsidRDefault="00256EE9" w:rsidP="00256EE9">
      <w:pPr>
        <w:pStyle w:val="TextoNormal"/>
      </w:pPr>
      <w:r>
        <w:t>a) que los preceptos constitucionales vulnerados fueron invocados tan pronto como se produjo la indefensión, es decir, cuando le fue notificada la resolución del Tribunal Supremo inadmitiendo la apelación contra la Sentencia de la Audiencia Nacional, y, b) que una decisión por parte del T.C. se justifica, pues el cumplimiento de arresto por falta leve de un militar, realizado fuera del término municipal donde tiene su residencia, es un acto no sujeto a sanción y, por ello, a indemnización, que debe incluir la de traslado de toda la familia.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primero de los derechos fundamentales que invoca el demandante de amparo es el reconocido por el art. 24.1 de la C.E.  Es manifiesta la inexistencia de violación de este precepto, desde el momento en que el rechazo de su pretensión tuvo lugar, tanto en la vía administrativa como en la judicial, mediante argumentos fundados en Derecho, según los cuales no cabe incluir el cumplimiento de un arresto militar fuera del lugar de residencia, dentro de los supuestos legales o reglamentarios que obligan a la Administración a la prestación de algún tipo de indemnización. Nada se opuso, por otra parte, a que el demandante hiciera uso de los instrumentos procesales que el ordenamiento le reconoce para la defensa de sus derechos, e incluso ha de señalarse que el examen de su pretensión de fondo no fue eludida por la Sala de lo Contencioso-Administrativo de la Audiencia Nacional en su Sentencia, pese a la desviación procesal que este órgano judicial estimó, en primer término, respecto al planteamiento de dicha pretensión en vía jurisdiccional.</w:t>
      </w:r>
    </w:p>
    <w:p w:rsidR="00256EE9" w:rsidRDefault="00256EE9" w:rsidP="00256EE9">
      <w:pPr>
        <w:pStyle w:val="TextoNormal"/>
      </w:pPr>
      <w:r>
        <w:t>Por otra parte, ninguna relevancia tiene a los efectos del amparo que se solicita la nulidad de la Sala Quinta del Tribunal Supremo, en virtud de la cual se consideró, en términos asimismo fundados en Derecho, mal admitido el recurso de apelación, al ser calificado el recurso contencioso-administrativo interpuesto por el solicitante de amparo como un su</w:t>
      </w:r>
      <w:r>
        <w:lastRenderedPageBreak/>
        <w:t>puesto de los que no permiten la posibilidad de la apelación según la correspondiente legislación procesal.</w:t>
      </w:r>
    </w:p>
    <w:p w:rsidR="00256EE9" w:rsidRDefault="00256EE9" w:rsidP="00256EE9">
      <w:pPr>
        <w:pStyle w:val="TextoNormal"/>
      </w:pPr>
      <w:r>
        <w:t>No es posible, por consiguiente, apreciar la indefensión que se alega, pues ello implicaría un examen del juicio de legalidad en que las referidas resoluciones se fundamentaron, lo que, obviamente, permanece fuera de las facultades de este T.C. en la vía de amparo constitucional.</w:t>
      </w:r>
    </w:p>
    <w:p w:rsidR="00256EE9" w:rsidRDefault="00256EE9" w:rsidP="00256EE9">
      <w:pPr>
        <w:pStyle w:val="TextoNormal"/>
      </w:pPr>
    </w:p>
    <w:p w:rsidR="00256EE9" w:rsidRDefault="00256EE9" w:rsidP="00256EE9">
      <w:pPr>
        <w:pStyle w:val="TextoNormal"/>
      </w:pPr>
      <w:r w:rsidRPr="00256EE9">
        <w:rPr>
          <w:rStyle w:val="NumeroAFNegritaCaracter"/>
        </w:rPr>
        <w:t>2</w:t>
      </w:r>
      <w:r>
        <w:t>. Resulta, asimismo, manifiesto que la presunta violación del principio de legalidad penal que en dicha norma se recoge, no puede ser considerada por este T.C., al no haber sido objeto de las resoluciones administrativas que se impugnan, tampoco del proceso judicial previo al amparo, ni siquiera lo es ahora en el presente escrito de amparo, pues en todas estas instancias la pretensión del actor aparece circunscrita con toda evidencia a la exigencia de una indemnización administrativa como consecuencia de un arresto militar, y en modo alguno se cuestiona la legalidad de dicha sanción en el momento de producirse los hechos que la motivaron, sin que se adivine la relevancia que para la decisión del supuesto aquí planteado pueda tener el recurso contencioso-administrativo que, según el actor, tiene actualmente planteado en relación al art. 20.4 del Real Decreto 1344/1984, de 4 de julio, por el que expresamente se establece que «los traslados que obedezcan a sanción impuesta al funcionario no darán derecho a indemnización».</w:t>
      </w:r>
    </w:p>
    <w:p w:rsidR="00256EE9" w:rsidRDefault="00256EE9" w:rsidP="00256EE9">
      <w:pPr>
        <w:pStyle w:val="TextoNormal"/>
      </w:pPr>
    </w:p>
    <w:p w:rsidR="00256EE9" w:rsidRDefault="00256EE9" w:rsidP="00256EE9">
      <w:pPr>
        <w:pStyle w:val="TextoNormal"/>
      </w:pPr>
      <w:r w:rsidRPr="00256EE9">
        <w:rPr>
          <w:rStyle w:val="NumeroAFNegritaCaracter"/>
        </w:rPr>
        <w:t>3</w:t>
      </w:r>
      <w:r>
        <w:t>. En consecuencia, ha de afirmarse que es manifiesta la carencia de contenido en la demanda de amparo formulada que justifique una decisión por parte de este T.C., lo que determina que no sea posible la admisión a trámite de dicha demanda, según lo previsto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4</w:t>
      </w:r>
      <w:r>
        <w:t>. Finalmente, junto a la concurrencia del anterior motivo de inadmisión, ha de señalarse también que, en el supuesto que las vulneraciones de derechos que se invocan se considerasen producidas por la actuación judicial en el proceso a quo -consideración que no se deduce con claridad de las alegaciones formuladas por el demandante de amparo-, no se acredita que la invocación formal de tales derechos se hiciera cuando procedía; esto es, tras la primera resolución recaída en aquel proceso, que fue la Sentencia dictada por la Sala de lo Contencioso-Administrativo de la Audiencia Nacional, según es exigencia del art. 44.1 c) de la LOTC. Lo que, en su caso, sería, asimismo, determinante de la inadmisibilidad del recurso de amparo, según previene el art. 50.1 b) de la misma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Sección ha acordado declarar la inadmisibilidad del recurso de amparo formalizado por el Procurador de los Tribunales don Rafael Sánchez-Izquierdo Flores, en nombre y representación de don Domingo Domínguez García.</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0" w:name="AUTO_1985_79"/>
      <w:r>
        <w:lastRenderedPageBreak/>
        <w:t>AUTO 79/1985, de 6 de febrero de 1985</w:t>
      </w:r>
    </w:p>
    <w:bookmarkEnd w:id="140"/>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ECLI:ES:TC:1985:79A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689/1984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José Luis Pinto Maraboto, Procurador de los Tribunales, interpone en nombre y representación de don Tomás Gallego Izquierdo recurso de amparo constitucional contra la Sentencia de 18 de febrero de 1984, dictada por la Magistratura de Trabajo núm 5, de las de Madrid, en reclamación sobre cantidad con apoyo en los siguientes hechos: a) El actor, que presta servicios en la Residencia Sanitaria «Clínica del Trabajo», perteneciente a INSALUD, con la categoría de ATS, en propiedad desde el 20 de septiembre de 1982, formuló demanda ante la jurisdicción ordinaria del orden laboral reclamando el abono de ciertas cantidades por realización de horas extraordinarias, en razón de considerar discriminatorio el régimen de retribución del trabajo nocturno, en relación con el personal femenino de idéntica categoría. b) En fecha 18 de febrero de 1984, la Sentencia de la Magistratura de Trabajo núm. 5 de las de Madrid, considerando «que del resultado de la prueba practicada en el acto de juicio, analizada con arreglo a las Leyes de la sana crítica», no ha quedado «acreditado el número de horas extraordinarias que se dicen trabajadas, ni señalado el importe de las sanciones, ni las bases para calcularlas, teniendo en cuenta la modificación introducida en el art. 50 del Estatuto del Personal Sanitario y Auxiliar de Clínica realizado por Orden de 7 de junio de 1983», desestimó la demanda. La referenciada Sentencia advertía a las partes litigantes no haber lugar a recurso alguno. c) El 1 de mayo de 1984, el actor anunció su propósito de interponer recurso de suplicación, rechazado por providencia del Magistrado de instancia de 2 de mayo. Contra esta resolución, se interpuso recurso de reposición desestimado por Auto de 5 de abril de 1984. Promovido recurso de queja para ante el Tribunal Central de Trabajo, éste lo desestimó, fundamentando la inadmisión del recurso de suplicación que se intentaba interponer en razón de no haber cumplido ninguna de las partes con la exigencia procesal que el art. 76 de la LPL establece en orden a la procedencia de aquel recurso contra Sentencias dictadas en reclamación cuya cuantía litigiosa no alcance el mínimo.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recurrente denuncia la violación por la resolución impugnada, que es la pronunciada por el Juez de instancia, de los arts. 14 y 24.1 de la C.E. </w:t>
      </w:r>
    </w:p>
    <w:p w:rsidR="00256EE9" w:rsidRDefault="00256EE9" w:rsidP="00256EE9">
      <w:pPr>
        <w:pStyle w:val="TextoNormal"/>
      </w:pPr>
      <w:r>
        <w:t xml:space="preserve">La desestimación por la Sentencia recurrida de la reclamación de cantidad por atrasos en el abono de las horas extraordinarias constituye una violación del principio de igualdad. </w:t>
      </w:r>
    </w:p>
    <w:p w:rsidR="00256EE9" w:rsidRDefault="00256EE9" w:rsidP="00256EE9">
      <w:pPr>
        <w:pStyle w:val="TextoNormal"/>
      </w:pPr>
      <w:r>
        <w:lastRenderedPageBreak/>
        <w:t xml:space="preserve">Arguye el recurrente que la regulación de la jornada nocturna en régimen de turnicidad para los ATS masculinos es discriminatoria con relación a los ATS femeninos, desigualdad ésta que no puede restablecerse privando al personal femenino de los beneficios que hubieran adquirido en el pasado, sino atribuyendo tales beneficios al personal masculino que, realiza idéntico trabajo y actividad profesional, tal y conforme establecieron las Sentencias de este Tribunal de 21 de diciembre de 1982 y 15 de noviembre de 1983. Las horas extraordinarias nocturnas efectuadas por el recurrente en exceso sobre las veintisiete semanales, han de serle retribuídas con arreglo a los criterios fijados para los ATS femeninos con anterioridad a la reforma del art. 50 del Estatuto del Personal Auxiliar Sanitario y Titular de Clínica operada por la Orden ministerial de 7 de junio de 1983, que lleva a cabo una igualación «a la baja», rompiendo «los derechos económicos y las conquistas sociales conseguidas por los ATS masculinos». </w:t>
      </w:r>
    </w:p>
    <w:p w:rsidR="00256EE9" w:rsidRDefault="00256EE9" w:rsidP="00256EE9">
      <w:pPr>
        <w:pStyle w:val="TextoNormal"/>
      </w:pPr>
      <w:r>
        <w:t xml:space="preserve">La violación del art. 24.1 de la C. E. se habría producido, a su vez, por las siguientes razones: a) No haber apreciado debidamente el juzgador de instancia las pruebas documentales aportadas y no desvirtuadas de contrario. </w:t>
      </w:r>
    </w:p>
    <w:p w:rsidR="00256EE9" w:rsidRDefault="00256EE9" w:rsidP="00256EE9">
      <w:pPr>
        <w:pStyle w:val="TextoNormal"/>
      </w:pPr>
      <w:r>
        <w:t xml:space="preserve">En particular, una certificación incorporada a autos en la que se especificaban los años, meses y días en que se realizó guardias nocturnas y de las que se desprende que se trabajó por encima de las veintisiete horas semanales, que es el tope a partir del cual el Estatuto, antes de su reforma de 1983, configuraba la jornada como extraordinaria y establecía las oportunas compensaciones económicas en favor del personal femenino; así como horas de servicio, cuadrante de turnos y certificación expedida por el Administrador de la Residencia «Clínica del Trabajo», en la que se declaraba no haber sido abonadas como extraordinarias las horas nocturnas trabajadas. b) La desestimación de la demanda se fundamentó, entre otras razones, por «no señalarse el importe de las sanciones ni las bases para calcularlas», argumentos éstos incomprensibles, pues, de un lado, no se estaba ventilando en el proceso tema alguno de sanciones y, de otro, la base del cálculo de la hora extraordinaria figuraba especificada en un apartado de una nómina aportada como prueba. c) Finalmente, la reclamación fue desestimada teniendo en cuenta lo establecido en el art. 50 del Estatuto del Personal Auxiliar Sanitario y Titular de Clínica, según modificación operada por la Orden ministerial de 7 de junio de 1983, con lo que la Sentencia impugnada llevó a cabo una aplicación retroactiva de aquella norma reglamentaria que, por afectar a los derechos e intereses legítimos, no vulneró el art. 24.1 de la C.E. </w:t>
      </w:r>
    </w:p>
    <w:p w:rsidR="00256EE9" w:rsidRDefault="00256EE9" w:rsidP="00256EE9">
      <w:pPr>
        <w:pStyle w:val="TextoNormal"/>
      </w:pPr>
      <w:r>
        <w:t>En el «suplico», el escrito de demanda solicita de este Tribunal la nulidad de la resolución impugnada, restableciendo el derecho del actor a no ser discriminado «ni en el salario ni en el resto del contenido de su relación laboral» con respecto al personal femenino que realiza idéntico trabajo y posee idéntica cualificación, así como que se reconozca que no es razonable aplicar con efectos retroactivos un nuevo régimen retributivo, más restrictivo que el anterior, a situaciones de hecho producidas al amparo del antiguo régimen.</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14 de noviembre de 1984, la Sección, tras tener por interpuesto el recurso de amparo, acordó conceder un plazo común de diez días al Ministerio Fiscal y al solicitante de amparo para que dentro de dicho término aleguen lo pertinente en relación con la posible existencia de los siguientes motivos de inadmisión: a) haberse presentado la demanda fuera de plazo [ art. 50.1 a) de la Ley Orgánica del Tribunal Constitucional -LOTC-] y b) carecer la demanda manifiestamente de contenido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xml:space="preserve">. En su informe, el Ministerio Fiscal, después de exponer los antecedentes y fundamentos que concurren en la presente demanda, señala que, en sede judicial, el objeto del proceso fue la reclamación de las cantidades que, a juicio del demandante, le correspondían por haber realizado determinadas horas extraordinarias que le fueron abonadas en cuantía inferior a la debida. </w:t>
      </w:r>
    </w:p>
    <w:p w:rsidR="00256EE9" w:rsidRDefault="00256EE9" w:rsidP="00256EE9">
      <w:pPr>
        <w:pStyle w:val="TextoNormal"/>
      </w:pPr>
      <w:r>
        <w:t xml:space="preserve">El Ministerio Fiscal indica que el recurrente reconoce que las pruebas propuestas le fueron admitidas, pero discrepa de la valoración que de las mismas hizo el Juez, manifestando no apreciarse vulneración del art. 24.1 de la C.E., pues el hoy solicitante de amparo tuvo acceso al proceso, bajo el principio de contradicción, y obtuvo resolución fundada y no irrazonable que no le produjo indefensión. La valoración de la prueba en materia de legalidad ordinaria es competencia de los órganos judiciales. </w:t>
      </w:r>
    </w:p>
    <w:p w:rsidR="00256EE9" w:rsidRDefault="00256EE9" w:rsidP="00256EE9">
      <w:pPr>
        <w:pStyle w:val="TextoNormal"/>
      </w:pPr>
      <w:r>
        <w:t>En relación con el motivo de inadmisión consistente en haberse interpuesto la demanda fuera de plazo, el Ministerio Fiscal señala que, de considerarse que el intento de recurrir en suplicación, no siendo procedente, no obedeció al propósito de prolongar el debate judicialmente, el recurso ha de entenderse formalizado dentro del plazo legalmente previsto. En todo caso y sin necesidad de invocar la doctrina de este Tribunal respecto de la ineficacia de las actuaciones procesales indebidas, dicho motivo de inadmisibilidad puede resultar irrelevante por incurrir la demanda en falta de contenido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En su escrito de alegaciones, el recurrente comienza manifestando haber interpuesto la demanda dentro del plazo establecido legalmente, cuyo die a quo ha de computarse a partir del siguiente al de la notificación de la resolución «con la que se agota la vía judicial previa». Arguye que no cabe aducir extemporaneidad basándose en el criterio de que el agotamiento de todos los recursos utilizables se produjo con la Sentencia de 18 de febrero de 1984, pues, a pesar del resultado adverso, se estimó útil continuar el iter procesal, lo que no puede resultar perjudicial, como ocurriría si se entendiere que el amparo debió ser formalizado a los veinte días de la notificación de aquella Sentencia. En lo que atañe a la segunda causa de inadmisibilidad comunicada, se remite a lo manifestado en el escrito de demanda, suplicando al Tribunal, en razón de todo lo expuesto, decretar la admisión del recurso interpuesto.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primer aspecto que es preciso aclarar en el presente recurso es el relativo a la identificación de la decisión judicial impugnada, cuestión de notable interés a los efectos de comprobar el cumplimiento por la demanda de amparo de los requisitos enunciados en el art.  44 de la LOTC.  Este precepto, en efecto -así como el inmediatamente anterior- víncula el comienzo del cómputo del plazo para interponer el recurso de amparo con el de la notificación de la resolución que agota la vía judicial procedente o los recursos utilizables en legítima defensa de la pretensión ejercitada, exigencia ésta que, conforme ha señalado con reiteración este Tribunal, impide dilatar artificialmente las actuaciones procesales previas a la formalización del recurso de amparo constitucional.</w:t>
      </w:r>
    </w:p>
    <w:p w:rsidR="00256EE9" w:rsidRDefault="00256EE9" w:rsidP="00256EE9">
      <w:pPr>
        <w:pStyle w:val="TextoNormal"/>
      </w:pPr>
      <w:r>
        <w:t xml:space="preserve">En el presente caso, el recurrente dice impugnar la Sentencia dictada por la Magistratura del Trabajo núm. 5 de las de Madrid, de 18 de febrero de 1984, a la que acusa de haber producido de manera inmediata y directa la violación de derechos fundamentales.  Sin embargo, el término a quo para computar el plazo de interposición del recurso de amparo </w:t>
      </w:r>
      <w:r>
        <w:lastRenderedPageBreak/>
        <w:t>lo engarza con el de la notificación del Auto de 10 de julio de 1984, que se limita a desestimar el recurso de queja promovido contra anterior Auto de la Magistratura de instancia desestimatorio de recurso de reposición frente a providencia declarando no haber lugar a la admisión del anuncio de recurso de suplicación promovido contra la Sentencia que ahora se pretende combatir en amparo.</w:t>
      </w:r>
    </w:p>
    <w:p w:rsidR="00256EE9" w:rsidRDefault="00256EE9" w:rsidP="00256EE9">
      <w:pPr>
        <w:pStyle w:val="TextoNormal"/>
      </w:pPr>
      <w:r>
        <w:t>Una detenida consideración del itinerario procesal que ha precedido a la presente demanda de amparo constitucional fuerza a concluir que la misma se ha interpuesto fuera de plazo, sin que pueda entenderse cumplimentado el requisito establecido en el art. 44.2 de la LOTC por haberse intentado agotar una vía impugnatoria que, desde un principio, había sido advertida como inviable por el órgano de instancia con arreglo a los principios informadores de la ordenación de los recursos de suplicación, no siendo dable aplazar artificialmente el comienzo del plazo para promover recurso de amparo mediante el expeditivo procedimiento de abrir cauces procesales clausurados por una razonada interpretación por parte de los órganos judiciales de la legislación procesal aplicable.</w:t>
      </w:r>
    </w:p>
    <w:p w:rsidR="00256EE9" w:rsidRDefault="00256EE9" w:rsidP="00256EE9">
      <w:pPr>
        <w:pStyle w:val="TextoNormal"/>
      </w:pPr>
      <w:r>
        <w:t>En razón de lo expuesto, es evidente que la presente demanda incurre en la causa de inadmisión prevenida en el art. 50.1 a) de la LOTC, en relación con el art. 44.2 del mismo texto legislativo, precepto éste al que debe entenderse efectuada la referencia de nuestra providencia de 14 de noviembre de 1984.</w:t>
      </w:r>
    </w:p>
    <w:p w:rsidR="00256EE9" w:rsidRDefault="00256EE9" w:rsidP="00256EE9">
      <w:pPr>
        <w:pStyle w:val="TextoNormal"/>
      </w:pPr>
    </w:p>
    <w:p w:rsidR="00256EE9" w:rsidRDefault="00256EE9" w:rsidP="00256EE9">
      <w:pPr>
        <w:pStyle w:val="TextoNormal"/>
      </w:pPr>
      <w:r w:rsidRPr="00256EE9">
        <w:rPr>
          <w:rStyle w:val="NumeroAFNegritaCaracter"/>
        </w:rPr>
        <w:t>2</w:t>
      </w:r>
      <w:r>
        <w:t>. Pero es que incluso estimando razonable el comportamiento procesal del actor al intentar instrumentar el recurso de suplicación contra Sentencia de Magistratura, sustanciando en única y definitiva instancia reclamación de cantidad, no susceptible de impugnarse en razón de la cuantía litigiosa la demanda de amparo carece de contenido constitucional.</w:t>
      </w:r>
    </w:p>
    <w:p w:rsidR="00256EE9" w:rsidRDefault="00256EE9" w:rsidP="00256EE9">
      <w:pPr>
        <w:pStyle w:val="TextoNormal"/>
      </w:pPr>
      <w:r>
        <w:t>Elementales razones de orden sistemático aconsejan comenzar analizando la realidad de la alegada violación por la resolución combatida del art. 24.1 de la C.E., siendo oportuno recordar que la desestimación de la reclamación de cantidad vino fundamentada por no haber «quedado acreditado el número de horas extraordinarias que se dicen trabajadas, ni señalado el importe de las sanciones, ni las bases para calcularlas», resultando todo ello «de la prueba practicada en el acto del juicio, analizada con arreglo a las Leyes de la sana crítica».  Para el recurrente esta fundamentación lesiona el derecho a la tutela judicial, pues el Magistrado incurrió en una apreciación indebida de las pruebas documentales aportadas en autos.</w:t>
      </w:r>
    </w:p>
    <w:p w:rsidR="00256EE9" w:rsidRDefault="00256EE9" w:rsidP="00256EE9">
      <w:pPr>
        <w:pStyle w:val="TextoNormal"/>
      </w:pPr>
      <w:r>
        <w:t>Pero su tesis no puede en modo alguno compartirse.</w:t>
      </w:r>
    </w:p>
    <w:p w:rsidR="00256EE9" w:rsidRDefault="00256EE9" w:rsidP="00256EE9">
      <w:pPr>
        <w:pStyle w:val="TextoNormal"/>
      </w:pPr>
      <w:r>
        <w:t>En efecto, la valoración de la prueba corresponde al juzgador ordinario.</w:t>
      </w:r>
    </w:p>
    <w:p w:rsidR="00256EE9" w:rsidRDefault="00256EE9" w:rsidP="00256EE9">
      <w:pPr>
        <w:pStyle w:val="TextoNormal"/>
      </w:pPr>
      <w:r>
        <w:t>Pretender que por disconformidad con la valoración practicada, lleve a cabo este Tribunal Constitucional una nueva valoración conforme a las pretensiones del recurrente equivale a convertir la jurisdicción constitucional en una tercera instancia lo que ni es ni debe ser, según hemos dicho en repetidísimas ocasiones.</w:t>
      </w:r>
    </w:p>
    <w:p w:rsidR="00256EE9" w:rsidRDefault="00256EE9" w:rsidP="00256EE9">
      <w:pPr>
        <w:pStyle w:val="TextoNormal"/>
      </w:pPr>
      <w:r>
        <w:t>Por lo demás, no mayor justificación tienen las dos restantes motivaciones que fundamentan la pretendida violación del art.  24.1 de la C. E.  En cuanto al empleo por el Juzgador de la expresión «sanciones», es un tema que carece de toda significación constitucional, no dañando el sentido global de la fundamentación que soporta la desestimación de la demanda planteada por el actor. Y en lo que concierne a la presunta aplicación retroactiva por parte del Magistrado de la Orden ministerial de 7 de junio de 1983, la denuncia carece igualmente de conexión con el art.  24.1 de la C.E., pues se trata de un problema de mera legalidad, ajeno a la jurisdicción de este Tribunal.</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La falta de fundamentación de la presunta violación del art.  24. 1 de la C.E.  priva de soporte a la pretendida vulneración del art.  14 del Texto constitucional.  Al desestimarse la demanda laboral en razón de no haber quedado acreditada la realización del alegado y no probado trabajo extraordinario, no puede tampoco sostenerse que la Sentencia impugnada vulnere el derecho a la igualdad consagrado en el art.  14 de la Constitución cuya contravención requiere un tratamiento desigual en situaciones idénticas, lo que no concurre en el presente caso en el que no cabe ni tan siquiera formular un hipotético juicio comparativo por ausencia del obligado referente fáctico.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lo expuesto, la Sección acuerda declarar inadmisible el recurso, y archivar las actuaciones.</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1" w:name="AUTO_1985_80"/>
      <w:r>
        <w:lastRenderedPageBreak/>
        <w:t>AUTO 80/1985, de 6 de febrero de 1985</w:t>
      </w:r>
    </w:p>
    <w:bookmarkEnd w:id="141"/>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ECLI:ES:TC:1985:80A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732/1984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pasado día 24 de octubre quedó registrado en el Tribunal Constitucional un escrito mediante el que don Francisco Sánchez Sanz, Procurador de los Tribunales de Madrid, interpuso recurso de amparo en nombre de su poderdante, doña María del Carmen Ruiz de Elvira Crespo, contra la Sentencia de la Sala de lo Contencioso-Administrativo de la Audiencia Nacional de fecha 17 de febrero de 1983, dictada en recurso núm. 22.760, o, «en su caso, contra la inactividad de dicha Sala al no resolver la pretensión del hoy recurrente en amparo». </w:t>
      </w:r>
    </w:p>
    <w:p w:rsidR="00256EE9" w:rsidRDefault="00256EE9" w:rsidP="00256EE9">
      <w:pPr>
        <w:pStyle w:val="TextoNormal"/>
      </w:pPr>
      <w:r>
        <w:t xml:space="preserve">Se basa la demanda en los siguientes fundamentos de hecho: a) Con fecha 27 de octubre de 1980, la recurrente formuló reclamación formal ante el Ministro Adjunto al Presidente para la Administración Pública, a fin de que se le reconociera su derecho a ser integrada en el Cuerpo o plaza no escalafonada que le correspondiera como funcionario de carrera, con la consiguiente asignación del coeficiente multiplicador e índice de proporcionalidad que en atención a su titulación y funciones le correspondiera, respetándose así -se dice- el principio de analogía con otros cuerpos docentes a efectos de valoración del tiempo de servicios prestados y de trienios. Pese a que la actora no lo indica así en su demanda, del texto de la Sentencia recurrida se deriva su condición de Profesora de Hogar en Instituto Nacional de Bachillerato, nombrada, en su día, como tal por el Ministerio de Educación a propuesta de la extinta Delegación Nacional de la Sección Femenina. b) Desestimada esta solicitud por silencio administrativo y agotada, según se dice, la vía administrativa, el 31 de marzo de 1982 se interpuso, siempre según la hoy demandante de amparo, recurso contencioso-administrativo ante la Sala competente de la Audiencia Nacional, recurso que fue resuelto por la Sentencia recurrida ante este Tribunal, de 17 de febrero de 1983. c) No obstante, la precitada Sentencia para nada se refiere, ni en su encabezamiento ni en su fallo, a la recurrente en amparo, que, según ella, «fue parte en el proceso», decidiendo tan sólo respecto de las personas que menciona como actoras en el recurso núm. 22.760, entre las que no figura aquélla. Para la demandante, esta «omisión» en el fallo respecto de la pretensión que ella misma dice haber deducido constituye ya la lesión de su derecho fundamental a la jurisdicción (art. 24.1 de la C.E.) que fundamenta su queja ante este Tribunal. </w:t>
      </w:r>
    </w:p>
    <w:p w:rsidR="00256EE9" w:rsidRDefault="00256EE9" w:rsidP="00256EE9">
      <w:pPr>
        <w:pStyle w:val="TextoNormal"/>
      </w:pPr>
      <w:r>
        <w:t xml:space="preserve">d) Se afirma en la demanda que, frente a semejante «omisión», y con fecha 23 de mayo de 1983, la representación de la recurrente dirigió un escrito a la Sala sentenciadora, solicitando que se resolviera sobre la pretensión en su día formulada por ella, escrito que no </w:t>
      </w:r>
      <w:r>
        <w:lastRenderedPageBreak/>
        <w:t xml:space="preserve">dio lugar -se dice- a actividad alguna por parte de la misma Sala. Se añade, no obstante, a continuación que con fecha 12 de julio se dictó providencia por la Sala en la que se declaraba resuelto el recurso por Sentencia firme, ordenándose la devolución de los documentos a la representación del demandante. Esta providencia, en la que no se hace mención de la persona de la recurrente, fue notificada el 10 de septiembre de 1983. El día 16 del mismo mes y año se dirigió de nuevo la representación de la parte actora a la Sala correspondiente de la Audiencia Nacional, reiterando su solicitud de que se dictara Sentencia y añadiendo ahora que se tuvieran por presentados nuevos documentos «de influencia notoria en el recurso». Ante el silencio del Tribunal, el 14 de junio de 1984 se instó una vez más la unión de dichos documentos a los Autos así como la necesidad de que se dictara Sentencia, haciendo protesta formal en esta ocasión -se añade- de la violación del art. 24 de la Constitución a efectos del posterior recurso de amparo. </w:t>
      </w:r>
    </w:p>
    <w:p w:rsidR="00256EE9" w:rsidRDefault="00256EE9" w:rsidP="00256EE9">
      <w:pPr>
        <w:pStyle w:val="TextoNormal"/>
      </w:pPr>
      <w:r>
        <w:t xml:space="preserve">La demanda se fundamenta en Derecho con base en los siguientes argumentos: a) Afirma la recurrente que la Sentencia de 17 de febrero de 1983, de la Audiencia Nacional, viola su derecho fundamental a obtener una «tutela efectiva de los Jueces y Tribunales en el ejercicio de sus derechos» (artículo 24.1 de la C.E.), toda vez que esta resolución judicial no resuelve sobre la pretensión por ella deducida, aun habiendo sido parte en el proceso al que la misma puso término. Se dice expresamente que la Sentencia impugnada debió incluir en su fallo a la demandante, al haberse acumulado -parece l recurso por ésta interpuesto al que formularon las demás actoras que sí han obtenido una resolución de la Sala. b) Esta supuesta lesión se agravaría por otra, que afectaría esta vez al derecho fundamental a un «proceso... sin dilaciones indebidas» (art. 24.2 de la C.E.). La representación actora, en efecto, no sólo imputa violación de sus derechos a la Sentencia misma en la que dice haber sido omitida, sino también -o alternativamente- a la inacción de la Sala competente de la Audiencia Nacional, que desatendió reiteradamente sus sucesivos escritos solicitando resolución a su pretensión. Sin embargo, la fundamentación de tal pretendida «dilación indebida» se hace en la demanda acudiendo, de nuevo, al reproche inicial frente a la no consideración de la demandante en la decisión del recurso al que da a entender que se acumuló el suyo. Se añade sólo ahora que tan grave como no haber decidido respecto de la pretensión de la demandante fue el «alargamiento del proceso» abierto por su recurso inicial. </w:t>
      </w:r>
    </w:p>
    <w:p w:rsidR="00256EE9" w:rsidRDefault="00256EE9" w:rsidP="00256EE9">
      <w:pPr>
        <w:pStyle w:val="TextoNormal"/>
      </w:pPr>
      <w:r>
        <w:t>En el «suplico» de la demanda se pide del Tribunal la declaración de nulidad de la Sentencia impugnada por violar ésta sus derechos fundamentales reconocidos en los núms. 1 y 2 del art. 24 de la Constitución. Alternativamente, se solicita que se «reconozca expresamente el derecho de mi mandante a obtener una Sentencia en el proceso en el que ha sido parte».</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Cuarta, por providencia de 21 de noviembre de 1984, puso de manifiesto a las partes la posible concurrencia de las siguientes causas de inadmisibilidad: 1.ª la del 50.2 b) de la LOTC; 2.ª la del 50.2 a) de la LOTC; 3.ª la del 50.1 b) en relación con el 44.1 a) de la LOTC. Dentro del plazo otorgado para alegaciones la representación procesal de la parte demandante, en las suyas, afirma, respecto a la causa primera, que su mandante interpuso el recurso contencioso-administrativo núm. 22.760 junto con doña Concepción Castellana Prieto y otros, por lo que su no mención en la Sentencia implica denegación de justicia merecedora de una decisión de este Tribunal; a propósito de la causa segunda basta leer según ella, el art. 24.1 de la C. E. para ver que lo que la parte demandante pide es que se le dicte Sentencia; y con respecto a la causa tercera, dice, «bástenos recordar que las Sentencias (en este caso la no Sentencia) de la Audiencia Nacional en materia de per</w:t>
      </w:r>
      <w:r>
        <w:lastRenderedPageBreak/>
        <w:t>sonal no son susceptibles de recurso de apelación», por lo que, a mayor abundamiento, tampoco sería posible el recurso de revisión. En conclusión pide la admisión del recurso de amparo. El Fiscal ante el Tribunal Constitucional concluye su escrito de alegaciones pidiendo que este Tribunal dicte Auto de inadmisión «salvo que la actora acredite el cumplimiento de los presupuestos procesales y subsane los defectos que por su propia naturaleza sean susceptibles de ello». Las alegaciones previas a tal petitum contienen en síntesis los siguientes argumentos: 1. De la documentación remitida por la parte actora «no se desprende acreditación del supuesto básico: que la actora en el proceso de amparo lo fue también en el contencioso-administrativo, pues en la Sentencia impugnada no se la menciona en la parte dispositiva, pero tampoco «en la cabecera de la resolución judicial al relacionar las personas que han interpuesto el recurso». 2. En consecuencia, falta la acreditación del supuesto de hecho que es conditio sine qua non tanto para que se tome en consideración su pretensión en el proceso previo, como para determinar su legitimación en el de amparo, defecto éste que conduce a la inadmisión de la presente demanda. 3. Concurre la inadmisión también por el juego del 50.1 b) y del 44.1 a), pues ni se interpuso el recurso de aclaración contra la Sentencia, ni se impugnó en súplica con base en el artículo 92 a) de la L.J.C.A. la providencia por la que se rechazó la pretensión de la parte actora. 4. No concurre a su juicio la causa del 50.2 a), pues es claro que el precepto presuntamente invocado es el art. 24 de la Constitución.</w:t>
      </w:r>
    </w:p>
    <w:p w:rsidR="00256EE9" w:rsidRDefault="00256EE9" w:rsidP="00256EE9">
      <w:pPr>
        <w:pStyle w:val="TextoNormal"/>
      </w:pPr>
    </w:p>
    <w:p w:rsidR="00256EE9" w:rsidRDefault="00256EE9" w:rsidP="00256EE9">
      <w:pPr>
        <w:pStyle w:val="TextoNormal"/>
      </w:pPr>
      <w:r w:rsidRPr="00256EE9">
        <w:rPr>
          <w:rStyle w:val="NumeroAFNegritaCaracter"/>
        </w:rPr>
        <w:t>3</w:t>
      </w:r>
      <w:r>
        <w:t>. Ante los escritos de alegaciones que contenían las dirigidas al posible motivo del 50.2 a), la Sección, por providencia de 9 de enero puso de manifiesto a las partes que, aunque en su providencia de 21 de noviembre se había indicado por error aquella causa, la posiblemente concurrente en el caso era la del 50.1 a), por lo que así se ponía de manifiesto con apertura de un nuevo plazo común para que alegasen sobre ello. El Fiscal ante el Tribunal Constitucional concluyó su escrito pidiendo que se dicte Auto declarando la inadmisión por incumplimiento del plazo del 44.2 en relación con el 50.1 a) de la LOTC. La parte actora alega en el suyo que tal plazo no ha transcurrido porque ni siquiera ha empezado a correr.</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Resuelto por nuestra providencia de 9 de enero el error material cometido en la de 21 de noviembre, los motivos de inadmisibilidad propuestos para que sobre su posible concurrencia en este caso alegasen la parte actora y el Ministerio Fiscal son el del 50.2 b); el del 50.1 b) en relación con el 44.1 a); y el del 50.1 a), preceptos todos ellos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Para admitir una demanda de amparo es preciso, entre otros requisitos, que el recurrente que impugne una resolución judicial haya previamente agotado contra ella «todos los recursos utilizables dentro de la vía judicial» [art.  44.1 a) de la LOTC]. Ello está en relación con el carácter subsidiario del amparo ante el Tribunal Constitucional respecto a la tutela general de los derechos y libertades fundamentales que encomiendan la Constitución y la LOTC a los Tribunales de Justicia (arts. 53.2 y 1.1, respectivamente) y significa, más en concreto, que una pretensión constitucional no puede plantearse ante este Tribunal sin que antes haya sido examinada por los órganos del Poder Judicial precisamente desde esa misma perspectiva o dimensión constitucional, esto es, con invocación expresa del derecho violado [art. 44.1 c) de la LOTC].  En este caso no planteamos como requisito </w:t>
      </w:r>
      <w:r>
        <w:lastRenderedPageBreak/>
        <w:t>incumplido el del 44.1 c) porque parecía que faltaba el del 44.1 a), y es claro que incumplido éste no pudo darse cumplimiento al del 44.1 c).</w:t>
      </w:r>
    </w:p>
    <w:p w:rsidR="00256EE9" w:rsidRDefault="00256EE9" w:rsidP="00256EE9">
      <w:pPr>
        <w:pStyle w:val="TextoNormal"/>
      </w:pPr>
      <w:r>
        <w:t>Veamos, pues, si la apariencia advertida tras un primer examen de la demanda se confirma después del trámite de alegaciones; y la respuesta ha de ser ciertamente afirmativa. En efecto, según el art. 102.1 g) de la L.J.C.A. podrá utilizarse el recurso extraordinario de revisión «si la Sentencia se hubiere dictado con infracción de lo dispuesto en el art. 43 o si en ella no se resolviese alguna de las cuestiones planteadas en la demanda y contestación». Ahora bien, de ser ciertas las afirmaciones de la recurrente en amparo su recurso contencioso-administrativo estaría acumulado al de las otras recurrentes cuyas respectivas pretensiones sí que fueron resueltas en la Sentencia de 17 de febrero de 1983, de tal modo que hubiera debido ser resuelto por la misma Sentencia, la que, por consiguiente, habría incurrido en un caso de incongruencia, motivo previsto por el art. 102.1 g) como justificativo del recurso de revisión. Al tener la recurrente conocimiento de aquella Sentencia hubiera debido intentar la aclaración de que habla el art.  87 de la misma Ley para dar la posibilidad al Tribunal para que, aprovechando la remisión del art. 87 de la L.J.C.A. a la L.E.C, hubiese subsanado «cualquier omisión» (art. 363 de la L.E.C.), es decir, en concreto la posiblemente cometida al no incluir en la Sentencia a la hoy recurrente en amparo, si es que en verdad había actuado también como tal ante la Audiencia Nacional. Pero la representación procesal de doña María del Carmen Ruiz de Elvira Crespo no actuó así. Razonando de modo nada convincente la representación de la actora dice en la demanda «que en este caso no resulta procedente la vía del recurso por cuanto que los recursos pueden utilizarse contra una resolución judicial y en este caso de lo que se trata precisamente es de lo contrario, de la inexistencia de la Sentencia que no puede entenderse recaída respecto de mi mandante, puesto que no la menciona». De ser correcto el razonamiento expuesto, el posible vicio contra ella cometido nunca podría repararse, porque nunca podría impugnarse, por supuesto tampoco en amparo, una Sentencia inexistente, con lo que los vicios de incongruencia de este género resultarían inatacables.</w:t>
      </w:r>
    </w:p>
    <w:p w:rsidR="00256EE9" w:rsidRDefault="00256EE9" w:rsidP="00256EE9">
      <w:pPr>
        <w:pStyle w:val="TextoNormal"/>
      </w:pPr>
      <w:r>
        <w:t>A tan absurdo resultado no puede llegarse porque obviamente en tales supuestos sí que hay Sentencia, bien que formalmente incorrecta, por lo que procede impugnarla por el recurso de revisión del 102.1 g) ya citado. Recurso que pese a estar calificado como extraordinario por el 102.1 de la L.J.C.A debe ser interpuesto para dar cumplimiento al requisito del 44.1 a) de la LOTC cuando (como ha dicho este Tribunal, entre otros, en los Autos de 4 de abril de 1983 y 23 de noviembre del mismo año) el motivo aducido en amparo sea uno de los previstos en el tantas veces citado articulo 102.1 de la L.J.C.A., porque en tales casos con el se abre a la parte la posibilidad de que su queja sea resuelta por los cauces jurisdiccionales ordinarios.</w:t>
      </w:r>
    </w:p>
    <w:p w:rsidR="00256EE9" w:rsidRDefault="00256EE9" w:rsidP="00256EE9">
      <w:pPr>
        <w:pStyle w:val="TextoNormal"/>
      </w:pPr>
      <w:r>
        <w:t>Al no haber actuado así, ha incurrido en el motivo de inadmisibilidad del 44.1 a) en relación con el 50.1 b)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Ante nuestra invocación del motivo de inadmisibilidad del 50.1 a) de la LOTC alega la recurrente que el plazo de veinte días del art. 44.2 de la LOTC «no sólo no ha transcurrido, sino que ni siquiera ha comenzado a correr, puesto que no se ha producido resolución judicial alguna respecto a ella». El razonamiento es semejante al antes examinado y ha de obtener similar respuesta. Puesto que sí ha habido una Sentencia que (según ella) debió resolver su recurso y no lo hizo; y puesto que por imperativo del 44.1 a) de la LOTC debió impugnarla, es claro que el plazo del 44.2 de la LOTC debió contar a partir de la notificación de la última resolución en respuesta al último (o único) recurso utilizable. El incumplimiento del requisito del 44.1 a) arrastra así el del 44.2 y, por tanto, el del 50.1 a) </w:t>
      </w:r>
      <w:r>
        <w:lastRenderedPageBreak/>
        <w:t>de la LOTC. Pero aun omitiendo el anterior argumento es claro el incumplimiento del plazo. Si la representación de la recurrente entendía (erróneamente por lo ya expuesto) que contra la Sentencia que ahora impugna no cabía recurso alguno ante los Tribunales ordinarios, al tener noticia de la Sentencia hubiera podido interponer su demanda de amparo contando el plazo del 44.2 a partir de la fecha de conocimiento de la resolución a su juicio impugnable, con lo cual su actuación habría sido diligente y subjetivamente respetuosa respecto al requisito del 50.1 a) de la LOTC. Aún más: de ser cierto su razonamiento de que el plazo del 44.2 «ni siquiera ha comenzado a correr», ello significaría que aquella Sentencia contra la cual ahora recurre nunca podría dejar de ser impugnada en amparo, puesto que su demanda ni siquiera trata de computar dicho plazo a partir de la providencia de la Audiencia de declaración de firmeza de 12 de julio de 1983, que le fue notificada el 10 de septiembre del mismo año.  Ni el respecto al requisito del 44.2 de la LOTC ni las más elementales consideraciones sobre la seguridad jurídica y la firmeza de las resoluciones judiciales permiten admitir el razonamiento de la recurrente, cuya demanda fue, sin duda alguna, extemporánea, por lo que concurre la causa del 50.1 a) de la LOTC.</w:t>
      </w:r>
    </w:p>
    <w:p w:rsidR="00256EE9" w:rsidRDefault="00256EE9" w:rsidP="00256EE9">
      <w:pPr>
        <w:pStyle w:val="TextoNormal"/>
      </w:pPr>
    </w:p>
    <w:p w:rsidR="00256EE9" w:rsidRDefault="00256EE9" w:rsidP="00256EE9">
      <w:pPr>
        <w:pStyle w:val="TextoNormal"/>
      </w:pPr>
      <w:r w:rsidRPr="00256EE9">
        <w:rPr>
          <w:rStyle w:val="NumeroAFNegritaCaracter"/>
        </w:rPr>
        <w:t>4</w:t>
      </w:r>
      <w:r>
        <w:t>. La concurrencia de las dos citadas causas de inadmisibilidad, cada una de las cuales, por sí sola considerada, obliga a declarar inadmisible la demanda, hace innecesario el examen de la concurrencia del tercer motivo de inadmisibilidad invocado.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la inadmisión del recurso.</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2" w:name="AUTO_1985_81"/>
      <w:r>
        <w:lastRenderedPageBreak/>
        <w:t>AUTO 81/1985, de 6 de febrero de 1985</w:t>
      </w:r>
    </w:p>
    <w:bookmarkEnd w:id="142"/>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ECLI:ES:TC:1985:81A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742/1984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26 de octubre de 1984, tiene entrada en este Tribunal Constitucional demanda de amparo formulada por don Enrique Sorribes Torra, Procurador de los Tribunales, en nombre y representación del Ayuntamiento de Castillo de Aro-Playa de Aro, provincia de Gerona, contra Sentencia dictada por la Sala Segunda de lo Contencioso-Administrativo de la Audiencia Territorial de Barcelona, el 27 de septiembre de 1984, que fue notificada el 16 de octubre siguiente. </w:t>
      </w:r>
    </w:p>
    <w:p w:rsidR="00256EE9" w:rsidRDefault="00256EE9" w:rsidP="00256EE9">
      <w:pPr>
        <w:pStyle w:val="TextoNormal"/>
      </w:pPr>
      <w:r>
        <w:t>Dicha Sentencia fue dictada en el recurso contencioso-administrativo interpuesto por don Ramón Sais Anglade contra dos Resoluciones del Tribunal Económico-Administrativo Provincial de Gerona que desestimaron sendas reclamaciones formuladas ante este organismo frente a liquidaciones practicadas por el Ayuntamiento de Castillo de Aro-Playa de Aro en concepto de arbitrio municipal -hoy impuesto- sobre el incremento de valor de los terrenos (Plusvalía), compareciendo dicho Ayuntamiento como parte codemandada en el proceso contencioso-administrativo. Mediante la referida Sentencia se estimó el recurso interpuesto, anulando las Resoluciones impugnadas, así como las liquidaciones a ellas relativas.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presente demanda de amparo se fundamenta en la presunta violación del derecho a la igualdad y del derecho a una tutela jurisdiccional efectiva, reconocidos, respectivamente, por los arts. 14 y 24.1 de la Constitución. </w:t>
      </w:r>
    </w:p>
    <w:p w:rsidR="00256EE9" w:rsidRDefault="00256EE9" w:rsidP="00256EE9">
      <w:pPr>
        <w:pStyle w:val="TextoNormal"/>
      </w:pPr>
      <w:r>
        <w:t xml:space="preserve">El escrito de amparo no contiene, sin embargo, alegación alguna respecto al primero de los derechos constitucionales que se invocan. </w:t>
      </w:r>
    </w:p>
    <w:p w:rsidR="00256EE9" w:rsidRDefault="00256EE9" w:rsidP="00256EE9">
      <w:pPr>
        <w:pStyle w:val="TextoNormal"/>
      </w:pPr>
      <w:r>
        <w:t xml:space="preserve">Respecto a la presunta violación del segundo de los derechos invocados, ésta se habría producido, según se alega en el escrito de demanda, mediante la indefensión causada a la Entidad municipal solicitante de amparo, al estimar la Sentencia impugnada, conforme a la pretensión del demandante en el proceso a quo, que había transcurrido el plazo de prescripción legalmente establecido para la exacción del impuesto de Plusvalía, cuando dicho plazo no se habría agotado de haberse tenido en cuenta la fecha en que aquella Entidad liquidadora pudo efectivamente tener conocimiento de las transmisiones de derechos reales que permitían la referida exacción impositiva. </w:t>
      </w:r>
    </w:p>
    <w:p w:rsidR="00256EE9" w:rsidRDefault="00256EE9" w:rsidP="00256EE9">
      <w:pPr>
        <w:pStyle w:val="TextoNormal"/>
      </w:pPr>
      <w:r>
        <w:t>La representación de la parte recurrente solicita de este Tribunal Constitucional: a) que declare la nulidad de la Sentencia que se impugna, retrotrayendo las actuaciones al mo</w:t>
      </w:r>
      <w:r>
        <w:lastRenderedPageBreak/>
        <w:t>mento inmediatamente anterior al de dictarse la citada Sentencia; b) que reconozca el derecho del Ayuntamiento demandante a defender en vía contencioso-administrativa la legalidad de las dos liquidaciones anuladas por dicha Sentencia por no haber prescrito la deuda tributaria surgida de unas donaciones que la Administración municipal se vio imposibilitada de conocer como consecuencia de una ocultación realizada por el contribuyente; c) que ordene a la Sala Segunda de lo Contencioso-Administrativo de la Audiencia Territorial de Barcelona dicte nueva Sentencia, teniendo en cuenta que el plazo prescriptivo debe iniciarse a partir de la fecha en que el Ayuntamiento pudo tener conocimiento de las transmisiones por constatarse en el Registro de la Propiedad o por haber sido notificado expresamente de su existencia.</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28 de noviembre de 1984, la Sección Primera de la Sala Primera de este Tribunal Constitucional acuerda, de conformidad con lo dispuesto en el art. 50 de la Ley Orgánica del mismo (LOTC), conceder un plazo común de diez días al Ministerio Fiscal y a la parte recurrente, a fin de que aleguen lo que estimen pertinente en relación con la posible existencia del siguiente motivo de inadmisión: carecer la demanda manifiestamente de contenido que justifique una decisión por parte del Tribunal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4</w:t>
      </w:r>
      <w:r>
        <w:t>. El Ministerio Fiscal, en su escrito de alegaciones, manifiesta que el recurso es inadmisible por falta de contenido constitucional, pues, como se deduce con toda claridad del petitum formulado en la demanda, la cuestión que se plantea es de la más estricta legalidad -si debe o no entenderse prescrita una exacción municipal por el transcurso del plazo establecido en la Ley de Régimen Local, calculado desde la fecha en que nació la obligación de contribuir-, por lo que el derecho a la tutela judicial ha quedado satisfecho al haber tenido el recurrente acceso a la jurisdicción y haber obtenido una resolución fundada en Derecho. En cuanto a la presunta vulneración del derecho a la igualdad, el Ministerio Fiscal indica que tal alegación no aparece fundada al no ofrecer el recurrente término alguno de comparación en que se apoye la pretendida desigualdad.</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Por su parte, la representación del recurrente insiste en que la Resolución impugnada vulnera los arts. 24 y 14 de la Constitución. </w:t>
      </w:r>
    </w:p>
    <w:p w:rsidR="00256EE9" w:rsidRDefault="00256EE9" w:rsidP="00256EE9">
      <w:pPr>
        <w:pStyle w:val="TextoNormal"/>
      </w:pPr>
      <w:r>
        <w:t xml:space="preserve">Respecto al primero alega que la indefensión ha sido causada a su representado al haberse mantenido en secreto el acto jurídico del que derivaba el derecho del Ayuntamiento a liquidar el arbitrio municipal de Plusvalía. A su juicio, no puede interpretarse la legislación vigente de forma tal que impida a un Ayuntamiento hacer valer sus legítimos derechos, como se hace en la Sentencia de la Audiencia Territorial de Barcelona cuando considera que el plazo de prescripción ha de calcularse desde el momento en que se realiza la transmisión del dominio de los terrenos. </w:t>
      </w:r>
    </w:p>
    <w:p w:rsidR="00256EE9" w:rsidRDefault="00256EE9" w:rsidP="00256EE9">
      <w:pPr>
        <w:pStyle w:val="TextoNormal"/>
      </w:pPr>
      <w:r>
        <w:t>En cuanto a la vulneración del principio de igualdad, la representación del recurrente alega que dicha interpretación origina una discriminación entre los contribuyentes a favor de aquellos que incumplen una norma jurídica, el art. 109 del Reglamento de Haciendas Locales, colocándoles en una situación de privilegio precisamente por su comportamiento contrario a Derecho.</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representación del recurrente aduce, en primer término, la vulneración del art.  24.1 de la Constitución, alegando que la interpretación dada en la Sentencia impugnada a las normas que fijan el plazo de prescripción de los créditos a favor de las Entidades locales por exacciones municipales, y en concreto por el arbitrio sobre incremento de valor de los terrenos, ha colocado al Ayuntamiento a quien representa en situación de indefensión al impedirle proceder a las correspondientes liquidaciones tributarias, siendo así que fue el contribuyente, al no cumplir con la obligación tributaria de declarar que le impone el art.  109 del Reglamento de Haciendas Locales, quien hizo imposible que las liquidaciones se realizasen dentro del plazo legalmente establecido.</w:t>
      </w:r>
    </w:p>
    <w:p w:rsidR="00256EE9" w:rsidRDefault="00256EE9" w:rsidP="00256EE9">
      <w:pPr>
        <w:pStyle w:val="TextoNormal"/>
      </w:pPr>
    </w:p>
    <w:p w:rsidR="00256EE9" w:rsidRDefault="00256EE9" w:rsidP="00256EE9">
      <w:pPr>
        <w:pStyle w:val="TextoNormal"/>
      </w:pPr>
      <w:r w:rsidRPr="00256EE9">
        <w:rPr>
          <w:rStyle w:val="NumeroAFNegritaCaracter"/>
        </w:rPr>
        <w:t>2</w:t>
      </w:r>
      <w:r>
        <w:t>. La tesis mantenida por la parte recurrente confunde la no exigibilidad del crédito tributario, consecuencia de la interpretación que de los arts.  514 y 796 de la Ley de Régimen Local, en relación con los arts.  64 y 65 de la Ley General Tributaria, realiza la Audiencia Territorial de Barcelona, con la indefensión a que se refiere el art.  24.1 de la Constitución y que aparece vinculada a las garantías que han de existir en todo proceso judicial.</w:t>
      </w:r>
    </w:p>
    <w:p w:rsidR="00256EE9" w:rsidRDefault="00256EE9" w:rsidP="00256EE9">
      <w:pPr>
        <w:pStyle w:val="TextoNormal"/>
      </w:pPr>
      <w:r>
        <w:t>Se trata, sin embargo, de dos cuestiones diferentes desde la perspectiva constitucional.  En cuanto a la primera, tal interpretación no es más que el resultado de un estricto juicio de legalidad respecto a un supuesto de hecho planteado ante la jurisdicción competente y sobre el que no cabe pronunciamiento alguno de este Tribunal Constitucional.  Respecto a la segunda, el proceso en que dicho juicio de legalidad ha tenido lugar se ha desarrollado respetando el derecho reconocido en el mencionado precepto constitucional, pues el Ayuntamiento solicitante de amparo ha podido comparecer como parte codemandada sin que conste la existencia de obstáculos a la defensa de sus pretensiones, obteniendo, finalmente, una Resolución judicial jurídicamente fundada sobre el fondo de la cuestión debatida, todo lo cual constituye el contenido del derecho constitucional invocado, según reiterada doctrina de este Tribunal Constitucional. En consecuencia, no cabe afirmar que la Sentencia impugnada haya vulnerado el artículo 24.1 de la Constitución.</w:t>
      </w:r>
    </w:p>
    <w:p w:rsidR="00256EE9" w:rsidRDefault="00256EE9" w:rsidP="00256EE9">
      <w:pPr>
        <w:pStyle w:val="TextoNormal"/>
      </w:pPr>
    </w:p>
    <w:p w:rsidR="00256EE9" w:rsidRDefault="00256EE9" w:rsidP="00256EE9">
      <w:pPr>
        <w:pStyle w:val="TextoNormal"/>
      </w:pPr>
      <w:r w:rsidRPr="00256EE9">
        <w:rPr>
          <w:rStyle w:val="NumeroAFNegritaCaracter"/>
        </w:rPr>
        <w:t>3</w:t>
      </w:r>
      <w:r>
        <w:t>. En cuanto a la invocación del art.  14 de la Constitución, es imposible descubrir qué relación pueda existir entre la presunta situación discriminatoria en que se coloca, a juicio de la representación del recurrente, a los contribuyentes que cumplen con sus obligaciones fiscales frente a aquellos que las incumplen y el derecho a la igualdad del recurrente, por lo que en relación a éste no cabe hablar tampoco de la vulneración del precepto constitucional alegada.</w:t>
      </w:r>
    </w:p>
    <w:p w:rsidR="00256EE9" w:rsidRDefault="00256EE9" w:rsidP="00256EE9">
      <w:pPr>
        <w:pStyle w:val="TextoNormal"/>
      </w:pPr>
      <w:r>
        <w:t xml:space="preserve">Por otra parte, la igualdad garantizada en el art.  14 de la Constitución es una igualdad ante la Ley, y de la normativa aplicable al presente caso se deduce que ambos tipos de contribuyentes están sometidos a la misma obligación tributaria y desde el mismo momento -aquel en que se realice la transmisión del dominio de los terrenos sujetos al arbitrio (art.  514 de la Ley de Régimen Local)- y que, si bien es cierto que en el artículo 796.1.1.° b) de la mencionada Ley se establece que, en el caso de derechos no liquidados, el plazo de prescripción será de cinco años contados desde la fecha en que nazca la obligación de contribuir, también lo es que dicho plazo se interrumpe por cualquier acto de investigación y que, como se indica en la Sentencia impugnada, el Ayuntamiento pudo tener conocimiento de la transmisión realizada, dada la naturaleza del instrumento utilizado, pues los </w:t>
      </w:r>
      <w:r>
        <w:lastRenderedPageBreak/>
        <w:t>contratos de donación, de los que deriva el arbitrio municipal cuya liquidación constituyó el objeto del recurso contencioso-administrativo ante la Audiencia Territorial de Barcelona, se formalizaron en escrituras públicas.</w:t>
      </w:r>
    </w:p>
    <w:p w:rsidR="00256EE9" w:rsidRDefault="00256EE9" w:rsidP="00256EE9">
      <w:pPr>
        <w:pStyle w:val="TextoNormal"/>
      </w:pPr>
      <w:r>
        <w:t>A ello hay que añadir que el incumplimiento de la obligación tributaria de presentar en el Ayuntamiento una declaración con los datos necesarios para girar la liquidación procedente, establecida en el art.  109 del Reglamento de Haciendas Locales, lleva consigo consecuencias de tipo sancionador, por lo que no puede concluirse que la normativa aplicable coloque en situación privilegiada a los contribuyentes que no cumplan dicha obligación, por el hecho de que, en todo caso, y en aras de la seguridad jurídica, se establezca un plazo común de prescripción.</w:t>
      </w:r>
    </w:p>
    <w:p w:rsidR="00256EE9" w:rsidRDefault="00256EE9" w:rsidP="00256EE9">
      <w:pPr>
        <w:pStyle w:val="TextoNormal"/>
      </w:pPr>
    </w:p>
    <w:p w:rsidR="00256EE9" w:rsidRDefault="00256EE9" w:rsidP="00256EE9">
      <w:pPr>
        <w:pStyle w:val="TextoNormal"/>
      </w:pPr>
      <w:r w:rsidRPr="00256EE9">
        <w:rPr>
          <w:rStyle w:val="NumeroAFNegritaCaracter"/>
        </w:rPr>
        <w:t>4</w:t>
      </w:r>
      <w:r>
        <w:t>. De todo lo anteriormente expuesto se deduce que la presente demanda de amparo incurre en el motivo de inadmisión previsto en el artículo 50.2 b) de la LOTC al no aparecer vulnerados los derechos fundamentales que el recurrente invoca.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su virtud, la Sección acuerda la inadmisión del recurso de amparo interpuesto por el Procurador de los Tribunales don Enrique Sorribes Torra, en nombre y representación del Ayuntamiento de Castillo de Aro-Playa de Aro, y el archivo de las actuaciones.</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3" w:name="AUTO_1985_82"/>
      <w:r>
        <w:lastRenderedPageBreak/>
        <w:t>AUTO 82/1985, de 6 de febrero de 1985</w:t>
      </w:r>
    </w:p>
    <w:bookmarkEnd w:id="143"/>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ECLI:ES:TC:1985:82A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764/1984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2 de noviembre de 1984, y remitida por correo certificado, con fecha 30 de octubre anterior, tuvo entrada en este Tribunal Constitucional demanda de amparo formulada por don José Antonio Veiga Ordóñez, Licenciado en Derecho, que actúa en su propio nombre y representación, contra Sentencia dictada por el Juzgado de Instrucción núm. 3, de Madrid, en el procedimiento oral núm. 174 de 1983, A) La demanda de amparo se basa en sustancia en lo siguiente: a) con fecha 25 de enero de 1984, el Juzgado de Instrucción núm. 3 de Madrid dictó Sentencia por la que condenó al hoy solicitante de amparo, como autor responsable de un delito de desacato con la concurrencia de la eximente incompleta de enajenación mental, a las penas de dos multas, una de 20.000 pesetas con arresto sustitutorio de diez días en caso de impago, y otra de 10.000 pesetas con arresto sustitutorio de cinco días para el caso de impago, así como al pago de las costas; b) frente a la anterior Sentencia, interpuso el señor Veiga Ordóñez recurso de apelación en el que, con fecha 5 de octubre de 1984, la Sección Primera de la Audiencia Provincial de Madrid dictó Sentencia, notificada el día 19 del mismo mes y año, por la que se desestimó la apelación formulada, confirmando en todas sus partes la resolución apelada. </w:t>
      </w:r>
    </w:p>
    <w:p w:rsidR="00256EE9" w:rsidRDefault="00256EE9" w:rsidP="00256EE9">
      <w:pPr>
        <w:pStyle w:val="TextoNormal"/>
      </w:pPr>
      <w:r>
        <w:t xml:space="preserve">B) La demanda de amparo se dirige frente a las anteriores resoluciones judiciales, y se fundamenta en una presunta violación de los derechos a una tutela jurisdiccional efectiva y a la presunción de inocencia, que se reconocen, respectivamente, por los apartados 1 y 2 del art. 24 de la C. E.: </w:t>
      </w:r>
    </w:p>
    <w:p w:rsidR="00256EE9" w:rsidRDefault="00256EE9" w:rsidP="00256EE9">
      <w:pPr>
        <w:pStyle w:val="TextoNormal"/>
      </w:pPr>
      <w:r>
        <w:t>a) la violación de ambos preceptos se habría producido, según alega el escrito de amparo, al haber sido negadas al solicitante de amparo «las pruebas de inocencia» aportadas en el proceso penal del que resultó condenado; b) según se alega en el mismo escrito aparecen conculcados, también, los arts. 1, 9, 10, 11, 14, 17.1, 25.1 y 53.1, 2 y 3 de la C.E., aunque no se aporta argumento alguno respecto al modo en que tales preceptos se consideran vulnerados; c) finalmente, se solicita de este Tribunal Constitucional que declare el derecho del demandante de amparo «a que se practiquen las pruebas de inocencia propuestas y que han sido desdeñadas por los Tribunales a quo y ad quem de signo penal», que «una vez practicadas tales e insoslayables pruebas, prosiga el proceso con arreglo a Derecho».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xml:space="preserve">. La Sección Primera de la Sala Primera de este Tribunal en providencia de 28 de noviembre de 1984 acordó tener por interpuesto recurso de amparo por don José Antonio Veiga Ordóñez y a tenor del art. 50 de la Ley Orgánica del Tribunal Constitucional (LOTC), conceder un plazo de diez días a la parte recurrente y al Ministerio Fiscal para que alegaran lo procedente sobre el motivo de inadmisión previsto en el art. 50.2 b) de la LOTC. </w:t>
      </w:r>
    </w:p>
    <w:p w:rsidR="00256EE9" w:rsidRDefault="00256EE9" w:rsidP="00256EE9">
      <w:pPr>
        <w:pStyle w:val="TextoNormal"/>
      </w:pPr>
      <w:r>
        <w:t xml:space="preserve">A) El Fiscal ante el Tribunal Constitucional, por escrito de 10 de diciembre de 1984, formuló, resumidamente, las siguientes alegaciones: </w:t>
      </w:r>
    </w:p>
    <w:p w:rsidR="00256EE9" w:rsidRDefault="00256EE9" w:rsidP="00256EE9">
      <w:pPr>
        <w:pStyle w:val="TextoNormal"/>
      </w:pPr>
      <w:r>
        <w:t xml:space="preserve">a) Los motivos de amparo que se alegan deben concretarse a la vulneración de dos derechos: el de «utilizar los medios de prueba pertinentes para su defensa», y el de «presunción de inocencia», íntimamente relacionado con el anterior, ambos contenidos en el art. 24.2 de la Constitución Española. </w:t>
      </w:r>
    </w:p>
    <w:p w:rsidR="00256EE9" w:rsidRDefault="00256EE9" w:rsidP="00256EE9">
      <w:pPr>
        <w:pStyle w:val="TextoNormal"/>
      </w:pPr>
      <w:r>
        <w:t xml:space="preserve">Otros derechos que se entienden atacados, referidos a los arts. 1, 9, 10, 14, 17.1, 25.1 y 53.1, 2 y 3 de la Constitución Española, se citan simplemente, sin justificación ni comentario, y, en consecuencia, su alegación no pasa de ser una mención formularia. Como tampoco se considera aquí el art. 24.1 de la Constitución, expresamente alegado, dados los términos del mentado derecho que después se concreta y define en el párrafo 2 del mismo precepto, como reiteradamente manifiesta este Tribunal Constitucional entre otros, en Auto de 25 de enero de 1984, cuando afirma que «el derecho que el art. 24.1 de la Constitución Española otorga a los ciudadanos es el derecho de acceso a la jurisdicción, a un proceso con las debidas garantías procesales y a la obtención de una resolución fundada en Derecho». </w:t>
      </w:r>
    </w:p>
    <w:p w:rsidR="00256EE9" w:rsidRDefault="00256EE9" w:rsidP="00256EE9">
      <w:pPr>
        <w:pStyle w:val="TextoNormal"/>
      </w:pPr>
      <w:r>
        <w:t xml:space="preserve">b) Se dice en la demanda haber sido omitidas como pruebas, que, sin embargo, fueron propuestas: </w:t>
      </w:r>
    </w:p>
    <w:p w:rsidR="00256EE9" w:rsidRDefault="00256EE9" w:rsidP="00256EE9">
      <w:pPr>
        <w:pStyle w:val="TextoNormal"/>
      </w:pPr>
      <w:r>
        <w:t xml:space="preserve">- La ratificación del recurrente en el Juzgado sobre el escrito que constituyó la base fáctica del supuesto delito de desacato. </w:t>
      </w:r>
    </w:p>
    <w:p w:rsidR="00256EE9" w:rsidRDefault="00256EE9" w:rsidP="00256EE9">
      <w:pPr>
        <w:pStyle w:val="TextoNormal"/>
      </w:pPr>
      <w:r>
        <w:t xml:space="preserve">- La unión al procedimiento de dos informes sobre la inimputabilidad del recurrente: uno, testimoniado del informe médico que obra unido al sumario 9/1981 del Juzgado de Instrucción de Toro (Zamora), cuya causa se advierte pendiente de recurso de casación; y, otro, consistente en una certificación del Centro Penitenciario de Valladolid que acreditara la situación de prisión preventiva en que se encontraba el recurrente el dia de la fecha del escrito considerado injurioso y su estado anímico derivado de lo anterior, que denomina «síndrome de situación carcelaria», el cual explicaría la elaboración del citado escrito. </w:t>
      </w:r>
    </w:p>
    <w:p w:rsidR="00256EE9" w:rsidRDefault="00256EE9" w:rsidP="00256EE9">
      <w:pPr>
        <w:pStyle w:val="TextoNormal"/>
      </w:pPr>
      <w:r>
        <w:t>c) Por lo que hace a la ratificación del recurrente en el escrito base del declarado desacato, aparece de las Sentencias discutidas que entre ellas han sido tenidas en cuenta por el juzgador, primero, y, por el Tribunal de apelación, después, tanto el contenido del precitado escrito, que se recoge en el primer resultando, como la declaración del condenado al ser interrogado en el acto del juicio oral (cuarto resultando), lo que por si solo constituye actividad probatoria que excluye el motivo alegado de indefensión por vulneración del «derecho a utilizar los medios de prueba pertinentes para su defensa» (art. 24.2 de la Constitución Española), porque como declara el Auto de este Tribunal de 20 de junio de 1984, que a su vez remite a los de 22 de julio de 1981 y 30 de septiembre de 1981, «no puede basarse la indefensión que prohíbe el art. 24 de la Constitución en la mera denegación de un medio concreto de prueba, pues el propio precepto constitucional exige su pertinencia sobre la que corresponde pronunciarse al Tribunal Penal, y el mencionado art. 24 de la C.E. no puede servir para alegar indefinidamente la proposición de pruebas no útiles». Criterio también mantenido por la Sentencia de 15 de julio de 1982 y Auto de 29 de junio de 1983; actividad probatoria que igualmente impide entender conculcado el princi</w:t>
      </w:r>
      <w:r>
        <w:lastRenderedPageBreak/>
        <w:t xml:space="preserve">pio de presunción de inocencia del art. 24.2 de la Constitución Española, como reiteradamente afirma este Tribunal, entre otras en Sentencias del 3 de octubre de 1983 y Autos en el mismo sentido de 2 de mayo de 1982 y 28 de marzo de 1984. </w:t>
      </w:r>
    </w:p>
    <w:p w:rsidR="00256EE9" w:rsidRDefault="00256EE9" w:rsidP="00256EE9">
      <w:pPr>
        <w:pStyle w:val="TextoNormal"/>
      </w:pPr>
      <w:r>
        <w:t xml:space="preserve">d) En cuanto a los informes solicitados para determinar el estado mental y anímico del recurrente, las Sentencias, en el primer resultando de hechos afirman que el acusado «es paranoico simple con imputabilidad disminuida», y le aprecian después la eximente incompleta del núm. 1 del art. 8 y núm. 1 del art. 9 del Código Penal, por lo que igualmente carece de base la alegada infracción del derecho contenido en el párrafo 2 del art. 24 de la Constitución, porque es criterio mantenido por este Tribunal Constitucional, entre otros, en Auto de 22 de julio de 1981, que, «conforme al art. 50.2 b) de la LOTC, para que el recurso de amparo sea admisible no basta que se invoque la vulneración de derechos fundamentales incluidos en el ámbito objetivo que delimitan los arts. 53.2, 161.1 b) de la Constitución y 41 de la LOTC atribuida a una acción u omisión de órgano judicial, sino que su viabilidad se supedita a que en la propia demanda se contengan elementos suficientes para justificar su completa tramitación y terminación por Sentencia. En otro caso el recurso es innecesario y disfuncional» (Auto de 4 de febrero de 1981). </w:t>
      </w:r>
    </w:p>
    <w:p w:rsidR="00256EE9" w:rsidRDefault="00256EE9" w:rsidP="00256EE9">
      <w:pPr>
        <w:pStyle w:val="TextoNormal"/>
      </w:pPr>
      <w:r>
        <w:t xml:space="preserve">El Fiscal interesa del Tribunal Constitucional que dicte Auto de acuerdo con lo dispuesto en el art. 86.1, declarando la inadmisión del recurso de amparo por carecer la demanda manifiestamente de contenido que justifique una decisión por parte de ese Tribunal, de conformidad con el art. 50.2 b), ambos de la LOTC. </w:t>
      </w:r>
    </w:p>
    <w:p w:rsidR="00256EE9" w:rsidRDefault="00256EE9" w:rsidP="00256EE9">
      <w:pPr>
        <w:pStyle w:val="TextoNormal"/>
      </w:pPr>
      <w:r>
        <w:t>B) El recurrente en amparo, por escrito de 5 de diciembre de 1981 formula, en resumen, las siguientes alegaciones: a) la condena impuesta le ha sido «por intereses creados» y sin prueba de ninguna clase; b) han sido vulnerados los arts. 1, 9, 10, 14, 17, 25, 53 y 117 de la C.E. Finalmente, la parte recurrente solicita del Tribunal que admita la demanda y declare nulas las resoluciones judiciales recurridas, reiterando la pretensión formulada en el escrito de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recurso consiste en determinar si existe la causa de inadmisión prevista en el art.  50.2 b) de la LOTC, por carecer la demanda de contenido constitucional, según se hizo saber a la parte recurrente y al Ministerio Fiscal en providencia de 28 de noviembre de 1984.</w:t>
      </w:r>
    </w:p>
    <w:p w:rsidR="00256EE9" w:rsidRDefault="00256EE9" w:rsidP="00256EE9">
      <w:pPr>
        <w:pStyle w:val="TextoNormal"/>
      </w:pPr>
      <w:r>
        <w:t>El recurrente alega, en primer término, una presunta violación de los derechos reconocidos por los apartados 1 y 2 del art.  24 de la C. E., por insuficiencia probatoria en el proceso ante el Juez de Instrucción para desvirtuar su inocencia en dicho proceso.</w:t>
      </w:r>
    </w:p>
    <w:p w:rsidR="00256EE9" w:rsidRDefault="00256EE9" w:rsidP="00256EE9">
      <w:pPr>
        <w:pStyle w:val="TextoNormal"/>
      </w:pPr>
    </w:p>
    <w:p w:rsidR="00256EE9" w:rsidRDefault="00256EE9" w:rsidP="00256EE9">
      <w:pPr>
        <w:pStyle w:val="TextoNormal"/>
      </w:pPr>
      <w:r w:rsidRPr="00256EE9">
        <w:rPr>
          <w:rStyle w:val="NumeroAFNegritaCaracter"/>
        </w:rPr>
        <w:t>2</w:t>
      </w:r>
      <w:r>
        <w:t>. Las Sentencias impugnadas no afectan al derecho a la tutela jurisdiccional efectiva, reconocido por el apartado 1 de dicho precepto, toda vez que tales Sentencias aparecen como el resultado de un estricto juicio de legalidad respecto a un supuesto de hecho planteado ante la jurisdicción competente, y no consta la existencia de obstáculos al demandante de amparo para utilizar en aquel proceso instrumentos o medios de defensa para hacer valer sus pretensiones, obteniendo, finalmente, resoluciones razonadas y fundadas en Derecho sobre la cuestión suscitada, por lo que en este ámbito no se produjo indefensión.</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El examen de la Sentencia de Primera Instancia muestra que se practicaron las pruebas del interrogatorio del acusado y la documental, y entre esta última figura la carta dirigida por el recurrente al Excmo.  señor Presidente del Consejo General del Poder Judicial en que se contienen las expresiones que el Juez estimó constitutivas de desacato.  También la Sentencia de apelación se refiere a las pruebas practicadas en el juicio oral. Por todo lo cual hay que estimar que ha existido, al menos la mínima actividad probatoria de cargo, que según reiterada jurisprudencia de este Tribunal es condición suficiente para desvirtuar la presunción de inocencia que garantiza el art. 24.2 de la Constitución.</w:t>
      </w:r>
    </w:p>
    <w:p w:rsidR="00256EE9" w:rsidRDefault="00256EE9" w:rsidP="00256EE9">
      <w:pPr>
        <w:pStyle w:val="TextoNormal"/>
      </w:pPr>
    </w:p>
    <w:p w:rsidR="00256EE9" w:rsidRDefault="00256EE9" w:rsidP="00256EE9">
      <w:pPr>
        <w:pStyle w:val="TextoNormal"/>
      </w:pPr>
      <w:r w:rsidRPr="00256EE9">
        <w:rPr>
          <w:rStyle w:val="NumeroAFNegritaCaracter"/>
        </w:rPr>
        <w:t>4</w:t>
      </w:r>
      <w:r>
        <w:t>. En cuanto a la alegación del recurrente referida a la insuficiencia probatoria, el solicitante de amparo apunta una supuesta violación del derecho a utilizar todos los medios de prueba pertinentes para su defensa, reconocido por el mismo art. 24.2 de la C.E., sin que señale con exactitud los medios de prueba que no pudo utilizar, ya que aporta copia de un escrito formulado ante el Juzgado de Instrucción, en el que se niega, por una parte, a ratificarse ante el Juez de determinado escrito y, por otra parte, solicita que se aporten ciertos documentos o certificados relativos a su «estado mental» o «anímico», que fue tenido en cuenta por la resolución condenatoria de instancia, como lo muestra la aplicación por la misma de la atenuante calificada de eximente incompleta de enajenación.</w:t>
      </w:r>
    </w:p>
    <w:p w:rsidR="00256EE9" w:rsidRDefault="00256EE9" w:rsidP="00256EE9">
      <w:pPr>
        <w:pStyle w:val="TextoNormal"/>
      </w:pPr>
      <w:r>
        <w:t>Según se ha afirmado en repetidas ocasiones este Tribunal Constitucional (Autos de 22 de julio de 1981, R.A. núm. 84/1981; 30 de septiembre de 1981, R.A.  núm.  96/1981, y 20 de junio de 1984, R.A.  núm.  725/1983) el art.  24.2 de la C.E permite que un órgano judicial pueda, en uso de su libertad razonable, negarse a admitir un medio de prueba propuesto por el enjuiciado sin que por ello y sin más se lesione el mandato constitucional sobre el derecho a utilizar los medios de prueba pertinentes, que no obliga a que todo Juez haya de admitir todos los medios de prueba que una parte entiende pertinentes a su defensa, sino los que el juzgador valore razonablemente como tales.</w:t>
      </w:r>
    </w:p>
    <w:p w:rsidR="00256EE9" w:rsidRDefault="00256EE9" w:rsidP="00256EE9">
      <w:pPr>
        <w:pStyle w:val="TextoNormal"/>
      </w:pPr>
    </w:p>
    <w:p w:rsidR="00256EE9" w:rsidRDefault="00256EE9" w:rsidP="00256EE9">
      <w:pPr>
        <w:pStyle w:val="TextoNormal"/>
      </w:pPr>
      <w:r w:rsidRPr="00256EE9">
        <w:rPr>
          <w:rStyle w:val="NumeroAFNegritaCaracter"/>
        </w:rPr>
        <w:t>5</w:t>
      </w:r>
      <w:r>
        <w:t>. Finalmente, el demandante de amparo se limita a invocar otros preceptos constitucionales, sin conectar a éstos la menor argumentación.  Algunos de tales preceptos -como es el caso de los arts.  1, 9, 10 y 53 de la C.E.- no consagran derechos o libertades susceptibles de tutela en vía de amparo, de conformidad con lo establecido en el art.  41.1 de la LOTC y respecto al derecho a la igualdad, al derecho a la libertad y seguridad y al principio de legalidad penal, reconocidos, respectivamente, por los arts.  14, 17.1 y 25.1 de la C.E, en el escrito de la demanda y en la posterior fase de alegaciones no se aporta razonamiento o elemento de juicio alguno que permita siquiera intuir el modo en que pudiera considerarse su vulneración, mediante las Sentencias impugnadas.</w:t>
      </w:r>
    </w:p>
    <w:p w:rsidR="00256EE9" w:rsidRDefault="00256EE9" w:rsidP="00256EE9">
      <w:pPr>
        <w:pStyle w:val="TextoNormal"/>
      </w:pPr>
    </w:p>
    <w:p w:rsidR="00256EE9" w:rsidRDefault="00256EE9" w:rsidP="00256EE9">
      <w:pPr>
        <w:pStyle w:val="TextoNormal"/>
      </w:pPr>
      <w:r w:rsidRPr="00256EE9">
        <w:rPr>
          <w:rStyle w:val="NumeroAFNegritaCaracter"/>
        </w:rPr>
        <w:t>6</w:t>
      </w:r>
      <w:r>
        <w:t>. Los razonamientos precedentes conducen a la conclusión de que el recurso está comprendido en el motivo de inadmisión previsto en el artículo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acuerda declarar inadmisible el recurso de amparo interpuesto por don José Antonio Veiga Ordóñez.  Archívense las actuaciones.</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4" w:name="AUTO_1985_83"/>
      <w:r>
        <w:lastRenderedPageBreak/>
        <w:t>AUTO 83/1985, de 6 de febrero de 1985</w:t>
      </w:r>
    </w:p>
    <w:bookmarkEnd w:id="144"/>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ECLI:ES:TC:1985:83A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769/1984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Doña Elisa Hurtado Pérez, Procuradora de los Tribunales, en nombre y representación de don Juan Emeterio Martínez Romera, recurre en amparo ante este Tribunal Constitucional (T.C.) contra las siguientes resoluciones judiciales: a) Auto de la Audiencia Provincial de Almería, de 24 de mayo de 1984, que declara procesado al recurrente por un delito de detención ilegal; b) Auto de la misma Audiencia, de 16 de julio de 1984, que desestima el recurso de súplica; c) Auto de la Audiencia Territorial de Granada, de 1 de octubre de 1984, que declara improcedente el recurso de apelación planteado a tenor del art. 386 del Reglamento de Organización, Funcionamiento y Régimen Jurídico de las Corporaciones Locales (R.O.F.R.J.C.L.) regulado por Decreto de 17 de mayo de 1952, y d) Auto de 9 de octubre de 1984 de la Audiencia Territorial de Granada que desestimaba el recurso de súplica formulado contra el anterior Auto de 1 de octubre de 1984. </w:t>
      </w:r>
    </w:p>
    <w:p w:rsidR="00256EE9" w:rsidRDefault="00256EE9" w:rsidP="00256EE9">
      <w:pPr>
        <w:pStyle w:val="TextoNormal"/>
      </w:pPr>
      <w:r>
        <w:t xml:space="preserve">La pretensión del amparo se formula para que: 1.° se declare la nulidad de los citados Autos, dictados por la Audiencia Territorial de Granada y que por dicha Sala se admita y sustancie el recurso de apelación interpuesto por el recurrente en amparo contra su procesamiento, debiendo, en su día, dictar resolución resolviendo sobre el fondo del recurso, y 2.° subsidiariamente, se declare la nulidad de los Autos dictados por la Audiencia Provincial de Almería, decretando la improcedencia de dictar Auto de procesamiento contra el recurrente. </w:t>
      </w:r>
    </w:p>
    <w:p w:rsidR="00256EE9" w:rsidRDefault="00256EE9" w:rsidP="00256EE9">
      <w:pPr>
        <w:pStyle w:val="TextoNormal"/>
      </w:pPr>
      <w:r>
        <w:t>La parte recurrente cita como vulnerados los arts. 14 y 24 de la C.E y solicita de este Tribunal que acuerde suspender la ejecución de los actos jurisdiccionales, frente a los que se solicita amparo constitucional.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sobre los que se formula la demanda son, en resumen, los siguientes: a) el día 14 de septiembre de 1982 era Alcalde-Presidente del Ayuntamiento de Roquetas de Mar (Almería) el recurrente en amparo, don Juan Emeterio Martínez Romera, y sobre las tres de la madrugada de dicho día se produjo un incidente en dicha localidad consistente en que varios particulares interceptaron un camión del servicio municipal de limpieza, personándose en el lugar de los hechos la Policía Municipal que procedió a la detención de éstos, conduciéndoles a la Casa Consistorial donde permanecieron hasta las diecisiete horas del mismo día, momento en que fueron trasladados al Juzgado de Guardia, que ordenó su puesta en libertad. Posteriormente uno de los detenidos, Juan Carlos Imizcoz Lechuga, </w:t>
      </w:r>
      <w:r>
        <w:lastRenderedPageBreak/>
        <w:t>en unión de su hermano, presentó querella por detención ilegal contra el recurrente; b) las querellas fueron acumuladas al atestado policial instruyéndose por el Juzgado de Instrucción núm. 2 de Almería el sumario núm. 3/1983 sobre detención ilegal y remitidas las actuaciones a la Audiencia Provincial, la Sala dictó Auto de procesamiento contra el recurrente, con fecha de 24 de mayo de 1984, frente a cuyo Auto interpuso el solicitante del amparo recurso de súplica y subsidiario de apelación; c) por Auto de fecha 16 de julio de 1984 la Audiencia Provincial de Almería acordó que no había lugar al recurso de súplica planteado, pero acordó admitir a trámite, en un solo efecto, el recurso de apelación subsidiariamente interpuesto, emplazando a las partes para que comparecieran ante la Audiencia Territorial de Granada, conforme al art. 386 del R.O.F.R.J.C.L.; d) por Auto de 1 de octubre de 1984 la Sala de Justicia de dicha Audiencia consideró improcedente, por su manifiesta ilegalidad, el recurso de apelación planteado, declarando nulo todo lo actuado, a partir de la admisión a trámite del recurso de apelación decretada por la Audiencia Provincial de Almería, y, e) frente al Auto de 1 de octubre de 1984 la parte recurrente en amparo formuló recurso de súplica, y por Auto de 9 de octubre de 1984, notificado a la parte recurrente el día 10 de octubre de 1984, la Sala desestimó el recurso de súplica y ratificó el Auto recurrido.</w:t>
      </w:r>
    </w:p>
    <w:p w:rsidR="00256EE9" w:rsidRDefault="00256EE9" w:rsidP="00256EE9">
      <w:pPr>
        <w:pStyle w:val="TextoNormal"/>
      </w:pPr>
    </w:p>
    <w:p w:rsidR="00256EE9" w:rsidRDefault="00256EE9" w:rsidP="00256EE9">
      <w:pPr>
        <w:pStyle w:val="TextoNormal"/>
      </w:pPr>
      <w:r w:rsidRPr="00256EE9">
        <w:rPr>
          <w:rStyle w:val="NumeroAFNegritaCaracter"/>
        </w:rPr>
        <w:t>3</w:t>
      </w:r>
      <w:r>
        <w:t>. Los fundamentos jurídicos en que se basa el recurrente son, en síntesis, los siguientes: a) después de analizar el cumplimiento de los requisitos procesales para formalizar el recurso de amparo señala la parte solicitante del amparo que la violación de los arts. 14 y 24 de la C.E. en relación con el art. 9.3 de la misma se produce por el Auto de la Audiencia Territorial de Granada, de 1 de octubre de 1984, y por el Auto, de 9 de octubre de 1984, de la misma Audiencia, de modo principal, y, subsidiariamente por el Auto de 24 de mayo de 1984 de la Audiencia de Almería; b) frente a los razonamientos de los Autos de la Audiencia Territorial de Granada, basados en la violación del principio de jerarquía normativa y de la igualdad jurídica y en que en el procedimiento de urgencia no cabe recurso de apelación y la segunda instancia no la ampara la C.E. en los Autos de procesamiento, opone la parte recurrente que el Decreto de 17 de mayo de 1952 regulador del Reglamento de Organización, Funcionamiento y Régimen Jurídico de las Corporaciones Locales fue dictado en uso de la delegación normativa prevista en la Ley de Régimen Local (L.R.L.), y que la existencia del recurso especial de apelación a favor de los miembros de las Corporaciones Locales no atenta contra el principio de igualdad jurídica previsto en la C.E., pues si los funcionarios de la Policía y de la Administración Central del Estado no tienen este recurso es porque la normativa que regula su procesamiento no lo establece y conceder una segunda instancia a quien no la tiene puede ser contrario al principio de igualdad y, por el contrario, a juicio de la parte recurrente, no es contrario al principio de igualdad respetar el derecho a apelar a quien lo tiene reconocido por una norma, sea del rango que sea; c) a continuación, la parte recurrente cita diversas Sentencias del T.C. (núm. 11/1982, de 29 de marzo; 29 de junio de 1983, R.A. núm. 463/1982) para concluir el razonamiento en este punto, indicando que la interpretación del art. 386 del R.O.F.R.J.C.L. realizada en los Autos de la Audiencia Territorial de Granada vulnera los arts. 14 y 24 de la C. E., y d ) finalmente y de modo subsidiario, lo que supondría una acumulación de acciones, la parte recurrente solicita amparo constitucional frente al Auto de procesamiento dictado por la Audiencia Provincial de Almería por vulnerar el art. 24 de la C.E. y, en especial, por ser contrario a la presunción de inocencia y al derecho a la tutela efectiva de los Jueces, ya que con esta resolución se está prejuzgando antes de la fase del juicio oral.</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Segunda de la Sala Primera de este T.C., en providencia de 5 de diciembre de 1984, acordó tener por personado y parte en nombre de don Juan Emeterio Martínez Romera a la Procuradora doña Elisa Hurtado Pérez y acordó hacer saber a la parte recurrente y al Ministerio Fiscal los motivos de inadmisión previstos en el art. 50.2 b) de la LOTC y 50.1 a) en conexión con el art. 44.2 en cuanto a la petición de anulación del Auto dictado por la Audiencia Provincial de Almería, de fecha 24 de mayo de 1984. </w:t>
      </w:r>
    </w:p>
    <w:p w:rsidR="00256EE9" w:rsidRDefault="00256EE9" w:rsidP="00256EE9">
      <w:pPr>
        <w:pStyle w:val="TextoNormal"/>
      </w:pPr>
      <w:r>
        <w:t>En cuanto a la petición de suspensión se acordó resolver lo procedente una vez se decidiese la admisión o no a trámite del recurso.</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este T.C. por escrito de 14 de diciembre de 1984 formuló, en síntesis los siguientes razonamientos: </w:t>
      </w:r>
    </w:p>
    <w:p w:rsidR="00256EE9" w:rsidRDefault="00256EE9" w:rsidP="00256EE9">
      <w:pPr>
        <w:pStyle w:val="TextoNormal"/>
      </w:pPr>
      <w:r>
        <w:t xml:space="preserve">a) En los recursos de amparo núm. 159 y 168/1983 resueltos por sendos Autos, de 8 de junio de 1983, se declaró la corrección constitucional de dichas resoluciones por tratarse de un juicio de legalidad efectuado por una Sala de Justicia, por ser criterio reiterado del T. C. que el derecho a los recursos judiciales no es ilimitado y porque esa privación del derecho a la apelación «es consecuencia directa de una particular situación inicial que no cabe entender, precisamente, como una desventaja». </w:t>
      </w:r>
    </w:p>
    <w:p w:rsidR="00256EE9" w:rsidRDefault="00256EE9" w:rsidP="00256EE9">
      <w:pPr>
        <w:pStyle w:val="TextoNormal"/>
      </w:pPr>
      <w:r>
        <w:t xml:space="preserve">b) La inadmisión del recurso en cuanto al Auto de la Audiencia de Granada, de 9 de octubre, es manifiesta, por concurrir, como en el anterior caso examinado, la causa recogida en el art. 50.2 b) de la LOTC. Si se recurre en amparo porque contra el mismo no se ha admitido la apelación, con la consiguiente lesión del derecho a la tutela iudicial, la respuesta a tal pretensión se ha dado anteriormente. Si se pretende su impugnación por el propio contenido del Auto -si se dan o no indicios racionales de criminalidad conforme al art. 384 de la Ley de Enjuiciamiento Criminal-, es evidente que se trata de revisar un juicio de la más estricta legalidad en el que el T.C. no puede intervenir para alterar el sentido de lo decretado. </w:t>
      </w:r>
    </w:p>
    <w:p w:rsidR="00256EE9" w:rsidRDefault="00256EE9" w:rsidP="00256EE9">
      <w:pPr>
        <w:pStyle w:val="TextoNormal"/>
      </w:pPr>
      <w:r>
        <w:t>El Fiscal interesa de este T.C. que declare la inadmisión del recurso por concurrir la causa recogida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Doña Elisa Hurtado Pérez, Procuradora de los Tribunales y de don Juan Emeterio Martínez Romera, por escrito de 17 de diciembre de 1984 formula, resumidamente, las siguientes alegaciones: </w:t>
      </w:r>
    </w:p>
    <w:p w:rsidR="00256EE9" w:rsidRDefault="00256EE9" w:rsidP="00256EE9">
      <w:pPr>
        <w:pStyle w:val="TextoNormal"/>
      </w:pPr>
      <w:r>
        <w:t xml:space="preserve">a) El contenido de la demanda afecta a derechos constitucionalmente protegidos y susceptibles de amparo, justificándose una decisión de este T.C. conforme a lo dispuesto en los arts. 41 y 44 de la LOTC. </w:t>
      </w:r>
    </w:p>
    <w:p w:rsidR="00256EE9" w:rsidRDefault="00256EE9" w:rsidP="00256EE9">
      <w:pPr>
        <w:pStyle w:val="TextoNormal"/>
      </w:pPr>
      <w:r>
        <w:t xml:space="preserve">b) La impugnación, por motivos de fondo, del Auto de la Audiencia Provincial de Almería, de fecha 24 de mayo de 1984, formulada en la demanda de amparo con carácter subsidiario, no podía ser traída al conocimiento de este T.C. hasta que no se agotaron todos los recursos normalmente posibles en la vía judicial, tras lo cual se recurrió dentro del plazo establecido. </w:t>
      </w:r>
    </w:p>
    <w:p w:rsidR="00256EE9" w:rsidRDefault="00256EE9" w:rsidP="00256EE9">
      <w:pPr>
        <w:pStyle w:val="TextoNormal"/>
      </w:pPr>
      <w:r>
        <w:t>La parte recurrente concluye interesando de la Sala que admita a trámite el recurso de amparo planteado.</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recurso consiste en determinar si concurren los motivos de inadmisión señalados en la providencia de 5 de diciembre de 1984.  En consecuencia, se trata de juzgar sobre si las resoluciones judiciales recurridas vulneran los arts.  14 y 24 de la C.E.</w:t>
      </w:r>
    </w:p>
    <w:p w:rsidR="00256EE9" w:rsidRDefault="00256EE9" w:rsidP="00256EE9">
      <w:pPr>
        <w:pStyle w:val="TextoNormal"/>
      </w:pPr>
    </w:p>
    <w:p w:rsidR="00256EE9" w:rsidRDefault="00256EE9" w:rsidP="00256EE9">
      <w:pPr>
        <w:pStyle w:val="TextoNormal"/>
      </w:pPr>
      <w:r w:rsidRPr="00256EE9">
        <w:rPr>
          <w:rStyle w:val="NumeroAFNegritaCaracter"/>
        </w:rPr>
        <w:t>2</w:t>
      </w:r>
      <w:r>
        <w:t>. La petición principal se refiere al Auto de 1 de octubre de 1984 de la Audiencia Territorial de Granada, constituida en Sala de Justicia, confirmado por el Auto de 9 de octubre que resolvió inaplicar el art.  386 del Reglamento de Organización, Funcionamiento y Régimen Jurídico de las Corporaciones Locales.  Tal pronunciamiento, como ya indicó en un caso similar el precedente Auto de la Sección Segunda de la Sala Primera de este T.C., dictado en el R.A.  núm.  159/1983, de 8 de junio de 1983, es consecuencia de un juicio de legalidad que no puede ser revisado por este T.C., pues desbordaría, si lo hiciera, los límites que definen la vía de amparo y sólo podría ser revisado si el fundamento de la interpretación fuese opuesto al orden constitucional, cosa que no ocurre en el presente caso.</w:t>
      </w:r>
    </w:p>
    <w:p w:rsidR="00256EE9" w:rsidRDefault="00256EE9" w:rsidP="00256EE9">
      <w:pPr>
        <w:pStyle w:val="TextoNormal"/>
      </w:pPr>
      <w:r>
        <w:t>Tampoco esta resolución vulnera el art.  14 de la C.E., ya que la privación al recurrente de la posibilidad de apelación frente a su procesamiento es consecuencia directa de una situación que no puede considerar discriminatoria, pues, por haber sido Alcalde en el momento de producirse los hechos el procesamiento era competencia de la Audiencia Provincial, por aplicación del art.  416.1 de la L.R.L.  y en situaciones similares como sucede con los funcionarios de Policia en la Ley 55/1978, la posibilidad de recursos ulteriores contra los Autos de procesamiento se encuentra igualmente limitada.</w:t>
      </w:r>
    </w:p>
    <w:p w:rsidR="00256EE9" w:rsidRDefault="00256EE9" w:rsidP="00256EE9">
      <w:pPr>
        <w:pStyle w:val="TextoNormal"/>
      </w:pPr>
      <w:r>
        <w:t>A mayor abundamiento el art.  14.5 del Pacto Internacional de Derechos Civiles y Políticos reconoce que toda persona declarada culpable tendrá derecho a que el fallo condenatorio y la pena sea sometida a un Tribunal Superior, pero en la cuestión planteada no estamos ante este supuesto, que ha sido interpretado por este T.C. (Sentencias núm. 42/1982 y núm.  76/1982), pues, como ya indicó el citado Auto núm.  159/1983, de 8 de junio, si bien no se ha admitido el recurso de apelación, no nos encontramos ni ante un declarado culpable ni sometido a una pena, condiciones exigidas en el Pacto Internacional de referencia para el acceso al Tribunal Superior.</w:t>
      </w:r>
    </w:p>
    <w:p w:rsidR="00256EE9" w:rsidRDefault="00256EE9" w:rsidP="00256EE9">
      <w:pPr>
        <w:pStyle w:val="TextoNormal"/>
      </w:pPr>
    </w:p>
    <w:p w:rsidR="00256EE9" w:rsidRDefault="00256EE9" w:rsidP="00256EE9">
      <w:pPr>
        <w:pStyle w:val="TextoNormal"/>
      </w:pPr>
      <w:r w:rsidRPr="00256EE9">
        <w:rPr>
          <w:rStyle w:val="NumeroAFNegritaCaracter"/>
        </w:rPr>
        <w:t>3</w:t>
      </w:r>
      <w:r>
        <w:t>. Como petición subsidiaria la parte recurrente estima que el Auto dictado por la Audiencia Provincial de Almería que, con fecha 24 de mayo de 1984, acordaba su procesamiento vulnera el art. 24 de la C.E, en especial en cuanto a la violación del derecho a la presunción de inocencia.</w:t>
      </w:r>
    </w:p>
    <w:p w:rsidR="00256EE9" w:rsidRDefault="00256EE9" w:rsidP="00256EE9">
      <w:pPr>
        <w:pStyle w:val="TextoNormal"/>
      </w:pPr>
      <w:r>
        <w:t>Como han indicado los Autos de la Sección Segunda de la Sala Primera de este T.C. dictados el día 21 de marzo de 1984 (R.A. núm. 764/1983) y de la Sección Primera de la Sala Primera de 16 de mayo de 1984 (R.A.  número 766/1983 ), el Auto de procesamiento que determina el art.  384 de la L.E.Cr.  en cuanto medida que sujeta a una persona a efectos, cargas y restricciones cautelares de cierta gravedad ha de fundarse en la presencia de «indicios racionales de criminalidad» y el contenido y alcance del Auto de procesamiento es el de formalizar una provisoria imputación del delito que abra el proceso acusatorio, por lo que no puede infringir la presunción de inocencia prevista en el art. 24.2 de la C.E., que se mantiene viva a pesar de la medida cautelar, por ser un derecho reconocido a no ser condenado sin pruebas de cargo que abonen la culpabilidad, criterio que reitera el de los precedentes Autos de 25 de octubre de 1982, 2 de febrero y 13 de abril de 1983.</w:t>
      </w:r>
    </w:p>
    <w:p w:rsidR="00256EE9" w:rsidRDefault="00256EE9" w:rsidP="00256EE9">
      <w:pPr>
        <w:pStyle w:val="TextoNormal"/>
      </w:pPr>
      <w:r>
        <w:lastRenderedPageBreak/>
        <w:t>Finalmente, los órganos jurisdiccionales han dictado sucesivas resoluciones fundadas en Derecho y los recurrentes han ejercitado las vías de impugnación legalmente previstas, por lo que es inexistente la vulneración del art. 24 de la C.E.</w:t>
      </w:r>
    </w:p>
    <w:p w:rsidR="00256EE9" w:rsidRDefault="00256EE9" w:rsidP="00256EE9">
      <w:pPr>
        <w:pStyle w:val="TextoNormal"/>
      </w:pPr>
    </w:p>
    <w:p w:rsidR="00256EE9" w:rsidRDefault="00256EE9" w:rsidP="00256EE9">
      <w:pPr>
        <w:pStyle w:val="TextoNormal"/>
      </w:pPr>
      <w:r w:rsidRPr="00256EE9">
        <w:rPr>
          <w:rStyle w:val="NumeroAFNegritaCaracter"/>
        </w:rPr>
        <w:t>4</w:t>
      </w:r>
      <w:r>
        <w:t>. Los razonamientos precedentes conducen a la conclusión de que el recurso carece de contenido constitucional, por aplicación del art.  50.2 b ) de la LOTC, que justifique una resolución de fondo en forma de Sentencia con el desarrollo procesal consiguiente, sin que proceda analizar, en consecuencia, la segunda causa de inadmisión señalada en nuestra referida providencia de 5 de diciembre de 1984.</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Sección acuerda declarar inadmisible el recurso de amparo interpuesto por la Procuradora doña Elisa Hurtado Pérez, en nombre de don Juan Emeterio Martínez Romera, sin que haya lugar a tramitar el incidente de suspensión</w:t>
      </w:r>
    </w:p>
    <w:p w:rsidR="00256EE9" w:rsidRDefault="00256EE9" w:rsidP="00256EE9">
      <w:pPr>
        <w:pStyle w:val="TextoNormal"/>
      </w:pPr>
      <w:r>
        <w:t>previsto en el art.  56.2 de la LOTC.  Se acuerda, finalmente, el archivo de las actuaciones.</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5" w:name="AUTO_1985_84"/>
      <w:r>
        <w:lastRenderedPageBreak/>
        <w:t>AUTO 84/1985, de 6 de febrero de 1985</w:t>
      </w:r>
    </w:p>
    <w:bookmarkEnd w:id="145"/>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ECLI:ES:TC:1985:84A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773/1984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Santos de Gandarillas Carmona, Procurador de los Tribunales, interpone en nombre y representación de doña María Concepción Solé Saumell recurso de amparo constitucional contra la Sentencia de 10 de octubre de 1984 dictada por la Magistratura de Trabajo núm. 12 de las de Barcelona sustanciando demanda en reclamación por prestación de jubilación, con apoyo en los siguientes hechos: a) En febrero de 1983, la actora interpuso ante la jurisdicción ordinaria del orden laboral demanda por diferencias de cotización referentes al cálculo de la base reguladora de su ya reconocida pensión de jubilación. b) Turnada dicha demanda, el conocimiento de la misma correspondió a la Magistratura de Trabajo núm. 12 de las de Barcelona, que el 11 de febrero de 1983 la admitió a trámite, señalando como fecha para la celebración del juicio el 7 de junio de 1984. </w:t>
      </w:r>
    </w:p>
    <w:p w:rsidR="00256EE9" w:rsidRDefault="00256EE9" w:rsidP="00256EE9">
      <w:pPr>
        <w:pStyle w:val="TextoNormal"/>
      </w:pPr>
      <w:r>
        <w:t>Suspendida la vista por enfermedad de la parte demandada, la misma tuvo lugar el día 27 de septiembre último. c) En fecha 10 de octubre de 1984, la Magistratura de Trabajo dictó Sentencia desestimatoria de la demanda, advirtiendo a las partes que contra la misma no cabía recurso alguno.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escrito de demanda denuncia la violación por la Sentencia combatida del art. 14 de la C.E., violación que se habría producido al denegarse expresamente la facultad de accederse a una segunda instancia mediante la interposición del correspondiente recurso de suplicación en razón de no alcanzar la cuantía litigiosa el mínimo exigible, criterio éste discriminatorio. Arguye la recurrente que la aplicación por la resolución impugnada del párrafo 1, del art. 153 de la L.P.L. la ha colocado en una situación de desigualdad ante la Ley, ya que al condicionar el acceso al recurso de suplicación a que el litigio supere determinada cuantía «convierte en automáticamente despreciables y carentes de relevancia jurídica todas aquellas peticiones que no alcanzan los mínimos legalmente establecidos». La demandante, de otra parte, señala que su demanda fue presentada en Magistratura antes de la entrada en vigor de la modificación de la cuantía del recurso operada por el Real Decreto 1896/1983, de 15 de julio, de modo que la imposibilidad de recurrir se debió a la «postergación a la que se ven sometidas estas cuestiones por las Magistraturas de Trabajo a la hora de señalarse su vista». </w:t>
      </w:r>
    </w:p>
    <w:p w:rsidR="00256EE9" w:rsidRDefault="00256EE9" w:rsidP="00256EE9">
      <w:pPr>
        <w:pStyle w:val="TextoNormal"/>
      </w:pPr>
      <w:r>
        <w:t>En el «suplico» se solicita de este Tribunal que declare la nulidad de la Sentencia impugnada y, tras estimar el amparo, eleve la cuestión al Pleno a fin de que por éste se decla</w:t>
      </w:r>
      <w:r>
        <w:lastRenderedPageBreak/>
        <w:t>re la inconstitucionalidad del Real Decreto 1896/1983, de 15 de junio, por el que se modifica el art. 153 de la L.P. L. en lo que respecta a la cuantía mínima para acceder al recurso de suplicación.</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12 de diciembre de 1984, la Sección, tras tener por recibido el escrito de demanda, acordó conceder al Ministerio Fiscal y a la recurrente un plazo común de diez días, a fin de que, dentro del mismo, formularen las alegaciones que estimaren pertinentes en orden a la posible concurrencia del motivo de inadmisión de carácter insubsanable consistente en carecer la demanda manifiestamente de contenido que justifique una decisión por parte del Tribunal Constitucional [art. 50.2 b)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Evacuando el trámite, el Ministerio Fiscal manifiesta que la limitación del acceso a los recursos en base a la cuantía de las pretensiones deducidas en el proceso no vulnera el principio de igualdad. Afirma que sobre tal módulo de determinación de competencias se fundamenta buena parte del sistema procesal español sin que pueda predicarse de éste, desde una perspectiva constitucional, la ausencia de una justificación objetiva y razonable. No cabe hablar de discriminación, ya que la desigualdad que establece es razonable y proporcionada a los efectos. </w:t>
      </w:r>
    </w:p>
    <w:p w:rsidR="00256EE9" w:rsidRDefault="00256EE9" w:rsidP="00256EE9">
      <w:pPr>
        <w:pStyle w:val="TextoNormal"/>
      </w:pPr>
      <w:r>
        <w:t xml:space="preserve">En lo que atañe a la alegación del recurrente respecto al tiempo de la deducción de la demanda en relación con la fecha de entrada en vigor del Real Decreto 1896/1983, de 15 de junio, el Ministerio Fiscal indica que el tiempo transcurrido entre la presentación de la demanda -4 de febrero de 1983- y la promulgación de la citada norma no es exagerado, no habiéndose acreditado que sea imputable a la inactividad de la Magistratura el que no haya podido ser visto el procedimiento dentro del reseñado plazo. </w:t>
      </w:r>
    </w:p>
    <w:p w:rsidR="00256EE9" w:rsidRDefault="00256EE9" w:rsidP="00256EE9">
      <w:pPr>
        <w:pStyle w:val="TextoNormal"/>
      </w:pPr>
      <w:r>
        <w:t>En razón de lo expuesto, el Ministerio Fiscal concluye interesando de este Tribunal se dicte Auto de desestimación de la demanda de amparo por incurrir en la causa de inadmisión del art. 50.2 b) de la LOTC, no procediendo, por consiguiente, la petición postulada de que sea elevada al Pleno la presunta inconstitucionalidad del art. 153.1 de la L.P.L.</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su escrito de alegaciones, la recurrente reitera lo esencial del alegato anterior, insistiendo en la indefensión que le ha causado el que la demanda laboral no fuera sustanciada antes de la entrada en vigor del Real Decreto 1896/1983, que se le ha aplicado retroactivamente, impidiéndosele recurrir «una Sentencia absolutamente injusta». </w:t>
      </w:r>
    </w:p>
    <w:p w:rsidR="00256EE9" w:rsidRDefault="00256EE9" w:rsidP="00256EE9">
      <w:pPr>
        <w:pStyle w:val="TextoNormal"/>
      </w:pPr>
      <w:r>
        <w:t>En razón de ello, solicita de este Tribunal acuerde admitir a trámite el recurso promovido.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desigualdad que la recurrente manifiesta haber padecido habría venido ocasionada en razón de la aplicación por la Sentencia recurrida de los criterios que regulan el sistema de recursos en la jurisdicción ordinaria del orden laboral y, en concreto, de los que fijan la cuantía mínima litigiosa para poder impugnar a través del recurso extraordinario de suplicación las resoluciones dictadas por los órganos judiciales unipersonales.</w:t>
      </w:r>
    </w:p>
    <w:p w:rsidR="00256EE9" w:rsidRDefault="00256EE9" w:rsidP="00256EE9">
      <w:pPr>
        <w:pStyle w:val="TextoNormal"/>
      </w:pPr>
      <w:r>
        <w:t>La regla general contenida en el párrafo 1, del art.  153 de la L.P.L.  y a tenor de la cual la procedencia del reseñado recurso queda circunscrita a reclamaciones cuya cuantía liti</w:t>
      </w:r>
      <w:r>
        <w:lastRenderedPageBreak/>
        <w:t>giosa excede de 200.000 pesetas produce, en el decir de la recurrente, efectos discriminatorios respecto de aquellos litigantes que promuevan demandas en las que lo solicitado no alcance «los mínimos legalmente establecidos», tal y como sucede en el caso a examen.</w:t>
      </w:r>
    </w:p>
    <w:p w:rsidR="00256EE9" w:rsidRDefault="00256EE9" w:rsidP="00256EE9">
      <w:pPr>
        <w:pStyle w:val="TextoNormal"/>
      </w:pPr>
    </w:p>
    <w:p w:rsidR="00256EE9" w:rsidRDefault="00256EE9" w:rsidP="00256EE9">
      <w:pPr>
        <w:pStyle w:val="TextoNormal"/>
      </w:pPr>
      <w:r w:rsidRPr="00256EE9">
        <w:rPr>
          <w:rStyle w:val="NumeroAFNegritaCaracter"/>
        </w:rPr>
        <w:t>2</w:t>
      </w:r>
      <w:r>
        <w:t>. Planteada en los términos descritos la presente demanda de amparo carece de contenido constitucional, no habiendo vulnerado, en modo alguno, la Sentencia recurrida el principio de igualdad ante la Ley al denegar a la actora el acceso al recurso de suplicación.  Como con reiteración ha señalado este Tribunal, el mandato de igualdad formulado por el art.  14 de la C.E.  no tiene valor absoluto que obligue a los Poderes Públicos a establecer una uniformidad de tratamiento con abstracción de consideraciones jurídicas relevantes o merecedoras de diferenciación.</w:t>
      </w:r>
    </w:p>
    <w:p w:rsidR="00256EE9" w:rsidRDefault="00256EE9" w:rsidP="00256EE9">
      <w:pPr>
        <w:pStyle w:val="TextoNormal"/>
      </w:pPr>
      <w:r>
        <w:t>Partiendo de la doctrina tantas veces expuesta por este Tribunal de que la Constitución no consagra el derecho al doble enjuiciamiento salvo en materia penal y de que, por tanto, compete al legislador arbitrar los medios impugnatorios que estime convenientes con arreglo a los criterios de ordenación que juzgue más oportunos, no puede estimarse atentatorio al principio de igualdad la regla general establecida en el art.  153 de la L.P.L. de limitar el recurso de suplicación por razón de la cuantía.</w:t>
      </w:r>
    </w:p>
    <w:p w:rsidR="00256EE9" w:rsidRDefault="00256EE9" w:rsidP="00256EE9">
      <w:pPr>
        <w:pStyle w:val="TextoNormal"/>
      </w:pPr>
      <w:r>
        <w:t>La medida, que cuenta con una dilatada tradición en nuestra legislación procesal laboral, posee un fundamento razonable y proporcionado al fin perseguido de atribuir a los órganos jurisdiccionales intermedios o superiores funciones de control de la legalidad asentados en criterios selectivos, reservando la vía del recurso a determinados asuntos calificados por la importancia de la materia debatida, definida en términos cuantitativos o cualitativos.</w:t>
      </w:r>
    </w:p>
    <w:p w:rsidR="00256EE9" w:rsidRDefault="00256EE9" w:rsidP="00256EE9">
      <w:pPr>
        <w:pStyle w:val="TextoNormal"/>
      </w:pPr>
      <w:r>
        <w:t>La aplicación por la Sentencia impugnada de las reglas ordenadoras de los recursos no ha infringido, por tanto, el principio de igualdad, que evidentemente no puede amparar la pretensión de obtener las consecuencias jurídicas previstas para situaciones de hecho diferentes.  A este Tribunal no le corresponde fijar las cuantías mínimas y máxima para recurrir en suplicación; pero sí le compete reconocer que no se lesiona el principio de igualdad cuando la advertencia de que cabe o no promover recurso frente a una determinada Sentencia deriva del valor reclamado por los litigantes, pues entonces dicha desigualdad no puede calificarse de injustificada e irrazonable.</w:t>
      </w:r>
    </w:p>
    <w:p w:rsidR="00256EE9" w:rsidRDefault="00256EE9" w:rsidP="00256EE9">
      <w:pPr>
        <w:pStyle w:val="TextoNormal"/>
      </w:pPr>
    </w:p>
    <w:p w:rsidR="00256EE9" w:rsidRDefault="00256EE9" w:rsidP="00256EE9">
      <w:pPr>
        <w:pStyle w:val="TextoNormal"/>
      </w:pPr>
      <w:r w:rsidRPr="00256EE9">
        <w:rPr>
          <w:rStyle w:val="NumeroAFNegritaCaracter"/>
        </w:rPr>
        <w:t>3</w:t>
      </w:r>
      <w:r>
        <w:t>. De otra parte, resultan del todo irrelevantes desde una perspectiva constitucional las consideraciones de la demandante en orden a la modificación que el Real Decreto 1896/1983, de 15 de junio, introdujo en el régimen jurídico de los recursos de suplicación.  La aplicación de una nueva cuantía litigiosa al proceso promovido por la recurrente, distinta a la prevista en el momento de formalizarse la demanda, resulta de lo prevenido en la disposición transitoria de aquella norma, sin que la solución ahí adoptada haya producido indefensión, dado que el art. 24.1 de la Constitución no comprende el derecho a la segunda instancia en materia laboral sino en la medida en que esté previsto por la legalidad aplicable, y dado que la actora ha obtenido una Sentencia de Magistratura, aunque no haya sido favorable a sus pretensiones.  Ninguna norma constitucional fundamenta el derecho de los justiciables a la inmodificabilidad del sistema de ordenación de recursos, o, si se prefiere, el derecho a impugnar una decisión no existente aún en el mundo jurídico con arreglo a ciertos criterios en lugar de conforme a otros.  Por lo demás, carece de toda razonable fundamentación la denuncia de lo que pudiera calificarse como «dilaciones indebidas» a la hora de resolver el contencioso promovido, ya que, como razona el Ministerio Fiscal, el tiempo transcurrido no es exagerado.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6" w:name="AUTO_1985_85"/>
      <w:r>
        <w:lastRenderedPageBreak/>
        <w:t>AUTO 85/1985, de 6 de febrero de 1985</w:t>
      </w:r>
    </w:p>
    <w:bookmarkEnd w:id="146"/>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ECLI:ES:TC:1985:85A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787/1984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pasado día 14 de noviembre quedó registrado en el Tribunal un escrito mediante el que doña Esperanza Azpeitia Calvin, Procuradora de los Tribunales de Madrid, interpuso recurso de amparo en nombre de su poderdante, doña Ana María Iniesto Alcobendas, contra la Sentencia de 24 de septiembre de 1984, dictada por el Tribunal Central de Trabajo confirmando la anterior de 12 de marzo del mismo año, de la Magistratura de Trabajo núm. 1 de Madrid, y en la que se desestimó la pretensión de la actora por apreciarse la caducidad de su demanda.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Se basa la demanda de amparo en las siguientes consideraciones de hecho: </w:t>
      </w:r>
    </w:p>
    <w:p w:rsidR="00256EE9" w:rsidRDefault="00256EE9" w:rsidP="00256EE9">
      <w:pPr>
        <w:pStyle w:val="TextoNormal"/>
      </w:pPr>
      <w:r>
        <w:t xml:space="preserve">a) La recurrente trabajó en la empresa «Promotora y Financiera Santillana, S. A.», hasta el 5 de junio de 1981, extinguiéndose desde esta fecha su contrato laboral por resolución de la Dirección Provincial de Trabajo y Seguridad Social de Madrid, adoptada a resultas de expediente de reestructuración de plantilla núm. 254/1981. </w:t>
      </w:r>
    </w:p>
    <w:p w:rsidR="00256EE9" w:rsidRDefault="00256EE9" w:rsidP="00256EE9">
      <w:pPr>
        <w:pStyle w:val="TextoNormal"/>
      </w:pPr>
      <w:r>
        <w:t xml:space="preserve">b) Solicitada la prestación de desempleo, ésta le fue concedida -según consta en los resultandos de la Sentencia recurrida- el 27 de junio de 1981, por más que no obtuvo la recurrente la debida notificación de dicha resolución. </w:t>
      </w:r>
    </w:p>
    <w:p w:rsidR="00256EE9" w:rsidRDefault="00256EE9" w:rsidP="00256EE9">
      <w:pPr>
        <w:pStyle w:val="TextoNormal"/>
      </w:pPr>
      <w:r>
        <w:t xml:space="preserve">c) No obstante la falta de notificación del acto en el que se concedió la prestación, la actora comenzó a cobrar las cantidades correspondientes por dicho concepto, con efectos de 6 de junio de 1981. Estas cantidades fueron consideradas por la recurrente -según dice- inferiores a las debidas en Derecho, circunstancia ésta que le hizo acudir a la Oficina de Empleo requiriendo una explicación, que no obtuvo. Mientras tanto, otros compañeros de la actora, que sí habían recibido notificación del acto en el que se les concedió la prestación y que apreciaron igualmente anomalías en las cantidades percibidas, reclamaron en vía administrativa y, posteriormente, interpusieron demanda ante la Magistratura de Trabajo, estimándose favorablemente algunas de estas pretensiones. </w:t>
      </w:r>
    </w:p>
    <w:p w:rsidR="00256EE9" w:rsidRDefault="00256EE9" w:rsidP="00256EE9">
      <w:pPr>
        <w:pStyle w:val="TextoNormal"/>
      </w:pPr>
      <w:r>
        <w:t xml:space="preserve">d) La recurrente siguió percibiendo la prestación, si bien afirma no haber conseguido de la Entidad bancaria pagadora justificante alguno de pago, persistiendo, por lo demás, la Oficina de Empleo, ante sus quejas, en una actitud aparentemente evasiva. </w:t>
      </w:r>
    </w:p>
    <w:p w:rsidR="00256EE9" w:rsidRDefault="00256EE9" w:rsidP="00256EE9">
      <w:pPr>
        <w:pStyle w:val="TextoNormal"/>
      </w:pPr>
      <w:r>
        <w:t xml:space="preserve">e) En fecha que no se indica en el recurso ( pero que fue de 29 de marzo de 1983, según consta en la Sentencia recurrida), doña Ana María Iniesto dedujo reclamación administrativa previa, que no fue contestada. </w:t>
      </w:r>
    </w:p>
    <w:p w:rsidR="00256EE9" w:rsidRDefault="00256EE9" w:rsidP="00256EE9">
      <w:pPr>
        <w:pStyle w:val="TextoNormal"/>
      </w:pPr>
      <w:r>
        <w:lastRenderedPageBreak/>
        <w:t xml:space="preserve">f) Tras del silencio administrativo, interpuso la actora demanda ante la Magistratura de Trabajo de Madrid el 6 de junio de 1983. En el juicio oral el I.N.E.M. alegó -«en contra de lo prometido», dice la recurrente- excepción de caducidad de la acción, excepción que fue estimada por el Magistrado, desestimándose la pretensión deducida y absolviéndose, en consecuencia, al Instituto Nacional del Empleo. </w:t>
      </w:r>
    </w:p>
    <w:p w:rsidR="00256EE9" w:rsidRDefault="00256EE9" w:rsidP="00256EE9">
      <w:pPr>
        <w:pStyle w:val="TextoNormal"/>
      </w:pPr>
      <w:r>
        <w:t>g) Contra la anterior resolución interpuso la actora recurso de suplicación, resuelto por el Tribunal Central de Trabajo en Sentencia de 24 de septiembre de 1984 (notificada el 22 de octubre) desestimando la pretensión y confirmando, de este modo, la Sentencia recurrida.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fundamentación en Derecho de la demanda de amparo puede resumirse como sigue: </w:t>
      </w:r>
    </w:p>
    <w:p w:rsidR="00256EE9" w:rsidRDefault="00256EE9" w:rsidP="00256EE9">
      <w:pPr>
        <w:pStyle w:val="TextoNormal"/>
      </w:pPr>
      <w:r>
        <w:t xml:space="preserve">a) La primera violación de sus derechos fundamentales que alega la actora se basa en el presunto quebrantamiento por la Sentencia del Tribunal Central del principio de igualdad ante la Ley, toda vez -se dice- que esta resolución judicial quebró «un criterio mantenido por el Tribunal Supremo y por el propio Tribunal Central de Trabajo», según el cual la excepción de caducidad no sería admisible en casos como el presente, en el que no hubo notificación del acto contra el que recurre. Invoca genéricamente sin identificarlas, Sentencias del Tribunal Supremo y del Tribunal Central de Trabajo en tal sentido y alude expresamente a la de 20 de mayo de 1981, de este último Tribunal, en la que se dice, según cita de la recurrente, que «el cómputo del plazo de caducidad nunca puede asentarse sobre una conjetura». Señala, específicamente, que no es aceptable el argumento de que, pese a no haber sido notificada, sí tuvo desde el principio constancia del acto, ya que entró y continuó en el percibo de las cantidades que de el se seguían. Aduce, al respecto, que «las prestaciones por desempleo ... sufren una demora en su resolución», lo que da lugar a que, antes de que la misma se dicte, comiencen a percibirse anticipos. Si esto es así -añade-, la doctrina de la Sentencia impugnada llevaría a la irrazonable consecuencia de que, en muchos casos, la resolución tardía sería ya irrecurrible, por no haberse reaccionado en tiempo frente a los anticipos percibidos con cargo a la misma. </w:t>
      </w:r>
    </w:p>
    <w:p w:rsidR="00256EE9" w:rsidRDefault="00256EE9" w:rsidP="00256EE9">
      <w:pPr>
        <w:pStyle w:val="TextoNormal"/>
      </w:pPr>
      <w:r>
        <w:t xml:space="preserve">Concluye afirmando que el incumplimiento por un órgano del Estado del deber de resolver y notificar no puede beneficiar al mismo ente infractor, en perjuicio de la parte más débil, que es, en este caso, la demandante de amparo. </w:t>
      </w:r>
    </w:p>
    <w:p w:rsidR="00256EE9" w:rsidRDefault="00256EE9" w:rsidP="00256EE9">
      <w:pPr>
        <w:pStyle w:val="TextoNormal"/>
      </w:pPr>
      <w:r>
        <w:t xml:space="preserve">b) Acumulativamente, se alega en la demanda la infracción del derecho fundamental reconocido en el art. 24.1 de la Constitución, ya que la Sentencia recurrida habria deparado indefensión a la parte, al haber basado su fallo en una «presunción» que provoca «la imposibilidad de acceder a un procedimiento prejudicial y judicial». Se afirma, tras reiterar los argumentos expuestos para fundamentar el anterior motivo del recurso, que la indefensión se verifica desde el momento en el que, al no haber resolución notificada, no hay tampoco posibilidad de combatir el acto, y que, cuando tal reclamación se intenta, la excepción de caducidad ya priva de toda defensa a la recurrente. </w:t>
      </w:r>
    </w:p>
    <w:p w:rsidR="00256EE9" w:rsidRDefault="00256EE9" w:rsidP="00256EE9">
      <w:pPr>
        <w:pStyle w:val="TextoNormal"/>
      </w:pPr>
      <w:r>
        <w:t>En el «suplico» se solicita del Tribunal la declaración de nulidad de la Sentencia del Tribunal Central por infringir los arts. 14 y 24.1 de la Constitución.</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del pasado 9 de enero, la Sección Tercera puso de manifiesto a la recurrente y al Ministerio Fiscal la posible existencia de las siguientes causas de inadmisión: </w:t>
      </w:r>
    </w:p>
    <w:p w:rsidR="00256EE9" w:rsidRDefault="00256EE9" w:rsidP="00256EE9">
      <w:pPr>
        <w:pStyle w:val="TextoNormal"/>
      </w:pPr>
      <w:r>
        <w:lastRenderedPageBreak/>
        <w:t xml:space="preserve">a) La del art. 50.1 b) en relación con el 44.1 c), ambos de la LOTC, porque no se justifica la invocación en la vía judicial ordinaria del derecho constitucional que se reputa violado. </w:t>
      </w:r>
    </w:p>
    <w:p w:rsidR="00256EE9" w:rsidRDefault="00256EE9" w:rsidP="00256EE9">
      <w:pPr>
        <w:pStyle w:val="TextoNormal"/>
      </w:pPr>
      <w:r>
        <w:t xml:space="preserve">b) La del art. 50.1 b) en relación con el 49.2 b), por falta de presentación de copia, traslado o certificación de la Sentencia dictada por la Magistratura. </w:t>
      </w:r>
    </w:p>
    <w:p w:rsidR="00256EE9" w:rsidRDefault="00256EE9" w:rsidP="00256EE9">
      <w:pPr>
        <w:pStyle w:val="TextoNormal"/>
      </w:pPr>
      <w:r>
        <w:t xml:space="preserve">Dentro del trámite abierto por la indicada providencia, la representación de la recurrente ha sostenido que no se da la primera de las causas de inadmisión señaladas porque la violación constitucional la ha producido la Sentencia del Tribunal Central de Trabajo frente a la que no cabía recurso alguno. Por la misma razón, se entiende que no se da tampoco la causa de inadmisión señalada en segundo término si bien, en todo caso, acompaña copia de la Sentencia dictada por la Magistratura de Trabajo. </w:t>
      </w:r>
    </w:p>
    <w:p w:rsidR="00256EE9" w:rsidRDefault="00256EE9" w:rsidP="00256EE9">
      <w:pPr>
        <w:pStyle w:val="TextoNormal"/>
      </w:pPr>
      <w:r>
        <w:t xml:space="preserve">Concluye solicitando la admisión a trámite del recurso. </w:t>
      </w:r>
    </w:p>
    <w:p w:rsidR="00256EE9" w:rsidRDefault="00256EE9" w:rsidP="00256EE9">
      <w:pPr>
        <w:pStyle w:val="TextoNormal"/>
      </w:pPr>
      <w:r>
        <w:t xml:space="preserve">El Ministerio Fiscal, por su parte, sostiene que pese a las afirmaciones de la recurrente, es evidente que siendo la Sentencia del Tribunal Central de Trabajo simple confirmación de la dictada por la Magistratura, si existiera la violación de derechos constitucionales que la recurrente dice existir, tal violación sería imputable de modo inmediato y directo a la Sentencia de la Magistratura de Trabajo, no a la del Tribunal Central de Trabajo. </w:t>
      </w:r>
    </w:p>
    <w:p w:rsidR="00256EE9" w:rsidRDefault="00256EE9" w:rsidP="00256EE9">
      <w:pPr>
        <w:pStyle w:val="TextoNormal"/>
      </w:pPr>
      <w:r>
        <w:t>Afirma, en consecuencia, la existencia de la primera de las causas de inadmisión señaladas puesto que la recurrente debió inexcusablemente, antes de acudir al amparo constitucional, buscar dentro de la jurisdicción laboral el remedio de la violación que supone producida invocando ante ella los derechos constitucionales que ahora intenta hacer valer. También aprecia la existencia de la segunda de las causas de inadmisión señaladas.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Es absolutamente obvio que estando el origen de la presunta violación de los derechos garantizados por los arts.  14 y 24 de la Constitución que ante nosotros se alega, en la decisión judicial de entender caducada la acción de la recurrente para reclamar la modificación de la prestación de desempleo que percibía, esta violación sólo puede ser imputada de modo inmediato y directo a la Sentencia de la Magistratura de Trabajo núm.  1 de Madrid, que el Tribunal Central de Trabajo se limitó a confirmar, sin modificación alguna.  Esta es una realidad que resulta del relato de los hechos que hace la demandante y de la documentación por ella aportada y contra la cual no puede prevalecer su deseo de considerar objeto de la impugnación sólo la Sentencia del Tribunal superior.</w:t>
      </w:r>
    </w:p>
    <w:p w:rsidR="00256EE9" w:rsidRDefault="00256EE9" w:rsidP="00256EE9">
      <w:pPr>
        <w:pStyle w:val="TextoNormal"/>
      </w:pPr>
      <w:r>
        <w:t>Prescindiendo del hecho de que su demanda de amparo, que en ese supuesto tampoco sería admisible por ir en contra de lo dispuesto en el art.  44.1 b) de la LOTC, carecería de sentido, puesto que, anulada la Sentencia del Tribunal superior, mantendría su fuerza la de la Magistratura de Trabajo, es claro que no puede dejarse al arbitrio de los recurrentes señalar como única decisión judicial impugnada la que no es sino el término de una serie de decisiones sucesivas con idéntico contenido, pues de este modo se burlaría la exigencia que impone el art.  44.1 c ) de la LOTC, cuya observancia es inexcusable para preservar la naturaleza subsidiaria del recurso constitucional de amparo.</w:t>
      </w:r>
    </w:p>
    <w:p w:rsidR="00256EE9" w:rsidRDefault="00256EE9" w:rsidP="00256EE9">
      <w:pPr>
        <w:pStyle w:val="TextoNormal"/>
      </w:pPr>
      <w:r>
        <w:t>En el presente caso, la recurrente no indicó en su demanda que hubiese dado cumplimiento a dicho requisito y cuando en trámite de admisión se le dio ocasión de remediar este defecto de su demanda, se limitó a afirmar, contra toda razón, que no estaba obligada, en su caso, a dar cumplimiento a dicho precepto.  Es forzoso concluir, por tanto, que se da la primera de las causas de inadmisión señaladas por nosotros en primer lugar.</w:t>
      </w:r>
    </w:p>
    <w:p w:rsidR="00256EE9" w:rsidRDefault="00256EE9" w:rsidP="00256EE9">
      <w:pPr>
        <w:pStyle w:val="TextoNormal"/>
      </w:pPr>
      <w:r>
        <w:lastRenderedPageBreak/>
        <w:t>La segunda de las causas de inadmisión, de carácter subsanable, puede considerarse subsanada mediante el envío, con el escrito de alegaciones, de una copia de la Sentencia dictada por la Magistratura de Trabajo número 1.  Dicha remisión, incongruente desde luego con la postura asumida por la recurrente, subsana la segunda de las causas de inadmisión señaladas y con ello, al mismo tiempo, ratifica la existencia de la primera.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lo expuesto, la Sección acuerda por tanto la inadmisión del presente recurso.</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7" w:name="AUTO_1985_86"/>
      <w:r>
        <w:lastRenderedPageBreak/>
        <w:t>AUTO 86/1985, de 6 de febrero de 1985</w:t>
      </w:r>
    </w:p>
    <w:bookmarkEnd w:id="147"/>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ECLI:ES:TC:1985:86A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800/1984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José Luis Lebrero Salvatierra, representado por Procurador y asistido de Letrado, interpone recurso de amparo, mediante escrito que tuvo su entrada el 20 de noviembre de 1984, contra Auto de la Sala de lo Civil del Tribunal Supremo de 18 de octubre de 1984, dictado en recurso de queja (rollo 1164/1984), que resuelve no haber lugar a la queja deducida contra Auto de la Audiencia de Pamplona de 6 de julio de 1984 denegando certificación para recurrir en casación frente al Auto de 26 de junio de 1984 recaído en autos 47/1984 dimanantes del expediente de jurisdicción voluntaria núm. 154/1983 del Juzgado de Primera Instancia de Tafalla.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en que se fundamenta la demanda o que se desprenden de la misma son los siguientes: </w:t>
      </w:r>
    </w:p>
    <w:p w:rsidR="00256EE9" w:rsidRDefault="00256EE9" w:rsidP="00256EE9">
      <w:pPr>
        <w:pStyle w:val="TextoNormal"/>
      </w:pPr>
      <w:r>
        <w:t xml:space="preserve">a) El expediente de jurisdicción voluntaria promovido por doña Marcela Andrea Mazzeo Zurdo Martínez frente al solicitante de amparo, sobre guarda y custodia de un hijo de ambos, ante la oposición a lo solicitado, el Juez de Primera Instancia de Tafalla dictó, en virtud del art. 1.817 de la L.E.C., Auto de 3 de abril de 1984, del que no se aporta copia, por el que acordó «sobreseer este expediente declarándolo contencioso, sin alterar la situación que al tiempo de invocarlo tenían los interesados y que es objeto del mismo; quedando a salvo el ejercicio de las acciones que a los interesados corresponden, a través de la vía judicial ordinaria». </w:t>
      </w:r>
    </w:p>
    <w:p w:rsidR="00256EE9" w:rsidRDefault="00256EE9" w:rsidP="00256EE9">
      <w:pPr>
        <w:pStyle w:val="TextoNormal"/>
      </w:pPr>
      <w:r>
        <w:t xml:space="preserve">b) Interpuesto por la señora Mazzeo recurso de apelación, la Audiencia de Pamplona, tras la celebración del correspondiente juicio oral en el que -se dice- se hizo ver la indefensión que se produciría al ahora solicitante de amparo de no confirmarse el Auto anterior, ya que el Juzgado de Primera Instancia no había podido entrar en el fondo del asunto, ni se habían llevado al mismo las pruebas necesarias, dictó Auto de 26 de junio de 1984, del que tampoco se acompaña copia, acordando: </w:t>
      </w:r>
    </w:p>
    <w:p w:rsidR="00256EE9" w:rsidRDefault="00256EE9" w:rsidP="00256EE9">
      <w:pPr>
        <w:pStyle w:val="TextoNormal"/>
      </w:pPr>
      <w:r>
        <w:t>«Estimar el recurso de apelación formulado en nombre de doña Marcela Andrea Mazzeo Zurdo Martínez, y revocar el Auto de fecha de 3 de abril del año en curso dictado por el Juzgado de Primera Instancia de Tafalla en el expediente de jurisdicción voluntaria núm. 154 del año 1983, promovido por la recurrente contra don José Luis Lebrero Salvatierra, y estimar la solicitud decidida por aquélla, confiando a dicha señora la guarda y custodia de su hijo David Lebrero Zurdo, ordenando al padre don José Luis Lebrero Sal</w:t>
      </w:r>
      <w:r>
        <w:lastRenderedPageBreak/>
        <w:t xml:space="preserve">vatierra, que entregue el citado niño a la solicitante, todo ello sin perjuicio de los derechos de patria potestad que a dicho señor corresponden a excepción del único que es objeto de esta resolución y de su derecho a plantear de nuevo la cuestión en el juicio declarativo correspondiente.» c) Solicitada ante la Audiencia Provincial de Pamplona certificación del Auto dictado para interponer frente al mismo recurso de casación por infracción de Ley o doctrina legal, la Sala acordó por nuevo Auto de 6 de julio de 1984, del que tampoco se acompaña copia, no haber lugar a expedir dicha certificación. </w:t>
      </w:r>
    </w:p>
    <w:p w:rsidR="00256EE9" w:rsidRDefault="00256EE9" w:rsidP="00256EE9">
      <w:pPr>
        <w:pStyle w:val="TextoNormal"/>
      </w:pPr>
      <w:r>
        <w:t>d) Interpuesto recurso de queja, fue desestimado por Auto de la Sala de lo Civil del Tribunal Supremo de 18 de octubre de 1984, notificado -se dice- el 25 de octubre, del que sí se aporta certificación.</w:t>
      </w:r>
    </w:p>
    <w:p w:rsidR="00256EE9" w:rsidRDefault="00256EE9" w:rsidP="00256EE9">
      <w:pPr>
        <w:pStyle w:val="TextoNormal"/>
      </w:pPr>
    </w:p>
    <w:p w:rsidR="00256EE9" w:rsidRDefault="00256EE9" w:rsidP="00256EE9">
      <w:pPr>
        <w:pStyle w:val="TextoNormal"/>
      </w:pPr>
      <w:r w:rsidRPr="00256EE9">
        <w:rPr>
          <w:rStyle w:val="NumeroAFNegritaCaracter"/>
        </w:rPr>
        <w:t>3</w:t>
      </w:r>
      <w:r>
        <w:t>. El demandante de amparo estima infringido el art. 24 de la C.E., por la indefensión producida por la Audiencia de Pamplona, al no haber confirmado ésta el Auto del Juzgado de Primera Instancia de Tafalla y haber dictado la misma el fallo sin haber entrado en el asunto ni haber oído al ahora solicitante de amparo como parte interesada. Y solicitó la declaración de nulidad «de las decisiones judiciales a que se ha hecho mención y que produjeron la indefensión cuestionada».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del pasado día 9 de enero, la Sección Tercera del Tribunal puso de manifiesto la posible existencia de las siguientes causas de inadmisión: </w:t>
      </w:r>
    </w:p>
    <w:p w:rsidR="00256EE9" w:rsidRDefault="00256EE9" w:rsidP="00256EE9">
      <w:pPr>
        <w:pStyle w:val="TextoNormal"/>
      </w:pPr>
      <w:r>
        <w:t xml:space="preserve">a) La del art. 50.1 b) en relación con el 49.2 b ), ambos de la LOTC, por no acompañarse copia, traslado o certificación de la resolución dictada por la Sala de lo Civil de la Audiencia Territorial de Pamplona. </w:t>
      </w:r>
    </w:p>
    <w:p w:rsidR="00256EE9" w:rsidRDefault="00256EE9" w:rsidP="00256EE9">
      <w:pPr>
        <w:pStyle w:val="TextoNormal"/>
      </w:pPr>
      <w:r>
        <w:t xml:space="preserve">b) La del art. 50.2 b) de la LOTC porque la demanda pudiera carecer manifiestamente de contenido que justificase una decisión del Tribunal en cuanto al fondo. </w:t>
      </w:r>
    </w:p>
    <w:p w:rsidR="00256EE9" w:rsidRDefault="00256EE9" w:rsidP="00256EE9">
      <w:pPr>
        <w:pStyle w:val="TextoNormal"/>
      </w:pPr>
      <w:r>
        <w:t xml:space="preserve">Dentro del plazo señalado por la mencionada providencia, la representación del recurrente ha presentado un escrito al que acompaña copia de los Autos dictados por el Juzgado de Primera Instancia de Tafalla el 3 de abril de 1984 y por la Audiencia Territorial de Pamplona, Sala de lo Civil, el 26 de junio del mismo año. Entiende con dicha remisión que se subsana la causa de inadmisión que señalábamos en primer lugar y razona para sostener que la Audiencia Territorial de Pamplona al dictar una resolución en la que el recurrente no ha podido utilizar todos los medios de prueba pertinentes para su defensa, lo ha colocado en una situación de indefensión que infringe el derecho garantizado por el art. 24.2 de la Constitución. </w:t>
      </w:r>
    </w:p>
    <w:p w:rsidR="00256EE9" w:rsidRDefault="00256EE9" w:rsidP="00256EE9">
      <w:pPr>
        <w:pStyle w:val="TextoNormal"/>
      </w:pPr>
      <w:r>
        <w:t xml:space="preserve">Agrega que el hecho de que quede abierto el juicio declarativo para plantear de nuevo la cuestión resuelta por la Audiencia Territorial no impide, en modo alguno, que deba entenderse vulnerado el derecho constitucional al resolver el expediente de jurisdicción voluntaria. Solicita la admisión a trámite del recurso. </w:t>
      </w:r>
    </w:p>
    <w:p w:rsidR="00256EE9" w:rsidRDefault="00256EE9" w:rsidP="00256EE9">
      <w:pPr>
        <w:pStyle w:val="TextoNormal"/>
      </w:pPr>
      <w:r>
        <w:t xml:space="preserve">El Ministerio Fiscal, por su parte, tras un resumen de la demanda, afirma que en ésta queda desdibujado el objeto de la litis ya que lo que verdaderamente se impugna no es tanto el Auto del Tribunal Supremo que formalmente se señala, sino la resolución de la Audiencia Territorial de Pamplona que puso término, juzgando en apelación, al expediente de jurisdicción voluntaria. </w:t>
      </w:r>
    </w:p>
    <w:p w:rsidR="00256EE9" w:rsidRDefault="00256EE9" w:rsidP="00256EE9">
      <w:pPr>
        <w:pStyle w:val="TextoNormal"/>
      </w:pPr>
      <w:r>
        <w:t xml:space="preserve">Indica que al no haberse acompañado copia de este Auto de la Audiencia Territorial que es el objeto real del amparo, se da, efectivamente, la primera de las causas de inadmisión, de carácter subsanable, señaladas en nuestra providencia. </w:t>
      </w:r>
    </w:p>
    <w:p w:rsidR="00256EE9" w:rsidRDefault="00256EE9" w:rsidP="00256EE9">
      <w:pPr>
        <w:pStyle w:val="TextoNormal"/>
      </w:pPr>
      <w:r>
        <w:t xml:space="preserve">A su entender, siendo dicha resolución judicial el objeto real de impugnación, ha de entenderse también que el recurso de amparo ha sido presentado fuera del plazo señalado en </w:t>
      </w:r>
      <w:r>
        <w:lastRenderedPageBreak/>
        <w:t>el art. 44.2 de la LOTC, pues es evidente que el intento de acudir dentro de la vía judicial ordinaria a recursos que se saben no procedentes (y el Ministerio Fiscal indica que en el texto mismo de la demanda hay afirmaciones que permiten colegir que el recurrente sabía que no era procedente el recurso de casación ) no puede utilizarse como subterfugio para prolongar el plazo señalado para la interposición del recurso constitucional de amparo. Concluye el Ministerio Fiscal afirmando que si el recurso de amparo se entiende dirigido, como formalmente se dice, contra el Auto del Tribunal Supremo que deniega el recurso de queja, es patente que carece de contenido constitucional porque en la demanda ni se indica ningún precepto constitucional que tal Auto hubiese infringido, ni se da argumento alguno que apoye la existencia de una infracción.</w:t>
      </w:r>
    </w:p>
    <w:p w:rsidR="00256EE9" w:rsidRDefault="00256EE9" w:rsidP="00256EE9">
      <w:pPr>
        <w:pStyle w:val="TextoNormal"/>
      </w:pPr>
    </w:p>
    <w:p w:rsidR="00256EE9" w:rsidRDefault="00256EE9" w:rsidP="00256EE9">
      <w:pPr>
        <w:pStyle w:val="TextoNormal"/>
      </w:pPr>
      <w:r w:rsidRPr="00256EE9">
        <w:rPr>
          <w:rStyle w:val="NumeroAFNegritaCaracter"/>
        </w:rPr>
        <w:t>5</w:t>
      </w:r>
      <w:r>
        <w:t>. Por escrito presentado ante este Tribunal en 2 de febrero actual, el recurrente solicita la suspensión de la ejecución de lo acordado por el Juzgado de Primera Instancia de Tafalla en providencia de 30 de enero de 1985, en la que se ordena al señor Lebrero Salvatierra haga entrega de su hijo menor David Lebrero Zurdo a su madre, doña Manuela Andrea Mazzeo Zurdo Martínez, toda vez que de llevarse a cabo dicha ejecución, el citado hijo sería sacado inmediatamente de España y llevado a Brasil, con lo que resultaría completamente ineficaz, fútil e inoperante cualquier resolución judicial futura de los Tribunales españoles, aparte del perjuicio irreparable que para el niño, principalmente, le puede sobrevenir.</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 evidente que, como señala el Ministerio Fiscal, en el presente caso la demanda de amparo se presenta en términos de notable ambigüedad, hasta el punto de que, dirigida formalmente contra el Auto del Tribunal Supremo que deniega el recurso de queja, no imputa al mismo infracción constitucional alguna.  Toda la argumentación va dirigida contra la resolución de la Audiencia Territorial de Pamplona que puso término al expediente de jurisdicción voluntaria iniciado ante el Juzgado de Primera Instancia de Tafalla.  El hecho mismo de que al alegar en este trámite, el recurrente no haya hecho referencia alguna al Auto del Tribunal Supremo, no hace sino corroborar esta ambivalencia de la demanda de amparo.</w:t>
      </w:r>
    </w:p>
    <w:p w:rsidR="00256EE9" w:rsidRDefault="00256EE9" w:rsidP="00256EE9">
      <w:pPr>
        <w:pStyle w:val="TextoNormal"/>
      </w:pPr>
      <w:r>
        <w:t>Ciertamente cabría, a partir de esta ambivalencia, y siguiendo el razonamiento del Ministerio Fiscal, concluir que el recurso de amparo había sido presentado extemporáneamente, pues los argumentos que en tal sentido ofrece no son, sin duda, desdeñables.  No vamos, sin embargo, nosotros a razonar en tal sentido, no sólo porque tal causa de inadmisión no fue propuesta en nuestra providencia a la consideración de las partes, sino, sobre todo, porque ya al pronunciarse en esa providencia sobre la demanda que se nos presentaba, y continuando en la aplicación antiformalista de los preceptos que disciplinan el recurso de amparo, acordamos tener como objeto de la demanda el que es, efectivamente, su objeto real, esto es, el Auto de la Audiencia Territorial de Pamplona de 26 de junio de 1984 y por ello indicamos como causa de inadmisión de carácter subsanable la no remisión, con la demanda, de copia o traslado de tal resolución.  Habiéndose acompañado al escrito de alegaciones dicha copia, podemos tener por subsanada tal causa de inadmisión.</w:t>
      </w:r>
    </w:p>
    <w:p w:rsidR="00256EE9" w:rsidRDefault="00256EE9" w:rsidP="00256EE9">
      <w:pPr>
        <w:pStyle w:val="TextoNormal"/>
      </w:pPr>
    </w:p>
    <w:p w:rsidR="00256EE9" w:rsidRDefault="00256EE9" w:rsidP="00256EE9">
      <w:pPr>
        <w:pStyle w:val="TextoNormal"/>
      </w:pPr>
      <w:r w:rsidRPr="00256EE9">
        <w:rPr>
          <w:rStyle w:val="NumeroAFNegritaCaracter"/>
        </w:rPr>
        <w:t>2</w:t>
      </w:r>
      <w:r>
        <w:t>. Las indicaciones del Ministerio Fiscal y la inexistencia en la demanda, o en las alegaciones posteriores, de todo argumento que impute al Auto del Tribunal Supremo la in</w:t>
      </w:r>
      <w:r>
        <w:lastRenderedPageBreak/>
        <w:t>fracción de un derecho constitucionalmente garantizado evidencia que, en lo que toca a su objeto aparente o formal, la demanda carece efectivamente de todo contenido constitucional que justifique una decisión de este Tribunal.</w:t>
      </w:r>
    </w:p>
    <w:p w:rsidR="00256EE9" w:rsidRDefault="00256EE9" w:rsidP="00256EE9">
      <w:pPr>
        <w:pStyle w:val="TextoNormal"/>
      </w:pPr>
      <w:r>
        <w:t>La argumentación con la que pretende sostenerse que la resolución de la Audiencia Territorial ha provocado la indefensión del recurrente (argumentación que en cuanto se refiere a la determinación de los derechos constituciones afectados no es en exceso precisa) puede reducirse a la afirmación de que, habiéndose opuesto el hoy recurrente a la pretensión de doña Marcela Andrea Mazzeo Zurdo Martínez para que se le confiera la guarda y custodia del hijo de ambos, el expediente seguido al amparo de lo establecido en las disposiciones final y transitoria décima de la Ley de 13 de mayo de 1981, y de los arts.  159 y 156 del Código Civil, debió declararse contencioso y sobreseerse sin alterar la situación existente.  Tal argumentación, que se apoya en el tenor literal del art.  1.817 de la Ley de Enjuiciamiento Civil, fue cuidadosamente analizada por la Audiencia Territorial de Pamplona, que llegó a la conclusión de que esa norma procesal no es de aplicación universal como ya previene el art.  1.824 de la misma Ley.  A partir de ahí, la Audiencia Territorial entiende que la aplicación de las disposiciones indicadas de la Ley de 13 de mayo de 1981 y del Código Civil, obligan al Juez, en casos como éste, a resolver sobre el fondo de la pretensión pese a la existencia de controversia, que por definición se dará siempre.  Continuando el análisis de las normas pertinentes, la Audiencia Territorial llega a la conclusión de que debe aplicarse el art.  159 del Código Civil, por no haberse probado la concurrencia de ningún motivo específico que vede la entrega del menor a la madre, dado que los alegatos en torno a una supuesta enfermedad psíquica suya y a la irregular situación de sus progenitores no han sido en absoluto probados.</w:t>
      </w:r>
    </w:p>
    <w:p w:rsidR="00256EE9" w:rsidRDefault="00256EE9" w:rsidP="00256EE9">
      <w:pPr>
        <w:pStyle w:val="TextoNormal"/>
      </w:pPr>
      <w:r>
        <w:t>Es evidente, a la vista del Auto dictado por la Audiencia Territorial de Pamplona, que la decisión de ésta aparece sólidamente fundada en Derecho y que, en todo caso, se apoya en una interpretación de las normas procesales a la que no puede hacerse reproche alguno de inconstitucionalidad.</w:t>
      </w:r>
    </w:p>
    <w:p w:rsidR="00256EE9" w:rsidRDefault="00256EE9" w:rsidP="00256EE9">
      <w:pPr>
        <w:pStyle w:val="TextoNormal"/>
      </w:pPr>
      <w:r>
        <w:t>Pero no sólo en ello, también en una apreciación de los hechos probados en el expediente, respecto de los que su juicio no podría, en ningún caso, ser revisado por este Tribunal.  No hay, por tanto, indicio de la infracción constitucional que ante nosotros se denuncia y que en el fondo debe ser entendida como un desacuerdo respecto de las normas procesales establecidas por el legislador para resolver las controversias que tienen por objeto la determinación de a cuál de los progenitores haya de encomendarse la guarda y custodia de los menores de siete años, desacuerdo que no puede ser sometido en esta vía a la consideración de este Tribunal.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cual, la Sección acuerda declarar inadmisible el presente recurso de amparo, sin que por ello proceda decisión alguna sobre la suspensión solicitada.</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8" w:name="AUTO_1985_87"/>
      <w:r>
        <w:lastRenderedPageBreak/>
        <w:t>AUTO 87/1985, de 6 de febrero de 1985</w:t>
      </w:r>
    </w:p>
    <w:bookmarkEnd w:id="148"/>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ECLI:ES:TC:1985:87A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805/1984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Pablo Yébenes Luque promovió ante el Juzgado de Distrito de Lucena demanda de resolución de contrato de arrendamiento urbano contra don Eduardo Roldán Pineda, arrendatario de la vivienda propiedad del primero, invocando la causa de resolución prevista en el art. 118.2 de la Ley de Arrendamientos Urbanos (... siniestro que para la reconstrucción de la vivienda... haga preciso la ejecución de obras cuyo costo exceda del 50 por 100 de su valor real al tiempo de ocurrir aquél, sin que para esta valoración se tenga en cuenta la del suelo»). En el juicio de cognición discutió el recurrente, entre otras cuestiones, la repercusión de las obras en su día requeridas por el arrendatario para reparar la vivienda, repercusión que, a juicio del actor, superaría el 50 por 100 del valor de la vivienda, toda vez que -afirma la evaluación de esta última habría de hacerse tomando en cuenta la renta por ella percibida, y no cualquier otro concepto o estimación. </w:t>
      </w:r>
    </w:p>
    <w:p w:rsidR="00256EE9" w:rsidRDefault="00256EE9" w:rsidP="00256EE9">
      <w:pPr>
        <w:pStyle w:val="TextoNormal"/>
      </w:pPr>
      <w:r>
        <w:t>Esta pretensión fue desestimada por el juzgador de instancia, quien, en su Sentencia de 13 de julio de 1984, consideró que la valoración de la vivienda a efectos del cálculo previsto por el citado art. 118.2 de la L.A.U. había de hacerse, en todo caso, tomando en cuenta el valor real de aquélla (no su valor fiscal), estimación ésta que arrojaba un resultado superior en su 50 por 100 al total calculado para la realización de las referidas obras.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Contra esta Sentencia interpuso el señor Yébenes el presente recurso de amparo mediante demanda, presentada el día 22 de noviembre pasado, en la que, sustancialmente, expone que la estimación realizada del valor de la vivienda arrendada no es el que, de acuerdo con la Ley, procedía, debiéndose haber actuado capitalizando la renta percibida, cálculo éste a partir del cual si se habría apreciado el supuesto previsto como causa de resolución del contrato en el art. 118.2 de la Ley de Arrendamientos Urbanos. Relaciona este planteamiento con el principio de igualdad que consagra el art. 14 de la Constitución, afirmando que se le ha deparado, por la Sentencia que combate, una «desigualdad ante la Ley», toda vez que «mientras al arrendatario se le otorgan todos los beneficios de la Ley y se sirve de ellos ... a mi mandante como propietario del inmueble se le desposee del único elemento que, por espíritu y letra de la propia Ley, habría de ser tenido en cuenta para la capitalización de la vivienda», la consecuencia de ello sería que «por una equivocada interpretación de la Ley se pueda llegar a hacerla vehículo de una infracción inconstitucional». Añade a esta queja la de que se ha menoscabado su derecho reconocido en el art. </w:t>
      </w:r>
      <w:r>
        <w:lastRenderedPageBreak/>
        <w:t xml:space="preserve">33.3 de la Norma fundamental, «en cuanto dispone que nadie puede ser privado de sus bienes y derechos sin previo expediente». </w:t>
      </w:r>
    </w:p>
    <w:p w:rsidR="00256EE9" w:rsidRDefault="00256EE9" w:rsidP="00256EE9">
      <w:pPr>
        <w:pStyle w:val="TextoNormal"/>
      </w:pPr>
      <w:r>
        <w:t>En conclusión solicita del Tribunal la anulación de la Sentencia dictada por el Juzgado de Distrito de Lucena, declarando su derecho a que el único elemento a tener en cuenta para la estimación del valor de la vivienda sea el de la capitalización de la renta percibida.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9 de enero pasado se acordó oír al demandante y al Ministerio Fiscal acerca de la posible concurrencia de las siguientes causas de inadmisión de la demanda: </w:t>
      </w:r>
    </w:p>
    <w:p w:rsidR="00256EE9" w:rsidRDefault="00256EE9" w:rsidP="00256EE9">
      <w:pPr>
        <w:pStyle w:val="TextoNormal"/>
      </w:pPr>
      <w:r>
        <w:t xml:space="preserve">1.ª) la regulada por el art. 50.2 a) de la Ley Orgánica de este Tribunal (LOTC) en cuanto a la invocación del art. 33 de la Constitución; 2.ª) la regulada por el art. 50.1 b) en relación con el 44.1 a) de la LOTC, por no haberse agotado el recurso utilizable en vía judicial como es el de apelación, y 3.ª) la del art. 50.2 b) de la LOTC, por cuanto pudiera carecer la demanda de contenido que justifique una decisión de este Tribunal. </w:t>
      </w:r>
    </w:p>
    <w:p w:rsidR="00256EE9" w:rsidRDefault="00256EE9" w:rsidP="00256EE9">
      <w:pPr>
        <w:pStyle w:val="TextoNormal"/>
      </w:pPr>
      <w:r>
        <w:t xml:space="preserve">El demandante ha alegado que la actuación impugnada le supone no sólo la privación de su propiedad sin expediente alguno, sino su condena a satisfacer una cantidad sin justificación alguna, todo ello en contra del art. 33 de la Constitución. Añade que tal vulneración constitucional deriva de modo directo de una resolución judicial y que su invocación puede apreciarse en las actuaciones judiciales. Finalmente expone que la Sentencia impugnada en amparo lo fue antes en apelación ante la Audiencia de Córdoba. </w:t>
      </w:r>
    </w:p>
    <w:p w:rsidR="00256EE9" w:rsidRDefault="00256EE9" w:rsidP="00256EE9">
      <w:pPr>
        <w:pStyle w:val="TextoNormal"/>
      </w:pPr>
      <w:r>
        <w:t>El Ministerio Fiscal ha expuesto que no se da la desigualdad a que la demanda se refiere, faltando el término de comparación y no teniendo el precepto citado por el recurrente (art. 118 de la L.A.U.) el contenido que le atribuye, y que la desigualdad que existe en la Ley y en la Sentencia entre el arrendador y el arrendatario no es otra que la que corresponde a la naturaleza del arrendamiento.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violación de los derechos establecidos en el art.  33 de la Constitución no es susceptible de amparo constitucional, pues así resulta de lo mandado en los arts. 53.2 y 161.1 b) de aquel Texto fundamental, en relación con el 41.1 de la LOTC, de lo que deriva la procedencia de declarar la inadmisibilidad del presente recurso, en acatamiento de las previsiones que incluye el art.  50.2 a) de la Ley últimamente citada.</w:t>
      </w:r>
    </w:p>
    <w:p w:rsidR="00256EE9" w:rsidRDefault="00256EE9" w:rsidP="00256EE9">
      <w:pPr>
        <w:pStyle w:val="TextoNormal"/>
      </w:pPr>
    </w:p>
    <w:p w:rsidR="00256EE9" w:rsidRDefault="00256EE9" w:rsidP="00256EE9">
      <w:pPr>
        <w:pStyle w:val="TextoNormal"/>
      </w:pPr>
      <w:r w:rsidRPr="00256EE9">
        <w:rPr>
          <w:rStyle w:val="NumeroAFNegritaCaracter"/>
        </w:rPr>
        <w:t>2</w:t>
      </w:r>
      <w:r>
        <w:t>. Conduce a igual solución, esta vez con invocación del art.  50.1 b), en relación con el 44.1 a) de la LOTC, el hecho de que no se haya acreditado el agotamiento de la vía judicial previa, puesto que el recurso de amparo se dirige contra una Sentencia dictada por Juzgado de Distrito, sobre resolución de contrato de arrendamiento urbano, sin que se haya justificado la interposición del pertinente recurso de apelación, insuficiente como es la manifestación de la recurrente, en el escrito de alegaciones producido en esta incidencia sobre admisibilidad, en el sentido de que apeló pero sin éxito, y ya que, en definitiva, incluso de ser ello cierto tampoco el recurso de amparo sería admisible.</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Finalmente cabe todavía decir que el art.  50.2 b) veda también admitir este recurso, ya que carece manifiestamente de contenido constitucional desde el punto que se circunscribe en sus alegaciones de fondo a disentir de las apreciaciones que el Juez ordinario de </w:t>
      </w:r>
      <w:r>
        <w:lastRenderedPageBreak/>
        <w:t>lo Civil realiza en su Sentencia en cuanto a la forma de computar, y alcance de todo ello, el valor de las obras a ejecutar para la reconstrucción de la vivienda, como causa amparadora de la resolución del contrato de arrendamiento, bien que se invoque aquí el art.  14 de la C.E., que ciertamente proscribe la desigualdad, pero que con toda evidencia no guarda relación alguna con el supuesto cuestionado, en el que la recurrente quiere inconsistentemente parangonar la situación del arrendador con la del arrendatario.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49" w:name="AUTO_1985_88"/>
      <w:r>
        <w:lastRenderedPageBreak/>
        <w:t>AUTO 88/1985, de 6 de febrero de 1985</w:t>
      </w:r>
    </w:p>
    <w:bookmarkEnd w:id="149"/>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ECLI:ES:TC:1985:88A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812/1984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día 23 de noviembre de 1984 tuvo entrada en este Tribunal una demanda de amparo deducida por don Emilio Jiménez Domínguez, representado por Procurador y asistido de Letrado, contra la Sentencia del Juzgado de Instrucción de Martos, de fecha 2 de julio de 1984, y la dictada por la Audiencia Provincial de Jaén, de 30 de octubre, confirmatoria de la anterior, por violación del art. 24 de la Constitución. </w:t>
      </w:r>
    </w:p>
    <w:p w:rsidR="00256EE9" w:rsidRDefault="00256EE9" w:rsidP="00256EE9">
      <w:pPr>
        <w:pStyle w:val="TextoNormal"/>
      </w:pPr>
      <w:r>
        <w:t xml:space="preserve">La demanda se fundamenta en los siguientes hechos: </w:t>
      </w:r>
    </w:p>
    <w:p w:rsidR="00256EE9" w:rsidRDefault="00256EE9" w:rsidP="00256EE9">
      <w:pPr>
        <w:pStyle w:val="TextoNormal"/>
      </w:pPr>
      <w:r>
        <w:t xml:space="preserve">a) El Juzgado de Instrucción de Martos, en su Sentencia, declaró probado que el señor Jiménez Domínguez, valiéndose de sus conocimientos técnicos, ya que es ingeniero industrial, realizó manipulaciones en la caja de centralización de contadores de una casa propiedad de don Antonio López Castillo, con el fin de dar energía eléctrica a las escaleras de la citada casa, para lo cual hizo un empalme o puente directo a la red de suministro de energía eléctrica, sin pasar por contadores, cifrando el importe de energía clandestinamente utilizada en 28,80 pesetas, y el total del perjuicio en 1.003,40 pesetas. Y en razón de ello condenó al ahora demandante del amparo, como autor del delito previsto en el art. 536.1 en relación con el 538, ambos del Código Penal, a la pena de un mes y un día de arresto mayor, multa de 30.000 pesetas, costas y a indemnizar a la Compañía Sevillana de Electricidad en 1.003,40 pesetas. </w:t>
      </w:r>
    </w:p>
    <w:p w:rsidR="00256EE9" w:rsidRDefault="00256EE9" w:rsidP="00256EE9">
      <w:pPr>
        <w:pStyle w:val="TextoNormal"/>
      </w:pPr>
      <w:r>
        <w:t xml:space="preserve">b) Contra la anterior resolución se interpuso recurso de apelación, basado en error de hecho, al no haberse apreciado las pruebas aportadas, y en la no fundamentación de los elementos de tipicidad y culpabilidad exigidos por el delito en cuestión, que fue desestimado por la Audiencia Provincial de Jaén. </w:t>
      </w:r>
    </w:p>
    <w:p w:rsidR="00256EE9" w:rsidRDefault="00256EE9" w:rsidP="00256EE9">
      <w:pPr>
        <w:pStyle w:val="TextoNormal"/>
      </w:pPr>
      <w:r>
        <w:t xml:space="preserve">El recurrente ofrece una versión de los hechos diferente, señalando que él, como asesor técnico de la Sociedad Andaluza de Ahorro de Energía, con la que se puso en contacto el señor López Castillo, en presencia de éste y otras personas, se limitó a efectuar un enganche entre dos cables para dar provisionalmente luz a una escalera, en evitación de que ocurriera alguna desgracia, luego de haber intentado, sin ser siquiera atendido, solucionar el problema dirigiéndose a la Compañia Sevillana de Electricidad y al Servicio Territorial de Industria y Energía. Por otra parte, denuncia que en las actas del juicio oral no aparece todo lo actuado en él, como las pruebas testificales, documental, interrogatorio del acusado no teniendo, por ello, el Tribunal de apelación suficiente material de pruebas para juzgar, dando, no obstante, por bueno todo lo instruido, pese a que se llamó su atención sobre este extremo. Por último, destaca que alegó en su momento la concurrencia de la eximente </w:t>
      </w:r>
      <w:r>
        <w:lastRenderedPageBreak/>
        <w:t xml:space="preserve">de estado de necesidad, que su conducta es inscribible en la llamada autoría mediata y que no actuó con ánimo de lucrarse, como requiere el tipo descrito en el art. 536 del Código Penal. </w:t>
      </w:r>
    </w:p>
    <w:p w:rsidR="00256EE9" w:rsidRDefault="00256EE9" w:rsidP="00256EE9">
      <w:pPr>
        <w:pStyle w:val="TextoNormal"/>
      </w:pPr>
      <w:r>
        <w:t xml:space="preserve">En razón de lo expuesto, considera el solicitante de amparo que el hecho de ser condenado, a la vista de cómo se produjeron los hechos realmente, de cómo se practicaron las pruebas y cómo se desdeñaron sus argumentaciones jurídicas, crea un clima de indefensión y de falta de garantías jurídicas. Igualmente, entiende que al regirse el delito por la Ley Orgánica 10/1980, se está violando la posibilidad de poder recurrir al Tribunal Supremo. De todo ello deduce el demandante que no se han respetado las garantías procesales a las que se refiere el art. 24 de la C.E. </w:t>
      </w:r>
    </w:p>
    <w:p w:rsidR="00256EE9" w:rsidRDefault="00256EE9" w:rsidP="00256EE9">
      <w:pPr>
        <w:pStyle w:val="TextoNormal"/>
      </w:pPr>
      <w:r>
        <w:t>Por ello, suplica a este Tribunal que se le otorgue el amparo solicitado, declarando la nulidad de las Sentencias del Juzgado de Instrucción de Martos y de la Audiencia Provincial de Jaén, y reconociendo el derecho del recurrente a que vuelvan a instruirse de nuevo todas las diligencias de prueba, con todas las garantías legales, y la posibilidad de recurrir, ante el Tribunal Supremo. Asimismo, solicita se acuerde la suspensión de la ejecución de las Sentencias.</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Cuarta de este Tribunal, en su reunión del día 9 de enero pasado, acordó poner de manifiesto la posible existencia de las siguientes causas de inadmisibilidad: 1.ª) la del art. 50.1 b) en relación con el 44.1 c), ambos de la Ley Orgánica de este Tribunal, por no justificarse que se haya invocado en el previo proceso el derecho constitucional que se reputa violado; 2.ª) la del art. 50.2 b) de la misma Ley Orgánica, por cuanto la demanda pudiera carecer manifiestamente de contenido que justifique una decisión por parte del Tribunal Constitucional. Por lo cual, en aplicación de lo dispuesto en el art. 50 de la Ley Orgánica antes citada, se otorga un plazo común de diez días al solicitante de amparo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Dentro del plazo mencionado en el párrafo anterior, el solicitante del amparo ha efectuado sus alegaciones señalando que el Tribunal Constitucional debe considerar las circunstancias expresadas en el escrito de recurso de amparo con fecha 22 de noviembre de 1984, y entiende que no ha habido tiempo o posibilidad material de invocar la posible violación del art. 24 de nuestra Norma Suprema, mientras existiese la posibilidad de que otra instancia superior volviese a entender del recurso de apelación. </w:t>
      </w:r>
    </w:p>
    <w:p w:rsidR="00256EE9" w:rsidRDefault="00256EE9" w:rsidP="00256EE9">
      <w:pPr>
        <w:pStyle w:val="TextoNormal"/>
      </w:pPr>
      <w:r>
        <w:t xml:space="preserve">El art. 24 de la Constitución ha sido violado por el Juzgado de Instrucción de Martos al valorar erróneamente las pruebas practicadas, hecho que se desprende de los resultandos y considerandos de la Sentencia ampliamente comentada en nuestro anterior escrito. </w:t>
      </w:r>
    </w:p>
    <w:p w:rsidR="00256EE9" w:rsidRDefault="00256EE9" w:rsidP="00256EE9">
      <w:pPr>
        <w:pStyle w:val="TextoNormal"/>
      </w:pPr>
      <w:r>
        <w:t xml:space="preserve">Todo ello ha creado un clima de indefensión e inseguridad jurídica que el Tribunal Constitucional tiene que velar y amparar, expresado esto, en el hecho noveno de los antecedentes de nuestro escrito de demanda de recurso de amparo. </w:t>
      </w:r>
    </w:p>
    <w:p w:rsidR="00256EE9" w:rsidRDefault="00256EE9" w:rsidP="00256EE9">
      <w:pPr>
        <w:pStyle w:val="TextoNormal"/>
      </w:pPr>
      <w:r>
        <w:t xml:space="preserve">Por lo que respecta al art. 50.2 b) de la LOTC, la demanda tiene contenido suficiente para justificar la decisión que pide, como es declarar la nulidad de las actuaciones sumariales practicadas por el Juzgado de Instrucción de Martos, por haberse practicado en contra de la seguridad jurídica achacando a una persona hechos realizados por otra, según el solicitante del amparo, no se puede explicar cómo han procedido las diligencias sumariales como para condenar a un perito eléctrico que vive de su trabajo por cuenta de terceros, condenarle por la comisión de un delito de defraudación de fluido eléctrico valorado en 28 pesetas, cuando bien es sabido que para la comisión de este delito es necesario intención de defraudar. </w:t>
      </w:r>
    </w:p>
    <w:p w:rsidR="00256EE9" w:rsidRDefault="00256EE9" w:rsidP="00256EE9">
      <w:pPr>
        <w:pStyle w:val="TextoNormal"/>
      </w:pPr>
      <w:r>
        <w:lastRenderedPageBreak/>
        <w:t xml:space="preserve">El Fiscal General del Estado, por su parte, señala que no resulta, de los antecedentes remitidos, que se hiciera en su momento la invocación de los derechos que ahora se alegan como vulnerados según es exigencia del art. 44.1 c) de la LOTC. La demanda no hace referencia a este extremo en el capítulo que dedica a la procedencia formal del recurso de amparo. Ni encontramos tampoco referencia alguna en la Sentencia de apelación. Ello determina la causa de inadmisión de defectuosidad de la demanda contemplada en el art. 50.1 b). </w:t>
      </w:r>
    </w:p>
    <w:p w:rsidR="00256EE9" w:rsidRDefault="00256EE9" w:rsidP="00256EE9">
      <w:pPr>
        <w:pStyle w:val="TextoNormal"/>
      </w:pPr>
      <w:r>
        <w:t xml:space="preserve">La demanda hace invocación inicial (en su introducción) al art. 24 de la Constitución, que posteriormente, en la fundamentación jurídica del recurso, a la que dedica un folio escaso, parece concretar en el apartado segundo del mismo. No singulariza, sin embargo, cuál de las garantías establecidas en este apartado es la lesionada; hace una alusión global a dicho apartado diciendo que no se han respetado las garantías procesales, de entre las que dedica mayor extensión al derecho que corresponde a todo condenado a que su Sentencia sea revisada por un Tribunal superior, garantía que, evidentemente, ha tenido el recurrente desde el momento que el fallo de instancia fue confirmado en apelación. No puede confundirse, como hace la demanda, ese Tribunal superior con el Tribunal Supremo. La inexistencia, en este caso, de recurso ante el Tribunal Supremo, cuando sí lo ha tenido ante la Audiencia Provincial, no supone quebranto de ningún derecho fundamental. </w:t>
      </w:r>
    </w:p>
    <w:p w:rsidR="00256EE9" w:rsidRDefault="00256EE9" w:rsidP="00256EE9">
      <w:pPr>
        <w:pStyle w:val="TextoNormal"/>
      </w:pPr>
      <w:r>
        <w:t xml:space="preserve">De otra parte, no sabemos con certeza qué otro derecho fundamental de los dispuestos en el art. 24.2 de la Constitución ha podido resultar lesionado. Desde luego, no el de presunción de inocencia, pues actividad probatoria existió, ni el de usar pruebas pertinentes, pues fue extremo no denunciado en la apelación, como es obligado. </w:t>
      </w:r>
    </w:p>
    <w:p w:rsidR="00256EE9" w:rsidRDefault="00256EE9" w:rsidP="00256EE9">
      <w:pPr>
        <w:pStyle w:val="TextoNormal"/>
      </w:pPr>
      <w:r>
        <w:t>En puridad, la demanda plantea el recurso como una nueva instancia revisora del proceso penal, pretendiendo que se interpreten el Código Penal y la Ley de Enjuiciamiento Criminal, de acuerdo con sus criterios y adversamente a los tenidos en consideración por los órganos del Poder Judicial, lo que determina la falta de contenido constitucional de la demanda que debe conducir a su inadmisión con arreglo al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art. 44.1 c) de la LOTC condiciona la admisión del recurso de amparo a que, en el previo proceso judicial, se haya hecho invocación del derecho constitucional presuntamente conculcado, invocación que pudo y debió efectuar el demandante, pues la supuesta violación, de haber tenido lugar, se habría producido en la Sentencia pronunciada por el Juez de Instrucción, siendo el recurso de apelación el momento procesal oportuno y suficiente para cumplir el referido requisito, dando así oportunidad a la Audiencia Provincial para que pudiera reparar la lesión denunciada.</w:t>
      </w:r>
    </w:p>
    <w:p w:rsidR="00256EE9" w:rsidRDefault="00256EE9" w:rsidP="00256EE9">
      <w:pPr>
        <w:pStyle w:val="TextoNormal"/>
      </w:pPr>
      <w:r>
        <w:t>Por ello, el recurrente, que se limita a indicar que ha invocado errores de hecho en la práctica de la prueba en detrimento de las garantías jurídicas, no ha justificado haber satisfecho la exigencia fijada en el art. 44.1 c) de la LOTC, pues con aquella alusión a posibles deficiencias precedimentales no la cumplimenta.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Aunque el motivo anteriormente señalado es suficiente para decretar la inadmisión del presente recurso, hay todavía que abundar en su carencia manifiesta de contenido que justifique una decisión por parte de este Tribunal, a tenor de lo previsto en el art.  50.2 b) de la LOTC, porque, de una parte, de las imprecisas razones alegadas para fundamentar la pretendida indefensión y la falta de garantías jurídicas, no se deriva un enfrentamiento de </w:t>
      </w:r>
      <w:r>
        <w:lastRenderedPageBreak/>
        <w:t>los actos judiciales con el art.  24 de la C.E., pues la discrepancia con la narración y valoración de los hechos efectuados por el juzgador, así como de las pruebas, y la no aceptación por éste de las argumentaciones jurídicas del demandante, no implican vulneración constitucional alguna, no correspondiendo, por lo demás, al Tribunal Constitucional revisar los hechos y a ponderar las pruebas.  La valoración de los hechos y su subsunción en un tipo penal, siempre que no se incurra en arbitrariedad, o se violen derechos fundamentales de otro tipo, cosa que en el presente caso no sucede, es competencia de los órganos jurisdiccionales, como ha reiterado tantas veces este Tribunal.</w:t>
      </w:r>
    </w:p>
    <w:p w:rsidR="00256EE9" w:rsidRDefault="00256EE9" w:rsidP="00256EE9">
      <w:pPr>
        <w:pStyle w:val="TextoNormal"/>
      </w:pPr>
      <w:r>
        <w:t>En cuanto a la posibilidad de recurrir ante el Tribunal Supremo, que el demandante solicita que se le reconozca expresamente, basta recordar que si bien el derecho al doble grado de jurisdicción en materia penal es una de las garantías a las que la Constitución se refiere en su art.  24, aunque no de forma explícita, como ha sido puesto de relieve por este Tribunal (Sentencia 76/1982, de 14 de diciembre, fundamento 5), ello no entraña que, por fuerza, el Tribunal superior, al que deban someterse los fallos condenatorios haya de ser precisamente el Tribunal Supremo. La Ley Orgánica 10/1980, en su art.  11.1, admite que contra la Sentencia dictada en el procedimiento por ella regulado, procede interponer recurso de apelación ante la Audiencia Provincial, como así hizo el recurrente, por lo que, con toda evidencia, la alegada violación está ayuna de contenido.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presente recurso de amparo, quedando, por tanto, sin contenido la petición cautelar de suspensión.</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50" w:name="AUTO_1985_89"/>
      <w:r>
        <w:lastRenderedPageBreak/>
        <w:t>AUTO 89/1985, de 6 de febrero de 1985</w:t>
      </w:r>
    </w:p>
    <w:bookmarkEnd w:id="150"/>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ECLI:ES:TC:1985:89A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816/1984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presentado en el Juzgado de Guardia de esta capital, el día 23 de noviembre de 1984, el Procurador de los Tribunales don Angel Deleito Villa, en nombre y representación que debidamente acreditaba de la entidad mercantil «Marbella, Sierra y Mar, S. A.», interpone recurso de amparo constitucional contra la Sentencia dictada por el Juzgado de Distrito núm. 1 de Marbella el 19 de junio de 1984, así como contra la pronunciada por la Audiencia Provincial de Málaga el 9 de octubre del mismo año, resolviendo el recurso de apelación interpuesto contra aquélla, por entender que ambas resoluciones judiciales han vulnerado, en perjuicio de la demandante, el art. 24.1 de la C.E. al privarla de la tutela efectiva de sus derechos, con la subsiguiente indefensión. </w:t>
      </w:r>
    </w:p>
    <w:p w:rsidR="00256EE9" w:rsidRDefault="00256EE9" w:rsidP="00256EE9">
      <w:pPr>
        <w:pStyle w:val="TextoNormal"/>
      </w:pPr>
      <w:r>
        <w:t xml:space="preserve">De las alegaciones y documentos que aporta, se deduce que: </w:t>
      </w:r>
    </w:p>
    <w:p w:rsidR="00256EE9" w:rsidRDefault="00256EE9" w:rsidP="00256EE9">
      <w:pPr>
        <w:pStyle w:val="TextoNormal"/>
      </w:pPr>
      <w:r>
        <w:t xml:space="preserve">a) La Comunidad de Propietarios «Parque de la Carolina», de Marbella, entabló juicio de cognición contra la Empresa hoy demandante de amparo, sobre reclamación de cantidad, por gastos comunitarios. </w:t>
      </w:r>
    </w:p>
    <w:p w:rsidR="00256EE9" w:rsidRDefault="00256EE9" w:rsidP="00256EE9">
      <w:pPr>
        <w:pStyle w:val="TextoNormal"/>
      </w:pPr>
      <w:r>
        <w:t xml:space="preserve">Formulada oposición a la demanda, con distintas excepciones, a fin de que el Juzgado no entrara a conocer del fondo del asunto, se dictó Sentencia estimatoria de la demanda, condenándose a la Sociedad allí demandada al pago de la cantidad reclamada por la actora. </w:t>
      </w:r>
    </w:p>
    <w:p w:rsidR="00256EE9" w:rsidRDefault="00256EE9" w:rsidP="00256EE9">
      <w:pPr>
        <w:pStyle w:val="TextoNormal"/>
      </w:pPr>
      <w:r>
        <w:t>b) Interpuesta apelación, la Sentencia del Juzgado fue confirmada por la Audiencia Provincial de Málaga.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Se acude en amparo a este Tribunal frente a dos resoluciones judiciales a las que se imputa la vulneración del art. 24.1 de la C.E. Tal infracción se concreta, según la Entidad demandante de amparo, en que, alegadas determinadas excepciones en la contestación a la demanda, a los efectos de la solicitud de inhibición, el Juez de Distrito no entró a conocer de los hechos alegados, condenando al pago de la cantidad reclamada, lo que se traduce, en su opinión, en un supuesto de indefensión. </w:t>
      </w:r>
    </w:p>
    <w:p w:rsidR="00256EE9" w:rsidRDefault="00256EE9" w:rsidP="00256EE9">
      <w:pPr>
        <w:pStyle w:val="TextoNormal"/>
      </w:pPr>
      <w:r>
        <w:t xml:space="preserve">En cuanto a la Sentencia de la Audiencia Provincial de Málaga (única que aporta la solicitante de amparo) también incurre en la tacha de indefensión, porque; a) no recoge la excepción en los términos planteados por la demandada; b) no entra a conocer y valorar la prueba documental pública articulada al respecto, y c) elude el problema crucial planteado, </w:t>
      </w:r>
      <w:r>
        <w:lastRenderedPageBreak/>
        <w:t xml:space="preserve">al equiparar la excepción de enriquecimiento injusto con la de extinción de pago por compensación. </w:t>
      </w:r>
    </w:p>
    <w:p w:rsidR="00256EE9" w:rsidRDefault="00256EE9" w:rsidP="00256EE9">
      <w:pPr>
        <w:pStyle w:val="TextoNormal"/>
      </w:pPr>
      <w:r>
        <w:t xml:space="preserve">Y, en definitiva, se alega que la Empresa recurrente ha resultado condenada, precisamente, por haberse desoído los medios adecuados a su defensa. </w:t>
      </w:r>
    </w:p>
    <w:p w:rsidR="00256EE9" w:rsidRDefault="00256EE9" w:rsidP="00256EE9">
      <w:pPr>
        <w:pStyle w:val="TextoNormal"/>
      </w:pPr>
      <w:r>
        <w:t xml:space="preserve">La Entidad recurrente trae a colación, con cita expresa, la Sentencia de este Tribunal de 6 de marzo de 1984, que a su juicio es de aplicación a este caso. </w:t>
      </w:r>
    </w:p>
    <w:p w:rsidR="00256EE9" w:rsidRDefault="00256EE9" w:rsidP="00256EE9">
      <w:pPr>
        <w:pStyle w:val="TextoNormal"/>
      </w:pPr>
      <w:r>
        <w:t>Y termina solicitando la anulación de las resoluciones judiciales impugnadas, y que se le restablezca en la integridad de su derecho, retrotrayéndose las actuaciones hasta el momento de dictar Sentencia, para que el Juez conozca de la excepción planteada o se inhiba, elevando la causa al Juzgado de Primera Instancia a fin de que en el procedimiento adecuado a su cuantía pueda dilucidarse el derecho controvertido. Solicita, asimismo, la suspensión de la Sentencia recurrida.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Tercera de este Tribunal Constitucional, en providencia de fecha 9 de enero último, acordó poner de manifiesto la posible existencia de la causa de inadmisibilidad que regula el art. 50.2 b) de la Ley Orgánica de este Tribunal, por cuanto la demanda pudiera carecer manifiestamente de contenido que justifique una decisión por parte del Tribunal Constitucional. En la misma providencia, se concedió un plazo común de diez días a la solicitante de amparo y al Ministerio Fiscal para que pudieran alegar sobre ello. </w:t>
      </w:r>
    </w:p>
    <w:p w:rsidR="00256EE9" w:rsidRDefault="00256EE9" w:rsidP="00256EE9">
      <w:pPr>
        <w:pStyle w:val="TextoNormal"/>
      </w:pPr>
      <w:r>
        <w:t xml:space="preserve">La Entidad demandante, presentó escrito con fecha 24 del indicado mes de enero, dando por reproducido cuanto dijo en el escrito inicial promoviendo el recurso, e insistiendo en que estima se ha vulnerado el derecho a obtener la tutela efectiva de los Jueces y Tribunales en el ejercicio de los derechos e intereses legítimos, según proclama el art. 24.1 de la C.E. </w:t>
      </w:r>
    </w:p>
    <w:p w:rsidR="00256EE9" w:rsidRDefault="00256EE9" w:rsidP="00256EE9">
      <w:pPr>
        <w:pStyle w:val="TextoNormal"/>
      </w:pPr>
      <w:r>
        <w:t xml:space="preserve">El Ministerio Fiscal, expone en su escrito que el art. 24 de la C.E. concede, según reiterada jurisprudencia del Tribunal Constitucional, el derecho a todos de acceso a los Tribunales, mediante el correspondiente proceso, un realizar en el mismo las alegaciones pertinentes y proponer y practicar las pruebas acreditativas de dichas alegaciones y como conclusión la obtención de una respuesta fundada jurídicamente del Tribunal. Aquí se agota este derecho constitucional, puesto que la respuesta no tiene que ser coincidente con la pretensión deducida, como en el caso presente ocurre. </w:t>
      </w:r>
    </w:p>
    <w:p w:rsidR="00256EE9" w:rsidRDefault="00256EE9" w:rsidP="00256EE9">
      <w:pPr>
        <w:pStyle w:val="TextoNormal"/>
      </w:pPr>
      <w:r>
        <w:t xml:space="preserve">La indefensión, desde el ámbito constitucional supone una limitación de los medios de defensa de una de las partes, pero en este supuesto, no fundamenta la indefensión, el recurrente, en una limitación de medios de defensa, sino que lo alega en relación a la no aceptación por el Tribunal de las excepciones que formuló, conectando dicha no aceptación en «haber desoído los medios adecuados a su defensa». </w:t>
      </w:r>
    </w:p>
    <w:p w:rsidR="00256EE9" w:rsidRDefault="00256EE9" w:rsidP="00256EE9">
      <w:pPr>
        <w:pStyle w:val="TextoNormal"/>
      </w:pPr>
      <w:r>
        <w:t xml:space="preserve">No se han limitado estos medios, únicamente dice el recurrente: no se han oído. El Tribunal valora los medios de defensa, de acuerdo con las pruebas aportadas, y esta labor de subsunción de los hechos declarados probados en el derecho aplicable, es una facultad exclusiva del Tribunal, siempre que fundamente jurídicamente la subsunción y no la realice de manera arbitraria. </w:t>
      </w:r>
    </w:p>
    <w:p w:rsidR="00256EE9" w:rsidRDefault="00256EE9" w:rsidP="00256EE9">
      <w:pPr>
        <w:pStyle w:val="TextoNormal"/>
      </w:pPr>
      <w:r>
        <w:t xml:space="preserve">En este caso lo ha ido haciendo mediante la aplicación del derecho vigente y la interpretación del mismo. La no aceptación de las alegaciones de la demandada no significa desconocer los medios de defensa sino entender que no se dan. </w:t>
      </w:r>
    </w:p>
    <w:p w:rsidR="00256EE9" w:rsidRDefault="00256EE9" w:rsidP="00256EE9">
      <w:pPr>
        <w:pStyle w:val="TextoNormal"/>
      </w:pPr>
      <w:r>
        <w:t xml:space="preserve">Es un problema de legalidad ordinaria, en el que no cabe el conocimiento del Tribunal Constitucional. </w:t>
      </w:r>
    </w:p>
    <w:p w:rsidR="00256EE9" w:rsidRDefault="00256EE9" w:rsidP="00256EE9">
      <w:pPr>
        <w:pStyle w:val="TextoNormal"/>
      </w:pPr>
      <w:r>
        <w:t>El recurrente trata de convertir el recurso de amparo en una tercera instancia para obtener una resolución concorde con su pretensión, lo que desnaturalizaría el amparo, apartán</w:t>
      </w:r>
      <w:r>
        <w:lastRenderedPageBreak/>
        <w:t xml:space="preserve">dole de su finalidad. La argumentación esgrimida se reduce a reproducir lo alegado en las instancias, citando el art. 24.1 de la C.E., para dar un tinte constitucional a lo que es mera interpretación de la legalidad. </w:t>
      </w:r>
    </w:p>
    <w:p w:rsidR="00256EE9" w:rsidRDefault="00256EE9" w:rsidP="00256EE9">
      <w:pPr>
        <w:pStyle w:val="TextoNormal"/>
      </w:pPr>
      <w:r>
        <w:t>Solicita se dicte Auto desestimando la demanda de amparo, por concurrir la causa de inadmisión del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No se trae a este proceso por la Sociedad actora un problema que afecte a las garantías constitucionales, y, desde luego, no se trae a debate algo que concierna al derecho a la jurisdicción, o al derecho al proceso, y que constitucionaliza el art. 24.1. Lo que el recurrente hace es replantear en esta sede constitucional una cuestión de índole civil, sin implicaciones constitucionales, pues de lo que discrepa es de que la invocación de que quien demandó en reclamación de una cantidad era a su vez deudora suya no haya servido para producir el efecto liberatorio de la deuda reclamada, con lo que se está planteando un tema referente a la compensación como medio liberatorio que dicen los arts.  1.195, 1.196 y 1.202 del Código Civil. Si concurrían o no los presupuestos de la compensación a si aún faltando alguno de ellos debió el Juez acoger la compensación, no es tema constitucional, y, por ello estudiada, como ha sido, tal excepción, aunque no estimada, debe declararse inadmisible el recurso por aplicación de lo dispuesto en el artículo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que es inadmisible el recurso de amparo interpuesto por Marbella, Sierra y Mar, S. A., imponiéndole las costas y una sanción pecuniaria de 50.0000 pesetas.</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51" w:name="AUTO_1985_90"/>
      <w:r>
        <w:lastRenderedPageBreak/>
        <w:t>AUTO 90/1985, de 6 de febrero de 1985</w:t>
      </w:r>
    </w:p>
    <w:bookmarkEnd w:id="151"/>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ECLI:ES:TC:1985:90A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820/1984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Doña María Encarnación Alonso León, Procuradora de los Tribunales, en nombre del súbdito francés don Roger Lucien Dupuis, interpone recurso de amparo constitucional contra el Auto de la Sala de lo Penal de la Audiencia Nacional de fecha 25 de octubre de 1984, que resolvió recurso de súplica interpuesto contra Auto de la misma Sala de fecha 14 de julio de 1984, en expediente de extradición. La resolución recurrida viola a juicio de la parte recurrente el derecho fundamental a no ser enjuiciado dos veces por el mismo delito, o non bis in idem, que está protegido por nuestra Constitución y demás Convenciones internacionales suscritas por España. La pretensión se formula para que el Tribunal dicte Sentencia que declare la nulidad de los mencionados Autos y del de 15 de noviembre de 1980, también recaído en el expediente de extradición núm. 13/1980.</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que se contrae la demanda son, en resumen, los siguientes: </w:t>
      </w:r>
    </w:p>
    <w:p w:rsidR="00256EE9" w:rsidRDefault="00256EE9" w:rsidP="00256EE9">
      <w:pPr>
        <w:pStyle w:val="TextoNormal"/>
      </w:pPr>
      <w:r>
        <w:t xml:space="preserve">a) El señor Dupuis fue procesado por el Juzgado Central núm. 1, en el sumario 30/1978, por delito contra la salud pública, dictándose por la Sección Primera de la Audiencia Nacional Sentencia por la que se condenaba al señor Dupuis como cómplice de un delito contra la salud pública, en su modalidad de tráfico de drogas, a la pena de tres años de prisión menor y 200.000 pesetas de multa. </w:t>
      </w:r>
    </w:p>
    <w:p w:rsidR="00256EE9" w:rsidRDefault="00256EE9" w:rsidP="00256EE9">
      <w:pPr>
        <w:pStyle w:val="TextoNormal"/>
      </w:pPr>
      <w:r>
        <w:t xml:space="preserve">b) Paralelamente, en el tiempo al anterior, el Gobierno de Francia formula solicitud de extradición del señor Dupuis por un delito contra la salud pública en su modalidad de tráfico de drogas (expediente gubernativo de extradición núm. 13/1980, de la Sección Segunda de la Audiencia Nacional) que, aunque por la defensa se insiste con firmeza que corresponde a los mismos hechos por los que ha sido sancionado y condenado en España en la causa en la causa que se describe anteriormente, da como resultado un Auto de 15 de noviembre de 1980, favorable a la extradición y acordando la misma. </w:t>
      </w:r>
    </w:p>
    <w:p w:rsidR="00256EE9" w:rsidRDefault="00256EE9" w:rsidP="00256EE9">
      <w:pPr>
        <w:pStyle w:val="TextoNormal"/>
      </w:pPr>
      <w:r>
        <w:t xml:space="preserve">c) Sin embargo, el 12 de junio de 1981 se dicta Sentencia por el Tribunal de Gran Instancia de París en contra de la compañera del señor Dupuis -que ya estuvo detenida aunque no procesada juntamente con el señor Dupuis por la Justicia española en la causa a la que se hace referencia, sumario núm. 30/1978-, contra otra persona más, y contra el propio señor Dupuis, del que expresamente se hace separación. Los hechos probados por el Tribunal de Gran Instancia de París son, a juicio de la parte recurrente, totalmente coincidentes con los hechos por los que ya había sido condenado por la Justicia española el señor </w:t>
      </w:r>
      <w:r>
        <w:lastRenderedPageBreak/>
        <w:t xml:space="preserve">Dupuis en la Sentencia dictada en el sumario 30/1980 de la Audiencia Nacional y que, en síntesis, son los sigiuentes: </w:t>
      </w:r>
    </w:p>
    <w:p w:rsidR="00256EE9" w:rsidRDefault="00256EE9" w:rsidP="00256EE9">
      <w:pPr>
        <w:pStyle w:val="TextoNormal"/>
      </w:pPr>
      <w:r>
        <w:t xml:space="preserve">Organización y perpetración de un acto criminal consistente en el tráfico de estupefacientes, que se compra en España, se paga en España y se hace venir a España desde Marruecos, para que desde España sea trasladado a Suecia vía Francia. </w:t>
      </w:r>
    </w:p>
    <w:p w:rsidR="00256EE9" w:rsidRDefault="00256EE9" w:rsidP="00256EE9">
      <w:pPr>
        <w:pStyle w:val="TextoNormal"/>
      </w:pPr>
      <w:r>
        <w:t xml:space="preserve">d) Para el recurrente la Sala de Instancia pretende que dicho acto pueda ser sancionado en Marruecos, luego en España, luego en Francia y luego en Suecia, o lo que es lo mismo que el señor Dupuis, que ya ha sido condenado por tal acción en España, sea entregado a Francia para que allí pueda ser condenado igualmente por el mismo hecho, y teóricamente si tal decisión se mantiene como válida, Francia pueda recibir posteriormente demanda de extradición a Suecia, para que allí igualmente una vez más, pueda ser condenado de nuevo por el mismo hecho, y, finalmente, pueda terminar en el reino de Marruecos sufriendo cuarta y última condena por el mismo hecho. </w:t>
      </w:r>
    </w:p>
    <w:p w:rsidR="00256EE9" w:rsidRDefault="00256EE9" w:rsidP="00256EE9">
      <w:pPr>
        <w:pStyle w:val="TextoNormal"/>
      </w:pPr>
      <w:r>
        <w:t xml:space="preserve">e) La parte recurrente interpuso en fecha de 4 de junio de 1984 solicitud de nulidad del expediente de extradición y del Auto de fecha 15 de noviembre de 1980. Dicha solicitud de nulidad fue denegada con fecha 14 de julio, en base esencialmente al Convenio sobre estupefacientes de 30 de marzo de 1961, firmado por España, que dota al delito de referencia la configuración de ser distinto cuando se comete en diferentes países. </w:t>
      </w:r>
    </w:p>
    <w:p w:rsidR="00256EE9" w:rsidRDefault="00256EE9" w:rsidP="00256EE9">
      <w:pPr>
        <w:pStyle w:val="TextoNormal"/>
      </w:pPr>
      <w:r>
        <w:t xml:space="preserve">f) Contra dicho Auto la parte recurrente interpuso recurso de súplica que fue desestimado por Auto de 25 de octubre de 1984 notificado con fecha 2 de noviembre de 1984. </w:t>
      </w:r>
    </w:p>
    <w:p w:rsidR="00256EE9" w:rsidRDefault="00256EE9" w:rsidP="00256EE9">
      <w:pPr>
        <w:pStyle w:val="TextoNormal"/>
      </w:pPr>
      <w:r>
        <w:t>g) Al escrito de demanda la parte recurrente acompaña los siguientes documentos: Sentencia condenatoria del señor Dupuis por delito contra la salud pública; Auto de 15 de noviembre de 1980 acordando la extradición; solicitud de nulidad del expediente de extradición; Sentencia el Tribunal de Gran Instancia de París; traducción de la Sentencia de dicho Tribunal; Auto de fecha 14 de julio de 1984, denegando la nulidad; recurso de súplica contra dicho Auto; y Auto de 25 de octubre de 1984 denegatorio de la súplica.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en que se basa la parte recurrente son, en síntesis, los siguientes: </w:t>
      </w:r>
    </w:p>
    <w:p w:rsidR="00256EE9" w:rsidRDefault="00256EE9" w:rsidP="00256EE9">
      <w:pPr>
        <w:pStyle w:val="TextoNormal"/>
      </w:pPr>
      <w:r>
        <w:t xml:space="preserve">a) La existencia del Convenio de 30 de marzo de 1971, ratificado por España en enero de 1977, fecha anterior a la Constitución Española (C.E.), en su art. 36.2 a) I), según el Auto denegatorio de la súplica, «dota al delito de referencia la configuración de ser distinto cuando se comete en diferentes países, lo que representa la concesión a los Tribunales de esas naciones, jurisdicción para su persecución y castigo independientes». Dicho exclusivo argumento legal, hiere, a juicio de la parte recurrente, la más elemental sensibilidad jurídica y la protección que nuestra Constitución ofrece a la garantía de no ser perseguido dos veces o más por un mismo actuar punible. </w:t>
      </w:r>
    </w:p>
    <w:p w:rsidR="00256EE9" w:rsidRDefault="00256EE9" w:rsidP="00256EE9">
      <w:pPr>
        <w:pStyle w:val="TextoNormal"/>
      </w:pPr>
      <w:r>
        <w:t xml:space="preserve">b) El Pacto Internacional de Derechos Civiles y Políticos de Nueva York de 16 de diciembre de 1966, igualmente suscrito por España, y posterior al de estupefacientes, que cita el Auto recurrido, en su art. 14, párrafo 7, textualmente dice: «Nadie podrá ser juzgado ni sancionado por un delito por el cual ya haya sido condenado o absuelto por una Sentencia firme de acuerdo con la Ley y el procedimiento penal de cada país.» c) La Constitución al hacer referencia en su art. 10.2 a Tratados Internacionales hace el distingo, tácitamente, entre los Tratados Internacionales genéricos y aquéllos a los que eleva a la categoría de norma constitucional. Así el propio valor sustantivo del derecho fundamental que tiene el principio non bis in idem, se une al Pacto Internacional de Derechos Civiles y Políticos Nueva York en relación con nuestra propia Constitución, y en el mismo sentido se </w:t>
      </w:r>
      <w:r>
        <w:lastRenderedPageBreak/>
        <w:t xml:space="preserve">expresa el art. 7 del Convenio para la protección de los derechos humanos y de las libertades fundamentales. </w:t>
      </w:r>
    </w:p>
    <w:p w:rsidR="00256EE9" w:rsidRDefault="00256EE9" w:rsidP="00256EE9">
      <w:pPr>
        <w:pStyle w:val="TextoNormal"/>
      </w:pPr>
      <w:r>
        <w:t xml:space="preserve">d) El Convenio de Estupefacientes es, consecuentemente, infractor de nuestra Constitución y particularmente de sus arts. 10 y 14 «por vulnerar la observancia de las garantías procesales constitucionalizadas». </w:t>
      </w:r>
    </w:p>
    <w:p w:rsidR="00256EE9" w:rsidRDefault="00256EE9" w:rsidP="00256EE9">
      <w:pPr>
        <w:pStyle w:val="TextoNormal"/>
      </w:pPr>
      <w:r>
        <w:t>e) Finalmente la parte recurrente invoca los arts. 24.2 y 10.2 de la Constitución.</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Segunda de la Sala Primera, por providencia de 12 de diciembre de 1984, acordó tener por interpuesto recurso de amparo por don Roger Lucien Dupuis y por personado y parte a la Procuradora de los Tribunales señora Alonso León. A tenor del art. 50 de la Ley Orgánica del Tribunal Constitucional (LOTC) se concedió un plazo común de diez días al Ministerio Fiscal y al solicitante del amparo para que alegasen lo procedente sobre el motivo de inadmisión previsto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por escrito de 20 de diciembre de 1984, alegó, en síntesis, lo siguiente: </w:t>
      </w:r>
    </w:p>
    <w:p w:rsidR="00256EE9" w:rsidRDefault="00256EE9" w:rsidP="00256EE9">
      <w:pPr>
        <w:pStyle w:val="TextoNormal"/>
      </w:pPr>
      <w:r>
        <w:t xml:space="preserve">a) Las resoluciones judiciales recurridas ofrecen claridad bastante para descartar la posible carencia de tutela judicial efectiva consagrada en el artículo 24 de nuestra Constitución. La insistente referencia a este precepto y al principio non bis in idem, constituyen aspectos distintos puesto que el último subyace en el art. 25.1 de la Constitución, no en el 24, por lo que desde el punto en que los Tribunales ordinarios se han pronunciado con claridad acerca de la invocación verificada en torno al segundo, quiere decirse que en sede constitucional se plantea algo que previamente no lo ha sido ante los Tribunales ordinarios, lo que conlleva, sin más, la inadmisión de la demanda de amparo ya que, reclamación ordinaria y reclamación constitucional, deben moverse con arreglo a línea unitaria, sin perjuicio de nuevas o posteriores argumentaciones, y ello con independencia de que el principio en cuestión haya sido alegado, aun cuando tangencialmente y como inmerso en el art. 24 de la Constitución. </w:t>
      </w:r>
    </w:p>
    <w:p w:rsidR="00256EE9" w:rsidRDefault="00256EE9" w:rsidP="00256EE9">
      <w:pPr>
        <w:pStyle w:val="TextoNormal"/>
      </w:pPr>
      <w:r>
        <w:t xml:space="preserve">b) Si el hecho trasciende al ámbito del país distinto, con parcelas de ejecución en este último, si su ordenamiento punitivo lo sanciona, puede efectiva y válidamente ser castigado, ya que la acción se ha desarrollado en dos ámbitos competenciales, por razón territorial y normativa diferentes. </w:t>
      </w:r>
    </w:p>
    <w:p w:rsidR="00256EE9" w:rsidRDefault="00256EE9" w:rsidP="00256EE9">
      <w:pPr>
        <w:pStyle w:val="TextoNormal"/>
      </w:pPr>
      <w:r>
        <w:t xml:space="preserve">Y esto en esencia es lo que se viene a plasmar, en evitación de dudas en la aplicación de los respectivos ordenamientos, en los Convenios y normas que se recogen en las resoluciones judiciales impugnadas. </w:t>
      </w:r>
    </w:p>
    <w:p w:rsidR="00256EE9" w:rsidRDefault="00256EE9" w:rsidP="00256EE9">
      <w:pPr>
        <w:pStyle w:val="TextoNormal"/>
      </w:pPr>
      <w:r>
        <w:t xml:space="preserve">c) Las notas que anteceden, sirven para poner de manifiesto que se traslada a sede constitucional un tema específico de la competencia de los Tribunales ordinarios, de mera legalidad, en cuanto se trate de atacar resoluciones judiciales que interpretan el cuadro normativo vigente o aplicable en España, por lo que se incurre en motivo de inadmisión configurado en el art. 50.2 b) de la LOTC. </w:t>
      </w:r>
    </w:p>
    <w:p w:rsidR="00256EE9" w:rsidRDefault="00256EE9" w:rsidP="00256EE9">
      <w:pPr>
        <w:pStyle w:val="TextoNormal"/>
      </w:pPr>
      <w:r>
        <w:t>El Fiscal concluye interesando del Tribunal Constituiconal que dicte Auto, según dispone el art. 86.1, acordando la inadmisión de la demanda por incurrir en el motivo que se configura en el art. 50.2 b), ambos de la Ley Orgánica del propio Tribunal.</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Doña María Encarnación Alonso León, Procuradora de los Tribunales, en nombre del súbdito francés don Roger Lucien Dupuis, formula por escrito de 28 de diciembre de 1984 las siguientes alegaciones, resumidas a estos efectos: </w:t>
      </w:r>
    </w:p>
    <w:p w:rsidR="00256EE9" w:rsidRDefault="00256EE9" w:rsidP="00256EE9">
      <w:pPr>
        <w:pStyle w:val="TextoNormal"/>
      </w:pPr>
      <w:r>
        <w:lastRenderedPageBreak/>
        <w:t xml:space="preserve">a) La demanda sí tiene contenido constitucional, puesto que se basa en la no aplicación del art. 24.2, lo que ha producido para el actor un atentado contra el derecho fundamental y la protección de que nuestra Constitución ofrece al establecer específicamente en este artículo el derecho a un proceso con todas las garantías. </w:t>
      </w:r>
    </w:p>
    <w:p w:rsidR="00256EE9" w:rsidRDefault="00256EE9" w:rsidP="00256EE9">
      <w:pPr>
        <w:pStyle w:val="TextoNormal"/>
      </w:pPr>
      <w:r>
        <w:t xml:space="preserve">b) La resolución judicial que se recurre se basa en que, aun aceptando de forma tácita la vulneración del principio non bis in idem, la justifica con la aplicación del Convenio sobre estupefacientes de 1961. </w:t>
      </w:r>
    </w:p>
    <w:p w:rsidR="00256EE9" w:rsidRDefault="00256EE9" w:rsidP="00256EE9">
      <w:pPr>
        <w:pStyle w:val="TextoNormal"/>
      </w:pPr>
      <w:r>
        <w:t xml:space="preserve">c) De acuerdo con el art. 10.2 de la Constitución y el Pacto Internacional de Derechos Civiles y Políticos de Nueva York de 16 de diciembre de 1966, el Convenio de Estupefacientes citado en la resolución judicial es consecuentemente contrario a la Constitución por vulnerar las garantías procesales constitucionalizadas. </w:t>
      </w:r>
    </w:p>
    <w:p w:rsidR="00256EE9" w:rsidRDefault="00256EE9" w:rsidP="00256EE9">
      <w:pPr>
        <w:pStyle w:val="TextoNormal"/>
      </w:pPr>
      <w:r>
        <w:t>La parte recurrente concluye solicitando que se admita a trámite el recurso interpuesto.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existe la causa de inadmisión establecida en el art.  50.2 b) de la LOTC, es decir, si la demanda carece o no manifiestamente de contenido que justifique una decisión por parte del Tribunal en forma de Sentencia, con el desarrollo procesal consiguiente. A cuyo efecto hemos de examinar la vulneración de los arts.  14 y 24.2 de la Constitución alegada por el actor.</w:t>
      </w:r>
    </w:p>
    <w:p w:rsidR="00256EE9" w:rsidRDefault="00256EE9" w:rsidP="00256EE9">
      <w:pPr>
        <w:pStyle w:val="TextoNormal"/>
      </w:pPr>
    </w:p>
    <w:p w:rsidR="00256EE9" w:rsidRDefault="00256EE9" w:rsidP="00256EE9">
      <w:pPr>
        <w:pStyle w:val="TextoNormal"/>
      </w:pPr>
      <w:r w:rsidRPr="00256EE9">
        <w:rPr>
          <w:rStyle w:val="NumeroAFNegritaCaracter"/>
        </w:rPr>
        <w:t>2</w:t>
      </w:r>
      <w:r>
        <w:t>. La vulneración del art.  14 de la Constitución no se fundamenta por el actor de forma alguna, ni se ofrece tampoco un término de comparación que permita apreciar la existencia de algún indicio relativo a que el princicipio de igualdad pueda haber sido vulnerado por las resoluciones impugnadas, por haber resuelto de forma desigual dos casos iguales. En consecuencia, resulta claro que la demanda carece manifiestamente de contenido en relación a la alegada violación del principio de igualdad:</w:t>
      </w:r>
    </w:p>
    <w:p w:rsidR="00256EE9" w:rsidRDefault="00256EE9" w:rsidP="00256EE9">
      <w:pPr>
        <w:pStyle w:val="TextoNormal"/>
      </w:pPr>
    </w:p>
    <w:p w:rsidR="00256EE9" w:rsidRDefault="00256EE9" w:rsidP="00256EE9">
      <w:pPr>
        <w:pStyle w:val="TextoNormal"/>
      </w:pPr>
      <w:r w:rsidRPr="00256EE9">
        <w:rPr>
          <w:rStyle w:val="NumeroAFNegritaCaracter"/>
        </w:rPr>
        <w:t>3</w:t>
      </w:r>
      <w:r>
        <w:t>. La segunda vulneración alegada es la del art. 24.2 de la Constitución, en cuanto a la vulneración del principio non bis in idem.</w:t>
      </w:r>
    </w:p>
    <w:p w:rsidR="00256EE9" w:rsidRDefault="00256EE9" w:rsidP="00256EE9">
      <w:pPr>
        <w:pStyle w:val="TextoNormal"/>
      </w:pPr>
      <w:r>
        <w:t>a) Para resolver la cuestión planteada hemos de partir del principio de territorialidad propio del Derecho Penal y de los problemas que, desde la perspectiva de este principio y de la pertenencia del territorio a diversos Estados, plantean los supuestos de actividades delictivas de ámbito y alcance internacional, que se ejecutan en el territorio de diversos Estados.</w:t>
      </w:r>
    </w:p>
    <w:p w:rsidR="00256EE9" w:rsidRDefault="00256EE9" w:rsidP="00256EE9">
      <w:pPr>
        <w:pStyle w:val="TextoNormal"/>
      </w:pPr>
      <w:r>
        <w:t>En estos supuestos la aplicación del principio de territorialidad lleva a que cada Estado pueda penar la actividad delictiva realizada en su territorio; de forma tal, que si la actividad pensada por el sujeto autor del delito se descompone en distintos actos que se realizan en diversos Estados, cada uno de ellos podrá juzgar y castigar los actos ejecutados en su ámbito territorial, si están tipificados penalmente, con arreglo a las normas sobre competencia y procedimiento allí aplicables.</w:t>
      </w:r>
    </w:p>
    <w:p w:rsidR="00256EE9" w:rsidRDefault="00256EE9" w:rsidP="00256EE9">
      <w:pPr>
        <w:pStyle w:val="TextoNormal"/>
      </w:pPr>
      <w:r>
        <w:t>No es ésta, desde luego, la única solución pensable, pero su aplicación no es contraria al principio non bis in idem reconocido en el art.  14.7 del Pacto Internacional de Derechos Civiles y Políticos, y cuya inclusión implícita entre los derechos fundamentales ha sido también reconocida por el Tribunal, pues cada Estado juzga sólo la actividad delictiva realizada en su territorio.</w:t>
      </w:r>
    </w:p>
    <w:p w:rsidR="00256EE9" w:rsidRDefault="00256EE9" w:rsidP="00256EE9">
      <w:pPr>
        <w:pStyle w:val="TextoNormal"/>
      </w:pPr>
      <w:r>
        <w:lastRenderedPageBreak/>
        <w:t>b) La Convención Unica de Estupefacientes, tan reiteradamente aludida en los antecedentes, no ha venido a alterar esta consecuencia de la aplicación del principio de territorialidad, sino que, por el contrario, en su art. 36.2 a) I) establece que cada uno de los delitos enumerados en el inciso I), si se comete en diversos países, se considerará como un delito distinto.</w:t>
      </w:r>
    </w:p>
    <w:p w:rsidR="00256EE9" w:rsidRDefault="00256EE9" w:rsidP="00256EE9">
      <w:pPr>
        <w:pStyle w:val="TextoNormal"/>
      </w:pPr>
      <w:r>
        <w:t>c) Las ideas anteriores permiten ya pasar al examen del supuesto contemplado.  La mera lectura de las Sentencias aportadas por el actor evidencia la aplicación del principio de territorialidad tanto en España como en Francia, dado que se juzgan los hechos acaecidos en el territorio de cada una de ellas, y ello justifica plenamente la afirmación del considerando primero del Auto de 14 de julio de 1984 -impugnado n el sentido de que «el presupuesto fáctico que sirvió de soporte al fallo condenatorio no es coincidente con los motivadores del requerimiento de extradición ni con los que se relatan en la Sentencia del Tribunal de Gran Instancia de París de fecha 12 de junio de 1981».</w:t>
      </w:r>
    </w:p>
    <w:p w:rsidR="00256EE9" w:rsidRDefault="00256EE9" w:rsidP="00256EE9">
      <w:pPr>
        <w:pStyle w:val="TextoNormal"/>
      </w:pPr>
      <w:r>
        <w:t>d) Las consideraciones anteriores conducen a la conclusión de que si existe la causa de inadmisión establecida en el art.  50.2 b ) de la LOTC, es decir, que la demanda carece manifiestamente de contenido que justifique una decisión por parte del Tribunal Constitucional en forma de Sentencia, con el desarrollo procesal consiguiente.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seis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52" w:name="AUTO_1985_91"/>
      <w:r>
        <w:lastRenderedPageBreak/>
        <w:t>AUTO 91/1985, de 7 de febrero de 1985</w:t>
      </w:r>
    </w:p>
    <w:bookmarkEnd w:id="152"/>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ECLI:ES:TC:1985:91A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Ratificando la suspensión, previamente acordada, del Decreto 25/1984, del Gobierno de las Islas Baleares, en el conflicto positivo de competencia 658/1984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Gobierno de la Nación, mediante escrito de 11 de septiembre de 1984, planteó conflicto positivo de competencia contra el Decreto del Gobierno de las Islas Baleares 25/1984, de 5 de abril, sobre régimen de computabilidad de títulos de renta fija en el coeficientes de fondos públicos de las Cajas de Ahorro, con invocación expresa del art. 161.2 de la Constitución, al objeto de que fuese ordenada la suspensión de las disposiciones impugnadas.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la Sección Cuarta de este Tribunal, de 19 de septiembre de 1984, se tuvo por planteado el conflicto y se dio traslado de la demanda al Gobierno de las Islas Baleares, teniéndose por producida la suspensión de la vigencia y aplicación del Decreto objeto del conflicto desde la fecha de su formalización, de conformidad con lo dispuesto en el art. 64.2 de la Ley Orgánica del Tribunal Constitucional (LOTC), lo que se participó al Presidente del Gobierno de las Islas Baleares y se publicó en los periódicos oficiales del Estado y de la Comunidad Autónoma. </w:t>
      </w:r>
    </w:p>
    <w:p w:rsidR="00256EE9" w:rsidRDefault="00256EE9" w:rsidP="00256EE9">
      <w:pPr>
        <w:pStyle w:val="TextoNormal"/>
      </w:pPr>
      <w:r>
        <w:t>El Gobierno de las Islas Baleares se personó y presentó escrito de alegaciones el 23 de octubre de 1984, en solicitud de que en su día se dicte Sentencia declarando que la competencia controvertida corresponde a la Comunidad Autónoma de las Islas Baleares.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la Sección Cuarta del Pleno de este Tribunal, de fecha 16 de enero del corriente, se acordó oír a las partes para que hicieran alegaciones en relación con el mantenimiento o levantamiento de la suspensión del Decreto objeto del conflicto. </w:t>
      </w:r>
    </w:p>
    <w:p w:rsidR="00256EE9" w:rsidRDefault="00256EE9" w:rsidP="00256EE9">
      <w:pPr>
        <w:pStyle w:val="TextoNormal"/>
      </w:pPr>
      <w:r>
        <w:t xml:space="preserve">El Abogado del Estado, en su escrito de 24 de enero último, cumplimenta el traslado conferido solicitando del Tribunal el mantenimiento de la suspensión de la disposición impugnada. Se alega en apoyo de esta petición que el levantamiento de la suspensión supondría la aplicación de la norma estatal -art. 1 del Real Decreto 2869/1980-, en concurrencia con la autonómica, hasta tanto se produzca un pronunciamiento definitivo, contrario a la competencia autonómica, generándose una situación de inseguridad jurídica, tanto </w:t>
      </w:r>
      <w:r>
        <w:lastRenderedPageBreak/>
        <w:t xml:space="preserve">para las partes en conflicto, como para las Entidades de crédito interesadas, y, además que la materia a que afecta la disposición objeto del conflicto -el sistema crediticio- es de indudable interés nacional. </w:t>
      </w:r>
    </w:p>
    <w:p w:rsidR="00256EE9" w:rsidRDefault="00256EE9" w:rsidP="00256EE9">
      <w:pPr>
        <w:pStyle w:val="TextoNormal"/>
      </w:pPr>
      <w:r>
        <w:t>Por su parte el Gobierno de las Islas Baleares, en escrito de 24 de enero último, se manifiesta en defensa del levantamiento de la suspensión, en razón a que el Decreto en conflicto no conculca la legislación básica del Estado sobre la materia al respetar el orden de prioridades y el porcentaje máximo fijados por aquél, por lo que no afecta a la unidad del orden económico nacional, limitándose la incidencia al porcentaje que los recursos ajenos captados por la «Caja de Pensiones para la Vejez y de Ahorros de Cataluña y Baleares» en el territorio de la Comunidad Autónoma de las Islas Baleares supone en relación con el total de recursos ajenos captados.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Ante la necesidad de que el Tribunal se pronuncie acerca de la suspensión en su día acordada, por imperio del art.  161.2 de la C. E., en orden a la ratificación o alzamiento de aquella medida, al versar la disposición cuestionada sobre el régimen de computabilidad de títulos de renta fija en el coeficiente de fondos públicos de las Cajas de Ahorros, pone de relieve el Abogado del Estado en la presente fase incidental -reiterando lo que ya expuso en el escrito mediante el que se suscita el conflicto de competencia- la diferencia que existe entre lo que la referida disposición señala, en parangón con la normativa estatal que su representante estima aplicable, en el punto relativo al respectivo ámbito de aplicación, ya que en el primer caso las Cajas de Ahorros afectadas serán incluso aquellas que sin tener su domicilio social en el ámbito de la Comunidad Autónoma, desarrollen en ella su actividad, mientras que de acuerdo con la ordenación estatal, sólo lo serán las Cajas con sede central en el territorio de la respectiva Comunidad, de lo que se infiere que -caso de levantarse la suspensión- se generaría una situación de inseguridad jurídica, tanto para las partes en conflicto, como para las Entidades de crédito afectadas, tesis atendible por ello, frente a la cual decaen los argumentos aducidos por la representación del Ente Autonómico, ya que en este instante, y por estar reservada su solución al momento de la decisión final de este conflicto, ha de marginarse lo que afecta al cumplimiento del requisito de la temporalidad en su promoción -acerca de lo que discrepan las partes-, sucediendo lo propio en cuanto a si la disposición de que se trata conculca o no la legislación básica del Estado sobre la materia; y sin que, finalmente, posea entidad suficiente a los fines pretendidos, la invocación de lo limitado del alcance del Decreto autonómico, en relación con un total de recursos ajenos captados por determinada Caja de Ahorros.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ello, el Tribunal acuerda mantener la suspensión acordada en este conflicto de competencia en 19 de septiembre último.</w:t>
      </w:r>
    </w:p>
    <w:p w:rsidR="00256EE9" w:rsidRDefault="00256EE9" w:rsidP="00256EE9">
      <w:pPr>
        <w:pStyle w:val="TextoNormal"/>
      </w:pPr>
    </w:p>
    <w:p w:rsidR="00256EE9" w:rsidRDefault="00256EE9" w:rsidP="00256EE9">
      <w:pPr>
        <w:pStyle w:val="TextoNormal"/>
      </w:pPr>
      <w:r>
        <w:t>Publíquese en el «Boletín Oficial del Estado» y en el «Boletín Oficial de las Islas Baleares».</w:t>
      </w:r>
    </w:p>
    <w:p w:rsidR="00256EE9" w:rsidRDefault="00256EE9" w:rsidP="00256EE9">
      <w:pPr>
        <w:pStyle w:val="TextoNormal"/>
      </w:pPr>
      <w:r>
        <w:t>Madrid, a siete de febrero de mil novecientos ochenta y cinco.</w:t>
      </w:r>
    </w:p>
    <w:p w:rsidR="00256EE9" w:rsidRDefault="00256EE9">
      <w:pPr>
        <w:rPr>
          <w:rFonts w:ascii="Times New Roman" w:eastAsia="Times New Roman" w:hAnsi="Times New Roman" w:cs="Times New Roman"/>
          <w:sz w:val="24"/>
          <w:szCs w:val="24"/>
          <w:lang w:eastAsia="es-ES"/>
        </w:rPr>
      </w:pPr>
      <w:r>
        <w:lastRenderedPageBreak/>
        <w:br w:type="page"/>
      </w:r>
    </w:p>
    <w:p w:rsidR="00256EE9" w:rsidRDefault="00256EE9" w:rsidP="00256EE9">
      <w:pPr>
        <w:pStyle w:val="TtuloResolucin"/>
      </w:pPr>
      <w:bookmarkStart w:id="153" w:name="AUTO_1985_92"/>
      <w:r>
        <w:lastRenderedPageBreak/>
        <w:t>AUTO 92/1985, de 7 de febrero de 1985</w:t>
      </w:r>
    </w:p>
    <w:bookmarkEnd w:id="153"/>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ECLI:ES:TC:1985:92A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Ratificando parcialmente la suspensión, previamente acordada, de diversas resoluciones de la Dirección General de Promoción de la Salud, del Departamento de Sanidad y Seguridad Social de la Generalidad de Cataluña, en el conflicto positivo de competencia 659/1984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Gobierno de la Nación, mediante escrito de 11 de septiembre de 1984, planteó conflicto constitucional positivo de competencia contra 166 resoluciones de la Dirección General de Promoción de la Salud, del Departamento de Sanidad y Seguridad Social de la Generalidad de Cataluña, con invocación expresa del art. 161.2 de la Constitución al objeto de que fuese ordenada la suspensión de las resoluciones impugnadas.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la Sección Tercera de este Tribunal de 19 de septiembre de 1984, se tuvo por planteado el conflicto y se dio traslado de la demanda al Consejo Ejecutivo de la Generalidad de Cataluña, teniéndose por producida la suspensión de la vigencia y aplicación de las resoluciones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00256EE9" w:rsidRDefault="00256EE9" w:rsidP="00256EE9">
      <w:pPr>
        <w:pStyle w:val="TextoNormal"/>
      </w:pPr>
      <w:r>
        <w:t>El Consejo Ejecutivo de la Generalidad de Cataluña, se personó y presentó escrito de alegaciones el 19 de octubre de 1984, en solicitud de que en su día se dicte Sentencia declarando que la competencia controvertida corresponde a la Generalidad de Cataluña.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la Sección Tercera, de 16 de enero último, se acordó oír a las partes para que hicieran alegaciones en relación con el mantenimiento o levantamiento de la suspensión de las resoluciones objeto del conflicto. </w:t>
      </w:r>
    </w:p>
    <w:p w:rsidR="00256EE9" w:rsidRDefault="00256EE9" w:rsidP="00256EE9">
      <w:pPr>
        <w:pStyle w:val="TextoNormal"/>
      </w:pPr>
      <w:r>
        <w:t xml:space="preserve">El Abogado del Estado, en escrito de 23 de enero, presentado en cumplimiento del traslado conferido, alega que la ponderación de los perjuicios que acarrearía el levantamiento de la suspensión si la ulterior Sentencia declarase la titularidad estatal de la competencia y consiguiente nulidad de las resoluciones impugnadas, trascienden a los consistentes en una </w:t>
      </w:r>
      <w:r>
        <w:lastRenderedPageBreak/>
        <w:t xml:space="preserve">mera dilación temporal de la eficacia de tales resoluciones, que sería la consecuencia de la ratificación de la suspensión en el caso de que la Sentencia declarase la constitucionalidad de la competencia ejercida en su emanación, y que debe tenerse presente que, entre tanto se sustancia el presente conflicto, subsiste para los interesados la posibilidad de obtener de la Administración del Estado las pertinentes autorizaciones para inscripción en el Registro Sanitario, solicitándose, en consecuencia, la confirmación de la suspensión de la vigencia y aplicación de las resoluciones impugnadas. </w:t>
      </w:r>
    </w:p>
    <w:p w:rsidR="00256EE9" w:rsidRDefault="00256EE9" w:rsidP="00256EE9">
      <w:pPr>
        <w:pStyle w:val="TextoNormal"/>
      </w:pPr>
      <w:r>
        <w:t>El Consejo Ejecutivo de la Generalidad, por su parte, en escrito presentado el 28 de enero último, solicita el levantamiento de la suspensión. De lo contrario, señala, se desautorizaría de facto a la Administración autonómica para el ejercicio de competencias en materia de control sanitario de los productos relacionados con la alimentación humana, ejercicio que se ajusta con el máximo rigor a la normativa básica del Estado, ya que al autorizar productos relacionados con la alimentación humana o destinados a la misma y al convalidar anteriores resoluciones de la Administración del Estado, relativos a productos de la misma clase que los autorizados, se limita a comprobar la adecuación de los productos y sustancias con el contenido de las listas positivas elaboradas por el Estado al efecto. Por ello, es evidente que la autorización y convalidación por la Generalidad de Cataluña de aditivos y demás productos sometidos a registro sanitario no puede en ningún caso impedir el libre comercio de mercancías ni introducir factor alguno de desigualdad en cuanto a las condiciones básicas de protección a la salud. Por otra parte, afirma el Abogado de la Generalidad, el levantamiento de la suspensión no origina perjuicio alguno a los beneficiarios: en el caso de las resoluciones comprendidas en el Anexo I, la función de la Generalidad de Cataluña es de mera ejecución o aplicación a cada solicitud del contenido de las listas positivas promulgadas por el Estado, sin que la Administración autónoma innove ni incorpore criterio alguno, limitándose a aplicar estrictamente la normativa básica establecida, y en el caso de las resoluciones del Anexo II, el mantenimiento de la suspensión obligaría a los beneficiarios a solicitar nuevamente de la Administración del Estado la convalidación de una autorización, anteriormente concedida por ésta, convalidada posteriormente por la Generalidad de la que, eventualmente, habría que solicitar en el futuro una nueva convalidación si se la declarase competente por este Tribunal.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objeto del presente conflicto está constituido, como queda dicho en los antecedentes, por un extenso conjunto de resoluciones autorizatorias (166 en total), una parte de las cuales (exactamente las 40 recogidas en el Anexo II de la demanda) son simple convalidación de autorizaciones ya concedidas anteriormente por el Estado, en tanto que el resto (las 126 que figuran en el Anexo I) han sido concedidas por primera vez por la Generalidad.</w:t>
      </w:r>
    </w:p>
    <w:p w:rsidR="00256EE9" w:rsidRDefault="00256EE9" w:rsidP="00256EE9">
      <w:pPr>
        <w:pStyle w:val="TextoNormal"/>
      </w:pPr>
      <w:r>
        <w:t>Este distinto alcance de las resoluciones impugnadas, provisionalmente privadas además de toda fuerza desde el pasado 19 de septiembre de 1984, ha de ser tenido en cuenta al ponderar los perjuicios que el levantamiento o mantenimiento de la suspensión acarrearían.  El levantamiento de la suspensión que ahora afecta a las resoluciones incluidas en el Anexo I crearía en los beneficiarios de éstas unas expectativas que resultarían destruidas, si al resolver sobre el fondo del asunto se declarase la incompetencia de la Generalidad, siguiéndose de ello verosímilmente la necesidad de interrumpir los procesos de producción ya iniciados, con el consiguiente perjuicio económico. El mantenimiento de la suspensión ya acordada no origina ningún perjuicio directo para los ciudadanos, aunque alar</w:t>
      </w:r>
      <w:r>
        <w:lastRenderedPageBreak/>
        <w:t>gue por más tiempo la incertidumbre sobre cuál es el alcance preciso de las competencias de la Generalidad en esta materia.</w:t>
      </w:r>
    </w:p>
    <w:p w:rsidR="00256EE9" w:rsidRDefault="00256EE9" w:rsidP="00256EE9">
      <w:pPr>
        <w:pStyle w:val="TextoNormal"/>
      </w:pPr>
      <w:r>
        <w:t>La situación es, en cierto modo, inversa en lo que respecta a las 40 resoluciones recogidas en el Anexo II, pues éstas no pueden servir de base a la iniciación de nuevos procesos de producción, ya que éstos existen antes de haber sido acordadas tales resoluciones, que son simplemente convalidatorias de otras anteriores. Respecto de las resoluciones de este segundo grupo, el levantamiento de la suspensión no origina, por tanto, incertidumbre o perjuicio alguno a los ciudadanos, en tanto que su mantenimiento les obligaría a solicitar nuevamente de la Administración del Estado la convalidación de una autorización anteriormente concedida por ésta, convalidada posteriormente por la Generalidad, de la que, eventualmente, habría que solicitar en el futuro una nueva convalidación si nuestra resolución sobre el fondo la declarase competente.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a todo lo expuesto, el Tribunal Constitucional acuerda:</w:t>
      </w:r>
    </w:p>
    <w:p w:rsidR="00256EE9" w:rsidRDefault="00256EE9" w:rsidP="00256EE9">
      <w:pPr>
        <w:pStyle w:val="TextoNormal"/>
      </w:pPr>
      <w:r>
        <w:t>1.° Mantener la suspensión de las resoluciones incluidas en el Anexo I de los que se adjuntan a la demanda, publicado en el «Boletín Oficial del Estado» núm.  235, de 1 de octubre de 1984.</w:t>
      </w:r>
    </w:p>
    <w:p w:rsidR="00256EE9" w:rsidRDefault="00256EE9" w:rsidP="00256EE9">
      <w:pPr>
        <w:pStyle w:val="TextoNormal"/>
      </w:pPr>
      <w:r>
        <w:t>2.° Levantar la suspensión de las resoluciones incluidas en el Anexo II, adjunto a la demanda, publicado en el «Boletín Oficial del Estado» antes indicado.</w:t>
      </w:r>
    </w:p>
    <w:p w:rsidR="00256EE9" w:rsidRDefault="00256EE9" w:rsidP="00256EE9">
      <w:pPr>
        <w:pStyle w:val="TextoNormal"/>
      </w:pPr>
    </w:p>
    <w:p w:rsidR="00256EE9" w:rsidRDefault="00256EE9" w:rsidP="00256EE9">
      <w:pPr>
        <w:pStyle w:val="TextoNormal"/>
      </w:pPr>
      <w:r>
        <w:t>Publíquese en el «Boletín Oficial del Estado» y en el «Diario Oficial de la Generalidad de Cataluña».</w:t>
      </w:r>
    </w:p>
    <w:p w:rsidR="00256EE9" w:rsidRDefault="00256EE9" w:rsidP="00256EE9">
      <w:pPr>
        <w:pStyle w:val="TextoNormal"/>
      </w:pPr>
      <w:r>
        <w:t>Madrid, a 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54" w:name="AUTO_1985_93"/>
      <w:r>
        <w:lastRenderedPageBreak/>
        <w:t>AUTO 93/1985, de 13 de febrero de 1985</w:t>
      </w:r>
    </w:p>
    <w:bookmarkEnd w:id="154"/>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ECLI:ES:TC:1985:93A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691/1984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Luis Fernández Alvarez Wiesse, Procurador de los Tribunales, interpone en nombre y representación de don Aurelio Morgado Rubio y otros, recurso de amparo contra la Sentencia dictada por el Tribunal Central de Trabajo, de 28 de junio de 1984, que desestimó recurso de suplicación promovido contra la Sentencia de 6 de diciembre de 1983, de la Magistratura de Trabajo de Badajoz.</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pretensión de los recurrentes se basa en los siguientes hechos: </w:t>
      </w:r>
    </w:p>
    <w:p w:rsidR="00256EE9" w:rsidRDefault="00256EE9" w:rsidP="00256EE9">
      <w:pPr>
        <w:pStyle w:val="TextoNormal"/>
      </w:pPr>
      <w:r>
        <w:t>a) los actores vinieron prestando servicios por cuenta y bajo la dependencia de la empresa José Sanguino Robles, dedicada a la actividad de construcción hasta el 20 de septiembre de 1983, fecha en la que se les comunicó la extinción de sus contratos de trabajo por incapacidad del empresario; b) promovida ante la jurisdicción laboral demanda en reclamación por despido improcedente, la Magistratura de Trabajo de Badajoz la desestimó por Sentencia de 6 de diciembre de 1983, declarando resuelto.s los contratos de trabajo al amparo de lo establecido en el art. 49.7 del Estatuto de los Trabajadores, con derecho a percibir una indemnización equivalente a una mensualidad de preaviso, y no admitiendo la continuidad de la actividad empresarial con el hijo del demandado, y c) promovido recurso de suplicación contra la anterior resolución el Tribunal Central de Trabajo, por Sentencia de 28 de junio de 1984, lo desestimó, confirmando la decisión recurrida.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escrito de demanda acusa a las Sentencias impugnadas de haber vulnerado los arts. 24.1 y 14, en relación con el 149.1.ª de la C.E. El derecho a la tutela judicial efectiva se habría infringido por no reconocer las resoluciones judiciales combatidas, el derecho de los recurrentes a mantener su puesto de trabajo, en aplicación de lo prevenido en el art. 49.7 del Estatuto de los Trabajadores (E.T.) y artículo único de la Orden ministerial de 6 de octubre de 1981. </w:t>
      </w:r>
    </w:p>
    <w:p w:rsidR="00256EE9" w:rsidRDefault="00256EE9" w:rsidP="00256EE9">
      <w:pPr>
        <w:pStyle w:val="TextoNormal"/>
      </w:pPr>
      <w:r>
        <w:t>En lo que concierne a la segunda de las infracciones denunciadas, arguyen los recurrentes que el art. 49.7 del E.T. resulta discriminatorio, por cuanto prevé una indemnización en favor de los trabajadores cuyos contratos de trabajo se extingan por las causas allí contempladas inferior a la que se establece para las extinciones por causas tecnológicas o económicas (art. 51 del E.T.) y por causas objetivas (art. 52 del E.T.). En situaciones idénticas, definidas por la imposibilidad del empresario de dar ocupación efectiva a los trabaja</w:t>
      </w:r>
      <w:r>
        <w:lastRenderedPageBreak/>
        <w:t xml:space="preserve">dores a su servicio por circunstancias personales a él imputables, hay un tratamiento discriminatorio. El Estado, al que compete garantizar la igualdad de todos los españoles en el ejercicio de sus derechos (art. 149.1.1.ª y 7.ª de la C.E.), ha dictado una regulación discriminatoria y por tanto inconstitucional. </w:t>
      </w:r>
    </w:p>
    <w:p w:rsidR="00256EE9" w:rsidRDefault="00256EE9" w:rsidP="00256EE9">
      <w:pPr>
        <w:pStyle w:val="TextoNormal"/>
      </w:pPr>
      <w:r>
        <w:t>En el «suplico», los demandantes solicitan de este Tribunal Constitucional (T.C.) que declare la nulidad de las Sentencias impugnadas, restableciéndoles en sus puestos de trabajo con expresa condena, previa declaración de improcedencia del despido, a ser readmitidos en la Empresa cuya actividad continúa don José Sanguino Galván y, subsidiariamente, que se reconozca el derecho de los actores a percibir una indemnización de veinte días por año de servicios por el cese en la Empresa José Sanguino Robles y con cargo ésta.</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21 de noviembre de 1984, la Sección acordó tener por recibido el escrito de demanda y hacer saber al Procurador don Luis Fernando Alvarez Wiesse, en la representación que ostenta de los recurrentes, la posible concurrencia de los siguientes motivos de inadmisión: a ) de carácter subsanable, no acompañar a la demanda la copia, traslado o certificación de las resoluciones recaídas en el procedimiento judicial [art. 50.1 b) en conexión con el art. 49.2 b), ambos de la LOTC] y b) de carácter insubsanable, no haberse invocado formalmente en el proceso el derecho constitucional vulnerado, tan pronto como, una vez conocida la violación, hubiere lugar para ello [art. 50.1 b) en relación con el art. 44.1 c), ambos de la LOTC]. En razón de ello la Sección acordó conceder al Ministerio Fiscal y a los recurrentes un plazo común de diez días a fin de que, dentro del mismo, formulen las alegaciones que estimaren pertinentes, pudiendo éstos, dentro de dicho plazo, subsanar el defecto señalado en primer lugar.</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Evacuando su informe, el Ministerio Fiscal señala que en el proceso judicial no se invocaron los preceptos constitucionales presuntamente vulnerados, lo que se hace directamente en sede constitucional. Indica el Fiscal ante el T.C. que, por muy antiformalista que sean los procesos constitucionales y aunque la exigencia incumplida se interprete con criterio finalista, no es posible en el presente caso un pronunciamiento sobre el fondo de la cuestión, que no se planteó ante los órganos judiciales. El momento procesal oportuno para hacer la invocación debió ser el inmediatamente anterior a la supuesta violación producida y, si ésta tuvo lugar en la Sentencia de Magistratura, tal momento es el del anuncio del recurso de suplicación y, en todo caso, en la interposición de éste, en el que ni se mencionó ni suscitó, en absoluto, ni siquiera indirectamente las pretendidas vulneraciones de los artículos 24.1 y 14 de la C.E. la demanda también incurre en el motivo de inadmisión, subsanable, previsto en el art. 50.1 b) en relación con el artículo 49.2 b) ambos de la LOTC. </w:t>
      </w:r>
    </w:p>
    <w:p w:rsidR="00256EE9" w:rsidRDefault="00256EE9" w:rsidP="00256EE9">
      <w:pPr>
        <w:pStyle w:val="TextoNormal"/>
      </w:pPr>
      <w:r>
        <w:t>Por lo expuesto, el Ministerio Fiscal concluye interesando de este T.C. dicte Auto de inadmisión de la demanda de amparo.</w:t>
      </w:r>
    </w:p>
    <w:p w:rsidR="00256EE9" w:rsidRDefault="00256EE9" w:rsidP="00256EE9">
      <w:pPr>
        <w:pStyle w:val="TextoNormal"/>
      </w:pPr>
    </w:p>
    <w:p w:rsidR="00256EE9" w:rsidRDefault="00256EE9" w:rsidP="00256EE9">
      <w:pPr>
        <w:pStyle w:val="TextoNormal"/>
      </w:pPr>
      <w:r w:rsidRPr="00256EE9">
        <w:rPr>
          <w:rStyle w:val="NumeroAFNegritaCaracter"/>
        </w:rPr>
        <w:t>6</w:t>
      </w:r>
      <w:r>
        <w:t>. En su escrito de alegaciones, los recurrentes subsanan el motivo de inadmisión de tal carácter, acompañando copia testimoniada de las Sentencias de la Magistratura de Trabajo de Badajoz, así como del Tribunal Central de Trabajo. En relación con la causa de inadmisibilidad insubsanable, solicitan la práctica de la prueba documental pública, consistente en requerir de la Magistratura de Trabajo de Badajoz certificación de los Autos y especialmente del acta de juicio.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7</w:t>
      </w:r>
      <w:r>
        <w:t>. Por providencia de 19 de diciembre de 1984, la Sección acordó tener recibidos los escritos de alegaciones del Ministerio Fiscal y de los recurrentes, con los documentos adjuntos. Asimismo, acordó dirigir comunicación a la Magistratura de Trabajo de Badajoz a fin de que por ésta se remitiera al T.C. testimonio del acta de juicio y, en su caso, de los particulares relativos a la invocación formal por parte de los demandantes de la vulneración de derechos constitucionales. Por escrito de 28 de diciembre de 1984, el Magistrado titular de la Magistratura de Trabajo de Badajoz remitió el referido testimonio.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escrito de demanda se dirige contra Sentencia dictada por el Tribunal Central de Trabajo, a la que se acusa de manera directa e inmediata de haber lesionado derechos fundamentales. Es obligado señalar, no obstante, que dicha Sentencia no hizo sino confirmar la anterior resolución pronunciada por la Magistratura de Trabajo de Badajoz, desestimando el recurso de suplicación que, frente a ella, promovieron los actores.  La identidad entre ambas decisiones evidencia, por consiguiente, que las violaciones denunciadas, de haberse producido por las razones alegadas, han de imputarse a la Sentencia de la Magistratura de Trabajo de Badajoz de 6 de diciembre de 1983.</w:t>
      </w:r>
    </w:p>
    <w:p w:rsidR="00256EE9" w:rsidRDefault="00256EE9" w:rsidP="00256EE9">
      <w:pPr>
        <w:pStyle w:val="TextoNormal"/>
      </w:pPr>
      <w:r>
        <w:t>Este planteamiento conlleva una importante consecuencia a los efectos de comprobar el cumplimiento del requisito establecido en el art. 44.1 c) de la LOTC -cauce éste al que ha de reconducirse la presente demanda, en lugar de al cauce del art.  43 de la LOTC como érroneamente señalan los recurrentes- que, en relación con el art.  50.1 b) de ese mismo texto legislativo, condiciona la admisión de la demanda de amparo a la invocación en el proceso del derecho constitucional vulnerado «tan pronto como, una vez conocida la violación, hubiere lugar para ello».  En el caso a examen, el momento procesal pertinente para observancia de aquel requisito fue el escrito de formalización del recurso de suplicación.  De la detenida lectura de este escrito, aportado como documento a la demanda de amparo, se deduce por lo pronto y con meridiana claridad la falta de invocación de los preceptos constitucionales ahora estimados infringidos, lo que conduce irremediablemente a la inadmisión del recurso, sin que el examen del acta del juicio de instancia haya aportado prueba alguna en contrario.</w:t>
      </w:r>
    </w:p>
    <w:p w:rsidR="00256EE9" w:rsidRDefault="00256EE9" w:rsidP="00256EE9">
      <w:pPr>
        <w:pStyle w:val="TextoNormal"/>
      </w:pPr>
      <w:r>
        <w:t>La lectura de la misma ha ratificado esta conclusión, no pudiendo en modo alguno entenderse cumplida dicha exigencia por haberse opuesto los recurrentes a la extinción de los contratos de trabajo alegando indefensión por «no ser legible» el certificado médico justificativo de la incapacidad del demandado, ya que tal indefensión nada tiene que ver ni ninguna relación guarda con la argumentación que sirve de fundamento a la presunta vulneración por la resolución recurrida del art.  24.1 de la C.E.</w:t>
      </w:r>
    </w:p>
    <w:p w:rsidR="00256EE9" w:rsidRDefault="00256EE9" w:rsidP="00256EE9">
      <w:pPr>
        <w:pStyle w:val="TextoNormal"/>
      </w:pPr>
    </w:p>
    <w:p w:rsidR="00256EE9" w:rsidRDefault="00256EE9" w:rsidP="00256EE9">
      <w:pPr>
        <w:pStyle w:val="TextoNormal"/>
      </w:pPr>
      <w:r w:rsidRPr="00256EE9">
        <w:rPr>
          <w:rStyle w:val="NumeroAFNegritaCaracter"/>
        </w:rPr>
        <w:t>2</w:t>
      </w:r>
      <w:r>
        <w:t>. Pero del examen de toda la documentación aportada o requerida se infiere una segunda conclusión, cual es la falta de correspondencia entre las pretensiones deducidas en el proceso ordinario y las que ahora se postulan en este proceso constitucional, la cual explica no sólo el incumplimiento de la exigencia establecida en el art. 44.1. c) de la LOTC sino la imposibilidad material de su cumplimiento.</w:t>
      </w:r>
    </w:p>
    <w:p w:rsidR="00256EE9" w:rsidRDefault="00256EE9" w:rsidP="00256EE9">
      <w:pPr>
        <w:pStyle w:val="TextoNormal"/>
      </w:pPr>
      <w:r>
        <w:t>El recurso de suplicación vino motivado, en efecto, por considerarse que la resolución combatida había incurrido en infracción del art. 55.2 y 3, párrafo segundo, y, subsidiariamente, en infracción por violación de los arts. 53.3 párrafo in fine, 56 y 44.1 del E.T., de suerte que las pretensiones postuladas en la demanda laboral y reiteradas en el menciona</w:t>
      </w:r>
      <w:r>
        <w:lastRenderedPageBreak/>
        <w:t>do recurso se contraían lisa y llanamente a la declaración de nulidad de los despidos o, en su caso, de improcedencia de los mismos, petición esta última que se fundamentaba al estimar que se había producido una transmisión de la Empresa entre los codemandados, don José Sanguino Robles y don José Sanguino Galván, determinante de la continuidad de las relaciones laborales de los demandantes establecida para los cambios en la titularidad de la Empresa por el ya citado art. 44.1 del E.T.</w:t>
      </w:r>
    </w:p>
    <w:p w:rsidR="00256EE9" w:rsidRDefault="00256EE9" w:rsidP="00256EE9">
      <w:pPr>
        <w:pStyle w:val="TextoNormal"/>
      </w:pPr>
      <w:r>
        <w:t>En el recurso de amparo, sin embargo, los recurrentes modifican radicalmente sus pretensiones, introduciendo en momento procesal del todo punto inadecuado una dimensión constitucional en la defensa de sus intereses, alegando el carácter discriminatorio del régimen indemnizatorio previsto para las extinciones de los vínculos contractuales causadas por la incapacidad del empresario y manifestando que las resoluciones combatidas, al no declarar la continuidad de las relaciones laborales, vulneraron el derecho a la tutela judicial efectiva.  Estos comportamientos procesales de los recurrentes no pueden en modo alguno prosperar, pues ello significaría transformar la naturaleza del propio recurso de amparo, que es, como con insistencia ha venido señalando este T.C., remedio último y subsidiario para restablecer a los ciudadanos en el ejercicio de los derechos constitucionales infringidos por actos procedentes de los Poderes Públicos.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todo lo expuesto, la Sección acuerda la inadmisión del recurso, y el archivo de las actuaciones.</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55" w:name="AUTO_1985_94"/>
      <w:r>
        <w:lastRenderedPageBreak/>
        <w:t>AUTO 94/1985, de 13 de febrero de 1985</w:t>
      </w:r>
    </w:p>
    <w:bookmarkEnd w:id="155"/>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ECLI:ES:TC:1985:94A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707/1984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Federación Nacional de Comunidades de Regantes de España, representada por el Procurador don Juan Corujo y López Villamil y asistida del Letrado don Ildefonso Pastor, formuló demanda de amparo constitucional contra la Sentencia de la Sala del Tribunal Supremo de 2 de julio de 1984, que desestimó recurso contencioso-administrativo interpuesto por la demandante contra la Orden del Ministerio de Trabajo de 25 de junio de 1976, por vulneración de los arts. 9, 14 y 24 de la Constitución Española. Los hechos y fundamentos de Derecho en que se apoya la demanda son los siguientes: </w:t>
      </w:r>
    </w:p>
    <w:p w:rsidR="00256EE9" w:rsidRDefault="00256EE9" w:rsidP="00256EE9">
      <w:pPr>
        <w:pStyle w:val="TextoNormal"/>
      </w:pPr>
      <w:r>
        <w:t xml:space="preserve">a) Con fecha de 25 de junio de 1976, se dictó una Orden ministerial que regula el régimen de Seguridad Social aplicable a las actividades de captación, elevación, conducción, tratamiento, depuración y distribución de aguas así como a los trabajadores dedicados a las labores de limpieza, monda y desbroce de acequias, brazales e hijuelas y a los que efectúen faenas de riego. Dicha Orden diferencia dentro de los supuestos contemplados, aquéllos sometidos al Régimen General de la Seguridad Social y los sometidos al Régimen Especial Agrario. </w:t>
      </w:r>
    </w:p>
    <w:p w:rsidR="00256EE9" w:rsidRDefault="00256EE9" w:rsidP="00256EE9">
      <w:pPr>
        <w:pStyle w:val="TextoNormal"/>
      </w:pPr>
      <w:r>
        <w:t xml:space="preserve">b) La Federación Nacional de Comunidades de Regantes de España, considerando que la Orden ministerial vulneraba la legalidad y perjudicaba a las Comunidades de Regantes al sujetar al Régimen General a trabajadores dedicados a faenas de riego y de limpieza y monda de acequias, hasta entonces sometidos al Régimen Especial Agrario, interpuso recurso de reposición que fue desestimado por silencio administrativo y, posteriormente, recurso contencioso-administrativo. </w:t>
      </w:r>
    </w:p>
    <w:p w:rsidR="00256EE9" w:rsidRDefault="00256EE9" w:rsidP="00256EE9">
      <w:pPr>
        <w:pStyle w:val="TextoNormal"/>
      </w:pPr>
      <w:r>
        <w:t>c) La Sala Cuarta del Tribunal Supremo dictó Sentencia resolutoria del recurso en sentido desestimatorio, el día 2 de julio de 1984. La Sala fundamenta su pronunciamiento en una previa Sentencia de 17 de diciembre de 1982, en que, al resolver recurso contra la misma Orden interpuesto por una Comunidad de Regantes, se había declarado ya su conformidad al ordenamiento jurídico.</w:t>
      </w:r>
    </w:p>
    <w:p w:rsidR="00256EE9" w:rsidRDefault="00256EE9" w:rsidP="00256EE9">
      <w:pPr>
        <w:pStyle w:val="TextoNormal"/>
      </w:pPr>
    </w:p>
    <w:p w:rsidR="00256EE9" w:rsidRDefault="00256EE9" w:rsidP="00256EE9">
      <w:pPr>
        <w:pStyle w:val="TextoNormal"/>
      </w:pPr>
      <w:r w:rsidRPr="00256EE9">
        <w:rPr>
          <w:rStyle w:val="NumeroAFNegritaCaracter"/>
        </w:rPr>
        <w:t>2</w:t>
      </w:r>
      <w:r>
        <w:t>. La Federación demandante denuncia la vulneración de los arts. 9, 14 y 24 de la Constitución Española. El principio de igualdad se infringe porque se distingue en la Orden ministerial entre los supuestos de trabajadores que realicen las actividades a que se refiere la norma en acequias o canales de una explotación agraria o en acequias o canales de una Comunidad de Regantes, cuando ambos debían ser tratados igual. Se infringe tam</w:t>
      </w:r>
      <w:r>
        <w:lastRenderedPageBreak/>
        <w:t xml:space="preserve">bién el principio de jerarquía y de legalidad reconocidos en el art. 9 de la Constitución por cuanto la Orden ministerial, a pretexto de aclarar, modifica los derechos reconocidos por normas de rango superior. Por fin, se vulnera el art. 24, dado que la Sentencia del Tribunal Supremo no ha otorgado una tutela efectiva a los derechos e intereses legítimos de las Comunidades de Regantes. </w:t>
      </w:r>
    </w:p>
    <w:p w:rsidR="00256EE9" w:rsidRDefault="00256EE9" w:rsidP="00256EE9">
      <w:pPr>
        <w:pStyle w:val="TextoNormal"/>
      </w:pPr>
      <w:r>
        <w:t>Solicita la concesión del amparo a las Comunidades de Regantes Federados en el sentido de que puedan continuar los trabajadores que contraten para realizar los trabajos de limpieza y monda de sus acequias y de riego acogidos al Régimen Especial Agrario de la Seguridad Social, evitando la discriminación que se hace en la Orden ministerial y en la Sentencia recurrida.</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acordó mediante providencia de 5 de diciembre, poner de manifiesto la posible existencia de la causa de inadmisión que regula el art. 50.2 b) de la Ley Orgánica del Tribunal Constitucional, concediendo un plazo de diez días a la parte y al Ministerio Fiscal para efectuar sus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Federación Nacional demandante reitera sus alegaciones iniciales exponiendo que la Sentencia del Tribunal Supremo, al mantener la Orden ministerial, discrimina por razón de la propiedad de los cauces a aquellas personas propietarias de explotaciones constituidas en Comunidad de Regantes respecto de quienes no se constituyen en tal, estableciendo una diferencia en cuanto al pago de la Seguridad Social por los mismos trabajadores, pues en el primer caso se somete al Régimen General, cuyo coste por trabajador es del orden del 36,7 por 100 de los sueldos reales y en el segundo se sujeta al Régimen Especial Agrario con coste del 6 por 100. </w:t>
      </w:r>
    </w:p>
    <w:p w:rsidR="00256EE9" w:rsidRDefault="00256EE9" w:rsidP="00256EE9">
      <w:pPr>
        <w:pStyle w:val="TextoNormal"/>
      </w:pPr>
      <w:r>
        <w:t xml:space="preserve">También se ha vulnerado el art. 24, en relación con el 9 de la Constitución, pues aquél establece el derecho a la tutela efectiva de los Tribunales, y no es efectiva cuando el Tribunal consiente la vulneración del principio de jerarquía normativa, pues la Orden ministerial modifica, a pretexto de aclarar, la Ley y el Reglamento de la Seguridad Social Agraria vigentes. </w:t>
      </w:r>
    </w:p>
    <w:p w:rsidR="00256EE9" w:rsidRDefault="00256EE9" w:rsidP="00256EE9">
      <w:pPr>
        <w:pStyle w:val="TextoNormal"/>
      </w:pPr>
      <w:r>
        <w:t>El escrito de alegaciones concluye señalando que cuando un colectivo como son las Comunidades de Regantes Federados impugnan una disposición, es porque les perjudica, como ocurre con la Sentencia dictada, y duele que un Tribunal no aprecie esa discriminación, ese daño y esa vulneración de normas de superior rango. Sería incalificable el que si no hubiera perjuicio se reclamare e impugnaran los cambios por puro capricho, y la desestimación de la pretensión equivaldría a afirmar que no ha existido perjuicio para la Comunidad de Regantes si se ha de aceptar como correcta la actuación de la Administración porque nada ha cambiado ni ha de cambiar por la Orden de referencia.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Ministerio Fiscal expone en sus alegaciones que la presunta lesión no pudo cometerse por la referida Sentencia, que se limitó a declarar que la Orden ministerial era conforme a Derecho, sino por la Orden misma que dispuso el Régimen de Seguridad Social aplicable. Prescindiendo del problema temporal que ello plantea -Orden anterior a la Constitución- es lo cierto que no puede verse desigualdad discriminatoria en la misma: el hecho de que unos trabajadores estén o se declaren incluso en un régimen laboral determinado no puede conceptuarse como discriminación temporal. </w:t>
      </w:r>
    </w:p>
    <w:p w:rsidR="00256EE9" w:rsidRDefault="00256EE9" w:rsidP="00256EE9">
      <w:pPr>
        <w:pStyle w:val="TextoNormal"/>
      </w:pPr>
      <w:r>
        <w:t xml:space="preserve">La misma inconsistencia se encuentra en la alegación del derecho a la tutela judicial. El Tribunal Supremo, en su Sentencia, que ahora si es origen inmediato y directo de este </w:t>
      </w:r>
      <w:r>
        <w:lastRenderedPageBreak/>
        <w:t>agravio alegado, dio respuesta razonada y motivada en Derecho a la pretensión que se le formuló; si, además, la parte actora en el correspondiente proceso vio respetadas sus garantías procesales, no puede sostenerse que la tutela judicial haya faltado.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competencia del Tribunal Constitucional en el recurso de amparo se limita, según disponen los arts. 53.2 y 161.1 b) de la Constitución y 41 de la Ley Orgánica del Tribunal, a la protección de los derechos fundamentales y libertades públicas reconocidos en los arts.  14 a 29 de la Constitución, así como de la objeción de conciencia del art. 30. No es este órgano ante el que pueda suscitarse la pretensión de corrección de determinados perjuicios que dice sufrir el particular o que deba resolver sobre la corrección o incorrección de la actuación administrativa ya sea en relación a la Ley que aplica o desarrolla en relación a lo que se estima como política y socialmente adecuado por quien reclama. Pretender ello, en la medida en que la pretensión sea incluso jurídicamente sostenible, no es sino reproducir el proceso previo en la vía constitucional, olvidando la naturaleza y función específica del recurso de amparo.</w:t>
      </w:r>
    </w:p>
    <w:p w:rsidR="00256EE9" w:rsidRDefault="00256EE9" w:rsidP="00256EE9">
      <w:pPr>
        <w:pStyle w:val="TextoNormal"/>
      </w:pPr>
      <w:r>
        <w:t>Es ello lo que sucede con la demanda de amparo formulada por la Federación de Comunidades de Regantes, que no responde a la providencia que puso de manifiesto su falta de contenido constitucional sino reiterando argumentos ajenos a los que pueden sostenerse en el recurso de amparo. Cuando se denuncia la vulneración del derecho a la tutela judicial por parte del Tribunal Supremo, se hace porque dicha tutela no ha sido efectiva, dado que no se ha respetado el principio de jerarquía normativa, atacando la afirmación del Tribunal de que los preceptos que se consideran infringidos estaban ya derogados cuando se invocaron también otros vigentes. Tal argumentación desconoce el contenido del derecho a la tutela judicial que, según ha expuesto reiteradamente el Tribunal, consiste en el derecho al proceso y a obtener en él un pronunciamiento fundado, lo que ha sido debidamente garantizado a la Federación demandante, que ha podido alegar lo que ha estimado conveniente a su derecho, por más que no haya alcanzado el éxito deseado. Y con independencia del acuerdo o desacuerdo en la afirmación del Tribunal arriba destacada, el hecho es que no se desestimó el recurso contencioso por entender que la impugnación estuvo mal efectuada, sino porque, según expresamente se declara, la Orden impugnada no infringe las normas legales vigentes y porque ya con anterioridad el mismo Tribunal Supremo había reconocido su legalidad.</w:t>
      </w:r>
    </w:p>
    <w:p w:rsidR="00256EE9" w:rsidRDefault="00256EE9" w:rsidP="00256EE9">
      <w:pPr>
        <w:pStyle w:val="TextoNormal"/>
      </w:pPr>
    </w:p>
    <w:p w:rsidR="00256EE9" w:rsidRDefault="00256EE9" w:rsidP="00256EE9">
      <w:pPr>
        <w:pStyle w:val="TextoNormal"/>
      </w:pPr>
      <w:r w:rsidRPr="00256EE9">
        <w:rPr>
          <w:rStyle w:val="NumeroAFNegritaCaracter"/>
        </w:rPr>
        <w:t>2</w:t>
      </w:r>
      <w:r>
        <w:t>. Igualmente infundada está la invocación del art. 14 de la Constitución, que se estima vulnerado por la diferencia que se establece en la Seguridad Social de unas determinadas actividades según se presten a explotaciones agrarias o Comunidades de Regantes. Con independencia de que la demanda en esta materia no puede ir dirigida contra la Sentencia del Tribunal Supremo, sino contra la Orden ministerial misma, que aquélla se limita a confirmar, y con independencia también de la peculiaridad que supone el que la Orden sea anterior a la Constitución y, por tanto, no pueda plantearse propiamente su inconstitucionalidad, sino su derogación por la Constitución, el rechazo del recurso ha de fundamentarse en la inexistencia de toda vulneración constitucional.</w:t>
      </w:r>
    </w:p>
    <w:p w:rsidR="00256EE9" w:rsidRDefault="00256EE9" w:rsidP="00256EE9">
      <w:pPr>
        <w:pStyle w:val="TextoNormal"/>
      </w:pPr>
      <w:r>
        <w:t xml:space="preserve">Es cierto que la norma, cuando diferencia en el régimen de Seguridad Social aplicable a los trabajadores que realizan una misma actividad en atención al sujeto al que prestan sus servicios, establece una desigualdad de trato que desde el punto de vista pasivo, repercute </w:t>
      </w:r>
      <w:r>
        <w:lastRenderedPageBreak/>
        <w:t>en el sujeto que recibe sus servicios. Pero entender que tal desigualdad tiene carácter discriminatorio y vulnera el art.  14 de la Constitución, sólo puede sostenerse partiendo de la exigibilidad jurídica del trato igual o, si se quiere, de la negativa de toda trascendencia jurídica al elemento diferencial, que en este caso evidentemente existe.</w:t>
      </w:r>
    </w:p>
    <w:p w:rsidR="00256EE9" w:rsidRDefault="00256EE9" w:rsidP="00256EE9">
      <w:pPr>
        <w:pStyle w:val="TextoNormal"/>
      </w:pPr>
      <w:r>
        <w:t>Cuando la actividad en que se traduce esta competencia y la consiguiente determinación del campo de aplicación de los diversos regímenes de la Seguridad Social se ha ejercido de forma objetiva, por referencia a actividades diferenciadas, como sucede en el caso a examen, y no arbitrariamente, no existe desigualdad que pueda calificarse de discriminatoria. Otra cosa es que a la Federación demandante le parezca perjudicial o poco razonable la diferencia establecida por la Orden impugnada.  Tal opinión es cuestión que versa sobre el juicio de valoración política del sistema establecido, pero no sobre el juicio de constitucionalidad.</w:t>
      </w:r>
    </w:p>
    <w:p w:rsidR="00256EE9" w:rsidRDefault="00256EE9" w:rsidP="00256EE9">
      <w:pPr>
        <w:pStyle w:val="TextoNormal"/>
      </w:pPr>
      <w:r>
        <w:t>Lo que llevamos dicho en ambos fundamentos confirma la existencia, apuntada en nuestra providencia, de la causa de inadmisión regulada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56" w:name="AUTO_1985_95"/>
      <w:r>
        <w:lastRenderedPageBreak/>
        <w:t>AUTO 95/1985, de 13 de febrero de 1985</w:t>
      </w:r>
    </w:p>
    <w:bookmarkEnd w:id="156"/>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ECLI:ES:TC:1985:95A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736/1984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Manuel Ayuso Tejerizo, Procurador de los Tribunales, interpone en nombre y representación de la Asociación de Empresas de la Construcción de Madrid (AECOM) recurso de amparo constitucional contra la Sentencia del Tribunal Central de Trabajo de 12 de septiembre de 1984, que resolvió recurso especial de suplicación promovido contra la Sentencia de 2 de abril de 1984, dictada por la Magistratura de Trabajo núm. 3 de las de Madrid. </w:t>
      </w:r>
    </w:p>
    <w:p w:rsidR="00256EE9" w:rsidRDefault="00256EE9" w:rsidP="00256EE9">
      <w:pPr>
        <w:pStyle w:val="TextoNormal"/>
      </w:pPr>
      <w:r>
        <w:t xml:space="preserve">La pretensión que se postula se apoya en los siguientes hechos: a) Las centrales sindicales Unión General de Trabajadores y Comisiones Obreras promovieron conflicto frente a la Asociación de Empresas de la Construcción de Madrid, reclamando la aplicación de la jornada prevista en la Ley 4/1983, de 29 de junio. Efectuados sin avenencia los trámites previos de conciliación, el conflicto fue remitido a la jurisdicción ordinaria del orden laboral, siendo turnada la demanda a la Magistratura de Trabajo núm. 3 de Madrid. </w:t>
      </w:r>
    </w:p>
    <w:p w:rsidR="00256EE9" w:rsidRDefault="00256EE9" w:rsidP="00256EE9">
      <w:pPr>
        <w:pStyle w:val="TextoNormal"/>
      </w:pPr>
      <w:r>
        <w:t xml:space="preserve">b) AECOM se opuso a las pretensiones de los sindicatos, solicitando de la Magistratura actuante que promoviera ante el Tribunal Constitucional la cuestión de inconstitucionalidad del párrafo segundo de la disposición transitoria de la citada Ley 4/1983. Con fecha 26 de enero de 1984, se dictó providencia declarando tener dicha cuestión por planteada provisionalmente. </w:t>
      </w:r>
    </w:p>
    <w:p w:rsidR="00256EE9" w:rsidRDefault="00256EE9" w:rsidP="00256EE9">
      <w:pPr>
        <w:pStyle w:val="TextoNormal"/>
      </w:pPr>
      <w:r>
        <w:t>Por Auto de 29 de marzo de 1984 se declaró impertinente el planteamiento definitivo de la referenciada cuestión de inconstitucionalidad. Interpuesto recurso de reposición contra la anterior resolución, el mismo fue inadmitido por providencia de 10 de mayo de 1984. c) Con fecha 2 de abril de 1984, el juzgador de instancia dictó Sentencia estimatoria de las pretensiones de los sindicatos demandantes, fijando en consecuencia la jornada semanal en las Empresas incluidas en el convenio colectivo del sector de la construcción para la provincia de Madrid en cuarenta horas semanales a partir del 30 de julio de 1983. d) La asociación empresarial demandada y condenada interpuso recurso especial de suplicación alegando, entre otras razones, la violación por la Sentencia recurrida del art. 37.1 de la C.E., del modelo de relaciones laborales contenido en los arts. 7, 9.2, 14, 28.1 y 37.1 de la C.E., así como del art. 359 de la L. E. C., por no haberse resuelto por el juzgador de instancia la excepción de inadecuación de procedimiento planteada en el momento procesal oportuno. Por Sentencia de 12 de septiembre de 1984, el Tribunal Central de Trabajo desestimó el mencionado recurso, confirmando la resolución recurrida.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xml:space="preserve">. El escrito de demanda acusa a la Sentencia impugnada de vulnerar los arts. 14 y 24.1 de la C.E. A juicio de la recurrente, el principio de igualdad ante la Ley en materia de negociación colectiva implica no sólo la sujeción de las partes a lo establecido mediante ella, sino, además, la inmutabilidad de los acuerdos alcanzados libremente ante cualquier injerencia normativa que rompa el equilibrio o paridad durante la vigencia del pacto. La decisión judicial combatida, al imponer una jornada laboral distinta a la pactada en el convenio colectivo aplicable, discrimina y perjudica a los empresarios de la construcción. El art. 24.1 habría sido violado, a su vez, por no haberse pronunciado la Sentencia recurrida de manera expresa sobre la excepción de inadecuación de procedimiento oportunamente alegada. </w:t>
      </w:r>
    </w:p>
    <w:p w:rsidR="00256EE9" w:rsidRDefault="00256EE9" w:rsidP="00256EE9">
      <w:pPr>
        <w:pStyle w:val="TextoNormal"/>
      </w:pPr>
      <w:r>
        <w:t xml:space="preserve">Aparte de lo anterior, la demanda se extiende en diversas consideraciones acerca del modelo constitucional de relaciones laborales deducido de los artículos 7, 9.2, 9.3 y 28.1 de la C.E. defendiendo la recurrente en base a tales preceptos la inmodificabilidad de los convenios colectivos a resultas de la Ley sobrevenida; sobre la correcta interpretación de la disposición transitoria de la Ley 4/1983, y de los arts. 82.3 y 3.3 de la Ley 8/1980, del Estatuto de los Trabajadores y, finalmente, sobre el alcance del Auto de este Tribunal, de 4 de abril de 1984, que en el decir de la recurrente ha sido interpretado de forma equivocada por la Sentencia impugnada. </w:t>
      </w:r>
    </w:p>
    <w:p w:rsidR="00256EE9" w:rsidRDefault="00256EE9" w:rsidP="00256EE9">
      <w:pPr>
        <w:pStyle w:val="TextoNormal"/>
      </w:pPr>
      <w:r>
        <w:t>En el «suplico», se solicita de este Tribunal que declare la nulidad de la Sentencia dictada por el Tribunal Central de Trabajo de 2 de octubre de 1984, así como que acuerde la plena vigencia de lo dispuesto en materia de jornada por el acta de revisión del Convenio Colectivo de Construcción y Obras Públicas de la provincia de Madrid de 18 de febrero de 1983.</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12 de diciembre de 1984, la Sección acordó tener por recibido el escrito de demanda así como, y antes de decidir sobre la admisión o no a trámite del recurso, requerir a la recurrente a fin de que, dentro del plazo de diez días, subsane el defecto procesal consistente en no acompañar a la demanda la copia, traslado o certificación de las Sentencias de la Magistratura de Trabajo núm. 3 de Madrid, de 2 de abril de 1984, y del Tribunal Central de Trabajo de 12 de septiembre de 1984, de acuerdo con lo preceptuado en el art. 49.2 b) y 85.2 de la Ley Orgánica del Tribunal Constitucional de la (LOTC). </w:t>
      </w:r>
    </w:p>
    <w:p w:rsidR="00256EE9" w:rsidRDefault="00256EE9" w:rsidP="00256EE9">
      <w:pPr>
        <w:pStyle w:val="TextoNormal"/>
      </w:pPr>
      <w:r>
        <w:t>Dentro del plazo citado, don Manuel Ayuso Tejerizo, en la representación ostentada, cumplimentó el requerimiento efectuado.</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10 de enero de 1985, la Sección acordó tener por incorporadas las copias de las Sentencias requeridas y hacer saber, asimismo, a la representación legal de la Entidad recurrente la posible concurrencia de los siguientes motivos de inadmisión: 1) falta de invocación formal del Derecho constitucional infringido, en relación con el art. 24.1 de la Constitución [arts. 44.1 c) en conexión con el 50.1 b) de la LOTC], y 2) carecer la demanda manifiestamente de contenido que justifique una decisión en forma de Sentencia por parte del Tribunal Constitucional [art. 50.2 b) de la LOTC]. En razón de ello, la Sección acordó conceder al Ministerio Fiscal y a la Entidad recurrente un plazo común de diez días a fin de que, dentro del mismo, formulasen las alegaciones pertinentes.</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Evacuando el trámite, el Fiscal ante el Tribunal Constitucional, tras exponer resumidamente los antecedentes del presente recurso, manifiesta, respecto a la supuesta vulneración del derecho a la igualdad proclamado en el art. 14. de la C.E. que la parte recurrente </w:t>
      </w:r>
      <w:r>
        <w:lastRenderedPageBreak/>
        <w:t xml:space="preserve">plantea el tema de la efectividad de la Ley 4/1983, su primacía o no sobre el convenio colectivo y el desequilibrio que ello puede producir entre las partes de un convenio en vigor, lo que suscribieron antes de la vigencia de dicha Ley. Estas cuestiones han sido repetidamente tratadas y resueltas por el Tribunal Central de Trabajo en distintas Sentencias cuyo contenido se analiza, concluyendo el Ministerio Fiscal en estimar que la aplicación de la referenciada Ley no produce desigualdad entre las partes del convenio. </w:t>
      </w:r>
    </w:p>
    <w:p w:rsidR="00256EE9" w:rsidRDefault="00256EE9" w:rsidP="00256EE9">
      <w:pPr>
        <w:pStyle w:val="TextoNormal"/>
      </w:pPr>
      <w:r>
        <w:t xml:space="preserve">En cuanto a la alegada conculcación del art. 24.1 de la C.E., se argumenta por la recurrente que la misma se produjo por no acoger el Tribunal Central de Trabajo la infracción de incongruencia propuesta al no hacerse alusión a la excepción de inadecuación de procedimiento planteada. Para el Ministerio Fiscal, sin embargo, el tema no puede formularse en esos términos. </w:t>
      </w:r>
    </w:p>
    <w:p w:rsidR="00256EE9" w:rsidRDefault="00256EE9" w:rsidP="00256EE9">
      <w:pPr>
        <w:pStyle w:val="TextoNormal"/>
      </w:pPr>
      <w:r>
        <w:t xml:space="preserve">Si como afirma la recurrente esa excepción se alegó ante el órgano de instancia, fue la resolución por él dictada la que produjo hipotéticamente la conculcación del art. 24.1 de la C.E., debiendo haberse invocado por consiguiente en el recurso de suplicación y, al no cumplirse tal exigencia, se incurre en la causa de inadmisión prevista en el art. 50.1 b) en conexión con el art. 44.1 c), ambos de la LOTC. Si, por el contrario, se sostiene que fue el Tribunal Central de Trabajo el que infringió el art. 24.1 de la C.E. por no aceptar la excepción propuesta, se ignora deliberadamente que la Sentencia pronunciada por este órgano ha aludido expresamente a esa cuestión, con lo que el problema, entonces, se sitúa en un juicio de mera legalidad, pues no se contraviene el art. 24.1 cuando la resolución judicial está fundada en Derecho y la única base para combatirla es la mera discrepancia con los criterios adoptados. </w:t>
      </w:r>
    </w:p>
    <w:p w:rsidR="00256EE9" w:rsidRDefault="00256EE9" w:rsidP="00256EE9">
      <w:pPr>
        <w:pStyle w:val="TextoNormal"/>
      </w:pPr>
      <w:r>
        <w:t>En razón de lo expuesto, el Ministerio Fiscal concluye su informe interesando de este Tribunal dicte Auto declarando la inadmisibilidad del recurso por incurrir en las causas mencionadas en nuestra providencia de 10 de enero de 1985.</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En su escrito de alegaciones, la recurrente comienza mostrando su «total sorpresa» por la presunta concurrencia en la demanda del motivo de inadmisión consistente en no haberse invocado el derecho constitucional infringido, manifestando haber efectuado repetidas invocaciones de la violación del derecho a la igualdad de los españoles ante la Ley, consagrado en el art. 14 de la C.E., alegando a tal efecto que tal invocación se hizo en el acto de juicio ante la Magistratura de Trabajo y en el recurso de suplicación, aparte de solicitarse al órgano judicial planteamiento de cuestión de inconstitucionalidad al amparo del referido art. 14 de la C.E. </w:t>
      </w:r>
    </w:p>
    <w:p w:rsidR="00256EE9" w:rsidRDefault="00256EE9" w:rsidP="00256EE9">
      <w:pPr>
        <w:pStyle w:val="TextoNormal"/>
      </w:pPr>
      <w:r>
        <w:t xml:space="preserve">En cuanto al segundo motivo de inadmisión, se remite al alegato de la demanda, indicando que los derechos consagrados en los arts. 14, 24.1 y 28.1 de la Constitución atribuyen a la demanda contenido constitucional suficiente. </w:t>
      </w:r>
    </w:p>
    <w:p w:rsidR="00256EE9" w:rsidRDefault="00256EE9" w:rsidP="00256EE9">
      <w:pPr>
        <w:pStyle w:val="TextoNormal"/>
      </w:pPr>
      <w:r>
        <w:t>Por todo ello, suplica a este Tribunal acuerde la admisibilidad de la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asociación empresarial demandante de amparo, dice impugnar la Sentencia pronunciada por el Tribunal Central de Trabajo, imputándola directamente la vulneración de los arts.  14 y 24.1 de la C.E., pero la identificación de esta resolución judicial como acto impugnado no es, sin embargo, atendible, pues la misma no hizo sino desestimar el recurso especial de suplicación promovido frente a la Sentencia de 2 de abril le 1984, dictada por la Magistratura de Trabajo núm. 3 de Madrid, a la que confirmó en todos sus extre</w:t>
      </w:r>
      <w:r>
        <w:lastRenderedPageBreak/>
        <w:t>mos, por lo que se quiere significar con ello, que, a los efectos de verificar la observancia por parte de la presente demanda del requisito mencionado en el art. 44.1 c) de la LOTC, han de estimarse como resoluciones impugnadas, de un lado, la de instancia, a la que ha de imputarse de manera inmediata y directa la presunta contravención de derechos fundamentales, y de otro y derivadamente, en razón de no haber corregido las infracciones denunciadas, la proveniente del órgano superior.</w:t>
      </w:r>
    </w:p>
    <w:p w:rsidR="00256EE9" w:rsidRDefault="00256EE9" w:rsidP="00256EE9">
      <w:pPr>
        <w:pStyle w:val="TextoNormal"/>
      </w:pPr>
      <w:r>
        <w:t>Este planteamiento, que es el procesalmente correcto, explica el porqué en la providencia de 10 de enero del corriente se comunicó a la Entidad recurrente la posible concurrencia del motivo de inadmisión consistente en «falta de invocación formal del derecho constitucional infringido», motivo que, no ha sido en modo alguno comprendido por aquélla, que en su escrito de alegaciones se dedica extensamente a demostrar la reiterada invocación que a lo largo del proceso se efectuó del art.  14 de la Constitución, siendo así que la mencionada falta se contraía única y exclusivamente «en relación con el art.  24.1 de la Constitución», respecto del cual se ha de comprobar ahora si se ha cumplimentado o no la exigencia del art. 44.1 c)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En el decir de la recurrente, la violación del derecho a la tutela judicial habría tenido lugar por no resolver la Sentencia dictada por la Magistratura de Trabajo «la excepción de inadecuación de procedimiento planteada», incurriendo la misma en incongruencia y provocando «la indefensión de la asociación demandada», indefensión mantenida por el Tribunal Central de Trabajo al no revocar dicha Sentencia. Al margen de que este planteamiento de la demandante realza las imprecisiones del escrito de demanda en punto a la ya mencionada identificación del acto que se dice impugnar y cuya nulidad se solicita, lo que interesa destacar del mismo es que la invocación del art.  24.1 como derecho fundamental infringido debió efectuarse, por exigencia del art. 44.1 c) de la LOTC, en el escrito de interposición del del recurso especial de suplicación, y del examen de la Sentencia del Tribunal Central se infiere sin duda alguna, que la recurrente no ha observado aquella exigencia, sin que ésta pueda darse por cumplimentada por la mera circunstancia de haberse articulado el recurso de suplicación, entre otros motivos, por «inaplicación de lo dispuesto en el art.  359 de la L.E.C.  La vulneración de un derecho fundamental no puede presumirse ni deducirse implícitamente -como intenta la demandante- de interpretaciones de la legalidad ordinaria realizadas por los litigantes con vistas a la defensa de sus intereses legítimos, máxime cuando, como ya tiene señalado este Tribunal, no toda incongruencia produce una lesión del derecho de defensa, pues para entender cubierto tan citado requisito, la denuncia hubo de expresarse con la claridad suficiente para activar la función jurisdiccional de tutela de derechos constitucionales, ya que de otro modo quedaría dañada la naturaleza del recurso de amparo como remedio último y subsidiario de protección de los derechos fundamentales, y la simple mención como precepto infringido del art.  359 de la L.E.C., sin conexión directa o implícita al derecho a la defensa, carece de los atributos mínimos de claridad, extravasando con creces el sentido finalista y antiformalista con que este Tribunal viene interpretando el requisito del art.  44.1 c)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Pero es que, incluso aceptando la tesis de la recurrente en aplicación del principio pro actione, es manifiesta la falta de contenido constitucional de la infracción denunciada del art. 24.1 de la C.E. en razón de que, planteada la excepción de inadecuación de procedimiento en momento y forma oportunos, la misma no fue resuelta por los órganos judiciales.</w:t>
      </w:r>
    </w:p>
    <w:p w:rsidR="00256EE9" w:rsidRDefault="00256EE9" w:rsidP="00256EE9">
      <w:pPr>
        <w:pStyle w:val="TextoNormal"/>
      </w:pPr>
      <w:r>
        <w:lastRenderedPageBreak/>
        <w:t>Este Tribunal ha señalado en reiteradas ocasiones, en efecto, que el vicio de incongruencia, entendido como inadecuación o desajuste entre el fallo y los términos en que las partes formularon sus pretensiones y peticiones, puede entrañar una vulneración del principio de contradicción y, por tanto, del fundamental derecho de defensa siempre y cuando la desviación en que consiste la incongruencia sea de tal naturaleza que suponga «una completa modificación de los términos del debate procesal» (Sentencia 20/1982, de 5 de mayo), modificación que, en el caso de examen, en modo alguno han provocado las resoluciones recurridas.</w:t>
      </w:r>
    </w:p>
    <w:p w:rsidR="00256EE9" w:rsidRDefault="00256EE9" w:rsidP="00256EE9">
      <w:pPr>
        <w:pStyle w:val="TextoNormal"/>
      </w:pPr>
      <w:r>
        <w:t>La parte demandante de amparo formuló una excepción de inadecuación de procedimiento, alegando la improcedencia del recurso al conflicto colectivo como medio para resolver la controversia planteada acerca de la concurrencia normativa de la Ley 4/1983 y del convenio colectivo aplicable, y la Sentencia de instancia, al declarar la primacía de la Ley en virtud del carácter mínimo de su contenido y del principio de jerarquía normativa, dio una respuesta implícita a la objeción planteada, rebatiendo jurídicamente la premisa sobre la que se alzaba la referida excepción: inmutabilidad del convenio colectivo a resultas de la Ley sobrevenida; y por lo demás, así lo entendió la resolución pronunciada por el Tribunal Central de Trabajo, que de manera razonada rechazó la tesis de la Entidad recurrente.</w:t>
      </w:r>
    </w:p>
    <w:p w:rsidR="00256EE9" w:rsidRDefault="00256EE9" w:rsidP="00256EE9">
      <w:pPr>
        <w:pStyle w:val="TextoNormal"/>
      </w:pPr>
    </w:p>
    <w:p w:rsidR="00256EE9" w:rsidRDefault="00256EE9" w:rsidP="00256EE9">
      <w:pPr>
        <w:pStyle w:val="TextoNormal"/>
      </w:pPr>
      <w:r w:rsidRPr="00256EE9">
        <w:rPr>
          <w:rStyle w:val="NumeroAFNegritaCaracter"/>
        </w:rPr>
        <w:t>4</w:t>
      </w:r>
      <w:r>
        <w:t>. La presunta vulneración por las resoluciones impugnadas del principio de igualdad se habría producido por entender aplicable a las relaciones laborales existentes entre empresarios y trabajadores a su servicio incluidos en el ámbito del convenio colectivo del Sector Construcción y Obras Públicas de Madrid la jornada laboral establecida por la Ley 4/1983, de 29 de junio, que introdujo una mejora en relación con la jornada prevista en la norma colectiva a la sazón vigente.  La denuncia de la violación del art. 14 de la C.E. se fundamenta por la asociación empresarial recurrente en base a múltiples y heterógenas argumentaciones, todas las cuales, sin embargo, suscitan problemas de simple legalidad ( alcance de la disposición transitoria de la Ley 4/1983, y de los arts.  82.3 y 3.3 de la E.T.)  o cuestiones constitucionales (jerarquía normativa, irretroactividad de las Leyes y eficacia de la negociación colectiva ) ajenas a las que pueden plantearse en un proceso de amparo.</w:t>
      </w:r>
    </w:p>
    <w:p w:rsidR="00256EE9" w:rsidRDefault="00256EE9" w:rsidP="00256EE9">
      <w:pPr>
        <w:pStyle w:val="TextoNormal"/>
      </w:pPr>
      <w:r>
        <w:t>En realidad, el tema objeto del presente recurso fue ya resuelto por el Auto de la Sala Primera de este Tribunal de 4 de abril de 1984 ( Reglamento núm.  854/1983) con motivo de un recurso de amparo promovido por una Entidad homónima a la hoy recurrente, al decir aquella resolución, con doctrina que ahora se reitera, que en cuanto problema jurídico, la cuestión surgida como consecuencia de la promulgación de la Ley 4/1983 «consiste en un supuesto de concurrencia normativa en el que se trata de determinar cuál es la norma directamente aplicable», cuestión ésta que en el caso a examen fue suscitada por órganos judiciales laborales declarando la preferencia aplicativa de la Ley controvertida en base a los principios ordenadores de las relaciones establecidas en nuestro ordenamiento entre Ley y Convenio.</w:t>
      </w:r>
    </w:p>
    <w:p w:rsidR="00256EE9" w:rsidRDefault="00256EE9" w:rsidP="00256EE9">
      <w:pPr>
        <w:pStyle w:val="TextoNormal"/>
      </w:pPr>
      <w:r>
        <w:t xml:space="preserve">Por muchos que sean los esfuerzos del alegato jurídico, el fondo del asunto está privado de contenido constitucional desde la perspectiva del principio de igualdad, pues, como también señalaba el Auto de 4 de abril ya citado, las resoluciones impugnadas «no establecen la inaplicación del pacto colectivo rompiendo en beneficio de una parte el acuerdo de voluntades, sino la aplicación preferente de una norma estatal ante la que el acuerdo debe ceder, sin que pueda afirmarse en modo alguno que la aplicación de una disposición general de obligado cumplimiento que establece nuevas condiciones de trabajo vulnere el </w:t>
      </w:r>
      <w:r>
        <w:lastRenderedPageBreak/>
        <w:t>principio de igualdad, por mejorar, cumpliendo una de las funciones que la Ley tiene atribuidas en las relaciones de trabajo, la posición de una de las partes».</w:t>
      </w:r>
    </w:p>
    <w:p w:rsidR="00256EE9" w:rsidRDefault="00256EE9" w:rsidP="00256EE9">
      <w:pPr>
        <w:pStyle w:val="TextoNormal"/>
      </w:pPr>
      <w:r>
        <w:t>Con lo dicho, es patente que la Sentencia combatida del Tribunal Central de Trabajo, al invocar como fundamento de la desestimación del recurso de suplicación la doctrina constitucional expuesta, no interpretó de forma equivocada, tal y como manifiesta la recurrente, los criterios elaborados por este Tribunal; antes al contrario, los aplicó con vigor y corrección.</w:t>
      </w:r>
    </w:p>
    <w:p w:rsidR="00256EE9" w:rsidRDefault="00256EE9" w:rsidP="00256EE9">
      <w:pPr>
        <w:pStyle w:val="TextoNormal"/>
      </w:pPr>
    </w:p>
    <w:p w:rsidR="00256EE9" w:rsidRDefault="00256EE9" w:rsidP="00256EE9">
      <w:pPr>
        <w:pStyle w:val="TextoNormal"/>
      </w:pPr>
      <w:r w:rsidRPr="00256EE9">
        <w:rPr>
          <w:rStyle w:val="NumeroAFNegritaCaracter"/>
        </w:rPr>
        <w:t>5</w:t>
      </w:r>
      <w:r>
        <w:t>. En virtud de cuanto se expuso en los puntos 3 y 4, la demanda carece manifiestamente de contenido constitucional que justifique una decisión en Sentencia, por parte de este Tribunal, concurriendo la causa de inadmisión establecida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w:t>
      </w:r>
    </w:p>
    <w:p w:rsidR="00256EE9" w:rsidRDefault="00256EE9" w:rsidP="00256EE9">
      <w:pPr>
        <w:pStyle w:val="TextoNormal"/>
      </w:pPr>
      <w:r>
        <w:t>Declarar inadmisible la demanda de amparo formulada por el Procurador don Manuel Ayuso Tejerizo en representación de la Asociación de Empresas de la Construcción de Madrid (A.E.C.O.M.), y el archivo de las actuaciones.</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57" w:name="AUTO_1985_96"/>
      <w:r>
        <w:lastRenderedPageBreak/>
        <w:t>AUTO 96/1985, de 13 de febrero de 1985</w:t>
      </w:r>
    </w:p>
    <w:bookmarkEnd w:id="157"/>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ECLI:ES:TC:1985:96A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admisión a trámite del recurso de amparo 745/1984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27 de octubre de 1984, don José de Murga Rodríguez, Procurador de los Tribunales, en representación de don Juan Ortega Hernández, formula demanda de amparo contra las Sentencias del Juzgado de Peligrosidad y Rehabilitación Social de Palma de Mallorca de 14 de febrero de 1984 y de la Sala Especial de Peligrosidad y Rehabilitación Social de la Audiencia Nacional de 26 de septiembre del mismo año, con la súplica de que se declare su nulidad. Por otrosí solicita se acuerde la suspensión.</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21 de noviembre de 1984, la Sección acordó otorgar un plazo de diez días al recurrente y al Ministerio Fiscal para que pudieran formular las alegaciones que estimaran pertinentes acerca de la posible existencia de la causa de inadmisión consistente en no haber invocado formalmente en el proceso el derecho constitucional vulnerado tan pronto como, una vez reconocida la violación, hubiere lugar para ello (artículo 50.1 b) en conexión con el 44.1 c), ambos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3</w:t>
      </w:r>
      <w:r>
        <w:t>. En 5 de diciembre de 1984, el Ministerio Fiscal formula escrito de alegaciones, en el que interesa se inadmita el recurso por existir la mencionada causa de inadmisión.</w:t>
      </w:r>
    </w:p>
    <w:p w:rsidR="00256EE9" w:rsidRDefault="00256EE9" w:rsidP="00256EE9">
      <w:pPr>
        <w:pStyle w:val="TextoNormal"/>
      </w:pPr>
    </w:p>
    <w:p w:rsidR="00256EE9" w:rsidRDefault="00256EE9" w:rsidP="00256EE9">
      <w:pPr>
        <w:pStyle w:val="TextoNormal"/>
      </w:pPr>
      <w:r w:rsidRPr="00256EE9">
        <w:rPr>
          <w:rStyle w:val="NumeroAFNegritaCaracter"/>
        </w:rPr>
        <w:t>4</w:t>
      </w:r>
      <w:r>
        <w:t>. En 11 de diciembre de 1984, la representación del actor formula escrito de alegaciones, en el que sostiene la procedencia de que se admita el recurso por no darse la causa de inadmisión señalada. Para fundamentar su posición, la parte actora transcribe uno de los motivos de impugnación puestos de manifiesto en su recurso de apelación contra la primera Sentencia, que a su vez -según se deduce de la lectura del mismo- se formula a modo de conclusión de los anteriores, que no constan en las actuaciones del recurso de amparo; del contenido de dicho motivo, el actor deduce que se estaba refiriendo, de modo notorio, al art. 25.1 de la Constitución, que las causas de inadmisión -caso de existir- se convierten en causas de desestimación en el momento de dictar Sentencia.</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alegación del actor, si bien no acredita por sí misma la inexistencia de la causa de inadmisión puesta de manifiesto en nuestra providencia de 21 de noviembre de 1984, da lugar a que, antes de adoptar una decisión definitiva, sea necesario el conocimiento de todas las actuaciones.  Por ello, en aras del principio pro actione, parece procedente admitir el recurso sin perjuicio de lo que resulte de los antecedentes, teniendo en cuenta además que las causas de inadmisión -caso de existir- se convierten en causas de desestimación en el momento de dictar Sentencia.</w:t>
      </w:r>
    </w:p>
    <w:p w:rsidR="00256EE9" w:rsidRDefault="00256EE9" w:rsidP="00256EE9">
      <w:pPr>
        <w:pStyle w:val="TextoNormal"/>
      </w:pPr>
    </w:p>
    <w:p w:rsidR="00256EE9" w:rsidRDefault="00256EE9" w:rsidP="00256EE9">
      <w:pPr>
        <w:pStyle w:val="TextoNormal"/>
      </w:pPr>
      <w:r w:rsidRPr="00256EE9">
        <w:rPr>
          <w:rStyle w:val="NumeroAFNegritaCaracter"/>
        </w:rPr>
        <w:t>2</w:t>
      </w:r>
      <w:r>
        <w:t>. De acuerdo con lo dispuesto en el art.  51 de la LOTC, procede asimismo reclamar las actuaciones correspondientes, que son las siguientes:</w:t>
      </w:r>
    </w:p>
    <w:p w:rsidR="00256EE9" w:rsidRDefault="00256EE9" w:rsidP="00256EE9">
      <w:pPr>
        <w:pStyle w:val="TextoNormal"/>
      </w:pPr>
      <w:r>
        <w:t>Al Juzgado de Peligrosidad y Rehabilitación Social de Palma de Mallorca las correspondientes al expediente número 70 de 1983, que finalizó mediante Sentencia de 14 de febrero de 1984, y a la Sala Especial de Peligrosidad y Rehabilitación Social de la Audiencia Nacional las relativas al recurso de apelación formulado contra la anterior, que finalizó con Sentencia de 26 de septiembre de 1984.</w:t>
      </w:r>
    </w:p>
    <w:p w:rsidR="00256EE9" w:rsidRDefault="00256EE9" w:rsidP="00256EE9">
      <w:pPr>
        <w:pStyle w:val="TextoNormal"/>
      </w:pPr>
    </w:p>
    <w:p w:rsidR="00256EE9" w:rsidRDefault="00256EE9" w:rsidP="00256EE9">
      <w:pPr>
        <w:pStyle w:val="TextoNormal"/>
      </w:pPr>
      <w:r w:rsidRPr="00256EE9">
        <w:rPr>
          <w:rStyle w:val="NumeroAFNegritaCaracter"/>
        </w:rPr>
        <w:t>3</w:t>
      </w:r>
      <w:r>
        <w:t>. La admisión del recurso da lugar a que, de conformidad con lo dispuesto en el art.  56 de la LOTC, proceda abrir pieza separada de suspensión, al haber sido solicitada por la representación del actor.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admitir a trámite el presente recurso sin perjuicio de lo que resulte de los antecedentes, reclamar las actuaciones correspondientes a las Sentencias impugnadas, interesándose al propio tiempo de dichos</w:t>
      </w:r>
    </w:p>
    <w:p w:rsidR="00256EE9" w:rsidRDefault="00256EE9" w:rsidP="00256EE9">
      <w:pPr>
        <w:pStyle w:val="TextoNormal"/>
      </w:pPr>
      <w:r>
        <w:t>órganos judiciales se emplace a quienes fueron parte en mencionados procedimientos, con excepción del recurrente que aparece ya personado, para que en el plazo de diez días puedan comparecer en este proceso constitucional.</w:t>
      </w:r>
    </w:p>
    <w:p w:rsidR="00256EE9" w:rsidRDefault="00256EE9" w:rsidP="00256EE9">
      <w:pPr>
        <w:pStyle w:val="TextoNormal"/>
      </w:pPr>
      <w:r>
        <w:t>Conforme a lo solicitado por la parte actora fórmese la correspondiente pieza separada para la sustanciación del incidente de suspensión de la ejecución del acto recurrido.</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58" w:name="AUTO_1985_97"/>
      <w:r>
        <w:lastRenderedPageBreak/>
        <w:t>AUTO 97/1985, de 13 de febrero de 1985</w:t>
      </w:r>
    </w:p>
    <w:bookmarkEnd w:id="15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ECLI:ES:TC:1985:97A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775/1984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Luis Santías y Viada, en nombre de don Francisco Iglesias Manzano, recurre en amparo ante este Tribunal por escrito de demanda que tuvo entrada en el Registro General el día 8 de noviembre de 1984 contra la Sentencia del Tribunal Central de Trabajo, de 20 de septiembre de 1984, recaída en el recurso de suplicación interpuesto contra la Sentencia de Magistratura núm. 19 de Madrid, de 12 de mayo de 1984, con la pretensión de que declare la nulidad de la Sentencia del Tribunal Central de Trabajo de 20 de septiembre de 1984 y que se reconozca expresamente el derecho a que sean devueltos los autos al momento anterior a la infracción de las normas procedimentales. </w:t>
      </w:r>
    </w:p>
    <w:p w:rsidR="00256EE9" w:rsidRDefault="00256EE9" w:rsidP="00256EE9">
      <w:pPr>
        <w:pStyle w:val="TextoNormal"/>
      </w:pPr>
      <w:r>
        <w:t>La parte recurrente estima que ha sido vulnerado el art. 24 de la Constitución Española (C.E.).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que se contrae la demanda son, en síntesis, los siguientes: a) el recurrente prestaba servicios en la empresa «Foteha, S. A.», desde el 8 de enero de 1973 y a partir del día 27 de enero de 1984 le fue notificado despido disciplinario, tomando como base unos insultos que había proferido contra el jefe de personal de la Empresa; b) después de celebrarse el preceptivo acto de conciliación, el recurrente, en amparo, presentó el día 3 de abril de 1984 ante el Decanato de la Magistratura de Trabajo de Madrid, demanda por despido improcedente y el Magistrado de Trabajo núm. 19 de Madrid dictó Sentencia el día 12 de mayo de 1984, calificando el despido como improcedente y condenando a la Empresa al pago de los salarios dejados de percibir desde la fecha del despido hasta la readmisión; c) contra dicha Sentencia la parte demandada recurrió en suplicación, formalizándose el recurso a través del escrito de 11 de junio de 1984, que fue impugnado por el recurrente en amparo; el escrito del recurso de suplicación censuraba la forma en que se había producido una violación del apartado 11 del art. 95 de la Ordenanza Laboral y 54.2 y 55.3 del Estatuto de los Trabajadores; d) el Tribunal Central de Trabajo estimó que las frases inferidas por el trabajador al jefe de personal de la Empresa el día 23 de febrero de 1984, una vez que le había pagado: «son unos sinvergüenzas», «me estáis robando el pan de mis hijos» y «ten mucho cuidado conmigo», objetivamente apreciadas, «revelan un indiscutible propósito de ofender», que huelga razonar, porque resultan consiguientemente encajables en el art. 54.2 c) del Estatuto de los Trabajadores apreciando que la calificación </w:t>
      </w:r>
      <w:r>
        <w:lastRenderedPageBreak/>
        <w:t>de la Magistratura de Trabajo de «mero exabrupto o desahogo verbal, carente de intencionalidad ofensiva», no se podía admitir como válida y «al deberse la declaración de improcedencia a la subjetiva opinión del Magistrado... y al no razonarse el porqué de esa ausencia de intencionalidad», había de tenerse como ajustada a Derecho la tesis de la parte que formalizó el recurso de suplicación que era estimado; e) la Sentencia del Tribunal Central de Trabajo fue notificada a la parte recurrente el día 22 de septiembre de 1984, según consta en el apartado quinto de los hechos.</w:t>
      </w:r>
    </w:p>
    <w:p w:rsidR="00256EE9" w:rsidRDefault="00256EE9" w:rsidP="00256EE9">
      <w:pPr>
        <w:pStyle w:val="TextoNormal"/>
      </w:pPr>
    </w:p>
    <w:p w:rsidR="00256EE9" w:rsidRDefault="00256EE9" w:rsidP="00256EE9">
      <w:pPr>
        <w:pStyle w:val="TextoNormal"/>
      </w:pPr>
      <w:r w:rsidRPr="00256EE9">
        <w:rPr>
          <w:rStyle w:val="NumeroAFNegritaCaracter"/>
        </w:rPr>
        <w:t>3</w:t>
      </w:r>
      <w:r>
        <w:t>. Los fundamentos jurídicos en que se basa la parte recurrente son, en síntesis, los siguientes: a) el fallo del Tribunal Central de Trabajo deja en absoluta indefensión a la parte recurrente por cuanto que si en la instancia existe un error, hay que entrar en, si el juicio de ese error afecta o no al procedimiento, y si afecta a éste el Tribunal Superior no puede entrar en el juicio del derecho aplicado, al amparo del art. 152.1 de la Ley de Procedimiento Laboral (L.P.L.), sino que habrá de reponer los autos al momento de infringirse las normas esenciales del procedimiento, según el art. 152.3 de la L.P.L.; b) a juicio de la parte recurrente, la omisión en la Sentencia de la motivación del fallo es un defecto de procedimiento y las partes no deben quedar indefensas a la hora del planteamiento y resolución de los recursos, pues de resultas de un recurso formulado por la parte demandada se deniega un derecho a la parte recurrente en amparo, cuando el Tribunal Central de Trabajo tenía que haber seguido el trámite previsto en el art. 152.3 de la L.P.L.; en suma, se vulnera el art. 24 (1 y 2) por la resolución judicial recurrida, por falta de Sentencia motivada y congruente; c) finalmente, la parte recurrente analiza la procedencia del recurso y el cumplimiento de los presupuestos procesales.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Segunda de la Sala Primera, en providencia de 12 de diciembre de 1984, acordó tener por interpuesto recurso de amparo por don Francisco Iglesias Manzano y por personado y parte al Procurador señor Santías y Viada. A tenor del art. 50 de la Ley Orgánica del Tribunal Constitucional (LOTC), la Sección acordó conceder un plazo de diez días al Ministerio Fiscal y al solicitante del amparo para que alegaran lo procedente sobre los siguientes motivos de inadmisión: </w:t>
      </w:r>
    </w:p>
    <w:p w:rsidR="00256EE9" w:rsidRDefault="00256EE9" w:rsidP="00256EE9">
      <w:pPr>
        <w:pStyle w:val="TextoNormal"/>
      </w:pPr>
      <w:r>
        <w:t xml:space="preserve">1) Haber promovido el recurso fuera de plazo [art. 50.1 a) en conexión con el art. 44.2 de la LOTC]. </w:t>
      </w:r>
    </w:p>
    <w:p w:rsidR="00256EE9" w:rsidRDefault="00256EE9" w:rsidP="00256EE9">
      <w:pPr>
        <w:pStyle w:val="TextoNormal"/>
      </w:pPr>
      <w:r>
        <w:t>2) Carecer la demanda manifiestamente de contenido constitucional [artículo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Tribunal Constitucional, por escrito de 21 de diciembre de 1984, formuló, resumidamente, las siguientes alegaciones: </w:t>
      </w:r>
    </w:p>
    <w:p w:rsidR="00256EE9" w:rsidRDefault="00256EE9" w:rsidP="00256EE9">
      <w:pPr>
        <w:pStyle w:val="TextoNormal"/>
      </w:pPr>
      <w:r>
        <w:t xml:space="preserve">a) No se ha vulnerado el derecho contenido en el art. 24 de la Constitución, porque el juzgador de instancia declaró unos hechos como probados y dedujo de ellas una consecuencia jurídica que, después, no coincide con la asumida por el Tribunal Central de Trabajo, quien en el recurso de suplicación, conforme al art. 152.2 de la L.P.L., pudo «revisar los hechos declarados probados, a la vista de las pruebas documentales y periciales practicadas», por lo que existió tutela efectiva y no debe considerarse vulnerado el derecho fundamental que se alega. </w:t>
      </w:r>
    </w:p>
    <w:p w:rsidR="00256EE9" w:rsidRDefault="00256EE9" w:rsidP="00256EE9">
      <w:pPr>
        <w:pStyle w:val="TextoNormal"/>
      </w:pPr>
      <w:r>
        <w:t xml:space="preserve">b) En este sentido, el Fiscal recuerda la reiteradísima doctrina mantenida por este Tribunal, entre otras, en Autos de 8 de noviembre de 1983, y 1 de febrero de 1984, según la cual, «no puede decirse que exista lesión del derecho a obtener la tutela judicial efectiva </w:t>
      </w:r>
      <w:r>
        <w:lastRenderedPageBreak/>
        <w:t xml:space="preserve">cuando la resolución judicial impugnada, está fundada en Derecho, y la única base de combatirla ante el Tribunal Constitucional sea la mera discrepancia por parte del recurrente de la decisión adoptada por el órgano de control de la simple legalidad ni en tercera instancia jurídica revisora, cuando no existe lesión de derechos fundamentales...», «ni corresponde al Tribunal Constitucional entrar a conocer de los hechos que dieron lugar al proceso...», «ni efectuar apreciaciones de mera legalidad sobre el mayor o menor acierto de las resoluciones judiciales». </w:t>
      </w:r>
    </w:p>
    <w:p w:rsidR="00256EE9" w:rsidRDefault="00256EE9" w:rsidP="00256EE9">
      <w:pPr>
        <w:pStyle w:val="TextoNormal"/>
      </w:pPr>
      <w:r>
        <w:t xml:space="preserve">c) La Sentencia contra la que se recurre en amparo, de fecha 20 de septiembre de 1984, se dice notificada al demandante -aunque documentalmente no consta- el día 22 de septiembre de 1984, habiéndose presentado el recurso de amparo el 8 de noviembre de 1984, por lo que, de conformidad con el art. 44.2 de la LOTC, la interposición se hizo fuera de plazo. </w:t>
      </w:r>
    </w:p>
    <w:p w:rsidR="00256EE9" w:rsidRDefault="00256EE9" w:rsidP="00256EE9">
      <w:pPr>
        <w:pStyle w:val="TextoNormal"/>
      </w:pPr>
      <w:r>
        <w:t>El Fiscal interesa del Tribunal Constitucional que, de acuerdo con lo dispuesto en el art. 86.1 de la LOTC, dicte Auto declarando la inadmisión del recurso de amparo por encontrarse en el supuesto del art. 50.1 a) (demanda presentada fuera de plazo), y en el supuesto del art. 50.2 b), por carecer manifiestamente de contenido que justifique una decisión por parte del Tribunal Constitucional.</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Don Luis Santías y Viada, Procurador de los Tribunales, y de don Francisco Iglesias Manzano, formula, por escrito de 9 de enero de 1985, las siguientes alegaciones de modo resumido: </w:t>
      </w:r>
    </w:p>
    <w:p w:rsidR="00256EE9" w:rsidRDefault="00256EE9" w:rsidP="00256EE9">
      <w:pPr>
        <w:pStyle w:val="TextoNormal"/>
      </w:pPr>
      <w:r>
        <w:t xml:space="preserve">a) El recurso se presentó en plazo hábil, puesto que la notificación de la Sentencia del Tribunal Central de Trabajo se realizó en fecha 16 de octubre de 1984, según se acredita mediante certificación expedida por la Magistratura de Trabajo núm. 19 de las de Madrid, que adjunta la parte recurrente al escrito de alegaciones y el escrito de recurso hacía mención a una fecha distinta, constatada por error mecanográfico. </w:t>
      </w:r>
    </w:p>
    <w:p w:rsidR="00256EE9" w:rsidRDefault="00256EE9" w:rsidP="00256EE9">
      <w:pPr>
        <w:pStyle w:val="TextoNormal"/>
      </w:pPr>
      <w:r>
        <w:t xml:space="preserve">b) El Tribunal Central de Trabajo, en lugar de reponer los autos al momento en que se produce la infracción de normas esenciales del procedimiento, en base a la ausencia de motivación en la Sentencia, revoca la misma, dictando una nueva, de sentido contrario, pero incurriendo en el mismo defecto de no motivar su fallo, como pone de manifiesto una frase extraída de la Sentencia referida, y es «... revelan con tan indiscutible propósito de ofender y amedrentar que huelga razonar...», olvidando el precepto de la L.P.L., que obliga a reponer los Autos al estado en que se encontrasen en el momento de haberse infringido normas esenciales. </w:t>
      </w:r>
    </w:p>
    <w:p w:rsidR="00256EE9" w:rsidRDefault="00256EE9" w:rsidP="00256EE9">
      <w:pPr>
        <w:pStyle w:val="TextoNormal"/>
      </w:pPr>
      <w:r>
        <w:t xml:space="preserve">c) Para la parte recurrente el Tribunal Central de Trabajo no tiene en cuenta los principios de oralidad e inmediación que conforman el procedimiento laboral, principios en base a los cuales, en cambio, sí falló el Magistrado de Trabajo en su posición de juzgador de instancia. </w:t>
      </w:r>
    </w:p>
    <w:p w:rsidR="00256EE9" w:rsidRDefault="00256EE9" w:rsidP="00256EE9">
      <w:pPr>
        <w:pStyle w:val="TextoNormal"/>
      </w:pPr>
      <w:r>
        <w:t xml:space="preserve">d) El precepto del art. 24.1 de la Constitución, sobre la tutela efectiva de Jueces y Tribunales, supone un cumplimiento puntual de las normas procedimentales; y en el presente caso, el Tribunal Central de Trabajo, al poner de manifiesto la omisión en la motivación de la Sentencia de Magistratura de Trabajo, está reconociendo una infracción procedimental, incurriendo a su vez en el mismo defecto de falta de motivación en su propia Sentencia, dado que ésta tiene como única base de decisión una omisión del procedimiento en la instancia inferior. </w:t>
      </w:r>
    </w:p>
    <w:p w:rsidR="00256EE9" w:rsidRDefault="00256EE9" w:rsidP="00256EE9">
      <w:pPr>
        <w:pStyle w:val="TextoNormal"/>
      </w:pPr>
      <w:r>
        <w:t>e) La falta de motivación en las dos Sentencias constituye una violación del derecho imputable directamente al juzgador, y de otro lado, la consecuencia de esa falta de motivación es la de constituir un defecto procedimental, que obligaba al Tribunal Central de Tra</w:t>
      </w:r>
      <w:r>
        <w:lastRenderedPageBreak/>
        <w:t xml:space="preserve">bajo, de acuerdo con lo establecido en el art. 152.3 de la L.P.L., a devolver los autos al momento de la infracción, que concreta la parte recurrente a los siguientes extremos: </w:t>
      </w:r>
    </w:p>
    <w:p w:rsidR="00256EE9" w:rsidRDefault="00256EE9" w:rsidP="00256EE9">
      <w:pPr>
        <w:pStyle w:val="TextoNormal"/>
      </w:pPr>
      <w:r>
        <w:t xml:space="preserve">a) Conociendo, y poniendo el Tribunal Central de Trabajo de manifiesto, que, en la Sentencia de la Magistratura de Trabajo no existe motivación, entrando en el juicio del derecho aplicado, obviando defectos importantes del procedimiento. </w:t>
      </w:r>
    </w:p>
    <w:p w:rsidR="00256EE9" w:rsidRDefault="00256EE9" w:rsidP="00256EE9">
      <w:pPr>
        <w:pStyle w:val="TextoNormal"/>
      </w:pPr>
      <w:r>
        <w:t xml:space="preserve">b) El Tribunal Central de Trabajo no motiva su propia Sentencia, dado que su única base de decisión del litigio la funda en la motivación del Magistrado de Trabajo en su Sentencia, es decir, en la existencia de un defecto de procedimiento anterior, en base al cual construye una decisión contraria, generando absoluta indefensión en la parte. </w:t>
      </w:r>
    </w:p>
    <w:p w:rsidR="00256EE9" w:rsidRDefault="00256EE9" w:rsidP="00256EE9">
      <w:pPr>
        <w:pStyle w:val="TextoNormal"/>
      </w:pPr>
      <w:r>
        <w:t>La parte recurrente concluye interesando del Tribunal que decrete la admisión de este recurso, y tras la práctica de los trámites legales pertinentes, dicte Sentencia en los términos interesados en su escrito de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recurso consiste en determinar si concurren los motivos de inadmisión de los que se dio traslado al recurrente y al Ministerio Fiscal en providencia de 12 de diciembre de 1984, y, en consecuencia, debe determinarse si la Sentencia del Tribunal Central de Trabajo de 20 de septiembre de 1984 recaída en recurso de suplicación interpuesto contra la Sentencia de la Magistratura núm.  19 de Madrid de 12 de mayo de 1984 vulnera el art. 24 de la C.E.; o por el contrario, tiene operatividad la causa de inadmisión propuesta del art. 50.2 b) de la LOTC, por carecer la demanda manifiestamente de contenido constitucional, que exija una decisión en Sentencia por parte de este Tribunal.</w:t>
      </w:r>
    </w:p>
    <w:p w:rsidR="00256EE9" w:rsidRDefault="00256EE9" w:rsidP="00256EE9">
      <w:pPr>
        <w:pStyle w:val="TextoNormal"/>
      </w:pPr>
      <w:r>
        <w:t>No pudiendo extraerse consecuencias de la otra causa de inadmisión puesta de manifiesto, por extemporaneidad del recurso de amparo, desde el momento que documentalmente se demostró, que la notificación de la Sentencia recurrida se produjo el 16 de octubre de 1984, y no como se estimaba el 22 de septiembre anterior, por lo que al presentarse la demanda de amparo el 8 de noviembre, se realizó dentro del plazo legal de veinte días que señala el art.  44.2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Para valorar si el recurso está comprendido en el motivo de inadmisión previsto en el art.  50.2 b) de la LOTC hay que referirse, en primer lugar, a las afirmaciones del recurrente que consisten en señalar que se le ha causado indefensión, puesto que si en la instancia existió un error al calificar como desprovistas de ánimo ofensivo unas frases pronunciadas por el actor, había que determinar la conexión entre dicho error y el procedimiento, por lo que el Tribunal Central de Trabajo, al admitir la existencia de voluntad injuriosa en las mismas debió de no entrar en el fondo del asunto, conforme al art.  152.1 de la L.P.L. y reponer los Autos al momento en que se infringieron las normas de procedimiento, conforme al art.  152.3 de la L.P.L. al dictar la Magistratura de Trabajo su Sentencia.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Sentencia del Tribunal Central, en contra de lo que se afirma en la demanda, está suficientemente motivada, pues no acepta la Sentencia de Magistratura de Trabajo por estimar que era una opinión subjetiva del Magistrado la de estimar cómo las frases vertidas por el recurrente dirigidas a jefes de personal de la Empresa: «sois unos sinvergüenzas», «me estáis robando el pan de mis hijos» y «ten mucho cuidado conmigo», eran constitutivas de un mero desahogo verbal de quien las pronunció, por entenderlas encajadas </w:t>
      </w:r>
      <w:r>
        <w:lastRenderedPageBreak/>
        <w:t>aquel Tribunal típicamente en el art. 54.2 c) del Estatuto de los Trabajadores, y expresar que dichas frases «revelan un indiscutible propósito de ofensa», del que derivó en apreciación valorativa de las mismas el «ánimo» que las originó y la finalidad desacreditativa y deshonorante que contenían, lo que era materia propia de la formación de la convicción psicológica que pertenecía a dicho órgano judicial, para conseguir efectuar la subsunción técnico-jurídica que condujera a la debida calificación de la conducta juzgada, llegando a estimarla presencia de ofensas verbales de condición ofensiva para empresarios y personal que trabajaba en la Empresa.</w:t>
      </w:r>
    </w:p>
    <w:p w:rsidR="00256EE9" w:rsidRDefault="00256EE9" w:rsidP="00256EE9">
      <w:pPr>
        <w:pStyle w:val="TextoNormal"/>
      </w:pPr>
      <w:r>
        <w:t>Por lo que en definitiva se produjo la rectificación por el Tribunal superior, dentro del juego propio de la doble instancia y de las atribuciones que concede el recurso de suplicación de revocar los criterios jurídicos que no comparte, sustituyéndolos en su Sentencia por los que estime apropiados, sin que en tal supuesto resulte procedente la aplicación de lo dispuesto en el art.  152.1.3 de la L.P.L., que manda «reponer los Autos al estado en que se encontrasen en el momento de haberse infringido normas esenciales de procedimiento», ya que su contenido se refiere exclusivamente a la ausencia de acatamiento de normas imperativas rituarias o formales dentro del proceso laboral, que por ser de orden público deben guardarse en evitación de indefensión a las partes contendientes y que conllevan la grave consecuencia de la nulidad, supuesto que en absoluto concurre en el caso de examen como quedó indicado, ya que es ajeno a la estimación de irregularidad procesal, la rectificación que realizó el Tribunal Central de Trabajo de la calificación de la Magistratura de Trabajo en orden a la presencia de animus ofendendi en unas frases, porque exclusivamente un tema técnico-jurídico de subsunción típica, en causa de despido, propio del juicio de valoración perteneciente al ámbito del derecho material, que determina la sustitución de un criterio por otro -art.  152.1 y 2, párrafo e), de la L.P.L.-, sin posibilidad de generar nulidad alguna de procedimiento, ajena al sistema de casación y suplicación laboral establecido en España.</w:t>
      </w:r>
    </w:p>
    <w:p w:rsidR="00256EE9" w:rsidRDefault="00256EE9" w:rsidP="00256EE9">
      <w:pPr>
        <w:pStyle w:val="TextoNormal"/>
      </w:pPr>
    </w:p>
    <w:p w:rsidR="00256EE9" w:rsidRDefault="00256EE9" w:rsidP="00256EE9">
      <w:pPr>
        <w:pStyle w:val="TextoNormal"/>
      </w:pPr>
      <w:r w:rsidRPr="00256EE9">
        <w:rPr>
          <w:rStyle w:val="NumeroAFNegritaCaracter"/>
        </w:rPr>
        <w:t>4</w:t>
      </w:r>
      <w:r>
        <w:t>. Los razonamientos precedentes conducen a la conclusión, de que el recurso está comprendido en el motivo de inadmisión previsto en el artículo 50.2 b) de la LOTC, por carecer la demanda manifiestamente de contenido constitucional que justifique una resolución, en forma de Sentencia, con el desarrollo procesal consiguiente, por no existir violación alguna del art. 24 de la Constitución, al tratarse de un tema de mera legalidad, resuelto dentro de sus facultades por el Tribunal Central de Trabajo en la Sentencia recurrida, y que no puede ser objeto de revisión, cual si se tratara de una tercera instancia, en el recurso de amparo por este Tribunal, al no estar afectados derechos constitucionales de clase alguna y en concreto el de indefensión, porque el recurrente se defendió en todo el proceso laboral, ampliamente, y de lo que en realidad recurre es por no estar conforme con la decisión otorgada a su pretensión, lo que no se encuentra protegido por dicho art.  24 de la C.E.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acordó:</w:t>
      </w:r>
    </w:p>
    <w:p w:rsidR="00256EE9" w:rsidRDefault="00256EE9" w:rsidP="00256EE9">
      <w:pPr>
        <w:pStyle w:val="TextoNormal"/>
      </w:pPr>
      <w:r>
        <w:lastRenderedPageBreak/>
        <w:t>Declarar inadmisible el recurso de amparo interpuesto por el Procurador de los Tribunales don Luis Santías y Viada, en nombre y representación de don Francisco Iglesias Manzano, y el archivo de las actuaciones.</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59" w:name="AUTO_1985_98"/>
      <w:r>
        <w:lastRenderedPageBreak/>
        <w:t>AUTO 98/1985, de 13 de febrero de 1985</w:t>
      </w:r>
    </w:p>
    <w:bookmarkEnd w:id="159"/>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ECLI:ES:TC:1985:98A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782/1984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entidad «Calderón de la Barca, Sociedad Cooperativa Limitada», representada por la Procuradora doña Rosina Montes Agustí y asistida del Letrado don Buenaventura García García, formula demanda de amparo constitucional contra la Sentencia del Tribunal Central de Trabajo de 25 de septiembre de 1984. Los hechos que fundamentan la demanda son los siguientes: a) Como consecuencia de un conflicto entre doña Dolores Fernández Calderón, socio de la cooperativa, y los directivos de la misma, titular de un colegio, que se exponen con detalle en la demanda, pero que resultan intrascendentes para el recurso, y considerando aquélla que había sido despedida, dirigió escrito a la Junta Rectora de la Cooperativa y presentó demanda de conciliación por despido ante el I.M.A.C. y posteriormente demanda judicial, siendo desestimada por Sentencia de la Magistratura de Trabajo núm. 5 de Sevilla, de 16 de marzo de 1984; b) doña Dolores Fernández interpuso recurso de suplicación que fue desestimado por el Tribunal Central de Trabajo en Sentencia de 25 de septiembre de 1984. </w:t>
      </w:r>
    </w:p>
    <w:p w:rsidR="00256EE9" w:rsidRDefault="00256EE9" w:rsidP="00256EE9">
      <w:pPr>
        <w:pStyle w:val="TextoNormal"/>
      </w:pPr>
      <w:r>
        <w:t xml:space="preserve">Después de revisar los hechos declarados probados en el sentido de declarar que la actora fue despedida verbalmente y que presentó escrito a la presidencia de la Cooperativa, y de rechazar que se hubiera incumplido el trámite procesal exigido por el art. 114.1 c) del Reglamento General de Cooperativas (reclamación previa a la vía judicial), el Tribunal Central afirma que la relación existente entre la actora y la Cooperativa era una relación de trabajo, de forma que su cese, producido sin comunicación escrita, constituyó un despido nulo. En atención a ello, el Tribunal condena a la Cooperativa a la readmisión de la actora y el abono de los salarios de tramitación. </w:t>
      </w:r>
    </w:p>
    <w:p w:rsidR="00256EE9" w:rsidRDefault="00256EE9" w:rsidP="00256EE9">
      <w:pPr>
        <w:pStyle w:val="TextoNormal"/>
      </w:pPr>
      <w:r>
        <w:t xml:space="preserve">La Cooperativa demandante en amparo denuncia en primer lugar la vulneración del art. 24 de la Constitución Española por entender que al no haberse seguido el procedimiento previo regulado en el art. 114 del Reglamento de Cooperativas se le ha originado indefensión. Desde el momento en que no se ha utilizado el procedimiento previsto en dicho precepto para la expulsión de los socios de las cooperativas, no cabe estimar que ha habido cese ni despido, por lo que «imponer a una cooperativa un cese o expulsión que no ha querido hacer y que no ha podido hacer sino a través de unos trámites necesarios, constituye una manifiesta indefensión». </w:t>
      </w:r>
    </w:p>
    <w:p w:rsidR="00256EE9" w:rsidRDefault="00256EE9" w:rsidP="00256EE9">
      <w:pPr>
        <w:pStyle w:val="TextoNormal"/>
      </w:pPr>
      <w:r>
        <w:t>Considera igualmente que se vulnera el art. 24, apartado 2, en cuanto consagra el derecho a un proceso sin dilaciones indebidas, porque el proceso se prolongó más de lo previs</w:t>
      </w:r>
      <w:r>
        <w:lastRenderedPageBreak/>
        <w:t xml:space="preserve">to según los plazos perentorios establecidos en la legislación y se hace recaer el costo de dicha dilación sobre la Cooperativa al imponerle el abono de los salarios en tramitación. </w:t>
      </w:r>
    </w:p>
    <w:p w:rsidR="00256EE9" w:rsidRDefault="00256EE9" w:rsidP="00256EE9">
      <w:pPr>
        <w:pStyle w:val="TextoNormal"/>
      </w:pPr>
      <w:r>
        <w:t xml:space="preserve">Por fin, sostiene la infracción del art. 14 al discriminarse a la demandante frente a las restantes cooperativas, pues no se le aplicó el procedimiento especial, según el cual el planteamiento de demanda judicial exige petición previa al Consejo Rector tras la notificación del acuerdo adoptado según los Estatutos, y se le obliga a pagar la inactividad de un socio que ha utilizado el procedimiento laboral para beneficiarse a costa de los demás socios que han estado trabajando. Igualmente, al ordenar la readmisión de un socio que voluntariamente ha dejado de prestar su actividad a la Cooperativa, se establece una desigualdad de trato con los restantes cooperativistas que han trabajado y producido, y a quienes además se les obliga a pagar a quien no ha producido. </w:t>
      </w:r>
    </w:p>
    <w:p w:rsidR="00256EE9" w:rsidRDefault="00256EE9" w:rsidP="00256EE9">
      <w:pPr>
        <w:pStyle w:val="TextoNormal"/>
      </w:pPr>
      <w:r>
        <w:t>Solicita se declare su derecho al procedimiento especial fijado para las sociedades cooperativas, su derecho a que se dicte Sentencia dentro de los plazos establecidos sin que pueda ser condenada a pagar salarios por incumplimiento de dichos plazos, así como su derecho a ser tratada en igualdad de condiciones con los demás cooperativistas y cooperativas a quienes se ha venido aplicando el procedimiento especial fijado por el Reglamento de Cooperativas.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por providencia de 16 de enero de 1985, acordó someter a las alegaciones de las partes la posible concurrencia en este caso de los dos siguientes motivos de inadmisibilidad: 1.° el del art. 50.2 b) de la LOTC; 2.° el del art. 50.1 b) en relación con el 49.2 a) por no ser bastante la acreditación del poder. En su escrito de alegaciones la parte actora se excusa del envío con la demanda de la fotocopia del poder y acompaña ahora «copia del poder en forma legal», con lo que considera subsanada la segunda causa de inadmisibilidad. Respecto al art. 50.2 b) de la LOTC entiende que sí que tiene su demanda contenido constitucional, puesto que aparte de haberse producido a su juicio las infracciones a los derechos reconocidos en los arts. 14 y 24 de la Constitución, la decisión del Tribunal «afectaría directamente al mundo cooperativo, cuya entidad está siendo amenazada». </w:t>
      </w:r>
    </w:p>
    <w:p w:rsidR="00256EE9" w:rsidRDefault="00256EE9" w:rsidP="00256EE9">
      <w:pPr>
        <w:pStyle w:val="TextoNormal"/>
      </w:pPr>
      <w:r>
        <w:t>El Fiscal ante este Tribunal, además de reconocer el incumplimiento del art. 49.2 a) en relación con el 50.1 b), considera que concurre la causa del 50.2 b) de la LOTC, porque la violación de los derechos reconocidos en los arts. 14 y 24.1 y 2 de la C.E. «ni se funda ni se justifica». Pide por ello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incorrecta presentación de la fotocopia simple y no adverada del poder dio lugar a que invocáramos, como incumplido, el requisito del artículo 49.2 a). Subsanado el defecto en el presente trámite hay que declarar inexistente este posible motivo de inadmisibilidad.</w:t>
      </w:r>
    </w:p>
    <w:p w:rsidR="00256EE9" w:rsidRDefault="00256EE9" w:rsidP="00256EE9">
      <w:pPr>
        <w:pStyle w:val="TextoNormal"/>
      </w:pPr>
    </w:p>
    <w:p w:rsidR="00256EE9" w:rsidRDefault="00256EE9" w:rsidP="00256EE9">
      <w:pPr>
        <w:pStyle w:val="TextoNormal"/>
      </w:pPr>
      <w:r w:rsidRPr="00256EE9">
        <w:rPr>
          <w:rStyle w:val="NumeroAFNegritaCaracter"/>
        </w:rPr>
        <w:t>2</w:t>
      </w:r>
      <w:r>
        <w:t>. No sucede lo mismo, sin embargo, respecto al art. 50.2 b) de la LOTC, cuya concurrencia hay que apreciar, pese a la argumentación contenida en la demanda y, después, en el trámite de alegaciones, donde, en el fondo, se reiteran aquéllas.  Tiene razón el Ministerio Fiscal al decir que la parte recurrente formulando las cuestiones planteadas en su demanda se limita a discrepar de la interpretación que el órgano judicial cuya resolución impugna realiza (con apoyo en el art. 117.3 de la C.E.)  sobre materias de legalidad ordi</w:t>
      </w:r>
      <w:r>
        <w:lastRenderedPageBreak/>
        <w:t>naria, a lo que hemos de añadir que tal enjuiciamiento no implica vestigio de lesión de los derechos fundamentales invocados por la parte actora.</w:t>
      </w:r>
    </w:p>
    <w:p w:rsidR="00256EE9" w:rsidRDefault="00256EE9" w:rsidP="00256EE9">
      <w:pPr>
        <w:pStyle w:val="TextoNormal"/>
      </w:pPr>
      <w:r>
        <w:t>En efecto, la primera de las alegaciones de la Cooperativa demandante se fundamenta en el art.  24 de la Constitución Española y denuncia la infracción del procedimiento especial que para las cooperativas prevé el art.  114 del Reglamento de Sociedades Cooperativas aprobado por Decreto 2710/1978, de 16 de noviembre.  La confusa exposición de la demanda no facilita, sin embargo, conocer en qué medida se considera infringido dicho procedimiento.  Aparentemente la presunta infracción consiste en haber aceptado el hecho del despido de la socia trabajadora sin que se hubiera seguido el procedimiento que establece el art.  114, apartado e), es decir, sin que hubiera existido acuerdo de expulsión.  Tal cuestión ni guarda relación con el art.  24 de la Constitución Española ni puede fundamentar pretensión ninguna de la Entidad demandante.  Que haya existido un despido es una cuestión de hecho que el Tribunal Central declara probada y que, como tal, ha de ser aceptada por este Tribunal, sin que puedan acogerse ni las argumentaciones de la demandante ni su larga exposición fáctica destinada a intentar probar la inexistencia del despido.  Partiendo de ello, el incumplimiento del procedimiento -falta de acuerdo de expulsión y de notificación del mismo- es imputable a la demandante y se extrae de él la consecuencia lógica por la Sentencia impugnada, es decir, la nulidad del despido.  Ni es la Sentencia quien incumple el procedimiento, sino la demandante, y por ello precisamente se le condena, ni guarda relación alguna un problema material de procedimiento para el cese de un socio con los derechos procesales consagrados en el art.  24 de la Constitución.</w:t>
      </w:r>
    </w:p>
    <w:p w:rsidR="00256EE9" w:rsidRDefault="00256EE9" w:rsidP="00256EE9">
      <w:pPr>
        <w:pStyle w:val="TextoNormal"/>
      </w:pPr>
      <w:r>
        <w:t>El art.  114 del Reglamento de Cooperativas establece ciertamente un procedimiento especial para las acciones judiciales frente a las cooperativas.</w:t>
      </w:r>
    </w:p>
    <w:p w:rsidR="00256EE9" w:rsidRDefault="00256EE9" w:rsidP="00256EE9">
      <w:pPr>
        <w:pStyle w:val="TextoNormal"/>
      </w:pPr>
      <w:r>
        <w:t>En lo que se refiere al cese de los socios-trabajadores, la especialidad consiste en que el obligado acto de conciliación ante el I.M.A.C. se sustituye por una petición al Consejo Rector que posee el carácter de reclamación previa e interrumpe el plazo de caducidad para el ejercicio de la acción de despido.  La declaración de improcedencia permite al Magistrado fijar la indemnización procedente, así como resolver sobre los perjuicios sufridos en el período de tramitación, teniendo en cuenta que en ningún caso puede imponerse la readmisión del socio contra el acuerdo de la Asamblea.</w:t>
      </w:r>
    </w:p>
    <w:p w:rsidR="00256EE9" w:rsidRDefault="00256EE9" w:rsidP="00256EE9">
      <w:pPr>
        <w:pStyle w:val="TextoNormal"/>
      </w:pPr>
      <w:r>
        <w:t>En la medida en que, según parece, también se imputa a la Sentencia infracción de este procedimiento, la alegación sí podría ampararse bajo el art.  24 de la Constitución, siempre que el incumplimiento hubiese producido indefensión.  Sucede, sin embargo, que no existe dicho incumplimiento. El Tribunal Central expresamente declara que la carta que la actora dirigió a la Presidencia del Consejo Rector cumple la función de reclamación previa exigida por el Reglamento, siendo, evidentemente, la valoración de aquella carta un problema sobre el que no puede pronunciarse este Tribunal.</w:t>
      </w:r>
    </w:p>
    <w:p w:rsidR="00256EE9" w:rsidRDefault="00256EE9" w:rsidP="00256EE9">
      <w:pPr>
        <w:pStyle w:val="TextoNormal"/>
      </w:pPr>
      <w:r>
        <w:t>No se alega ninguna otra infracción procedimental.  Parece insinuarse que lo sería la condena a la readmisión frente a la previsión reglamentaria de que no puede imponerse la misma contra la voluntad de la Asamblea, pero, aparte de que ello no podría apoyarse en el art.  24 de la Constitución Española, pues lo debatido sería un derecho material, no existe incompatibilidad alguna entre la condena y el Reglamento.  Aquélla condena a la readmisión en un caso de nulidad del despido, mientras que el Reglamento se refiere exclusivamente a la improcedencia y, en todo caso, los problemas de interpretación y aplicación del Reglamento surgirán en la fase de ejecución de la Sentencia y no en la Sentencia misma que incluye el único pronunciamiento a que autoriza la Ley en un supuesto de nulidad.</w:t>
      </w:r>
    </w:p>
    <w:p w:rsidR="00256EE9" w:rsidRDefault="00256EE9" w:rsidP="00256EE9">
      <w:pPr>
        <w:pStyle w:val="TextoNormal"/>
      </w:pPr>
      <w:r>
        <w:lastRenderedPageBreak/>
        <w:t>Se alega también la vulneración del art.  24.2 de la Constitución por cuanto la Sentencia se habría dictado en un proceso sometido a una dilación indebida, con el consiguiente perjuicio de la Cooperativa a quien se obliga a pagar los salarios de tramitación.</w:t>
      </w:r>
    </w:p>
    <w:p w:rsidR="00256EE9" w:rsidRDefault="00256EE9" w:rsidP="00256EE9">
      <w:pPr>
        <w:pStyle w:val="TextoNormal"/>
      </w:pPr>
      <w:r>
        <w:t>La imputación es, desde luego, absolutamente infundada.  Según consta en los hechos probados, la demanda de despido se presentó el día 17 de enero, dictándose la Sentencia de Magistratura el día 16 de marzo.  Puede que en la tramitación del procedimiento no se hayan cumplido los brevísimos plazos procesales que prevé la legislación procesal laboral, pero es evidente que la duración del proceso no puede calificarse de dilación indebida; del mismo modo tampoco puede calificarse de tal la duración de la tramitación del recurso de suplicación que concluye con Sentencia del día 25 de septiembre.</w:t>
      </w:r>
    </w:p>
    <w:p w:rsidR="00256EE9" w:rsidRDefault="00256EE9" w:rsidP="00256EE9">
      <w:pPr>
        <w:pStyle w:val="TextoNormal"/>
      </w:pPr>
      <w:r>
        <w:t>En la alegación de la demandante está implícita la calificación de dilación indebida -y la consiguiente obligación del Estado de resarcir los daños- en todo supuesto de incumplimiento de los plazos procesales, pero tal rigor no parece admisible desde la perspectiva constitucional que, indudablemente, no ha querido construir un derecho fundamental al respeto de aquellos plazos, sino un derecho a que el proceso no sufra retrasos infundados con trascendencia de cara a la satisfacción de la tutela judicial.</w:t>
      </w:r>
    </w:p>
    <w:p w:rsidR="00256EE9" w:rsidRDefault="00256EE9" w:rsidP="00256EE9">
      <w:pPr>
        <w:pStyle w:val="TextoNormal"/>
      </w:pPr>
      <w:r>
        <w:t>Ello no ha sucedido en el presente caso, donde puede apreciarse más bien una notable diligencia si se atiende a la carga de trabajo que pesa sobre los Tribunales.</w:t>
      </w:r>
    </w:p>
    <w:p w:rsidR="00256EE9" w:rsidRDefault="00256EE9" w:rsidP="00256EE9">
      <w:pPr>
        <w:pStyle w:val="TextoNormal"/>
      </w:pPr>
      <w:r>
        <w:t>Por fin, se imputa a la Sentencia la vulneración del principio de igualdad, presuntamente por haberse tratado a la Cooperativa y a sus miembros en forma discriminatoria respecto a otras cooperativas y socios.  El trato desigual versaría sobre la exigibilidad de la petición previa a la demanda judicial y sobre la condena al abono de salarios de tramitación.</w:t>
      </w:r>
    </w:p>
    <w:p w:rsidR="00256EE9" w:rsidRDefault="00256EE9" w:rsidP="00256EE9">
      <w:pPr>
        <w:pStyle w:val="TextoNormal"/>
      </w:pPr>
      <w:r>
        <w:t>La demanda no aporta al respecto término de comparación alguno que permita efectuar el juicio de igualdad. Bajo la referencia a la igualdad, realmente se defiende una determinada interpretación de las normas, o se sostiene un presunto privilegio de las cooperativas que no estarían obligadas a resarcir a un socio cesado por los salarios no percibidos (ya merezcan el calificativo de salarios o de anticipos a cuenta), pero ése es un problema que para nada importa.  Cualquiera que sea la razón que pueda asistir a la demandante, nada tiene que ver lo alegado con el principio de igualdad ni con derecho constitucional alguno.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aprecia que concurre la causa del art. 50.2 b) de la LOTC, por lo que acuerda la inadmisión del amparo.</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0" w:name="AUTO_1985_99"/>
      <w:r>
        <w:lastRenderedPageBreak/>
        <w:t>AUTO 99/1985, de 13 de febrero de 1985</w:t>
      </w:r>
    </w:p>
    <w:bookmarkEnd w:id="160"/>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ECLI:ES:TC:1985:99A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783/1984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1" w:name="AUTO_1985_100"/>
      <w:r>
        <w:lastRenderedPageBreak/>
        <w:t>AUTO 100/1985, de 13 de febrero de 1985</w:t>
      </w:r>
    </w:p>
    <w:bookmarkEnd w:id="161"/>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ECLI:ES:TC:1985:100A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785/1984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José Sampere Muriel, en nombre y representación de los Comités de Empresa de los Centros de Trabajo de Glorieta, Cemeco y Sorolla de la Caja de Ahorros de Valencia, y de la Federación Independientes de Trabajadores de Créditos (F.I.T.C.), ha formulado demanda de amparo constitucional contra las Sentencias de la Magistratura de Trabajo núm. 1 de Valencia, de 10 de abril de 1984, y del Tribunal Central de Trabajo, de 1 de octubre siguiente, por presunta vulneración de los arts. 7, 28, 14 y 24 de la Constitución Española. </w:t>
      </w:r>
    </w:p>
    <w:p w:rsidR="00256EE9" w:rsidRDefault="00256EE9" w:rsidP="00256EE9">
      <w:pPr>
        <w:pStyle w:val="TextoNormal"/>
      </w:pPr>
      <w:r>
        <w:t xml:space="preserve">Los hechos que se exponen en la demanda son los siguientes: a) El 4 de agosto de 1983, los ahora demandantes en amparo, promovieron en escritos independientes sendos conflictos colectivos frente a determinadas decisiones de la Dirección de la Caja de Ahorros de Valencia, que consideraban contenían modificaciones de las condiciones de trabajo. Acumulados los conflictos y tramitados conforme a la legalidad, fueron remitidos a la Magistratura de Trabajo núm. 1 de Valencia, quien dictó Sentencia acogiendo la excepción de falta de legitimación activa opuesta por la Empresa. La Magistratura estimó que los Comités demandantes carecían de legitimación por representar exclusivamente a los trabajadores de tres centros de trabajo y afectar el conflicto a la totalidad de la Empresa, en relación con cuya plantilla aquéllos no constituían la mayoría y que la Federación Sindical carecía también de ella por cuanto, de conformidad con el Estatuto de los Trabajadores, no estaba facultada para negociar convenios de empresa y para intervenir en las modificaciones sustanciales de las condiciones de trabajo. b) En recurso de suplicación, el Tribunal Central de Trabajo confirmó la Sentencia de instancia. Reafirma el Tribunal la falta de legitimación de los Comités, exponiendo que ello no podía subsanarse por la actitud de éstos de dirigir su demanda no sólo contra la Empresa, sino también contra los restantes Comités alegando que todos los trabajadores estarían en el proceso o como demandantes o como demandados, pues ello supone una arbitraria determinación de la relación jurídico-procesal al margen de cuál sea el derecho material y la situación jurídica de que aquélla es reflejo. </w:t>
      </w:r>
    </w:p>
    <w:p w:rsidR="00256EE9" w:rsidRDefault="00256EE9" w:rsidP="00256EE9">
      <w:pPr>
        <w:pStyle w:val="TextoNormal"/>
      </w:pPr>
      <w:r>
        <w:t xml:space="preserve">Por lo que respecta al Sindicato también demandante, el Tribunal confirma igualmente el pronunciamiento de Magistratura, si bien por razones distintas, pues sin abordar el tema de la legitimación, considera inadecuadamente constituida la relación procesal, dado que aquélla dirigió su demanda contra la Empresa y contra los restantes Comités, así como contra otras Federaciones Sindicales de Banca y Ahorro, como U. G. T., CC. OO. C. N. T. </w:t>
      </w:r>
      <w:r>
        <w:lastRenderedPageBreak/>
        <w:t>y A. P. E. C. A., sin que éstas demandadas estuvieran implicadas como tales en la relación jurídico-material de la que el conflicto deriva, y sin que se explicaran las razones por las que se las consideraba pasivamente legitimadas.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de amparo impugna las citadas Sentencias por entender que vienen a privar a los entes legalmente constituidos -Comités y Sindicatos- del ejercicio de su actividad. Según entienden los demandantes, cabría discutir en el caso de autos si la resolución del conflicto podía afectar a toda la plantilla o a los centros de trabajo representados y si el promovido por la Federación Sindical podía afectar a toda la plantilla salvo manifestación en contra de otras Federaciones en los centros de trabajo en que tuvieran mayoría, pero no sujetar la actuación de aquéllos a la voluntad de terceros. </w:t>
      </w:r>
    </w:p>
    <w:p w:rsidR="00256EE9" w:rsidRDefault="00256EE9" w:rsidP="00256EE9">
      <w:pPr>
        <w:pStyle w:val="TextoNormal"/>
      </w:pPr>
      <w:r>
        <w:t xml:space="preserve">Las decisiones judiciales vulneran los arts. 7 y 28.1 de la Constitución conjuntamente con los arts. 63 y 65.1 del Estatuto de los Trabajadores en cuanto configuran la existencia y funciones de los Sindicatos y Comités de Empresa, cuyo valor desaparecería si se condicionara su actividad haciéndola depender de la actuación de otro sujeto de igual valor y oponente en la acción sindical. Igualmente se vulneran los arts. 14 y 24.1 de la Constitución, pues habiendo sido admitida la legitimación de los demandantes por la Empresa en el intento de avenencia ante la Autoridad laboral, no puede luego discutirse la misma en el proceso. Igual censura jurídica merece el rechazo de la participación de todos los afectados en el proceso que es contradictoria con la propia jurisprudencia del Tribunal Central, que admitió conflictos estructurados en idéntica forma al actual, y que conduce a una situación de trato desigual e indefensión, pues se impide el planteamiento del conflicto si otros sujetos con igual derecho que los promotores no quieren hacerlo. Esto obligaría o bien a convocar a todos los interesados, o bien a reducir la decisión del conflicto al nivel de la representación que lo promueve, pero lo que carece de lógica es privar al ente representativo de su función básica. </w:t>
      </w:r>
    </w:p>
    <w:p w:rsidR="00256EE9" w:rsidRDefault="00256EE9" w:rsidP="00256EE9">
      <w:pPr>
        <w:pStyle w:val="TextoNormal"/>
      </w:pPr>
      <w:r>
        <w:t>La demanda concluye solicitando que se anulen las Sentencias de la Magistratura de Trabajo y del Tribunal Central y se declare que los Comités de Empresa demandantes y la Federación Independiente de Trabajadores del Crédito, con total independencia, poseen la legitimación precisa para promover los conflictos colectivos que constan en las actuaciones referidas en el recurso de amparo.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Cuarta de este Tribunal, en su reunión del día 16 de enero del corriente año, acordó poner de manifiesto la posible existencia de la causa de inadmisibilidad que regula el art. 50.2 b) de la Ley Orgánica del Tribunal, por cuanto la demanda pudiera carecer manifiestamente de contenido que justifique una decisión por parte del Tribunal y por ello, en aplicación de lo dispuesto en el art. 50 de la indicada Ley Orgánica, otorgó un plazo común de diez días a los solicitantes de amparo y al Ministerio Fiscal para alegaciones. </w:t>
      </w:r>
    </w:p>
    <w:p w:rsidR="00256EE9" w:rsidRDefault="00256EE9" w:rsidP="00256EE9">
      <w:pPr>
        <w:pStyle w:val="TextoNormal"/>
      </w:pPr>
      <w:r>
        <w:t xml:space="preserve">Dentro del mencionado término han efectuado sus alegaciones los solicitantes del amparo y el Ministerio Fiscal. Los solicitantes del amparo insisten en sus iniciales pretensiones alegando que la empresa Caja de Ahorros de Valencia, con centros de trabajo en diferentes localidades de España, decidió unilateralmente, por unos Avisos núms. 202/1982 a 206/1982, modificar las condiciones de trabajo de sus empleados, lesionando los derechos preexistentes. </w:t>
      </w:r>
    </w:p>
    <w:p w:rsidR="00256EE9" w:rsidRDefault="00256EE9" w:rsidP="00256EE9">
      <w:pPr>
        <w:pStyle w:val="TextoNormal"/>
      </w:pPr>
      <w:r>
        <w:t xml:space="preserve">Los Comités recurrentes, representantes de los trabajadores de los más importantes Centros de Trabajo de la citada Empresa, y la Federación, igualmente instante de este recurso de amparo, por ser el organismo sindical de mayor representación en la repetida </w:t>
      </w:r>
      <w:r>
        <w:lastRenderedPageBreak/>
        <w:t xml:space="preserve">Empresa, entendiendo que no debía consentirse la actuación de la Caja de Ahorros de Valencia, plantearon los adecuados conflictos colectivos de trabajo. </w:t>
      </w:r>
    </w:p>
    <w:p w:rsidR="00256EE9" w:rsidRDefault="00256EE9" w:rsidP="00256EE9">
      <w:pPr>
        <w:pStyle w:val="TextoNormal"/>
      </w:pPr>
      <w:r>
        <w:t xml:space="preserve">En la Empresa de referencia hay otros Comités, así como también otros Sindicatos, quienes, por su voluntaria decisión, no instaron el conflicto. </w:t>
      </w:r>
    </w:p>
    <w:p w:rsidR="00256EE9" w:rsidRDefault="00256EE9" w:rsidP="00256EE9">
      <w:pPr>
        <w:pStyle w:val="TextoNormal"/>
      </w:pPr>
      <w:r>
        <w:t xml:space="preserve">Ante lo expuesto, como la jurisdicción exigía, en los conflictos, la participación de la total representación de los trabajadores, de acuerdo con la extensión del problema y éste afectaba a la total plantilla de la Caja de Ahorros de Valencia, era necesaria la intervención de toda la representación de los trabajadores en la misma. </w:t>
      </w:r>
    </w:p>
    <w:p w:rsidR="00256EE9" w:rsidRDefault="00256EE9" w:rsidP="00256EE9">
      <w:pPr>
        <w:pStyle w:val="TextoNormal"/>
      </w:pPr>
      <w:r>
        <w:t xml:space="preserve">Es evidente que nadie puede obligar a otro para que actúe como demandante, si no lo desea; pero con igual evidencia, si resulta necesario, nadie puede eludir el ser demandado; y en este caso, la única solución viable era demandar al resto de los representantes de los trabajadores, para que en el conflicto participaran todos, cumpliendo así la normativa legal al respecto. [Art. 18.1 a) del Real Decreto-ley, de 4 de marzo de 1977.] La intervención de todos los representantes y de la empresa con el carácter con que lo hacían, fue aceptada por los mismos, quedando obligados a respetar dicha aceptación, hasta el punto de que la citada Empresa, en el acta de mediación del Ministerio de Trabajo, aceptó expresamente la legitimación de los instantes del conflicto y así está acreditado. </w:t>
      </w:r>
    </w:p>
    <w:p w:rsidR="00256EE9" w:rsidRDefault="00256EE9" w:rsidP="00256EE9">
      <w:pPr>
        <w:pStyle w:val="TextoNormal"/>
      </w:pPr>
      <w:r>
        <w:t xml:space="preserve">No obstante todo lo anteriormente relatado -y acreditado en el recurso- la Magistratura de Trabajo y el Tribunal Central de Trabajo, por una u otra razón, entienden que los recurrentes carecían de legitimación para instar el conflicto planteado, condicionando el que tal problema sólo podría verse si todos los representantes de los trabajadores demandaran conjuntamente. </w:t>
      </w:r>
    </w:p>
    <w:p w:rsidR="00256EE9" w:rsidRDefault="00256EE9" w:rsidP="00256EE9">
      <w:pPr>
        <w:pStyle w:val="TextoNormal"/>
      </w:pPr>
      <w:r>
        <w:t xml:space="preserve">Con ello, se entra de lleno en el problema, objeto del interesado amparo constitucional, pues a su juicio cuentan con los entes u órganos de representación sindical de los trabajadores, creados por la Ley, a dichos entes u órganos, no se les permite el ejercicio de su misión; se condiciona el ejercicio de la actividad funcional de los Comités y Sindicato, a que otros les presten su presencia; en conclusión, esta persona creada, que tiene su cometido, está imposibilitada de cumplimentarle, o lo que es igual condicionada a otra persona, es decir, con una total limitación de su personalidad, y precisamente en una materia, como la sindical, que precisa de agilidad, vivacidad y eficacia y sin dependencia, y menos de quienes pueden y deben ser sus oponentes. </w:t>
      </w:r>
    </w:p>
    <w:p w:rsidR="00256EE9" w:rsidRDefault="00256EE9" w:rsidP="00256EE9">
      <w:pPr>
        <w:pStyle w:val="TextoNormal"/>
      </w:pPr>
      <w:r>
        <w:t xml:space="preserve">Para evitar esta restricción y el respeto a la personalidad de los organismos creados, se acude al Tribunal para reponer la personalidad (y máxime cuando se ha cumplido la participación de todos los afectados en el conflicto); y, en su defecto, para que la reclamación de los instantes, se limite a sus representados, de forma que los errores o éxitos de la representación de los trabajadores, se pueda constatar por sus actos, haciendo posible la eficacia y responsabilidad sindical a un mismo tiempo. </w:t>
      </w:r>
    </w:p>
    <w:p w:rsidR="00256EE9" w:rsidRDefault="00256EE9" w:rsidP="00256EE9">
      <w:pPr>
        <w:pStyle w:val="TextoNormal"/>
      </w:pPr>
      <w:r>
        <w:t xml:space="preserve">De este modo, la Constitución habrá hecho posible que la representación sindical, a todos los niveles, tenga independencia, utilidad y eficacia, como medio útil para la relación de trabajo y el trabajador que verá en la misma su deseada protección, sin que por el contrario renuncie a su afiliación al Sindicato, al comprobar que la pertenencia al mismo no le resuelve, al menos, el derecho a reclamar, con lo que prácticamente se vuelve al Sindicato unitario, desapareciendo el pluralismo sindical. </w:t>
      </w:r>
    </w:p>
    <w:p w:rsidR="00256EE9" w:rsidRDefault="00256EE9" w:rsidP="00256EE9">
      <w:pPr>
        <w:pStyle w:val="TextoNormal"/>
      </w:pPr>
      <w:r>
        <w:t>El Fiscal ha pedido la inadmisión del asunto señalando que se replantea una vez más en el presente recurso de amparo constitucional el problema ya resuelto por el Tribunal en Sentencia de 6 de julio de 1983, en aquella ocasión referido a que los componentes del Comité de Empresa en Murcia del Banco Español de Crédito promovieron conflicto colec</w:t>
      </w:r>
      <w:r>
        <w:lastRenderedPageBreak/>
        <w:t xml:space="preserve">tivo por entender que el art. 14 del Convenio Interprovincial de la Banca Privada les otorgaba el derecho a una mayor retribución por pago de beneficios que la concedida. </w:t>
      </w:r>
    </w:p>
    <w:p w:rsidR="00256EE9" w:rsidRDefault="00256EE9" w:rsidP="00256EE9">
      <w:pPr>
        <w:pStyle w:val="TextoNormal"/>
      </w:pPr>
      <w:r>
        <w:t xml:space="preserve">El Tribunal denegó el amparo que se reclamaba contra la Sentencia de 12 de noviembre de 1982 del Tribunal Central de Trabajo, que había apreciado la falta de legitimación activa en los actores. </w:t>
      </w:r>
    </w:p>
    <w:p w:rsidR="00256EE9" w:rsidRDefault="00256EE9" w:rsidP="00256EE9">
      <w:pPr>
        <w:pStyle w:val="TextoNormal"/>
      </w:pPr>
      <w:r>
        <w:t>Lo anterior es aplicable a los Comités de Empresa correspondientes a los Centros de Trabajo de las Agencias Urbanas de Glorieta, Cemeco y Sorolla de la Caja de Ahorros de Valencia con respecto al Convenio Colectivo de ámbito nacional que impugnan, por lo que se estima apreciable la causa de inadmisión del art. 50.2 b) de la Ley Orgánica del Tribunal Constitucional y además pudiera serlo la contenida en el art. 50.2 c) de la propia Ley.</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Las Sentencias que se impugnan en la demanda de amparo recaen sobre unos conflictos colectivos acumulados, promovidos autónomamente por unos determinados Comités de la Caja de Ahorros de Valencia y una Federación Sindical.  El sentido del pronunciamiento difiere en cada caso, pues mientras se declara la falta de legitimación de los Comités por no representar a la totalidad de los trabajadores afectados por el conflicto, se desestima la demanda de la Federación Sindical por defectos en la constitución de la relación procesal, rectificando así la primitiva declaración de Magistratura que sostuvo también la falta de legitimación activa del Sindicato.</w:t>
      </w:r>
    </w:p>
    <w:p w:rsidR="00256EE9" w:rsidRDefault="00256EE9" w:rsidP="00256EE9">
      <w:pPr>
        <w:pStyle w:val="TextoNormal"/>
      </w:pPr>
      <w:r>
        <w:t>Esta breve exposición muestra ya la falta de fundamento de la alegada vulneración de los arts.  7 y 28.1 de la Constitución Española.  Estos preceptos, tal y como han sido interpretados por este Tribunal en sus Sentencias núms. 70/1982, de 29 de noviembre, y 37/1983, de 11 de mayo, establecen el derecho de los sindicatos a promover el procedimiento de conflicto colectivo para la defensa de los intereses de los trabajadores, siempre que pueda reconocérseles una suficiente implantación en el ámbito en que el conflicto se desenvuelve, cosa que no ha sido lo negado en el caso de autos.</w:t>
      </w:r>
    </w:p>
    <w:p w:rsidR="00256EE9" w:rsidRDefault="00256EE9" w:rsidP="00256EE9">
      <w:pPr>
        <w:pStyle w:val="TextoNormal"/>
      </w:pPr>
      <w:r>
        <w:t>La denegación de legitimación para promover el conflicto se ha referido a los Comités de Empresa, cuya actividad no aparece constitucionalmente cubierta por los preceptos que consagran la libertad sindical, de modo que incluso si se hubiesen limitado de forma ilegítima sus facultades de actuación, no serían tales preceptos los vulnerados. Respecto de la Federación Independiente de Trabajadores del Crédito, la definitiva Sentencia del Tribunal Central, que omite todo pronunciamiento sobre su legitimación, y concreta la causa de desestimación en defectos de carácter procesal, excluye cualquier relación con la libertad sindical y con las facultades que de ella derivan.</w:t>
      </w:r>
    </w:p>
    <w:p w:rsidR="00256EE9" w:rsidRDefault="00256EE9" w:rsidP="00256EE9">
      <w:pPr>
        <w:pStyle w:val="TextoNormal"/>
      </w:pPr>
    </w:p>
    <w:p w:rsidR="00256EE9" w:rsidRDefault="00256EE9" w:rsidP="00256EE9">
      <w:pPr>
        <w:pStyle w:val="TextoNormal"/>
      </w:pPr>
      <w:r w:rsidRPr="00256EE9">
        <w:rPr>
          <w:rStyle w:val="NumeroAFNegritaCaracter"/>
        </w:rPr>
        <w:t>2</w:t>
      </w:r>
      <w:r>
        <w:t>. Según se desprende de lo anterior, si se localiza la presunta vulneración constitucional en derecho reconocido por el art.  24 de la Constitución, también invocado por los demandantes, la demanda carece igualmente de contenido que justifique una decisión de este Tribunal.</w:t>
      </w:r>
    </w:p>
    <w:p w:rsidR="00256EE9" w:rsidRDefault="00256EE9" w:rsidP="00256EE9">
      <w:pPr>
        <w:pStyle w:val="TextoNormal"/>
      </w:pPr>
      <w:r>
        <w:t>Es doctrina reiterada del mismo que el derecho a la tutela judicial efectiva se satisface tanto cuando se obtiene una resolución sobre el fondo del asunto planteado, como cuando se excluye el pronunciamiento de fondo por considerar existente una causa impeditiva que se produce en aplicación razonada del ordenamiento, pues el derecho a obtener la presta</w:t>
      </w:r>
      <w:r>
        <w:lastRenderedPageBreak/>
        <w:t>ción judicial sólo existe en la medida en que sea instado por quien esté legitimado para ello, y a través de cauces y formas procesales adecuados.</w:t>
      </w:r>
    </w:p>
    <w:p w:rsidR="00256EE9" w:rsidRDefault="00256EE9" w:rsidP="00256EE9">
      <w:pPr>
        <w:pStyle w:val="TextoNormal"/>
      </w:pPr>
      <w:r>
        <w:t>La decisión de los Tribunales que, acogiendo la excepción opuesta por la Empresa demandada, niega la legitimación activa de los Comités demandantes por estimar que el conflicto colectivo afectaba a la totalidad de la plantilla de la Empresa, no vulnera el derecho a la tutela judicial.  La Ley ha vinculado la legitimación a la titularidad de la representación de los trabajadores afectados en el conflicto y ello impide que quienes representan a parte de la plantilla puedan actuar en nombre de la totalidad, habiendo declarado este Tribunal en sus Sentencias núms.  59/1983, de 6 de julio, y 74/1983, de 30 de julio, que ello es conforme a la Constitución y que la limitación que supone no atenta al derecho fundamental consagrado en el art. 24, pues el conflicto puede ser instado por los representantes ajustados a su ámbito objetivo o por un sindicato que goce de la suficiente implantación.</w:t>
      </w:r>
    </w:p>
    <w:p w:rsidR="00256EE9" w:rsidRDefault="00256EE9" w:rsidP="00256EE9">
      <w:pPr>
        <w:pStyle w:val="TextoNormal"/>
      </w:pPr>
      <w:r>
        <w:t>El desajuste objetivo entre ámbito de la representación que se ostenta y ámbito del conflicto colectivo no puede subsanarse, como pretenden los demandantes, mediante la llamada al proceso como parte demandada de los restantes Comités, pues lo que se debate no es la necesidad de audiencia de los representantes de todos los afectados en un proceso debidamente iniciado, sino la facultad de iniciarlo, que no corresponde a quienes no representan más que a una parte de aquéllos.  Del mismo modo que tampoco resulta posible aceptar la legitimación de los demandantes y limitar los efectos de la Sentencia a los trabajadores representados por ellos, pues aparte de que no fue ello lo pretendido en la instancia, no es la libre decisión de la parte, sino la objetividad del problema planteado la que determina el ámbito de efectividad de la decisión judicial que pone fin al conflicto.</w:t>
      </w:r>
    </w:p>
    <w:p w:rsidR="00256EE9" w:rsidRDefault="00256EE9" w:rsidP="00256EE9">
      <w:pPr>
        <w:pStyle w:val="TextoNormal"/>
      </w:pPr>
      <w:r>
        <w:t>No cabe alegar, por fin, que habiendo sido aceptada la legitimación por la parte empresarial en el trámite de conciliación no es posible oponer la excepción de falta de legitimación activa en el proceso y que ésta sea aceptada por el Magistrado. Cualquiera que sea la postura de la parte, las cuestiones relativas a la legitimación escapan a su poder de disposición y por pertenecer al orden público procesal corresponde resolverlas, incluso de oficio, al órgano judicial.</w:t>
      </w:r>
    </w:p>
    <w:p w:rsidR="00256EE9" w:rsidRDefault="00256EE9" w:rsidP="00256EE9">
      <w:pPr>
        <w:pStyle w:val="TextoNormal"/>
      </w:pPr>
      <w:r>
        <w:t>Desde la perspectiva del sindicato demandante tampoco cabe apreciar la vulneración del derecho a la tutela.  El Tribunal Central, en ejercicio de su competencia de velar por el cumplimiento de las formas procesales, ha estimado inadecuadamente constituida la relación procesal, por haber sido demandados quienes ninguna relación tenían con el objeto del conflicto colectivo. Al hacerlo así, ni da origen a obstáculos injustificados para el conocimiento del fondo del asunto, ni imposibilita el acceso a la tutela, dado que el conflicto puede reproducirse de forma ajustada a la sustancia de la cuestión debatida, que no reclama, como parece entender el sindicato demandante, la participación activa de otros sindicatos, por lo que no se está supeditando la legítima actuación de aquél a voluntades ajenas.</w:t>
      </w:r>
    </w:p>
    <w:p w:rsidR="00256EE9" w:rsidRDefault="00256EE9" w:rsidP="00256EE9">
      <w:pPr>
        <w:pStyle w:val="TextoNormal"/>
      </w:pPr>
    </w:p>
    <w:p w:rsidR="00256EE9" w:rsidRDefault="00256EE9" w:rsidP="00256EE9">
      <w:pPr>
        <w:pStyle w:val="TextoNormal"/>
      </w:pPr>
      <w:r w:rsidRPr="00256EE9">
        <w:rPr>
          <w:rStyle w:val="NumeroAFNegritaCaracter"/>
        </w:rPr>
        <w:t>3</w:t>
      </w:r>
      <w:r>
        <w:t>. Los demandantes razonan que la llamada al proceso como parte demandada de otros Comités y Sindicatos representativos de los trabajadores pretende tan sólo garantizar la audiencia de todos los afectados y ha sido avalada por jurisprudencia anterior del propio Tribunal Central de Trabajo.</w:t>
      </w:r>
    </w:p>
    <w:p w:rsidR="00256EE9" w:rsidRDefault="00256EE9" w:rsidP="00256EE9">
      <w:pPr>
        <w:pStyle w:val="TextoNormal"/>
      </w:pPr>
      <w:r>
        <w:t>No corresponde a este Tribunal pronunciarse sobre la adecuada ordenación del proceso de conflicto colectivo en un supuesto como el presente.</w:t>
      </w:r>
    </w:p>
    <w:p w:rsidR="00256EE9" w:rsidRDefault="00256EE9" w:rsidP="00256EE9">
      <w:pPr>
        <w:pStyle w:val="TextoNormal"/>
      </w:pPr>
      <w:r>
        <w:t xml:space="preserve">Desde el momento en que las decisiones judiciales no vulneran, como se ha dicho, derechos fundamentales de los demandantes, la resolución de la cuestión indicada excedería de la competencia del Tribunal Constitucional, que no está llamado a resolver problemas jurídicos determinados con carácter general, sino a proteger aquellos derechos, teniendo </w:t>
      </w:r>
      <w:r>
        <w:lastRenderedPageBreak/>
        <w:t>en cuenta que en el hipotético supuesto en que el derecho a la defensa exigiese la presencia en el proceso de otros representantes de los trabajadores, serían ellos, y no los actores, los facultados para pedir su protección.</w:t>
      </w:r>
    </w:p>
    <w:p w:rsidR="00256EE9" w:rsidRDefault="00256EE9" w:rsidP="00256EE9">
      <w:pPr>
        <w:pStyle w:val="TextoNormal"/>
      </w:pPr>
    </w:p>
    <w:p w:rsidR="00256EE9" w:rsidRDefault="00256EE9" w:rsidP="00256EE9">
      <w:pPr>
        <w:pStyle w:val="TextoNormal"/>
      </w:pPr>
      <w:r w:rsidRPr="00256EE9">
        <w:rPr>
          <w:rStyle w:val="NumeroAFNegritaCaracter"/>
        </w:rPr>
        <w:t>4</w:t>
      </w:r>
      <w:r>
        <w:t>. Conviene señalar por último que la contradicción puesta de manifiesto por los demandantes en la doctrina sentada al respecto por el Tribunal Central de Trabajo no vulnera el principio de igualdad. Es cierto que dicho Tribunal había expuesto en una Sentencia de 30 de junio de 1983 que el proceso de conflicto colectivo instado por un sindicato con implantación suficiente requería la presencia de otros representantes de los trabajadores para que la Sentencia pudiese extender sus efectos a todos y que, excluido que ello pudiera hacerse mediante un litisconsorcio activo necesario, pues supondría condicionar el derecho a la tutela a la voluntad de terceros, tal presencia había de garantizarse trayendo a juicio como demandados a aquellos representantes, habiendo aplicado posteriormente esta tesis en otros supuestos.  Pero también lo que es que tal doctrina ha sido expresamente rectificada por una Sentencia de 13 de abril de 1984, a partir de la cual se rechaza tal posibilidad por considerar que implica una confusión entre las posiciones de demandantes y demandados que no pueden construirse discrecionalmente por las partes.  La Sentencia hoy impugnada responde a este segundo criterio, y se ajusta, en consecuencia, a los precedentes con los que realmente debe compararse.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presente recurso de amparo.</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2" w:name="AUTO_1985_101"/>
      <w:r>
        <w:lastRenderedPageBreak/>
        <w:t>AUTO 101/1985, de 13 de febrero de 1985</w:t>
      </w:r>
    </w:p>
    <w:bookmarkEnd w:id="162"/>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ECLI:ES:TC:1985:101A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el archivo de las actuaciones en el procedimiento 790/1984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Registro General de este Tribunal el día 15 de noviembre de 1984, don Luciano Jiménez Ruiz, actuando por sí mismo, y en su propio nombre y derecho, acude ante este Tribunal Constitucional manifestando impugnar las decisiones de 18 de enero y 23 de octubre de 1984, de la Dirección Provincial de Trabajo y Seguridad Social de Granada y las de 12 de junio y 29 de octubre de 1984, de la Dirección General de Trabajo. Los hechos en que se apoya son los siguientes: a) En fecha que no consta, el señor Jiménez Ruiz presentó escrito ante la Dirección Provincial de Trabajo y Seguridad Social de Granada, en solicitud de que el Director Provincial se dirigiera de oficio y al amparo de lo establecido en el art. 90.5 de la Ley 8/1980, de 10 de marzo, del Estatuto de los Trabajadores (E. T.), a la jurisdicción laboral a fin de que por ésta se decidiera acerca de la eventual conculcación por determinados preceptos del convenio colectivo de la empresa «Renfe Atcar», de 17 de julio de 1981, de la legalidad ordinaria en materia de ascensos. El 18 de enero de 1984, la citada autoridad laboral comunicó al solicitante la improcedencia de atender su petición argumentando que «estando atribuida la competencia a la jurisdicción ordinaria, en cuanto a aplicación e interpretación de los convenios colectivos se refiere (... ) y teniendo en cuenta que el caso que usted presenta es un claro conflicto individual, cuyo conocimiento corresponde a la citada jurisdicción (... ) es evidente que la cuestión debe ser planteada directamente por usted ante la Magistratura de Trabajo competente (...)». </w:t>
      </w:r>
    </w:p>
    <w:p w:rsidR="00256EE9" w:rsidRDefault="00256EE9" w:rsidP="00256EE9">
      <w:pPr>
        <w:pStyle w:val="TextoNormal"/>
      </w:pPr>
      <w:r>
        <w:t xml:space="preserve">En fechas 11 de mayo y 20 de octubre de 1984, el exponente reiteró su solicitud, ratificándose la Dirección Provincial por escrito de 23 de octubre en el contenido de su anterior decisión. b) En fecha 31 de mayo de 1984, el señor Jiménez Ruiz dedujo petición ante el Director General de Trabajo a fin de que se ordene, autorice o delegue, según proceda, al Director Provincial de Trabajo y Seguridad Social de Granada para que se presente en la Magistratura de Trabajo de dicha ciudad demanda «de oficio» solicitando la subsanación de anomalías derivadas de la aplicación del Convenio Colectivo de la empresa «Renfe-Atcar», petición que fue desestimada en fecha 12 de junio de 1984, en base, entre otras razones, a que el citado convenio no puede ser combatido por la vía que se pretende, sin perjuicio del derecho de accionar directamente ante la Magistratura de Trabajo competente. c) En fechas 12 de julio, 14 de agosto y 28 de septiembre de 1984, don Luciano Jiménez remitió nuevos escritos a la Dirección General de Trabajo, insistiendo en su petición. </w:t>
      </w:r>
      <w:r>
        <w:lastRenderedPageBreak/>
        <w:t>Por escrito de 29 de octubre, este Centro Directivo se ratificó en la desestimación de la petición, considerándola ajustada a Derecho.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compareciente impugna de manera genérica la totalidad de las decisiones administrativas mencionadas en los antecedentes por entender que las mismas lesionan los arts. 14 y 24.1 de la C. E. El principio de igualdad se habría vulnerado por cuanto tales decisiones resultan contradictorias con la adoptada por la Dirección Provincial de Trabajo y Seguridad Social de Ciudad Real, que acordó iniciar «de oficio» el trámite del art. 90.5 del E. T., a petición del señor López de la Manzanara, que impugnaba el convenio colectivo de «Renfe-Atcar» por razones iguales a las pretendidas por el exponente. El art. 24.1 se habría infringido, a su vez, por cuanto la negativa de la Administración a plantear la demanda de nulidad de la norma colectiva presuntamente contraventora de derechos legalmente reconocidos ha privado al compareciente de la posibilidad de ejercitar plenamente la tutela efectiva y protección judicial de sus intereses legítimos colocándole en posición de indefensión. </w:t>
      </w:r>
    </w:p>
    <w:p w:rsidR="00256EE9" w:rsidRDefault="00256EE9" w:rsidP="00256EE9">
      <w:pPr>
        <w:pStyle w:val="TextoNormal"/>
      </w:pPr>
      <w:r>
        <w:t>Se solicita de este Tribunal la nulidad de las decisiones de la Dirección Provincial de Trabajo y Seguridad Social de Granada y de la Dirección General de Trabajo de 19 de enero y 19 de junio de 1984, respectivamente, así como de las «ratificaciones de las mismas de fechas 23 y 29 de octubre de igual año. Igualmente se suplica a este Tribunal ordene a la autoridad laboral competente que presente ante la Magistratura de Trabajo de Granada «la oportuna demanda de "oficio" interesada» en su día.</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12 de diciembre de 1984, la Sección acordó hacer saber al recurrente que, de conformidad con lo establecido en el art. 81 de la LOTC, es preciso comparecer en el recurso de amparo por medio de Procurador que le represente y asistido de Letrado que le defienda, a cuyo fin, y para subsanar tal defecto, se le concedió un plazo de diez días para que se personase ante este Tribunal representado por Procurador y asistido de Abogado. La Sección acordó, igualmente, advertir al recurrente que de realizar tal subsanación, se pasaría al trámite de inadmisión por los siguientes defectos insubsanables: a) no haberse agotado todos los recursos utilizables dentro de la vía judicial [art. 43.1 en conexión con el artículo 50.1 b) de la Ley Orgánica del Tribunal Constitucional -LOTC-], y b) carecer la demanda manifiestamente de contenido constitucional [artículo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el presente caso, no habiendo comparecido el solicitante del amparo con la debida postulación y no habiendo considerado procedente sostener la acción el Ministerio Fiscal se ha producido la caducidad del recurso, pues, como ha señalado este Tribunal Constitucional en diversas ocasiones, no se trata de una causa de inadmisión insubsanable o no </w:t>
      </w:r>
      <w:r>
        <w:lastRenderedPageBreak/>
        <w:t>subsanada, sino de la ausencia del requisito previo para proceder al propio enjuiciamiento de su admisión.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anteriormente expuesto, la Sección acuerda estimar producida la extinción del proceso abierto por el escrito de demanda de amparo.</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3" w:name="AUTO_1985_102"/>
      <w:r>
        <w:lastRenderedPageBreak/>
        <w:t>AUTO 102/1985, de 13 de febrero de 1985</w:t>
      </w:r>
    </w:p>
    <w:bookmarkEnd w:id="163"/>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ECLI:ES:TC:1985:102A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814/1984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día 24 de noviembre de 1984 tuvo entrada en este Tribunal demanda de amparo deducida por el Procurador don Celso de la Cruz Ortega, en nombre y representación de don Federico Pérez Castañeda y de don Antonio Pérez Castañeda, contra Sentencia de la Audiencia Provincial de Bilbao, de 5 de mayo de 1982, por la que se condenaba a los ahora demandantes, como autores de un delito de robo con homicidio, previsto en los arts. 500 y 501.1 del Código Penal (C. P.), a las penas de quince y diecisiete años de reclusión menor respectivamente, accesorias y a indemnizar al padre de la víctima, habiéndose apreciado en ambos la eximente incompleta de enajenación mental y en el segundo, la agravante de reincidencia.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recurrentes alegan para fundamentar el amparo, en relación con la Sentencia citada, que con la reforma introducida en el C. P. por la Ley Orgánica 8/1983, el art. 501.1 requiere para su aplicación, que la muerte producida con motivo o con ocasión del robo sea causada dolosamente, y el artículo 1 del mismo texto legal, limita la punición en atención a un ulterior resultado más grave, a los casos en que haya tenido lugar, al menos, por culpa. En consecuencia, entienden que como la muerte de la víctima ni fue querida, ni se derivó de una conducta culposa realizada por ellos, lo que se refuerza teniendo en cuenta que ambos adolecen de una personalidad psicopática e inmadura, que presentan trastornos de carácter y de comportamiento capaz de disminuir la voluntariedad de sus actos, debe jugar a su favor la presunción de inocencia, reconocida en el art. 24.2 de la C. E. </w:t>
      </w:r>
    </w:p>
    <w:p w:rsidR="00256EE9" w:rsidRDefault="00256EE9" w:rsidP="00256EE9">
      <w:pPr>
        <w:pStyle w:val="TextoNormal"/>
      </w:pPr>
      <w:r>
        <w:t xml:space="preserve">Por otra parte, aducen que el Pacto Internacional de Derechos Civiles y Políticos, obliga a considerar que entre las garantías que recoge el art. 24.2 de la C. E. se encuentra la del recurso ante un Tribunal superior. </w:t>
      </w:r>
    </w:p>
    <w:p w:rsidR="00256EE9" w:rsidRDefault="00256EE9" w:rsidP="00256EE9">
      <w:pPr>
        <w:pStyle w:val="TextoNormal"/>
      </w:pPr>
      <w:r>
        <w:t>Es por ello, por lo que nos interponen el presente recurso y solicitan la concesión del amparo, al haber sido vulnerado el art. 24 de la Constitución, «vulneración que se apoyó y tuvo éxito debido a la personalidad psicopática (de los solicitantes), circunstancia que incidió en forma trascendental en todo el desarrollo del proceso y que supuso una situación desfavorable de indefensión» para ellos.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del pasado 9 de enero, la Sección Tercera puso de manifiesto al recurrente y al Ministerio Fiscal la posible existencia de las siguientes causas de inadmisión: </w:t>
      </w:r>
    </w:p>
    <w:p w:rsidR="00256EE9" w:rsidRDefault="00256EE9" w:rsidP="00256EE9">
      <w:pPr>
        <w:pStyle w:val="TextoNormal"/>
      </w:pPr>
      <w:r>
        <w:lastRenderedPageBreak/>
        <w:t xml:space="preserve">1.ª La regulada por el art. 50.1 b) en relación con el 49.2 a), por no presentarse el documento acreditativo de la representación. </w:t>
      </w:r>
    </w:p>
    <w:p w:rsidR="00256EE9" w:rsidRDefault="00256EE9" w:rsidP="00256EE9">
      <w:pPr>
        <w:pStyle w:val="TextoNormal"/>
      </w:pPr>
      <w:r>
        <w:t xml:space="preserve">2.ª La regulada por el art. 50.1 b) en relación con el 44.1 a), todos ellos de la Ley Orgánica de este Tribunal, por falta de agotamiento de los recursos utilizables en la vía judicial al haberse omitido el de casación. </w:t>
      </w:r>
    </w:p>
    <w:p w:rsidR="00256EE9" w:rsidRDefault="00256EE9" w:rsidP="00256EE9">
      <w:pPr>
        <w:pStyle w:val="TextoNormal"/>
      </w:pPr>
      <w:r>
        <w:t xml:space="preserve">3.ª La regulada por el art. 50.1 b) en relación con el 44.1 c) de la LOTC por falta de invocación del derecho constitucional que se reputa violado, en el proceso judicial precedente. </w:t>
      </w:r>
    </w:p>
    <w:p w:rsidR="00256EE9" w:rsidRDefault="00256EE9" w:rsidP="00256EE9">
      <w:pPr>
        <w:pStyle w:val="TextoNormal"/>
      </w:pPr>
      <w:r>
        <w:t xml:space="preserve">4.ª La del art. 50.1 a) en relación con el 44.2, por presentación extemporánea de la demanda de amparo. </w:t>
      </w:r>
    </w:p>
    <w:p w:rsidR="00256EE9" w:rsidRDefault="00256EE9" w:rsidP="00256EE9">
      <w:pPr>
        <w:pStyle w:val="TextoNormal"/>
      </w:pPr>
      <w:r>
        <w:t xml:space="preserve">5.ª La del art. 50.2 b) de la LOTC, por cuanto la demanda pudiera carecer de contenido que justifique una decisión por parte de este Tribunal. </w:t>
      </w:r>
    </w:p>
    <w:p w:rsidR="00256EE9" w:rsidRDefault="00256EE9" w:rsidP="00256EE9">
      <w:pPr>
        <w:pStyle w:val="TextoNormal"/>
      </w:pPr>
      <w:r>
        <w:t>Dentro del trámite abierto por dicha providencia, sólo ha presentado escrito de alegaciones el Ministerio Fiscal que solicita la inadmisión del recurso por la concurrencia plena de todas las causas de inadmisión que se indicaban como posibles.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Durante el plazo que se les concedió los recurrentes ni han intentado la subsanación del defecto de postulación apreciable en su demanda, a la que no se acompañaba poder que acredite la representación del Procurador, ni han hecho alegato alguno que permita invalidar la hipótesis formulada en nuestra providencia en cuanto a la existencia de las restantes causas de inadmisión, de carácter no subsanable.  La extemporaneidad del recurso, presentado, como se dice en los antecedentes, el 17 de noviembre de 1984, contra una Sentencia dictada el 5 de mayo de 1982, se hace así irrecusable. Si a ello se une el hecho de que siendo recurrible en casación dicha Sentencia, no se acudió a tal remedio procesal contra ella, de lo que se sigue también la existencia de las causas de inadmisión señaladas por nosotros en segundo y tercer lugar y la manifiesta inexistencia en la demanda de razones mínimamente consistentes para apoyar el alegato de que los recurrentes han visto infringido su derecho a la presunción de inocencia, es inevitable la conclusión de que la demanda de amparo es inadmisible por todo el conjunto de las indicadas causas.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en consecuencia, ha decidido la inadmisión del presente recurso de amparo.</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4" w:name="AUTO_1985_103"/>
      <w:r>
        <w:lastRenderedPageBreak/>
        <w:t>AUTO 103/1985, de 13 de febrero de 1985</w:t>
      </w:r>
    </w:p>
    <w:bookmarkEnd w:id="164"/>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ECLI:ES:TC:1985:103A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819/1984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Asociación «Federación Centro de Informadores Turísticos» (FCIT), instó del Ministerio de Transportes, Turismo y Comunicaciones, con fecha 23 de febrero de 1984, la constitución de un Colegio de Informadores Turísticos Titulados, en el que se integrarían los «correos de Turismo», colectivo profesional -se afirma en la demanda de amparo que se dirá- que, con imperativo de la Ley, reúne a profesionales que deben contar con titulación universitaria superior. </w:t>
      </w:r>
    </w:p>
    <w:p w:rsidR="00256EE9" w:rsidRDefault="00256EE9" w:rsidP="00256EE9">
      <w:pPr>
        <w:pStyle w:val="TextoNormal"/>
      </w:pPr>
      <w:r>
        <w:t xml:space="preserve">Con fecha 13 de marzo de 1984, el Secretario General de Turismo se dirigió a los solicitantes manifestando no acoger su petición en virtud de razones de oportunidad, al estar en preparación el proyecto de un nuevo texto legal regulador de los colegios profesionales. </w:t>
      </w:r>
    </w:p>
    <w:p w:rsidR="00256EE9" w:rsidRDefault="00256EE9" w:rsidP="00256EE9">
      <w:pPr>
        <w:pStyle w:val="TextoNormal"/>
      </w:pPr>
      <w:r>
        <w:t>El 28 de marzo siguiente, la F. C. I. T. interpuso recurso contencioso-administrativo ante la Audiencia Nacional (Ley 62/1978, de 26 de diciembre), contra lo que estimó una denegación arbitraria de su solicitud, invocando la violación de los arts. 14, 9 y 36 de la Constitución. Este recurso fue resuelto por Sentencia de 9 de junio de 1984, en la que se desestimó la pretensión del recurrente. Dicha Sentencia fue confirmada en apelación por la Sala Tercera del Tribunal Supremo, en su Sentencia de 26 de septiembre de 1984, que fue notificada a la apelante el día 31 de octubre siguiente.</w:t>
      </w:r>
    </w:p>
    <w:p w:rsidR="00256EE9" w:rsidRDefault="00256EE9" w:rsidP="00256EE9">
      <w:pPr>
        <w:pStyle w:val="TextoNormal"/>
      </w:pPr>
    </w:p>
    <w:p w:rsidR="00256EE9" w:rsidRDefault="00256EE9" w:rsidP="00256EE9">
      <w:pPr>
        <w:pStyle w:val="TextoNormal"/>
      </w:pPr>
      <w:r w:rsidRPr="00256EE9">
        <w:rPr>
          <w:rStyle w:val="NumeroAFNegritaCaracter"/>
        </w:rPr>
        <w:t>2</w:t>
      </w:r>
      <w:r>
        <w:t>. Contra el referido acuerdo y las Sentencias judiciales referidas, se interpuso por la Federación Centro de Informadores Turísticos el presente recurso de amparo mediante demanda presentada el 26 de noviembre pasado, y sustancialmente fundada en que las Sentencias de la Audiencia Nacional y del Tribunal Supremo han deparado a la demandante discriminación, por infracción del principio de igualdad ante la Ley (art. 14 de la C. E.): alegación que se apoya en el derecho de los profesionales integrados en la Entidad recurrente a constituir un Colegio propio, derecho que traería su causa -se dicedel art. 1.2 de la Ley 2/1974, de 13 de febrero, que estableció normas reguladoras de los colegios profesionales. Entiende la recurrente, en efecto, que en la letra «c» del apartado 2.° del art. 1 de dicha Ley («se entenderán comprendidos en esta Ley... Los colegios que se constituyan de conformidad con la presente Ley de titulados superiores en cualquiera de sus grados») se reconoce un derecho a los profesionales titulados para constituirse inmediatamente en Colegio, sin necesidad de la mediación legislativa genéricamente exigida por el art. 4.1 de la misma Ley 2/1974. Constatado así este pretendido reconocimiento de derecho, y te</w:t>
      </w:r>
      <w:r>
        <w:lastRenderedPageBreak/>
        <w:t xml:space="preserve">niendo en cuenta la condición de titulados universitarios de los informadores turísticos, entiende la actora que contrarió el principio de igualdad la negativa de la Administración -ratificada jurisdiccionalmente proceder a la constitución del Colegio correspondiente-, toda vez -se arguye- que, en otros casos, semejante constitución sí se habría producido, incluso mediante simple Orden ministerial (se aduce al respecto el caso del Colegio Oficial de Ingenieros Técnicos en Topografía). </w:t>
      </w:r>
    </w:p>
    <w:p w:rsidR="00256EE9" w:rsidRDefault="00256EE9" w:rsidP="00256EE9">
      <w:pPr>
        <w:pStyle w:val="TextoNormal"/>
      </w:pPr>
      <w:r>
        <w:t xml:space="preserve">Añade la actora otras consideraciones, acerca de la efectiva existencia del derecho invocado, derecho reconocido -se insiste- en una ley que, como la 2/1974, no ha sido objeto de modificación o derogación posterior, y se afirma haberse infringido «el derecho reconocido en el art. 36» de la Constitución, al negarse arbitrariamente la Administración a posibilitar el ejercicio por unos profesionales del derecho que la Ley citada les reconoció. Entiende también la recurrente que ha sido infringido el art. 9 de la Constitución, en sus tres apartados. Así, la Administración no habría sido respetuosa con su sujeción debida a la Constitución (art. 9.1), precisamente por haber conculcado el art. 14 de la misma Norma fundamental. Y también se habría contrariado lo requerido por el segundo apartado del art. 9 de la C. E., toda vez que la negativa a la constitución del Colegio obstaculizaría el derecho a participación de los recurrentes. Por último, el repetido desconocimiento del supuesto derecho ex art. 1.2 c) de la Ley 2/1974, habría implicado, asimismo, una quiebra del principio de seguridad jurídica declarado en el punto 3.° del mismo precepto constitucional. </w:t>
      </w:r>
    </w:p>
    <w:p w:rsidR="00256EE9" w:rsidRDefault="00256EE9" w:rsidP="00256EE9">
      <w:pPr>
        <w:pStyle w:val="TextoNormal"/>
      </w:pPr>
      <w:r>
        <w:t xml:space="preserve">Se aduce, igualmente, en la demanda la lesión en el derecho constitucional consagrado en el art. 24.1 de la Norma fundamental, al no haber obtenido -se dice- satisfacción de la tutela efectiva de los Tribunales a su pretensión. </w:t>
      </w:r>
    </w:p>
    <w:p w:rsidR="00256EE9" w:rsidRDefault="00256EE9" w:rsidP="00256EE9">
      <w:pPr>
        <w:pStyle w:val="TextoNormal"/>
      </w:pPr>
      <w:r>
        <w:t xml:space="preserve">Finalmente, se solicita del Tribunal Constitucional la declaración de nulidad de la resolución administrativa que fue recurrida ante la jurisdicción ordinaria, y de las Sentencias de la Audiencia Nacional y del Tribunal Supremo, así como el reconocimiento del derecho de los asociados en la F. C. I. T. </w:t>
      </w:r>
    </w:p>
    <w:p w:rsidR="00256EE9" w:rsidRDefault="00256EE9" w:rsidP="00256EE9">
      <w:pPr>
        <w:pStyle w:val="TextoNormal"/>
      </w:pPr>
      <w:r>
        <w:t>a constituir su Colegio profesional en igualdad de condiciones con el resto de los titulados universitarios, ordenándose a los Poderes Públicos la adopción de las medidas oportunas para la satisfacción de tal derecho.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16 de enero pasado, se acordó oír a la parte demandante y al Ministerio Fiscal acerca de la posible inadmisión del recurso por su interposición tardía y por posible carencia de contenido constitucional de la pretensión de amparo. </w:t>
      </w:r>
    </w:p>
    <w:p w:rsidR="00256EE9" w:rsidRDefault="00256EE9" w:rsidP="00256EE9">
      <w:pPr>
        <w:pStyle w:val="TextoNormal"/>
      </w:pPr>
      <w:r>
        <w:t xml:space="preserve">La parte demandante ha alegado que no fue tardía la interposición del recurso toda vez que la Sentencia que puso fin a la vía judicial le fue notificada el 31 de octubre de 1984 y el recurso se interpuso el 26 de noviembre no siendo computables los días 1 (festivo nacional), 9 (festivo local de Madrid), 4 11, 18 y 25 (domingos), todos de noviembre de 1984. Y en cuanto al contenido constitucional de la pretensión de amparo, el mismo viene determinado por la vulneración de los artículos expresados en la demanda; contenido que sintetiza en el reconocimiento a la demandante de igual derecho que al resto de las profesiones con titulo universitario a la constitución de un Colegio Profesional. </w:t>
      </w:r>
    </w:p>
    <w:p w:rsidR="00256EE9" w:rsidRDefault="00256EE9" w:rsidP="00256EE9">
      <w:pPr>
        <w:pStyle w:val="TextoNormal"/>
      </w:pPr>
      <w:r>
        <w:t xml:space="preserve">En el recurso se trata tan sólo de aplicar normas constitucionales. </w:t>
      </w:r>
    </w:p>
    <w:p w:rsidR="00256EE9" w:rsidRDefault="00256EE9" w:rsidP="00256EE9">
      <w:pPr>
        <w:pStyle w:val="TextoNormal"/>
      </w:pPr>
      <w:r>
        <w:t>El Ministerio Fiscal expone que falta el término de comparación para verificar la igualdad que la demandante pretende; sin que haya habido falta de tutela jurisdiccional al haberse seguido una doble instancia judicial en que han recaído resoluciones razonadas en Derecho.</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Puede afirmarse que la pretensión que entraña este recurso de amparo se centra en la invocada lesión por discriminación, con cita del art. 14 de la Constitución, según se relata en los antecedentes acabados de reflejar, pero surgen con fuerza circunstancias obstativas, cuales la inexistencia de un derecho subjetivo negado o no reconocido, de un lado, y, en segundo lugar, la carencia de todo término de comparación con el que contrastar la situación de la recurrente. En cuanto a lo primero, porque aun haciendo abstracción de que el precepto en el que esa parte no ha venido fundamentando su solicitud, incluido en el art. 1 de la Ley 2/1974, fue expresamente derogado por igual ordinal de la Ley 74/1978, de 26 de diciembre, la misma pretensión de titularidad de un derecho subjetivo a la constitución de un Colegio profesional, era ya inviable, incluso bajo la íntegra vigencia de la Ley primeramente citada, como lo sigue siendo bajo el imperio de la legalidad actual, perviviendo la exigencia de la constitución de aquellos Colegios mediante Ley, y sin posibilidad, por tanto, de su creación única y exclusivamente a partir de una manifestación de voluntad juridico-privada.</w:t>
      </w:r>
    </w:p>
    <w:p w:rsidR="00256EE9" w:rsidRDefault="00256EE9" w:rsidP="00256EE9">
      <w:pPr>
        <w:pStyle w:val="TextoNormal"/>
      </w:pPr>
      <w:r>
        <w:t>En cuanto a lo segundo, en efecto, no se ha ofrecido al Tribunal el menor punto de referencia para poder contrastar la posición de la Entidad recurrente con la de otras que, en igualdad básica de condiciones, hubiesen recibido de los Poderes Públicos un tratamiento distinto, ya que en el único caso propuesto, cual es la Orden ministerial de 16 de junio de 1972, relativa al Colegio de Ingenieros Técnicos Topógrafos, se advierte que es anterior a la vigencia de la Ley que se invoca ahora, a lo que hay que añadir que más que de la constitución de un Colegio profesional se trató de la aprobación de sus Estatutos.</w:t>
      </w:r>
    </w:p>
    <w:p w:rsidR="00256EE9" w:rsidRDefault="00256EE9" w:rsidP="00256EE9">
      <w:pPr>
        <w:pStyle w:val="TextoNormal"/>
      </w:pPr>
    </w:p>
    <w:p w:rsidR="00256EE9" w:rsidRDefault="00256EE9" w:rsidP="00256EE9">
      <w:pPr>
        <w:pStyle w:val="TextoNormal"/>
      </w:pPr>
      <w:r w:rsidRPr="00256EE9">
        <w:rPr>
          <w:rStyle w:val="NumeroAFNegritaCaracter"/>
        </w:rPr>
        <w:t>2</w:t>
      </w:r>
      <w:r>
        <w:t>. Poco énfasis pone la recurrente por lo que importa a la violación de los derechos establecidos en los arts. 9, 24.1 y 36 de la C. E., y, paralelamente, escasa argumentación es menester consignar acerca de todo ello, ya que el primero y el último de tales artículos quedan marginados de estos recursos de amparo, pues, así queda establecido en los arts.  161.1 b) de la C.  E.</w:t>
      </w:r>
    </w:p>
    <w:p w:rsidR="00256EE9" w:rsidRDefault="00256EE9" w:rsidP="00256EE9">
      <w:pPr>
        <w:pStyle w:val="TextoNormal"/>
      </w:pPr>
      <w:r>
        <w:t>y 41.1 de la LOTC, y en cuanto al art.  24.1 del Texto fundamental se desconoce donde sitúa la recurrente la violación del Derecho en tal lugar establecido, desconocimiento que radica precisamente en la ausencia de alegaciones de dicha parte al respecto, siendo lo único que consta que tras la negativa proferida en vía administrativa o gubernativa, inició y prosiguió hasta la emisión de Sentencias en dos instancias, el pertinente recurso contencioso-administrativo, con el consiguiente examen y resolución de las cuestiones que tuvo a bien suscitar, dispensándole de tal modo la debida tutela judicial.</w:t>
      </w:r>
    </w:p>
    <w:p w:rsidR="00256EE9" w:rsidRDefault="00256EE9" w:rsidP="00256EE9">
      <w:pPr>
        <w:pStyle w:val="TextoNormal"/>
      </w:pPr>
    </w:p>
    <w:p w:rsidR="00256EE9" w:rsidRDefault="00256EE9" w:rsidP="00256EE9">
      <w:pPr>
        <w:pStyle w:val="TextoNormal"/>
      </w:pPr>
      <w:r w:rsidRPr="00256EE9">
        <w:rPr>
          <w:rStyle w:val="NumeroAFNegritaCaracter"/>
        </w:rPr>
        <w:t>3</w:t>
      </w:r>
      <w:r>
        <w:t>. De todo ello, se infiere que nos hallamos ante un supuesto de aplicación de lo previsto en el art. 50.2 b) de la LOTC, conducente a la inadmisión de este recurso de amparo, por carencia manifiesta de contenido constitucional de la demandante con la que se inició.</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inadmisión de este recurso de amparo.</w:t>
      </w:r>
    </w:p>
    <w:p w:rsidR="00256EE9" w:rsidRDefault="00256EE9" w:rsidP="00256EE9">
      <w:pPr>
        <w:pStyle w:val="TextoNormal"/>
      </w:pPr>
    </w:p>
    <w:p w:rsidR="00256EE9" w:rsidRDefault="00256EE9" w:rsidP="00256EE9">
      <w:pPr>
        <w:pStyle w:val="TextoNormal"/>
      </w:pPr>
      <w:r>
        <w:lastRenderedPageBreak/>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5" w:name="AUTO_1985_104"/>
      <w:r>
        <w:lastRenderedPageBreak/>
        <w:t>AUTO 104/1985, de 13 de febrero de 1985</w:t>
      </w:r>
    </w:p>
    <w:bookmarkEnd w:id="165"/>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ECLI:ES:TC:1985:104A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848/1984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Juan Luis Pérez Mulet, en representación de la Entidad Mercantil «Compañía Levantina de Edificación y Obras Públicas, S. A.» (C. L. E. O. P. S. A.), interpuso recurso de amparo, contra las Sentencias de la Magistratura de Trabajo núm. 9, de Valencia, de 30 de mayo de 1984, y del Tribunal Central de Trabajo de 18 de octubre del mismo año, que estimó, en parte, el recurso de suplicación contra aquélla. </w:t>
      </w:r>
    </w:p>
    <w:p w:rsidR="00256EE9" w:rsidRDefault="00256EE9" w:rsidP="00256EE9">
      <w:pPr>
        <w:pStyle w:val="TextoNormal"/>
      </w:pPr>
      <w:r>
        <w:t xml:space="preserve">Las pretensiones que se postulan se fundamentan en los siguientes hechos: </w:t>
      </w:r>
    </w:p>
    <w:p w:rsidR="00256EE9" w:rsidRDefault="00256EE9" w:rsidP="00256EE9">
      <w:pPr>
        <w:pStyle w:val="TextoNormal"/>
      </w:pPr>
      <w:r>
        <w:t xml:space="preserve">A) En fecha no precisada, pero anterior al 28 de junio de 1983, los miembros del Comité de Empresa de C. L. E. O. P. S. A., representantes del personal de obras y servicios, formularon denuncia ante la Inspección Provincial de Trabajo, que levantó acta de infracción a la denuncia por no haber visado el calendario laboral de 1983. El 21 de julio de 1983, C. L. E. O. P. S. A. presentó en la Consellería de Sanidad, Trabajo y Seguridad Social, para su visado, el calendario laboral del año 1983, consignando como tal, ocho horas y media diarias, de lunes a viernes, desde el 1 al 31 de julio, y ocho diarias, durante estos mismos días de la semana desde el 1 de agosto al 31 de diciembre. Los miembros del Comité de Empresa representantes del personal de oficinas manifestaron su asentimiento a dicho calendario, oponiéndose al mismo los representantes del personal de obras y servicios. </w:t>
      </w:r>
    </w:p>
    <w:p w:rsidR="00256EE9" w:rsidRDefault="00256EE9" w:rsidP="00256EE9">
      <w:pPr>
        <w:pStyle w:val="TextoNormal"/>
      </w:pPr>
      <w:r>
        <w:t xml:space="preserve">B) Por escrito de 10 de octubre de 1983, la Delegación Territorial de la indicada Consellería comunicó a la Empresa dicha, no haber inconveniente en visar el calendario en lo atinente al período 1 de agosto a 31 de diciembre, «estando a lo dispuesto por la legislación laboral en cuanto a los siete primeros meses del año». </w:t>
      </w:r>
    </w:p>
    <w:p w:rsidR="00256EE9" w:rsidRDefault="00256EE9" w:rsidP="00256EE9">
      <w:pPr>
        <w:pStyle w:val="TextoNormal"/>
      </w:pPr>
      <w:r>
        <w:t xml:space="preserve">En 13 de diciembre siguiente, por los miembros del Comité de Empresa representantes del personal de obras y servicios se instó ante la Delegación Territorial de Trabajo de Valencia procedimiento de conflicto colectivo sobre la interpretatción del art. 6 del convenio colectivo de la Constitución y Obras Públicas para la provincia de Valencia y la decisión adoptada por la Comisión paritaria de vigilancia del mismo, solicitando que fueren abonadas como horas extraordinarias, veintidós horas y veintidós minutos, que entendían se habían realizado durante el período 1 de enero a 30 junio, por encima de la jornada máxima convencional o, en su caso, les fueran compensadas con días de descanso. </w:t>
      </w:r>
    </w:p>
    <w:p w:rsidR="00256EE9" w:rsidRDefault="00256EE9" w:rsidP="00256EE9">
      <w:pPr>
        <w:pStyle w:val="TextoNormal"/>
      </w:pPr>
      <w:r>
        <w:t xml:space="preserve">C) Tramitado en forma por la Autoridad laboral el escrito de iniciación del procedimiento de conflicto colectivo, la Magistratura de Trabajo núm. 9 de Valencia, estimando la demanda, condenó a la empresa C. L. E. O. P. S. A., a satisfacer a su personal de obras </w:t>
      </w:r>
      <w:r>
        <w:lastRenderedPageBreak/>
        <w:t xml:space="preserve">y servicios, mediante el descanso suplementario correspondiente, las veintidós horas y veintidós minutos trabajadas en exceso sobre la jornada máxima. </w:t>
      </w:r>
    </w:p>
    <w:p w:rsidR="00256EE9" w:rsidRDefault="00256EE9" w:rsidP="00256EE9">
      <w:pPr>
        <w:pStyle w:val="TextoNormal"/>
      </w:pPr>
      <w:r>
        <w:t xml:space="preserve">D) Interpuesto recurso de suplicación contra la anterior resolución por la Empresa condenada, el Tribunal Central de Trabajo pronunció Sentencia de 18 de octubre de 1984, cuyo fallo declaró: «el derecho de los actores a que se les compensen las veintidós horas y veintidós minutos, hechas en exceso, por los mismos, con descanso suplementario, o a que se las abonen como horas extraordinarias, a opción de la Empresa, con confirmación de la Sentencia recurrida en cuanto coincida con la declaración y revocación del resto». </w:t>
      </w:r>
    </w:p>
    <w:p w:rsidR="00256EE9" w:rsidRDefault="00256EE9" w:rsidP="00256EE9">
      <w:pPr>
        <w:pStyle w:val="TextoNormal"/>
      </w:pPr>
      <w:r>
        <w:t xml:space="preserve">En la fundamentación jurídica de la demanda, la recurrente acusa a las resoluciones impugnadas, en primer lugar, de vulnerar el art. 14 de la Constitución (C. E.), en relación con el 25 del propio Texto, ya que vulnera el principio de igualdad, al reconocer a los actores el derecho a ser compensados en metálico o con descanso suplementario por el exceso de horas trabajadas sobre las estipuladas, produciendo una discriminación a la recurrente «por su condición de Empresa», a la que se le condena al amparo de disposiciones -Real Decreto 2010/1983, de 28 de julio, y la Ley 4/1983, de 28 de junio- no vigentes durante el período de enero a junio de 1983, que fue el reclamo. Aplicando al caso enjuiciado «normas no existentes y con una total interpretación errónea», se contraviene el art. 25 de la C. E. </w:t>
      </w:r>
    </w:p>
    <w:p w:rsidR="00256EE9" w:rsidRDefault="00256EE9" w:rsidP="00256EE9">
      <w:pPr>
        <w:pStyle w:val="TextoNormal"/>
      </w:pPr>
      <w:r>
        <w:t>Por otra parte, las resoluciones impugnadas, al admitir a trámite el conflicto colectivo no instando por todos los miembros del Comité, vulneraron el art. 24 de la C. E., en cuanto no se otorgó la tutela «legal derivada del artículo 65 del Estatuto de los Trabajadores», que impone a los órganos de representación de los trabajadores actuar colegiadamente, «y no sus miembros sin previo acuerdo, pues de ser así la Ley lo hubiera dicho y, sin embargo, las Sentencias recurridas olvidan este precepto, en perjuicio del solicitante de amparo».</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acordó tener por personado al Procurador referido en nombre de la Entidad actora, entendiéndose con aquél las sucesivas diligencias, y haciéndose saber la presencia de la posible causa de inadmisión de carácter insubsanable, de carecer la demanda manifiestamente de contenido que justifique una decisión por parte de este Tribunal, conforme al art. 50.2 b) de la Ley Orgánica del Tribunal Constitucional (LOTC). Otorgando un plazo común a la parte actora y al Ministerio Fiscal, para que formularen alegaciones sobre tal causa.</w:t>
      </w:r>
    </w:p>
    <w:p w:rsidR="00256EE9" w:rsidRDefault="00256EE9" w:rsidP="00256EE9">
      <w:pPr>
        <w:pStyle w:val="TextoNormal"/>
      </w:pPr>
    </w:p>
    <w:p w:rsidR="00256EE9" w:rsidRDefault="00256EE9" w:rsidP="00256EE9">
      <w:pPr>
        <w:pStyle w:val="TextoNormal"/>
      </w:pPr>
      <w:r w:rsidRPr="00256EE9">
        <w:rPr>
          <w:rStyle w:val="NumeroAFNegritaCaracter"/>
        </w:rPr>
        <w:t>3</w:t>
      </w:r>
      <w:r>
        <w:t>. En sus alegaciones el Ministerio Fiscal, estima que procede acoger la causa de inadmisión propuesta por la Sección, luego de recoger los antecedentes expuestos en la demanda, y valorar que las infracciones de los arts. 14, 25 y 24.1 de la C. E. son difícilmente comprensibles, para atacar a las Sentencias impugnadas, tratándose de un tema de legalidad, careciendo el Tribunal Constitucional de competencia para ejercer función de tercera instancia, que es lo que pretende el recurrente de amparo.</w:t>
      </w:r>
    </w:p>
    <w:p w:rsidR="00256EE9" w:rsidRDefault="00256EE9" w:rsidP="00256EE9">
      <w:pPr>
        <w:pStyle w:val="TextoNormal"/>
      </w:pPr>
    </w:p>
    <w:p w:rsidR="00256EE9" w:rsidRDefault="00256EE9" w:rsidP="00256EE9">
      <w:pPr>
        <w:pStyle w:val="TextoNormal"/>
      </w:pPr>
      <w:r w:rsidRPr="00256EE9">
        <w:rPr>
          <w:rStyle w:val="NumeroAFNegritaCaracter"/>
        </w:rPr>
        <w:t>4</w:t>
      </w:r>
      <w:r>
        <w:t>. La parte actora del recurso, en sus alegaciones, se limita a reproducir de nuevo sus argumentaciones expuestas en la demanda, sin otra nueva consideración que la de entender que la estimación del recurso busca, « la enseñanza a nivel de la sociedad española, de que cuando existe una norma se ha de cumplir y cumplida ésta no cabe más exigencia, y quien la desee que consiga primero la norma que la contemple y no como entendemos ha ocurrido en este caso».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Tribunal Constitucional, como órgano superior y último en todos los órdenes, tiene encomendado proteger a través del recurso de amparo, los derechos fundamentales establecidos en los arts.  14 a 29 y 30.2 de la Constitución, conociendo de toda calificación jurídica realizada por los Tribunales ordinarios, que viole o desconozca los indicados derechos sustanciales, pero carece de aquel carácter o condición en relación a los procesos comunes que resuelvan conflictos intersubjetivos ajenos a los derechos fundamentales, y que se pronuncien sobre cuestiones de mera legalidad, porque éstos corresponden a la jurisdicción exclusiva del Poder Judicial en su interpretación y decisión, fijando los hechos y subsumiéndolos en los supuestos normativos, con la precisión de las consecuencias jurídicas que de dichas operaciones lógicas se deriven, sin que tampoco por el camino del derecho a la tutela judicial efectiva que proclama el art. 24.1 de la C.  E. puedan ser objeto del conocimiento de este Tribunal, aunque se apoyen en errores, equivocaciones o incorrecciones jurídicas, o, en definitiva, en la injusticia de las resoluciones, porque ello lo convertiría en un órgano de control de la mera legalidad, ejerciendo funciones que no le atribuye la Constitución.</w:t>
      </w:r>
    </w:p>
    <w:p w:rsidR="00256EE9" w:rsidRDefault="00256EE9" w:rsidP="00256EE9">
      <w:pPr>
        <w:pStyle w:val="TextoNormal"/>
      </w:pPr>
    </w:p>
    <w:p w:rsidR="00256EE9" w:rsidRDefault="00256EE9" w:rsidP="00256EE9">
      <w:pPr>
        <w:pStyle w:val="TextoNormal"/>
      </w:pPr>
      <w:r w:rsidRPr="00256EE9">
        <w:rPr>
          <w:rStyle w:val="NumeroAFNegritaCaracter"/>
        </w:rPr>
        <w:t>2</w:t>
      </w:r>
      <w:r>
        <w:t>. La demanda, en su confuso alegato jurídico, denuncia con argumentos privados de las más elementales exigencias de la claridad expositiva, la violación por las resoluciones impugnadas de los arts.  14, 25 y 24 de la C.  E., al conceder los Tribunales laborales a los trabajadores, la compensación por veintidós horas y veintidós minutos de exceso trabajadas, de un descanso suplementario, o a que se les abonaren como horas extras, en opción de la Empresa.</w:t>
      </w:r>
    </w:p>
    <w:p w:rsidR="00256EE9" w:rsidRDefault="00256EE9" w:rsidP="00256EE9">
      <w:pPr>
        <w:pStyle w:val="TextoNormal"/>
      </w:pPr>
      <w:r>
        <w:t>Sin embargo, ninguna de estas vulneraciones concurren:</w:t>
      </w:r>
    </w:p>
    <w:p w:rsidR="00256EE9" w:rsidRDefault="00256EE9" w:rsidP="00256EE9">
      <w:pPr>
        <w:pStyle w:val="TextoNormal"/>
      </w:pPr>
      <w:r>
        <w:t>a) La del principio de igualdad del art.  14, apoyada en que al reconocer el derecho de los actores a ser compensados en la forma dicha, se originó una discriminación a la parte recurrente «por su condición de Empresa», porque no se precisa, como resulta obligado, ningún término de comparación que fundamentara tal principio, no sirviendo la oposición entre las partes, y el vencimiento de una de ellas, y porque se asimila indebidamente la discriminación con la pérdida del proceso.</w:t>
      </w:r>
    </w:p>
    <w:p w:rsidR="00256EE9" w:rsidRDefault="00256EE9" w:rsidP="00256EE9">
      <w:pPr>
        <w:pStyle w:val="TextoNormal"/>
      </w:pPr>
      <w:r>
        <w:t>b) La del principio de legalidad, que ha de suponerse infringido, al invocarse sin ninguna precisión el art.  25 de la C. E., por aplicarse el Real Decreto 2001/1983, y la Ley 4/1983, que se estiman no vigentes para regular el hecho debatido, porque representa indudablemente por su contenido esta alegación un tema de mera legalidad ordinaria, que no puede decidir este Tribunal como antes quedó expuesto.</w:t>
      </w:r>
    </w:p>
    <w:p w:rsidR="00256EE9" w:rsidRDefault="00256EE9" w:rsidP="00256EE9">
      <w:pPr>
        <w:pStyle w:val="TextoNormal"/>
      </w:pPr>
      <w:r>
        <w:t>c) Y, la del art. 24.1 de la C. E. por estimar la Empresa recurrente que no se le otorgó por los Tribunales laborales la «tutela jurídica derivada del art.  65 del Estatuto de los Trabajadores», que obliga a las representaciones unitarias del personal de la Entidad a actuar colegiadamente, porque la parte actora tuvo un proceso con las debidas garantías procesales y alcanzó una resolución fundada en Derecho, aunque resultare adversa a su pretensión, por lo que el contenido propio de la tutela fue respetado y la cuestión propuesta no posee carácter constitucional en absoluto.</w:t>
      </w:r>
    </w:p>
    <w:p w:rsidR="00256EE9" w:rsidRDefault="00256EE9" w:rsidP="00256EE9">
      <w:pPr>
        <w:pStyle w:val="TextoNormal"/>
      </w:pPr>
      <w:r>
        <w:t xml:space="preserve">Y sin que, en definitiva, este Tribunal, como se expuso, pueda analizar los temas de legalidad ordinaria propuestos, al no ser una tercera instancia que revise los criterios interpretativos que con plena competencia decidieron los Tribunales ordinarios, ni comprobar </w:t>
      </w:r>
      <w:r>
        <w:lastRenderedPageBreak/>
        <w:t>la existencia de errores o incorrecciones jurídicas, al no hallarse afectados los derechos constitucionales invocados, pues el recurso asigna a los mismos un contenido que les es del todo ajeno, por lo que destaca la necesaria aplicación de la causa de inadmisión del artículo 50.2 b) de la LOTC al carecer la demanda manifiestamente de contenido constitucional, que justifique una decisión, en Sentencia, por parte de este Tribunal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Sección acordó:</w:t>
      </w:r>
    </w:p>
    <w:p w:rsidR="00256EE9" w:rsidRDefault="00256EE9" w:rsidP="00256EE9">
      <w:pPr>
        <w:pStyle w:val="TextoNormal"/>
      </w:pPr>
      <w:r>
        <w:t>La inadmisión a trámite de la demanda formulada por el Procurador don Juan Luis Pérez Mulet, en representación de la Entidad Mercantil «Compañía Levantina de Edificación y Obras Públicas, S. A.» (C. L. E. O.</w:t>
      </w:r>
    </w:p>
    <w:p w:rsidR="00256EE9" w:rsidRDefault="00256EE9" w:rsidP="00256EE9">
      <w:pPr>
        <w:pStyle w:val="TextoNormal"/>
      </w:pPr>
      <w:r>
        <w:t>P. S. A.), y el archivo de las presentes actuaciones.</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6" w:name="AUTO_1985_105"/>
      <w:r>
        <w:lastRenderedPageBreak/>
        <w:t>AUTO 105/1985, de 13 de febrero de 1985</w:t>
      </w:r>
    </w:p>
    <w:bookmarkEnd w:id="166"/>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ECLI:ES:TC:1985:105A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866/1984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registrado en este Tribunal el 10 de diciembre de 1984, el Procurador de los Tribunales, don Jesús Alfaro Matos, en nombre y representación de don Gunter Karl Dodel, interpuso demanda de amparo en relación con las Sentencias de la Audiencia Provincial de Las Palmas de Gran Canaria de 27 de octubre de 1983, y de la Sala Segunda del Tribunal Supremo de 23 de octubre de 1984, aduciendo la infracción del art. 24 de la Constitución (C. E.) en las dos Sentencias, infracción que se habría producido, a juicio del demandante, por el incumplimiento de uno de los extremos del fallo que condenó al autor de la muerte de sus padres, consistente en la no percepción de la indemnización fijada. </w:t>
      </w:r>
    </w:p>
    <w:p w:rsidR="00256EE9" w:rsidRDefault="00256EE9" w:rsidP="00256EE9">
      <w:pPr>
        <w:pStyle w:val="TextoNormal"/>
      </w:pPr>
      <w:r>
        <w:t xml:space="preserve">Los hechos y fundamentos de Derecho en que se apoya la demanda son, sucintamente expuestos, los siguientes: </w:t>
      </w:r>
    </w:p>
    <w:p w:rsidR="00256EE9" w:rsidRDefault="00256EE9" w:rsidP="00256EE9">
      <w:pPr>
        <w:pStyle w:val="TextoNormal"/>
      </w:pPr>
      <w:r>
        <w:t xml:space="preserve">a) La Audiencia Provincial de Las Palmas de Gran Canaria, en Sentencia de 27 de octubre de 1983, condenó al procesado don Henry Jean Boix, como autor criminalmente responsable de un delito de robo con homicidio, dos asesinatos, un delito de utilización ilegítima de vehículo de motor y tres delitos de tenencia ilícita de armas, a diferentes penas privativas de libertad y de derechos y accesorias, así como a indemnizar, en concepto de daños y perjuicios, en la cantidad de tres millones de pesetas a los perjudicados y de por cada una de las tres víctimas. Asimismo, en la mencionada Sentencia se declara la insolvencia civil del procesado y se absuelve al Estado de la petición de condena civil subsidiaria contra él aducida, por cuanto don Henry Jean Boix, cabo legionario, no sólo había roto unilateralmente su vinculación con el Estado, al abandonar el servicio, cuando acontecieron los hechos, sino que, sobre todo, obró con evidente extralimitación, actuando fuera de lo que pudiera haber sido considerado propio del trabajo encomendado. </w:t>
      </w:r>
    </w:p>
    <w:p w:rsidR="00256EE9" w:rsidRDefault="00256EE9" w:rsidP="00256EE9">
      <w:pPr>
        <w:pStyle w:val="TextoNormal"/>
      </w:pPr>
      <w:r>
        <w:t xml:space="preserve">b) Contra la anterior resolución se formuló recurso de casación ante la Sala Segunda del Tribunal Supremo por don Gunter Karl Dodel, hijo de dos de las víctimas, que había intervenido como acusador particular en el ejercicio precedente, sólo en el punto atinente a la absolución del Estado como responsable civil subsidiario, alegando el derecho constitucional que tienen los particulares lesionados por el funcionamiento de los servicios públicos a ser indemnizados. </w:t>
      </w:r>
    </w:p>
    <w:p w:rsidR="00256EE9" w:rsidRDefault="00256EE9" w:rsidP="00256EE9">
      <w:pPr>
        <w:pStyle w:val="TextoNormal"/>
      </w:pPr>
      <w:r>
        <w:t xml:space="preserve">El Tribunal Supremo, en Sentencia de 23 de octubre de 1984, procedió a confirmar la de instancia, abundando en las mismas razones por las que en esta última se absolvió al Estado. </w:t>
      </w:r>
    </w:p>
    <w:p w:rsidR="00256EE9" w:rsidRDefault="00256EE9" w:rsidP="00256EE9">
      <w:pPr>
        <w:pStyle w:val="TextoNormal"/>
      </w:pPr>
      <w:r>
        <w:lastRenderedPageBreak/>
        <w:t xml:space="preserve">c) El recurrente considera que la preterición del derecho a la tutela judicial efectiva, que también alcanza el art. 106.2 de la C. E., al no haberse cumplido por la insolvencia del condenado lo relativo a las indemnizaciones, puede ser reparada por el Tribunal Constitucional, declarando aplicable, en el uso de sus facultades, el principio de subsidiariedad del Estado para este supuesto, en el que a un miembro de un Cuerpo de las Fuerzas Armadas se le dio un puesto de confianza y no se le vigiló convenientemente como para evitar la primera causa que le ha permitido causar la muerte de tres personas, cual es el fácil acceso al armamento. </w:t>
      </w:r>
    </w:p>
    <w:p w:rsidR="00256EE9" w:rsidRDefault="00256EE9" w:rsidP="00256EE9">
      <w:pPr>
        <w:pStyle w:val="TextoNormal"/>
      </w:pPr>
      <w:r>
        <w:t xml:space="preserve">Invoca el derecho vulnerado por medio del presente escrito, y el no haberlo hecho antes obedece a que hasta que no se haya dado resolución definitiva no se puede saber si un derecho va a ser tutelado o no, y que anticiparse supondría «una oficiosidad e incluso una impertinencia». </w:t>
      </w:r>
    </w:p>
    <w:p w:rsidR="00256EE9" w:rsidRDefault="00256EE9" w:rsidP="00256EE9">
      <w:pPr>
        <w:pStyle w:val="TextoNormal"/>
      </w:pPr>
      <w:r>
        <w:t>Por todo ello, el promovente del amparo suplica se requiera a la Sala Segunda del Tribunal Supremo, y, en su caso, a la Audiencia Provincial de Las Palmas, para que remita las actuaciones, dándose vista de las mismas en el oportuno trámite y que este Tribunal dicte Sentencia por la que se otorgue el amparo solicitado, anulando los particulares de las Sentencias objeto de este recurso.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por providencia de 16 de enero de 1985, acordó poner de manifiesto la posible existencia de las siguientes causas de inadmisibilidad: </w:t>
      </w:r>
    </w:p>
    <w:p w:rsidR="00256EE9" w:rsidRDefault="00256EE9" w:rsidP="00256EE9">
      <w:pPr>
        <w:pStyle w:val="TextoNormal"/>
      </w:pPr>
      <w:r>
        <w:t>1.ª la del art. 50.2 b) de la Ley Orgánica de este Tribunal, por cuanto la demanda pudiera carecer manifiestamente de contenido que justifique una decisión por parte del Tribunal Constitucional; 2.ª la del art. 50.1 b) en relación con el 44.1 c), ambos de la indicada Ley Orgánica, porque no consta que se haya invocado el derecho constitucional vulnerado en el proceso previo, otorgando (art. 50 de la LOTC) un plazo común de diez días al solicitante de amparo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Dentro del plazo concedido, el solicitante de amparo se remitió a su escrito de demanda y lo que allí dijera. Mantiene su tesis de que se ha vulnerado el derecho contemplado en el art. 24 de la Constitución al no haberse producido una tutela efectiva de un derecho, también reconocido constitucionalmente en el art. 106.2 de aquélla, como es el derecho a percibir indemnización como consecuencia del funcionamiento de los servicios públicos. Resulta procedente actuar con arreglo a los arts. 51 y 52 de la LOTC, pues sin entrar en el fondo se provocaría la indefensión de esa parte. En cuanto a la segunda causa de inadmisión señalada, reitera lo aducido en su escrito de demanda; pidiendo en conclusión la admisión a trámite de la demanda.</w:t>
      </w:r>
    </w:p>
    <w:p w:rsidR="00256EE9" w:rsidRDefault="00256EE9" w:rsidP="00256EE9">
      <w:pPr>
        <w:pStyle w:val="TextoNormal"/>
      </w:pPr>
    </w:p>
    <w:p w:rsidR="00256EE9" w:rsidRDefault="00256EE9" w:rsidP="00256EE9">
      <w:pPr>
        <w:pStyle w:val="TextoNormal"/>
      </w:pPr>
      <w:r w:rsidRPr="00256EE9">
        <w:rPr>
          <w:rStyle w:val="NumeroAFNegritaCaracter"/>
        </w:rPr>
        <w:t>4</w:t>
      </w:r>
      <w:r>
        <w:t>. El Fiscal ante el Tribunal Constitucional, por su parte, señala que concurre la causa de inadmisión comprendida en el art. 50.1 b), pues la vulneración del derecho del art. 24.1 de la C. E. debió hacerse en el recurso de casación ante el Tribunal Supremo, ya que la conculcación del citado derecho, de producirse, hubo de tener lugar en la Sentencia de la Audiencia, siendo como es la del Tribunal Supremo confirmatoria de aquélla. Por otra parte, añade el Ministerio Fiscal, la Audiencia de Las Palmas razona con meticuloso cuidado el punto debatido, y obtiene una conclusión jurídica, la de absolver al Estado como responsable civil subsidiario, lo que también razonadamente confirma el Tribunal Supremo. Todo ello indica que estamos ante una cuestión de mera legalidad, sin que pueda entrar a conocer de ella el Tribunal Constitucional, al haberse prestado la tutela judicial efec</w:t>
      </w:r>
      <w:r>
        <w:lastRenderedPageBreak/>
        <w:t>tiva. Cae, pues, el recurso, por este lado, en el ámbito del art. 50.2 b) de la LOTC, por lo que se pide Auto de inadmisión del mismo.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recurrente reconoce que no ha invocado, en el proceso que ha dado ocasión al amparo, la violación del derecho a la tutela efectiva de los Jueces y Tribunales, asegurando que no lo hizo porque «la invocación previa del precepto en vía judicial ordinaria, desconociendo si el derecho iba a ser tutelado efectivamente o no, hubiese supuesto, caso de ser alegado en el recurso de casación, más que un requisito previo para la viabilidad de este recurso, a tenor de lo dispuesto en el art. 44 c) (sic) de la Ley Orgánica, una suposición prematura, una oficiosidad e incluso una impertinencia».  Ahora bien, tal afirmación es infundada, por cuanto el art. 44.1 c) de la LOTC hace precisamente de la invocación formal, en el proceso, del derecho constitucional vulnerado, «tan pronto como, una vez conocida la violación, hubiere lugar para ello», un requisito ineludible del amparo cuando el origen inmediato y directo de dicha violación esté en una acción u omisión de un órgano judicial, sin que se nos alcance cómo se pueda ver en el cumplimiento de una condición legal del recurso de amparo una oficiosidad, y menos todavía una impertinencia, que vendrían paradójicamente impuestas por el legislador.</w:t>
      </w:r>
    </w:p>
    <w:p w:rsidR="00256EE9" w:rsidRDefault="00256EE9" w:rsidP="00256EE9">
      <w:pPr>
        <w:pStyle w:val="TextoNormal"/>
      </w:pPr>
      <w:r>
        <w:t>Esta imposición del legislador deriva de la naturaleza subsidiaria del recurso de amparo, por virtud de la cual, permitiéndolo el momento en que se produce la presunta vulneración, ha de darse oportunidad al órgano superior de la jurisdicción ordinaria al que se acuda, para que pueda corregirla, pues la tutela de los derechos fundamentales no corresponde de manera exclusiva al Tribunal Constitucional, como reiteradamente ha subrayado éste.</w:t>
      </w:r>
    </w:p>
    <w:p w:rsidR="00256EE9" w:rsidRDefault="00256EE9" w:rsidP="00256EE9">
      <w:pPr>
        <w:pStyle w:val="TextoNormal"/>
      </w:pPr>
      <w:r>
        <w:t>En el presente caso no era impertinente, sino debido, dar dicha oportunidad al Tribunal Supremo con ocasión del recurso de casación ante su Sala Segunda, y al no haberse hecho, el recurso incurre en la causa de inadmisión prevista en el art. 44.1 c)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A mayor abundamiento, y aunque la mencionada causa sea suficiente para impedirnos admitir a trámite el recurso, cabe añadir que también se da en él la segunda de las causas de inadmisión señaladas en nuestra providencia de 16 de enero, y contemplada en el art. 50.2 b) de la LOTC. No puede, en efecto, esgrimirse por el recurrente falta de tutela jurisdiccional efectiva, por cuanto ha tenido acceso a un proceso público ante el Juez ordinario predeterminado por la Ley, con todas las garantías, y a los medios de prueba pertinentes para la defensa de sus intereses legítimos; proceso en el cual la Audiencia Provincial primero, y el Tribunal Supremo después, estimaron y concluyeron razonadamente que el Estado no podía aquí ser condenado como responsable civil subsidiario.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7" w:name="AUTO_1985_106"/>
      <w:r>
        <w:lastRenderedPageBreak/>
        <w:t>AUTO 106/1985, de 13 de febrero de 1985</w:t>
      </w:r>
    </w:p>
    <w:bookmarkEnd w:id="167"/>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ECLI:ES:TC:1985:106A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873/1984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presentado en este Tribunal el día 11 de diciembre de 1984, el Procurador de los Tribunales don Angel Deleito Villa, interpone recurso de amparo constitucional contra la Sentencia de la Sección Tercera de la Audiencia Provincial de Madrid, de 11 de octubre de 1984, y Auto de la misma Sala, de 14 de noviembre de 1984, resoluciones que respectivamente, declaran resuelto el contrato de inquilinato existente y deniegan la remisión de los Autos a la Sala Primera del Tribunal Supremo por no ser susceptible la Sentencia de recurso de casación. </w:t>
      </w:r>
    </w:p>
    <w:p w:rsidR="00256EE9" w:rsidRDefault="00256EE9" w:rsidP="00256EE9">
      <w:pPr>
        <w:pStyle w:val="TextoNormal"/>
      </w:pPr>
      <w:r>
        <w:t xml:space="preserve">Solicitan la nulidad de ambas resoluciones, y el expreso reconocimiento del derecho de los recurrentes sobre la vivienda objeto del litigio arrendaticio, como domicilio de los mismos, a poder ausentarse del mismo y al restablecimiento del derecho de doña Virginia a subrogarse en el contrato de arrendamiento, por estimar que han sido vulnerados los arts. 24.1, 17.1, 18.2, 19 y 14 de la Constitución Española. </w:t>
      </w:r>
    </w:p>
    <w:p w:rsidR="00256EE9" w:rsidRDefault="00256EE9" w:rsidP="00256EE9">
      <w:pPr>
        <w:pStyle w:val="TextoNormal"/>
      </w:pPr>
      <w:r>
        <w:t>Por otrosí solicitan la suspensión de la ejecución de la Sentencia impugnada.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De las alegaciones efectuadas y documentos aportados se desprende que los ahora recurrentes, don Ernesto Cusi y doña Virginia Cavero, abuelo y nieta, respectivamente, ocupan en virtud de un contrato de arrendamiento del que es titular el primero, una vivienda en esta capital, propiedad de la compañía «Adriática de Seguros, S. A.». </w:t>
      </w:r>
    </w:p>
    <w:p w:rsidR="00256EE9" w:rsidRDefault="00256EE9" w:rsidP="00256EE9">
      <w:pPr>
        <w:pStyle w:val="TextoNormal"/>
      </w:pPr>
      <w:r>
        <w:t xml:space="preserve">Formulada demanda de juicio de cognición sobre resolución de contrato de inquilinato, y tramitado el proceso, se dictó por el Juzgado de Distrito competente Sentencia desestimatoria de las pretensiones de la Sociedad demandante. </w:t>
      </w:r>
    </w:p>
    <w:p w:rsidR="00256EE9" w:rsidRDefault="00256EE9" w:rsidP="00256EE9">
      <w:pPr>
        <w:pStyle w:val="TextoNormal"/>
      </w:pPr>
      <w:r>
        <w:t xml:space="preserve">Recurrida en apelación dicha Sentencia, la Sección Tercera de la Audiencia Provincial de Madrid conoció del procedimiento y dictó Sentencia el 14 de octubre de 1984, estimatoria del recurso de apelación, revocando íntegramente la dictada por el Juzgado de Distrito núm. 15 de Madrid, y declarando resuelto el contrato de inquilinato existente, con los demás pronunciamientos legales. </w:t>
      </w:r>
    </w:p>
    <w:p w:rsidR="00256EE9" w:rsidRDefault="00256EE9" w:rsidP="00256EE9">
      <w:pPr>
        <w:pStyle w:val="TextoNormal"/>
      </w:pPr>
      <w:r>
        <w:t xml:space="preserve">El 6 de noviembre de 1984, los ahora demandantes presentaron escrito manifestando su intención de interponer recurso de casación, preparándolo con arreglo a lo dispuesto en el Título XXI del Libro II de la L. E. C., reformado por la Ley 34/1984, de 6 de agosto. </w:t>
      </w:r>
    </w:p>
    <w:p w:rsidR="00256EE9" w:rsidRDefault="00256EE9" w:rsidP="00256EE9">
      <w:pPr>
        <w:pStyle w:val="TextoNormal"/>
      </w:pPr>
      <w:r>
        <w:lastRenderedPageBreak/>
        <w:t>Por Auto de 14 de diciembre, la Sección Tercera de la Audiencia Provincial deniega la remisión de los Autos a la Sala Primera del Tribunal Supremo y el emplazamiento de las partes, por no ser la Sentencia susceptible del recurso de casación.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del pasado 16 de enero, la Sección Tercera de este Tribunal, puso de manifiesto al recurrente y al Ministerio Fiscal la posible existencia de las siguientes causas de inadmisión: </w:t>
      </w:r>
    </w:p>
    <w:p w:rsidR="00256EE9" w:rsidRDefault="00256EE9" w:rsidP="00256EE9">
      <w:pPr>
        <w:pStyle w:val="TextoNormal"/>
      </w:pPr>
      <w:r>
        <w:t xml:space="preserve">a) La del art. 50.2 b), por carencia manifiesta de contenido constitucional; b) La del art. 50.1 b) en relación con el 44.1 c), por no haberse invocado previamente en la vía judicial la presunta vulneración de los derechos constitucionales que ahora se dicen violados. </w:t>
      </w:r>
    </w:p>
    <w:p w:rsidR="00256EE9" w:rsidRDefault="00256EE9" w:rsidP="00256EE9">
      <w:pPr>
        <w:pStyle w:val="TextoNormal"/>
      </w:pPr>
      <w:r>
        <w:t xml:space="preserve">Dentro del plazo abierto por la indicada providencia, han presentado sus escritos la representación de los recurrentes y el Ministerio Fiscal. </w:t>
      </w:r>
    </w:p>
    <w:p w:rsidR="00256EE9" w:rsidRDefault="00256EE9" w:rsidP="00256EE9">
      <w:pPr>
        <w:pStyle w:val="TextoNormal"/>
      </w:pPr>
      <w:r>
        <w:t xml:space="preserve">La representación de los recurrentes sostiene, en primer término, que la no concurrencia de la causa de inadmisión señalada en segundo término es evidente, puesto que la invocación de los derechos constitucionales violados se hace ya en el primer momento en que hubo ocasión para ello, es decir, en el escrito dirigido a la Audiencia, el 6 de noviembre de 1984, que se acompañaba a la demanda. </w:t>
      </w:r>
    </w:p>
    <w:p w:rsidR="00256EE9" w:rsidRDefault="00256EE9" w:rsidP="00256EE9">
      <w:pPr>
        <w:pStyle w:val="TextoNormal"/>
      </w:pPr>
      <w:r>
        <w:t xml:space="preserve">Tampoco se da, a su entender, la causa de inadmisión señalada en primer término puesto que, a su juicio, la imposibilidad de la Sala, motivo de casación al amparo del apartado 4 del art. 1.692 de la Ley de Enjuiciamiento Civil, es una limitación del derecho de defensa que viola la garantía del art. 24.1 de la Constitución Española. Igualmente, es clara la violación por la Sentencia impugnada, del derecho a la presunción de inocencia por haber invertido la carga de la prueba y haber aceptado como hechos, simples presunciones, y de los derechos garantizados por los arts. 17, 18, 19 y 14 de la Constitución puesto que, al entender que la ausencia de los recurrentes del domicilio litigioso obligaba a estimar que no se daban las causas establecidas por la Ley de Arrendamientos Urbanos para que se ampare la subrogación arrendaticia, limitaba los derechos de ambos recurrentes a la libertad de movimientos por el territorio nacional, a la inviolabilidad del domicilio, a la seguridad jurídica y a la igualdad ante la Ley. Apoya su razonamiento con referencia a numerosas decisiones de este Tribunal. </w:t>
      </w:r>
    </w:p>
    <w:p w:rsidR="00256EE9" w:rsidRDefault="00256EE9" w:rsidP="00256EE9">
      <w:pPr>
        <w:pStyle w:val="TextoNormal"/>
      </w:pPr>
      <w:r>
        <w:t>El Ministerio Fiscal, por su parte, sostiene que la demanda carece, en efecto, manifiestamente de contenido constitucional, puesto que lo que la Sentencia impugnada ha hecho ha sido simplemente declarar que no concurrían, en la situación sometida a su consideración las condiciones legales necesarias para imponer al arrendador la subrogación en el contrato arrendaticio de doña Virginia en sustitución de don Ernesto. Esa declaración se hace tras un cuidado y meticuloso análisis de los hechos cuya prueba no se arroja, como el recurrente aduce, sobre sus propios hombros, sino en cuanto ello es necesario. Tampoco hay violación alguna, a juicio del Ministerio Fiscal, del art. 24.1 por cuanto la exclusión de la posibilidad de recurrir en casación las Sentencias dictadas en juicios de desahucio en los que no concurran determinadas circunstancias (versar sobre locales de negocio con renta superior a una cuantía minima determinada), no lesiona el derecho a la tutela judicial efectiva que en el orden civil no requiere la existencia de una segunda instancia y menos aún, claro está, la del recurso de casación.</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Forzoso es reconocer, frente a la representación del recurrente, el yerro en el que incurrimos al señalar la posible existencia de la causa de inadmisión a la que nuestra providencia se refiere en segundo lugar, consistente en la ausencia de invocación previa de los derechos constitucionales que se reputan violados, según exige el art.  44.1 c) de la LOTC.  Los documentos aportados con la demanda muestran, en medida más que suficiente en el presente trámite, que tal invocación efectivamente se hizo y, en consecuencia, nada hay que oponer desde este punto de vista, a la admisión del presente recurso. No era ésta, sin embargo, la única causa de inadmisión cuya posible existencia señalábamos, pues nuestra providencia se refería, en primer término, a la que resulta de la manifiesta falta de contenido constitucional en la demanda.  A ella nos referimos a continuación.</w:t>
      </w:r>
    </w:p>
    <w:p w:rsidR="00256EE9" w:rsidRDefault="00256EE9" w:rsidP="00256EE9">
      <w:pPr>
        <w:pStyle w:val="TextoNormal"/>
      </w:pPr>
    </w:p>
    <w:p w:rsidR="00256EE9" w:rsidRDefault="00256EE9" w:rsidP="00256EE9">
      <w:pPr>
        <w:pStyle w:val="TextoNormal"/>
      </w:pPr>
      <w:r w:rsidRPr="00256EE9">
        <w:rPr>
          <w:rStyle w:val="NumeroAFNegritaCaracter"/>
        </w:rPr>
        <w:t>2</w:t>
      </w:r>
      <w:r>
        <w:t>. Con más riqueza de verbo que de razones, la representación de los recurrentes sostiene, tanto en la demanda como en el posterior escrito de alegaciones, que la Sentencia de la Sección Tercera de la Audiencia Provincial de Madrid, ha violado los derechos garantizados en los arts.  14, 17, 18, 19 y 24.2 de la C. E., este último, en cuanto a la presunción de inocencia. Tal violación resultaría, de una parte, consecuencia necesaria de haber entendido la Audiencia Provincial que las ausencias más o menos esporádicas de los dos recurrentes del domicilio cuyo arrendamiento era objeto del litigio, no permitían apreciar la existencia de la convivencia mínima, durante el tiempo de dos años, indispensables para imponer al arrendador la obligación de aceptar la subrogación de doña Virginia como arrendatario, en el lugar que hasta entonces ocupaba su abuelo; de la otra, la violación sería resultado del hecho de que, al arrojar sobre ellos la obligación de probar su permanencia en el domicilio, se ha invertido la carga de la prueba, lesionando así el derecho de presunción de inocencia. Por último, al negar la Audiencia el acceso al recurso de casación, se habría violado el derecho a la tutela judicial efectiva, en este caso, simplemente, por haber aplicado la Audiencia Provincial una norma procesal que no permite recurrir en casación contra las Sentencias dictadas en juicios de desahucio de esta naturaleza.</w:t>
      </w:r>
    </w:p>
    <w:p w:rsidR="00256EE9" w:rsidRDefault="00256EE9" w:rsidP="00256EE9">
      <w:pPr>
        <w:pStyle w:val="TextoNormal"/>
      </w:pPr>
      <w:r>
        <w:t>Comenzamos por esta última consideración, la más elemental, aunque no, tal vez, la menos consistente. Baste decir para desecharla, que el derecho a la tutela judicial efectiva no impone al legislador la obligación de abrir el recurso extraordinario de casación frente a todas las Sentencias dictadas en todos los juicios civiles.  El legislador es libre para resolver, dentro del marco constitucional, qué género de asuntos pueden ser llevados hasta el conocimiento del Tribunal Supremo y cuáles no.</w:t>
      </w:r>
    </w:p>
    <w:p w:rsidR="00256EE9" w:rsidRDefault="00256EE9" w:rsidP="00256EE9">
      <w:pPr>
        <w:pStyle w:val="TextoNormal"/>
      </w:pPr>
      <w:r>
        <w:t>En lo que toca a la presunción de inocencia, baste también con decir que, si bien el derecho a ser presumido inocente se tiene siempre cuando se trata de la imposición de penas, e incluso cuando se trata de la imposición de sanciones de carácter no penal, sólo un abuso de lenguaje permite extender esta categoría a la situación de las partes en una relación contractual.  Ciertamente, la inexistencia de las condiciones necesarias para decretar la subrogación forzosa en una relación contractual determinada habrá de ser probada por quienes la alega; pero ciertamente, como nadie puede ser acusado de que esas causas no existan, nadie puede ver violado su derecho a la presunción de inocencia por la constatación de que no existe. Dicho esto, hay que añadir, además, que la supuesta inversión de la carga de la prueba que los recurrentes denuncian, se apoya sólo en la cita truncada de algunos «considerandos» de la Sentencia que se ataca y que leída ésta en su integridad, no hay sombra alguna de tal inversión.</w:t>
      </w:r>
    </w:p>
    <w:p w:rsidR="00256EE9" w:rsidRDefault="00256EE9" w:rsidP="00256EE9">
      <w:pPr>
        <w:pStyle w:val="TextoNormal"/>
      </w:pPr>
      <w:r>
        <w:lastRenderedPageBreak/>
        <w:t>Por último, lo que toca a la supuesta violación del derecho a la inviolabilidad del domicilio, de la libertad de movimientos dentro del territorio nacional, o de la seguridad jurídica. En este extremo, la argumentación de los recurrentes se hace claramente temeraria, pues es evidente que esos derechos constitucionalmente garantizados nada tienen que ver con el hecho de que se haya dado o no la convivencia continuada del arrendatario de una vivienda con otra persona dentro del domicilio del primero durante un tiempo superior a dos años.  Ni el arrendador ni la Audiencia Provincial han impedido a los recurrentes desplazarse por el territorio nacional, ni han violado su domicilio, ni han atentado contra su seguridad jurídica; se han limitado a extraer consecuencias civiles del uso que estas personas han hecho de su domicilio y de su libertad; consecuencias, sin duda poco gratas para el interés de los recurrentes en mantener la relación arrendaticia, pero este interés, en contra de lo que ellos parecen creer, no está directamente protegido por la Constitución, por lo que su demanda de amparo carece manifiestamente de contenido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acuerda declarar inadmisible el presente recurso y apreciada la temeridad, imponer al recurrente las costas del mismo y una sanción de 25.000 pesetas.</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8" w:name="AUTO_1985_107"/>
      <w:r>
        <w:lastRenderedPageBreak/>
        <w:t>AUTO 107/1985, de 13 de febrero de 1985</w:t>
      </w:r>
    </w:p>
    <w:bookmarkEnd w:id="168"/>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ECLI:ES:TC:1985:107A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877/1984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fecha 14 de febrero de 1984, doña Cándida Centeno Paredes fue demandada por doña Amalia Ramajo Aragonés, en concepto de propietaria y, como tal, arrendadora de la vivienda ocupada por la primera. La acción lo fue de resolución del contrato de arrendamiento, alegando la demandante la necesidad de ocupar personalmente la vivienda alquilada, al amparo del primero de los supuestos recogidos en el art. 62 de la Ley de Arrendamientos Urbanos. El día 4 de abril recayó Sentencia del Juzgado de Distrito de Castuera, que desestimó la demanda, no apreciándose por el juzgador la causa de rescisión alegada. Esta Sentencia fue recurrida en apelación por la señora Ramajo ante la Audiencia Provincial de Badajoz, recayendo Sentencia de 9 de noviembre de 1984 (notificada a la recurrente en amparo, el día 22 del mismo mes) por la que, revocándose la del Juzgado de Distrito, se estimó resuelto el contrato de arrendamiento, condenando a la demandada al desalojo de la vivienda.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Contra la Sentencia de apelación se interpuso por doña Cándida Centeno Paredes el presente recurso de amparo mediante demanda presentada el 13 de diciembre de 1984, y sustancialmente fundada en que ambas Sentencias, tanto la del Juzgado como la de la Audiencia, incurrieron en quebrantamiento del derecho fundamental de la recurrente, reconocido en el art. 24.2 de la Constitución, a «utilizar los medios de prueba pertinentes para su defensa», pues, a juicio de la señora Centeno Paredes, ni el juzgador de instancia ni el de apelación indagaron, en los procedimientos ante ellos seguidos, la exacta titularidad de la vivienda, cuestión suscitada por la recurrente en ambas instancias, manifestando entonces que la demandante no era la única propietaria de la vivienda arrendada, toda vez que el contrato de arrendamiento se habría extendido, en su día, por el esposo de la actora. De esta carencia procedimental deriva la recurrente su indefensión porque -dice- se le privó de un medio de prueba de evidente interés para su pretensión. </w:t>
      </w:r>
    </w:p>
    <w:p w:rsidR="00256EE9" w:rsidRDefault="00256EE9" w:rsidP="00256EE9">
      <w:pPr>
        <w:pStyle w:val="TextoNormal"/>
      </w:pPr>
      <w:r>
        <w:t>En el petitum de la demanda se solicita del Tribunal la anulación de la Sentencia dictada por la Audiencia Provincial de Badajoz. Se pide también del Tribunal la suspensión de esta resolución judicial, afirmando que su ejecución ocasionaría un perjuicio grave a la recurrente, que haría perder al amparo su finalidad.</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xml:space="preserve">. Por provideneia de 16 de enero se acordó oír a la demandante y al Ministerio Fiscal, acerca de la posible inadmisibilidad del amparo por las dos siguientes causas: 1.ª por cuanto pudiera la demanda carecer de contenido que justifique una decisión de este Tribunal [art. 50.2 b) de la Ley Orgánica del Tribunal Constitucional]; y 2.ª porque no consta que se haya invocado, en el proceso previo, el derecho constitucional vulnerado [art. 50.1 b) en relación con el 44.1 de la misma Ley]. </w:t>
      </w:r>
    </w:p>
    <w:p w:rsidR="00256EE9" w:rsidRDefault="00256EE9" w:rsidP="00256EE9">
      <w:pPr>
        <w:pStyle w:val="TextoNormal"/>
      </w:pPr>
      <w:r>
        <w:t xml:space="preserve">La demandante alega que el contenido constitucional de su pretensión de amparo viene dado por la vulneración del art. 24 de la Constitución en los términos razonados en su demanda, en los que abunda. </w:t>
      </w:r>
    </w:p>
    <w:p w:rsidR="00256EE9" w:rsidRDefault="00256EE9" w:rsidP="00256EE9">
      <w:pPr>
        <w:pStyle w:val="TextoNormal"/>
      </w:pPr>
      <w:r>
        <w:t xml:space="preserve">Y en cuanto a la invocación del derecho constitucional vulnerado, cita la Sentencia del Pleno de este Tribunal, de 13 de octubre de 1982 (recurso de amparo 218/1981, fundamento 2), en el sentido de que «esta exigencia de previa invocación no puede predicarse respecto al derecho a la igualdad y a la tutela jurisdiccional cuya supuesta infracción se produce, precisamente, en las resoluciones impugnadas lo que descarta la posibilidad de su denuncia en el curso anterior del proceso». </w:t>
      </w:r>
    </w:p>
    <w:p w:rsidR="00256EE9" w:rsidRDefault="00256EE9" w:rsidP="00256EE9">
      <w:pPr>
        <w:pStyle w:val="TextoNormal"/>
      </w:pPr>
      <w:r>
        <w:t>El Ministerio Fiscal expone que el problema relativo a que doña Amalia Ramajo no es la única propietaria de la vivienda, fue abordado, razonado y resuelto por las Sentencias impugnadas, fundando su no aceptación en la naturaleza de la pretensión deducida; lo que el juzgador ha resuelto ha sido la existencia de una necesidad cuya apreciación es de su competencia; por lo cual, las alegaciones de la recurrente se encaminan a emplazar en esta sede constitucional una tercera instancia judicial.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 xml:space="preserve">Unico.  Como fundamento suficiente que conduce a la declaración de inadmisibilidad de este recurso de amparo, es preciso referirse a la carencia manifiesta de contenido constitucional de la demanda con la que se inicia [art. 50.2 b) de la LOTC], porque en ella -y del mismo modo se aprecia tras el escrito de alegaciones producido por la misma parte en esta incidencia sobre admisibilidad- la violación del derecho establecido en el artículo 24.2 de la C. E., se sitúa en la indefensión que padeció en aquel proceso sobre resolución de contrato de arrendamiento de vivienda por necesitarla para sí el arrendador, al no haberse aportado al proceso prueba alguna demostrativa de que la demandante era titular dominical del bien inmueble de que se trata, sugiriendo que puede serlo el esposo de tal persona, y siendo ello así surge con evidencia la necesidad de una positiva aplicación del artículo de la LOTC antes citado, porque, amén de inexistir atisbo alguno de resoluciones judiciales denegatorias de admisión de medios de prueba sobre aquel extremo, en realidad es difícil entender que en esta vía constitucional se pueda sustraer a los órganos de la jurisdicción ordinaria la facultad de examinar y resolver lo atinente a si la calidad o condición del demandante en un juicio de la índole del cuestionado es o no suficiente a los fines del mismo, muy particularmente en el caso actual, en el que se trata de un contrato de arrendamiento en que la titularidad de una de las partes la pretende bascular la otra entre uno y otro de los esposos, sin que, bajo otro aspecto, sea inexcusable la titularidad dominical para el posible ejercicio de una acción como la esgrimida, incluso con posibilidad de actuación de una persona en interés propio y aún conjunto con el de otras. En suma, en este caso los juzgadores reconocieron en la actora la calidad de arrendadora, y ello de un modo expresamente consignado en el fallo de apelación, y tácito en el de instancia, frente </w:t>
      </w:r>
      <w:r>
        <w:lastRenderedPageBreak/>
        <w:t>a lo cual, por ello, y por lo precedentemente expuesto, nada puede objetarse en esta vía de amparo.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 sin precisión, por ello, de pronunciamiento alguno sobre la suspensión en su momento solicitada.</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69" w:name="AUTO_1985_108"/>
      <w:r>
        <w:lastRenderedPageBreak/>
        <w:t>AUTO 108/1985, de 13 de febrero de 1985</w:t>
      </w:r>
    </w:p>
    <w:bookmarkEnd w:id="169"/>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ECLI:ES:TC:1985:108A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889/1984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registrado en este Tribunal, el 19 de diciembre de 1984, el Procurador de los Tribunales, don Enrique Brualla de Piniés, en nombre y representación de don Juan Pérez Castro, presentó demanda de amparo constitucional contra la Sentencia de la Sección Sexta de la Audiencia Provincial de Barcelona, de fecha 1 de diciembre del mismo año, estimatoria de demanda sobre incremento de renta urbana. Por medio de otrosí solicitaba «que se acuerde la suspensión de la ejecución de la Sentencia que se recurre en amparo». La demanda fue admitida a trámite por providencia de 16 de enero de 1985.</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igual fecha se acordó otorgar al solicitante de amparo y al Ministerio Fiscal un plazo común de tres días para alegaciones, de conformidad con lo dispuesto en el art. 56.2 de la Ley Orgánica de este Tribunal (LOTC). </w:t>
      </w:r>
    </w:p>
    <w:p w:rsidR="00256EE9" w:rsidRDefault="00256EE9" w:rsidP="00256EE9">
      <w:pPr>
        <w:pStyle w:val="TextoNormal"/>
      </w:pPr>
      <w:r>
        <w:t xml:space="preserve">La representación del recurrente presentó escrito en el que reiteraba su petición de suspensión, alegando que, al haberse admitido a trámite el recurso, cabe la posibilidad de que se otorgue el amparo solicitado, con lo que, de procederse ahora a la ejecución de la Sentencia, se vería lesionado el recurrente, por cuanto debería abonar unas cantidades que posiblemente deberían después serle restituidas; y, asimismo, que a la otra parte, «Inmuebles de Renta, S. A.», no le supone perjuicio alguno la suspensión, dada la gran cantidad de inmuebles que tiene en propiedad y la ínfima cantidad que le representa la ejecución de la referida Sentencia. </w:t>
      </w:r>
    </w:p>
    <w:p w:rsidR="00256EE9" w:rsidRDefault="00256EE9" w:rsidP="00256EE9">
      <w:pPr>
        <w:pStyle w:val="TextoNormal"/>
      </w:pPr>
      <w:r>
        <w:t>El Fiscal ante el Tribunal Constitucional manifestó, por su parte, que no debe accederse a la suspensión solicitada, pues la circunstancia que pudiera justificarla -que se causare un perjuicio que hiciese perder al amparo su finalidad- no concurre en el presente caso, por cuanto si hubiere lugar a ello, se podría devolver al recurrente las cantidades por él satisfechas, sin que pueda presumirse en este momento la posterior insolvencia de los obligados a ello, máxime cuando se trata de la ejecución de un contrato de arrendamientos urbanos entre las partes.</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y «podrá, no obstante, denegar la suspensión cuando de ésta pueda seguirse perturbación grave de los intereses generales, o de los derechos fundamentales o libertades públicas de un tercero».  Resulta obvio, de la simple lectura de los escrítos del recurrente, que este último supuesto no concurre en modo alguno aquí. El demandante ni siquiera alude a la finalidad del recurso y su posible puesta en peligro por la ejecución, reconociendo que, de estimarse el recurso, deberían serle devueltas las cantidades abonadas, siendo irrelevante la referencia a que la incidencia patrimonial de la no ejecución sería mínima para la otra parte, y no resultando previsible, según señala el Ministerio Fiscal, la insolvencia de los eventualmente obligados a la devolución. El interés público que comporta la ejecución de las resoluciones judiciales impone, en orden a la procedencia de la suspensión de aquéllas, unos límites claramente perfilados en el citado art. 56.1 de la LOTC, que hacen que no pueda prosperar la petición del recurrente.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Sala resuelve que no procede la suspensión solicitada de la ejecución de la Sentencia de la Sala Sexta de la Audiencia Provincial de Barcelona, objeto del presente recurso.</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0" w:name="AUTO_1985_109"/>
      <w:r>
        <w:lastRenderedPageBreak/>
        <w:t>AUTO 109/1985, de 13 de febrero de 1985</w:t>
      </w:r>
    </w:p>
    <w:bookmarkEnd w:id="170"/>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ECLI:ES:TC:1985:109A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908/1984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Manuel Ogando Cañizares, en nombre del Ayuntamiento de Albal (Valencia), formuló el 26 de diciembre de 1984, demanda de amparo contra el Auto de 28 de noviembre de 1984, de la Audiencia Provincial de Valencia, Sección Tercera, desestimando recurso de apelación contra el Auto del Juzgado de Primera Instancia núm. 2 de dicha capital, que a su vez rechazó un previo recurso de reposición, negando al Ayuntamiento indicado, la condición de parte en juicio sumario del art. 41 de la Ley Hipotecaria entablado por Modesta Costa Ferrer contra terceras personas que se decían ocupantes de un local en término de Albal, Plaza del Caudillo, núm. 7. Dicha demanda se funda esencialmente en los siguientes hechos: </w:t>
      </w:r>
    </w:p>
    <w:p w:rsidR="00256EE9" w:rsidRDefault="00256EE9" w:rsidP="00256EE9">
      <w:pPr>
        <w:pStyle w:val="TextoNormal"/>
      </w:pPr>
      <w:r>
        <w:t xml:space="preserve">1.° Modesta Costa entabló proceso del art. 41 de la Ley Hipotecaria contra Francisco Delhomo y Emilio Rosaleny como ocupantes de dicho inmueble, ante el Juzgado de Primera Instancia núm. 2 de Valencia. El Ayuntamiento de Albal, por escrito de 8 de noviembre de 1982, interesó del Juzgado que aceptara su personación como parte demandada, por ser el inmueble de su propiedad y posesión, oponiéndose a dicha petición la actora y dictándose Auto de 22 de noviembre de 1982, resolviendo no tener por parte en el proceso a dicho Ayuntamiento. Resolución no recurrida. </w:t>
      </w:r>
    </w:p>
    <w:p w:rsidR="00256EE9" w:rsidRDefault="00256EE9" w:rsidP="00256EE9">
      <w:pPr>
        <w:pStyle w:val="TextoNormal"/>
      </w:pPr>
      <w:r>
        <w:t xml:space="preserve">2.° En dicho proceso se dictó Sentencia el 21 de enero de 1983 por el Juzgado, estimando la petición de la demandada, y no aceptando la oposición de los demandados, a los que ordenaba requerir para desalojo del edificio. </w:t>
      </w:r>
    </w:p>
    <w:p w:rsidR="00256EE9" w:rsidRDefault="00256EE9" w:rsidP="00256EE9">
      <w:pPr>
        <w:pStyle w:val="TextoNormal"/>
      </w:pPr>
      <w:r>
        <w:t xml:space="preserve">Apelada la Sentencia por los demandados, la Audiencia Provincial, Sección Tercera, en Sentencia de 23 de abril de 1983, confirmó la impugnada. </w:t>
      </w:r>
    </w:p>
    <w:p w:rsidR="00256EE9" w:rsidRDefault="00256EE9" w:rsidP="00256EE9">
      <w:pPr>
        <w:pStyle w:val="TextoNormal"/>
      </w:pPr>
      <w:r>
        <w:t xml:space="preserve">3.° En fase de ejecución de dichas Sentencias el Juzgado acordó el desalojo de los demandados, oponiéndose a que se realizara, los representantes legales de cuatro asociaciones civiles, que aseguraban que por autorización del Ayuntamiento tenían radicado el domicilio en el edificio y en él efectuaban actuaciones sociales, admitiendo esta oposición el Juzgado que la tramitó y decidió como incidente, en Sentencia de 1 de diciembre de 1983, declarando no admisible la suspensión solicitada de la ejecución y acordando reponer a la demandante en la posesión del edificio. </w:t>
      </w:r>
    </w:p>
    <w:p w:rsidR="00256EE9" w:rsidRDefault="00256EE9" w:rsidP="00256EE9">
      <w:pPr>
        <w:pStyle w:val="TextoNormal"/>
      </w:pPr>
      <w:r>
        <w:t xml:space="preserve">Recurrida en apelación dicha Sentencia, la Audiencia Provincial indicada, dictó Sentencia el 10 de marzo de 1984, confirmando la recurrida. </w:t>
      </w:r>
    </w:p>
    <w:p w:rsidR="00256EE9" w:rsidRDefault="00256EE9" w:rsidP="00256EE9">
      <w:pPr>
        <w:pStyle w:val="TextoNormal"/>
      </w:pPr>
      <w:r>
        <w:lastRenderedPageBreak/>
        <w:t xml:space="preserve">4.° Ante esta situación el Ayuntamiento, el 13 de julio de 1984, formuló escrito al Juzgado para que se le tuviera por parte en el proceso, citando la infracción del art. 24.1 de la Constitución si no se le dejaba personarse. </w:t>
      </w:r>
    </w:p>
    <w:p w:rsidR="00256EE9" w:rsidRDefault="00256EE9" w:rsidP="00256EE9">
      <w:pPr>
        <w:pStyle w:val="TextoNormal"/>
      </w:pPr>
      <w:r>
        <w:t xml:space="preserve">El Juzgado por Auto de 14 de julio de 1984, tuvo por no comparecido al Ayuntamiento, y por hechas las manifestaciones de la lesión del art. 24.1 de la C. E. </w:t>
      </w:r>
    </w:p>
    <w:p w:rsidR="00256EE9" w:rsidRDefault="00256EE9" w:rsidP="00256EE9">
      <w:pPr>
        <w:pStyle w:val="TextoNormal"/>
      </w:pPr>
      <w:r>
        <w:t xml:space="preserve">Interpuesto recurso de apelación por el Ayuntamiento el Juzgado lo rechazó por providencia, al no haberse formulado previo recurso de reposición; más el Ayuntamiento interpuso este remedio, pero por Auto de 4 de septiembre de 1984, fue denegada la reposición solicitada. </w:t>
      </w:r>
    </w:p>
    <w:p w:rsidR="00256EE9" w:rsidRDefault="00256EE9" w:rsidP="00256EE9">
      <w:pPr>
        <w:pStyle w:val="TextoNormal"/>
      </w:pPr>
      <w:r>
        <w:t xml:space="preserve">5.° Contra el Auto últimamente indicado interpuso el Ayuntamiento recurso de apelación ante la Audiencia, quien por Auto de 28 de noviembre la confirmó íntegramente, quedando agotada la vía judicial. </w:t>
      </w:r>
    </w:p>
    <w:p w:rsidR="00256EE9" w:rsidRDefault="00256EE9" w:rsidP="00256EE9">
      <w:pPr>
        <w:pStyle w:val="TextoNormal"/>
      </w:pPr>
      <w:r>
        <w:t xml:space="preserve">En los fundamentos de Derecho, alegada la infracción del art. 24.1 de la C. E. por el Auto de 28 de noviembre de 1984, de la citada Audiencia Provincial, argumentando, que reproduce las razones jurídicas dadas en sus diversos escritos ante el Juzgado y la Audiencia, y entendiendo que los demandados en el proceso del art. 41 de la Ley Hipotecaria y las cuatro sociedades que se opusieron al desalojo, no procedían en nombre propio sino por autoridad del Ayuntamiento, como servidores de la posesión, no obstante, la demanda de dicho procedimiento no se dirigió contra esta última corporación, sino contra algunos de los servidores de la posesión, debiendo haber sido dirigida contra tal entidad para que fuera parte en el proceso. </w:t>
      </w:r>
    </w:p>
    <w:p w:rsidR="00256EE9" w:rsidRDefault="00256EE9" w:rsidP="00256EE9">
      <w:pPr>
        <w:pStyle w:val="TextoNormal"/>
      </w:pPr>
      <w:r>
        <w:t xml:space="preserve">Alega, que el proceso civil se rige por el principio de justicia rogada, y que la parte actora eligió libremente a los demandados, siendo las normas de procedimiento de orden público y aplicables de oficio. </w:t>
      </w:r>
    </w:p>
    <w:p w:rsidR="00256EE9" w:rsidRDefault="00256EE9" w:rsidP="00256EE9">
      <w:pPr>
        <w:pStyle w:val="TextoNormal"/>
      </w:pPr>
      <w:r>
        <w:t xml:space="preserve">Estima en resumen, que el Ayuntamiento de Albal, ha sido condenado sin ser oído, pretendiéndose despojarle de un bien de dominio público, sin admitirle procesalmente la defensa de dicho bien, como exige el art. 24.1 de la C. E. </w:t>
      </w:r>
    </w:p>
    <w:p w:rsidR="00256EE9" w:rsidRDefault="00256EE9" w:rsidP="00256EE9">
      <w:pPr>
        <w:pStyle w:val="TextoNormal"/>
      </w:pPr>
      <w:r>
        <w:t>Por otrosí, solicitó la suspensión de la ejecución del Auto recurrido.</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en providencia, acordó tener por personado al Procurador señor Cañizares, en la representación indicada, entendiéndose con él sucesivas actuaciones y manifestándole la concurrencia de la causa de inadmisión insubsanable, de carecer la demanda manifiestamente de contenido que justifique una decisión por parte del Tribunal Constitucional, conforme a lo establecido en el art. 50.2 b) de la LOTC. Y en cuanto al otrosí, se acordó, determinar lo procedente cuando se decidiera sobre la admisión.</w:t>
      </w:r>
    </w:p>
    <w:p w:rsidR="00256EE9" w:rsidRDefault="00256EE9" w:rsidP="00256EE9">
      <w:pPr>
        <w:pStyle w:val="TextoNormal"/>
      </w:pPr>
    </w:p>
    <w:p w:rsidR="00256EE9" w:rsidRDefault="00256EE9" w:rsidP="00256EE9">
      <w:pPr>
        <w:pStyle w:val="TextoNormal"/>
      </w:pPr>
      <w:r w:rsidRPr="00256EE9">
        <w:rPr>
          <w:rStyle w:val="NumeroAFNegritaCaracter"/>
        </w:rPr>
        <w:t>3</w:t>
      </w:r>
      <w:r>
        <w:t>. El Ministerio Fiscal evacuando tal trámite de inadmisión, luego de hacer un resumen de las actuaciones, precisa que no hay lesión del art. 24.1 de la C. E. para el Ayuntamiento, que no fue admitido como parte en el procedimiento sumario del art. 41 de la Ley Hipotecaria, en el cual se ejercita el derecho a la posesión que tiene el propietario con título inscrito en el Registro de la Propiedad, frente a los poseedores sin título. En él los derechos de propiedad que ostenten los terceros tienen que ventilarse en procedimiento declarativo. La relación jurídica, se entabla entre el demandante y los causantes del despojo o perturbación, y el art. 137 del Reglamento Hipotecario sólo admite la posibilidad de comparecencia en juicio, a los que sean ocupantes del inmueble, y el Juzgado no aceptó la comparecencia del Ayuntamiento por no estar demandado, discrepando la parte y el Juzgado sobre la intepretación de dicha norma. Por otro lado, estima no estar demostrada la propiedad del bien debatido en favor del Ayuntamiento, por hallarse incluido en el inven</w:t>
      </w:r>
      <w:r>
        <w:lastRenderedPageBreak/>
        <w:t xml:space="preserve">tario de bienes de dominio público. Por tanto, si no tiene inscripción en el Registro y no ocupa el inmueble, no tenía el Ayuntamiento derecho a ser parte en el procedimiento. Sus derechos de dominio puede defenderlos en el juicio ordinario correspondiente. El Ayuntamiento no ha sido condenado a nada, porque el procedimiento no se dirigió contra él. No existe en definitiva violación del art. 24 de la C. E. porque la respuesta jurídica dada por los órganos judiciales está fundada en la legalidad vigente cuya interpretación les pertenece, no pudiendo entrar a conocer de la misma el Tribunal Constitucional. </w:t>
      </w:r>
    </w:p>
    <w:p w:rsidR="00256EE9" w:rsidRDefault="00256EE9" w:rsidP="00256EE9">
      <w:pPr>
        <w:pStyle w:val="TextoNormal"/>
      </w:pPr>
      <w:r>
        <w:t>Termina estimando la concurrencia de la causa de la inadmisión estimada.</w:t>
      </w:r>
    </w:p>
    <w:p w:rsidR="00256EE9" w:rsidRDefault="00256EE9" w:rsidP="00256EE9">
      <w:pPr>
        <w:pStyle w:val="TextoNormal"/>
      </w:pPr>
    </w:p>
    <w:p w:rsidR="00256EE9" w:rsidRDefault="00256EE9" w:rsidP="00256EE9">
      <w:pPr>
        <w:pStyle w:val="TextoNormal"/>
      </w:pPr>
      <w:r w:rsidRPr="00256EE9">
        <w:rPr>
          <w:rStyle w:val="NumeroAFNegritaCaracter"/>
        </w:rPr>
        <w:t>4</w:t>
      </w:r>
      <w:r>
        <w:t>. La parte actora del procedimiento en su escrito de alegaciones, ratifica la demanda de amparo, y afirma que la causa de inadmisión propuesta debe interpretarse restrictivamente, más aún, cuando emplea el vocablo «manifiestamente». Entiende que no se trata de un motivo de inadmisión, sino de una improcedencia manifiesta, no existiendo razón alguna para la inadmisibilidad. Estima no darse tal causa de inadmisibilidad, y que debe seguirse el proceso hasta la resolución final, aunque no quiere prejuzgar la misma por tratarse del tema de enjuiciamiento. Sostiene finalmente, como en la demanda, que nadie puede ser condenado sin ser oído, y que eso ha sucedido en el caso de examen. Termina suplicando la admisión del recurso de amparo promovido, para llegar a Sentencia que se dicte conforme a sus pretensiones.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Ayuntamiento demandante funda el recurso de amparo, que entabla contra el Auto de la Audiencia Provincial de Valencia, de 28 de noviembre de 1984, y que confirmó otro Auto -extrañamente no recurrido en este proceso- del Juzgado de Primera Instancia núm. 2 de dicha capital, de 14 de julio anterior, que no admitieron la comparecencia de aquella Entidad en el procedimiento del art. 41 de la Ley Hipotecaria, en fase de ejecución de lanzamiento de diversos poseedores, en la circunstancia de haber infringido el art. 24.1 de la C. E., al ser condenada sin ser oída la Corporación, pues estos últimos eran servidores de la posesión de un bien de dominio público, inventariado como bien propio del Municipio, sin admitirle la defensa procesal intentada ejercer en dicho procedimiento.</w:t>
      </w:r>
    </w:p>
    <w:p w:rsidR="00256EE9" w:rsidRDefault="00256EE9" w:rsidP="00256EE9">
      <w:pPr>
        <w:pStyle w:val="TextoNormal"/>
      </w:pPr>
      <w:r>
        <w:t>Esta alegación ha de examinarse para comprobar la procedencia de inadmitir la demanda, por operar en el indicado trámite el art.  50.2 b) de la LOTC, al carecer manifiestamente la misma de contenido constitucional, que justifique una decisión en Sentencia por parte de este Tribunal, a cuyo fin debe comprobarse el contenido material de la misma en relación al derecho constitucional que se afirma vulnerado.</w:t>
      </w:r>
    </w:p>
    <w:p w:rsidR="00256EE9" w:rsidRDefault="00256EE9" w:rsidP="00256EE9">
      <w:pPr>
        <w:pStyle w:val="TextoNormal"/>
      </w:pPr>
    </w:p>
    <w:p w:rsidR="00256EE9" w:rsidRDefault="00256EE9" w:rsidP="00256EE9">
      <w:pPr>
        <w:pStyle w:val="TextoNormal"/>
      </w:pPr>
      <w:r w:rsidRPr="00256EE9">
        <w:rPr>
          <w:rStyle w:val="NumeroAFNegritaCaracter"/>
        </w:rPr>
        <w:t>2</w:t>
      </w:r>
      <w:r>
        <w:t>. Como manifestación del derecho innato a la justicia, el art.  24.1 de la C. E. reconoce a todos los ciudadanos el derecho subjetivo a obtener la tutela efectiva de los Jueces y Tribunales en el ejercicio de sus derechos e intereses legítimos, sin que en ningún caso pueda producirse indefensión, lo que tanto supone en una de sus varias manifestaciones, como reconocer el derecho a acceder al proceso judicial en que se planteen conflictos intersubjetivos de intereses, obteniendo una resolución fundada en Derecho, sea o no favorable a las pretensiones debatidas, pues en dicha norma se reconoce un «derecho a la jurisdicción» y a poder ser parte las personas en los procesos en que sean demandados o deban serlo, por estar legitimados para intervenir en ellos, con la finalidad de defender los derechos o intereses que estén afectados por el objeto de la controversia, ejercitando su defen</w:t>
      </w:r>
      <w:r>
        <w:lastRenderedPageBreak/>
        <w:t>sa técnicamente, mediante la oportuna dialéctica de efectuar alegaciones y justificaciones probatorias -nemine damnatur sine audiatur-; derecho que no puede conculcarse, a no ser que la naturaleza del procedimiento establezca legítimas restricciones que se encuentren debidamente justificadas por su intrínseca razonabilidad.</w:t>
      </w:r>
    </w:p>
    <w:p w:rsidR="00256EE9" w:rsidRDefault="00256EE9" w:rsidP="00256EE9">
      <w:pPr>
        <w:pStyle w:val="TextoNormal"/>
      </w:pPr>
    </w:p>
    <w:p w:rsidR="00256EE9" w:rsidRDefault="00256EE9" w:rsidP="00256EE9">
      <w:pPr>
        <w:pStyle w:val="TextoNormal"/>
      </w:pPr>
      <w:r w:rsidRPr="00256EE9">
        <w:rPr>
          <w:rStyle w:val="NumeroAFNegritaCaracter"/>
        </w:rPr>
        <w:t>3</w:t>
      </w:r>
      <w:r>
        <w:t>. La indefensión producida por la no comparecencia en un proceso judicial a fin de poder realizar la oportuna defensa de eventuales derechos no puede estimarse presente cuando la persona que posea diversos cauces procesales abiertos dentro del procedimiento, para poder actuar como parte en el mismo, no los ejercitó con la debida técnica jurídica para ser valorados, y en su caso aceptados, pues en tal supuesto no puede estimarse indefenso a quien por su proceder es causa de su propia indefensión, pues sólo la que proviene de los órganos judiciales es la que adquiere relevancia constitucional, para ser protegida por la efectividad del art. 24.1 de la C. E.</w:t>
      </w:r>
    </w:p>
    <w:p w:rsidR="00256EE9" w:rsidRDefault="00256EE9" w:rsidP="00256EE9">
      <w:pPr>
        <w:pStyle w:val="TextoNormal"/>
      </w:pPr>
    </w:p>
    <w:p w:rsidR="00256EE9" w:rsidRDefault="00256EE9" w:rsidP="00256EE9">
      <w:pPr>
        <w:pStyle w:val="TextoNormal"/>
      </w:pPr>
      <w:r w:rsidRPr="00256EE9">
        <w:rPr>
          <w:rStyle w:val="NumeroAFNegritaCaracter"/>
        </w:rPr>
        <w:t>4</w:t>
      </w:r>
      <w:r>
        <w:t>. En el caso de examen es necesario destacar, que entablado por un titular, según el Registro de la Propiedad, del dominio de un inmueble, el procedimiento ejecutivo del art. 41 de la Ley Hipotecaria, para conseguir la posesión del mismo, frente a dos personas individuales que lo poseían, el Ayuntamiento de Albal quiso mostrarse parté en el procedimiento, alegando ser el verdadero poseedor de la finca, por lo que debía ser demandado, ya que los que lo habían sido eran verdaderos servidores de su posesión, siendo rechazada su petición por Auto del referido Juzgado de 22 de noviembre de 1982, que quedó firme por consentido, al no entablarse recurso de reposición, ni de apelación, ni en cualquier caso el recurso constitucional de amparo, continuando el proceso hasta dictarse la Sentencia de 21 de enero de 1983 por el Juzgado, estimando la demanda y acordando el desalojo de los demandados, resolución que fue íntegramente confirmada en apelación por otra Sentencia de la Audiencia de 23 de abril del propio año.</w:t>
      </w:r>
    </w:p>
    <w:p w:rsidR="00256EE9" w:rsidRDefault="00256EE9" w:rsidP="00256EE9">
      <w:pPr>
        <w:pStyle w:val="TextoNormal"/>
      </w:pPr>
      <w:r>
        <w:t>Estando ya el procedimiento en fase de ejecución de las Sentencias, al tratar de realizarse el lanzamiento de los dos ocupantes de la finca, se opusieron al mismo cuatro asociaciones civiles instaladas en ella, haciendo uso de la facultad que le concedía el art.  137.11 del Reglamento Hipotecario, e iniciando incidente de oposición a la ejecución, que debidamente tramitado originó la Sentencia del Juzgado de 1 de diciembre de 1983, desestimándola y ordenando ejecutar las anteriores Sentencias también frente a los cuatro ocupantes, en resolución que fue confirmada en apelación por Sentencia de la Audiencia de 10 de marzo de 1984, de condición firme.</w:t>
      </w:r>
    </w:p>
    <w:p w:rsidR="00256EE9" w:rsidRDefault="00256EE9" w:rsidP="00256EE9">
      <w:pPr>
        <w:pStyle w:val="TextoNormal"/>
      </w:pPr>
      <w:r>
        <w:t>En esta situación, de nuevo el Ayuntamiento solicitó el 13 de junio de 1984, ser parte en el proceso desde dicho momento o en el del lanzamiento, no aceptándolo el Juzgado por Auto de 14 de dicho mes y año, que confirmó su decisión al rechazar el recurso de reposición contra ella entablado, así como la Audiencia el de apelación por Auto de 28 de noviembre de 1984, que es el recurrido en este proceso de amparo.</w:t>
      </w:r>
    </w:p>
    <w:p w:rsidR="00256EE9" w:rsidRDefault="00256EE9" w:rsidP="00256EE9">
      <w:pPr>
        <w:pStyle w:val="TextoNormal"/>
      </w:pPr>
    </w:p>
    <w:p w:rsidR="00256EE9" w:rsidRDefault="00256EE9" w:rsidP="00256EE9">
      <w:pPr>
        <w:pStyle w:val="TextoNormal"/>
      </w:pPr>
      <w:r w:rsidRPr="00256EE9">
        <w:rPr>
          <w:rStyle w:val="NumeroAFNegritaCaracter"/>
        </w:rPr>
        <w:t>5</w:t>
      </w:r>
      <w:r>
        <w:t>. De estos antecedentes claramente deriva, que al adquirir firmeza el Auto de 22 de noviembre de 1982, que denegó al Ayuntamiento al iniciarse el procedimiento la cualidad de parte, por no entablar éste los recursos de reposición y apelación, y en su caso, el recurso de amparo constitucional, se generó el efecto de no poder volver a cuestionar posteriormente su derecho a ser parte procesal, ni el de alegar indefensión contra decisiones adversas que consintió.</w:t>
      </w:r>
    </w:p>
    <w:p w:rsidR="00256EE9" w:rsidRDefault="00256EE9" w:rsidP="00256EE9">
      <w:pPr>
        <w:pStyle w:val="TextoNormal"/>
      </w:pPr>
      <w:r>
        <w:lastRenderedPageBreak/>
        <w:t>Sin embargo, por la aplicación del art.  137.11 de dicho Reglamento Hipotecario, pudo la Corporación constituirse en parte procesal en la fase de lanzamiento por ejecución de las Sentencias, si era tercera persona ocupante del inmueble, y proponer oposición a la ejecución, a resolver en proceso incidental acumulado, como lo hicieron las cuatro asociaciones indicadas y, sin embargo, no actuó de esta manera y en ese preclusivo momento, como ponen de relieve los Autos de 14 de julio y 4 de septiembre de 1984, dictados por el Juzgado, y muy especialmente el de 28 de noviembre de la Audiencia, pues estando presente en el acto de ejecución de las resoluciones. firmes un representante del Ayuntamiento, no efectuó alegación alguna para ejercitar el derecho de oposición, poniendo de manifiesto ser ocupante de la finca, que era la condición que actuaba como presupuesto de legitimación procesal para permitirle ser parte en el proceso e incidente indicado, como lo fueron dichas asociaciones civiles, por lo que sí dejó precluir el momento procesal adecuado según dicha norma, para poder defender sus pretendidos derechos, no pudo luego reabrir el tiempo y derecho fenecido que no utilizó.</w:t>
      </w:r>
    </w:p>
    <w:p w:rsidR="00256EE9" w:rsidRDefault="00256EE9" w:rsidP="00256EE9">
      <w:pPr>
        <w:pStyle w:val="TextoNormal"/>
      </w:pPr>
      <w:r>
        <w:t>Actuación que por su propio contenido demuestra de manera evidente ser causante el Ayuntamiento, por impericia técnica, de originar en dos ocasiones distintas su propia indefensión, la que en atención a la doctrina anteriormente expuesta, no puede ser estimada como protegida por el art.  24.1 de la C. E. al exigir que sea generada por las decisiones de los órganos judiciales y al no admitir como constitucionalmente protegibles la indefensión causada por la misma parte que la reclama, pues no puede desconocer sus propios actos vinculantes, como en el caso de examen ha sucedido. Por ello, las resoluciones judiciales que negaron la comparecencia del recurrente en el proceso, no son causantes de su indefensión, y el juicio de legalidad razonado que efectúan pertenece a la exclusiva competencia de los Tribunales ordinarios (art.  117.3 de la C. E.), en el que este Tribunal no puede entrar, con mayor razón aún cuando la demanda de amparo, no trata de argumentar contra las razones que esgrimen dichas resoluciones para no otorgarle la condición de parte, apoyándose en sus omisiones, al desplazar el tema a una indefensión genérica y abstracta de tener derecho a ser parte, y no valorando la indefensión concreta por la propia Corporación originada.</w:t>
      </w:r>
    </w:p>
    <w:p w:rsidR="00256EE9" w:rsidRDefault="00256EE9" w:rsidP="00256EE9">
      <w:pPr>
        <w:pStyle w:val="TextoNormal"/>
      </w:pPr>
    </w:p>
    <w:p w:rsidR="00256EE9" w:rsidRDefault="00256EE9" w:rsidP="00256EE9">
      <w:pPr>
        <w:pStyle w:val="TextoNormal"/>
      </w:pPr>
      <w:r w:rsidRPr="00256EE9">
        <w:rPr>
          <w:rStyle w:val="NumeroAFNegritaCaracter"/>
        </w:rPr>
        <w:t>6</w:t>
      </w:r>
      <w:r>
        <w:t>. Por lo demás, este Tribunal, por el ámbito de su función propia, tampoco puede examinar los posibles derechos de la parte actora, en cuanto a si era o no ocupante de la finca por posesión mediata, y si tenía la condición de propietario de un bien municipal, ni por fin, determinar el alcance de las apreciaciones que incidentalmente hacen las Sentencias no recurridas en amparo, y dictadas en el procedimiento ejecutivo después de la fase contradictoria, sobre los derechos de posesión y propiedad de la Corporación, y que no fueron recogidos en los fallos, pues son temas de mera legalidad totalmente ajenos al recurso de amparo, que además pueden ser objeto de tratamiento, así como de remedio para su autoindefensión, en el juicio declarativo sobre lo que ha sido objeto del referido procedimiento ejecutivo, ya que éste no produce excepción de cosa juzgada y aquél puede utilizarse por declaración expresa del art. 41. de la Ley Hipotecaria, en donde con toda amplitud pueden debatirse y resolverse estas cuestiones.</w:t>
      </w:r>
    </w:p>
    <w:p w:rsidR="00256EE9" w:rsidRDefault="00256EE9" w:rsidP="00256EE9">
      <w:pPr>
        <w:pStyle w:val="TextoNormal"/>
      </w:pPr>
    </w:p>
    <w:p w:rsidR="00256EE9" w:rsidRDefault="00256EE9" w:rsidP="00256EE9">
      <w:pPr>
        <w:pStyle w:val="TextoNormal"/>
      </w:pPr>
      <w:r w:rsidRPr="00256EE9">
        <w:rPr>
          <w:rStyle w:val="NumeroAFNegritaCaracter"/>
        </w:rPr>
        <w:t>7</w:t>
      </w:r>
      <w:r>
        <w:t>. Todo cuanto se ha expuesto conduce a apreciar como indudable la causa de inadmisión propuesta para la demanda, por carecer manifiestamente de contenido constitucional, que exigiera una decisión, en Sentencia, por parte de este Tribunal, establecida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 no admitir a trámite la demanda formulada por el Procurador don Manuel Ogando Cañizares, en representación del Ayuntamiento de Albal (Valencia), y el archivo de las actuaciones.</w:t>
      </w:r>
    </w:p>
    <w:p w:rsidR="00256EE9" w:rsidRDefault="00256EE9" w:rsidP="00256EE9">
      <w:pPr>
        <w:pStyle w:val="TextoNormal"/>
      </w:pPr>
    </w:p>
    <w:p w:rsidR="00256EE9" w:rsidRDefault="00256EE9" w:rsidP="00256EE9">
      <w:pPr>
        <w:pStyle w:val="TextoNormal"/>
      </w:pPr>
      <w:r>
        <w:t>Madrid, a trece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1" w:name="AUTO_1985_110"/>
      <w:r>
        <w:lastRenderedPageBreak/>
        <w:t>AUTO 110/1985, de 14 de febrero de 1985</w:t>
      </w:r>
    </w:p>
    <w:bookmarkEnd w:id="171"/>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ECLI:ES:TC:1985:110A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la acumulación de los recursos de inconstitucionalidad 111/1982, 209, 655 y 679/1983 y 223/1984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que fue presentado en este Tribunal el 30 de marzo de 1984, por el Gobierno vasco, representado por el Abogado don Rafael Jiménez Asensio, se promovió recurso de inconstitucionalidad, registrado bajo el núm. 223/1984, contra el art. 2, el art. 22 y la sección 33 (Fondo de Compensación Interterritorial), de la Ley 44/1983, de 28 de diciembre, de Presupuestos Generales del Estado para 1984, cuyo recurso se admitió a trámite por providencia de 4 de abril de 1984, de la Sección Cuarta del Pleno de este Tribunal. </w:t>
      </w:r>
    </w:p>
    <w:p w:rsidR="00256EE9" w:rsidRDefault="00256EE9" w:rsidP="00256EE9">
      <w:pPr>
        <w:pStyle w:val="TextoNormal"/>
      </w:pPr>
      <w:r>
        <w:t>El Gobierno de la Nación, representado por el Abogado del Estado, presentó escrito de alegaciones el 10 de mayo de 1984, por el que solicita que en su día dicte el Tribunal Sentencia declarando la plena validez de los artículos 2 y 22 de la sección 33 relativa al Fondo de Compensación Interterritorial de la Ley 44/983, de 28 de diciembre.</w:t>
      </w:r>
    </w:p>
    <w:p w:rsidR="00256EE9" w:rsidRDefault="00256EE9" w:rsidP="00256EE9">
      <w:pPr>
        <w:pStyle w:val="TextoNormal"/>
      </w:pPr>
    </w:p>
    <w:p w:rsidR="00256EE9" w:rsidRDefault="00256EE9" w:rsidP="00256EE9">
      <w:pPr>
        <w:pStyle w:val="TextoNormal"/>
      </w:pPr>
      <w:r w:rsidRPr="00256EE9">
        <w:rPr>
          <w:rStyle w:val="NumeroAFNegritaCaracter"/>
        </w:rPr>
        <w:t>2</w:t>
      </w:r>
      <w:r>
        <w:t>. Por escrito de 5 de noviembre de 1984, el Abogado del Estado, al tiempo de personarse en el recurso de inconstitucionalidad seguido ante este Tribunal con el número de registro 490/1984, promovido por el Gobierno vasco, el 3 de julio de 1984, contra determinados preceptos de la Ley 7/1984, de 31 de marzo, del Fondo de Compensación Interterritorial, y solicitar la acumulación de dicho recurso al que se tramita con el núm. 223/1984, interpuesto por el Gobierno vasco contra los arts. 2 y 22 y la sección 33 (Fondo de Compensación Interterritorial) de la Ley 44/1983, de 29 de diciembre, de Presupuestos Generales del Estado para 1984, interesa que, previa audiencia del Gobierno vasco, se disponga por este Tribunal la terminación de los recursos de inconstitucionalidad núms. 111/1982, 209/1983, 655/1983 y 679/1983, interpuestos los cuatro por el Gobierno vasco, respectivamente, contra la sección 33 del Estado, letra A de los Presupuestos Generales del Estado para 1982, aprobados por la Ley 44/1981, de 26 de diciembre, contra la disposición adicional tercera del Real Decreto-ley 24/1982, de 29 de diciembre, contra la disposición adicional tercera y la sección 33 del Anexo II de la Ley 5/1983, y contra el art. 21, apartados 2 y 3 y la sección 33 del Anexo III de la Ley 9/1983. Dicha solicitud de termi</w:t>
      </w:r>
      <w:r>
        <w:lastRenderedPageBreak/>
        <w:t xml:space="preserve">nación del presente recurso la formula el Abogado del Estado en atención a la desaparición del objeto de dichos recursos dada la cesación de vigencia de las normas impugnadas. </w:t>
      </w:r>
    </w:p>
    <w:p w:rsidR="00256EE9" w:rsidRDefault="00256EE9" w:rsidP="00256EE9">
      <w:pPr>
        <w:pStyle w:val="TextoNormal"/>
      </w:pPr>
      <w:r>
        <w:t>El Gobierno vasco se opuso a la terminación solicitada por la Abogacía del Estado y no hizo alegación alguna al respecto, en cuanto a la acumulación interesada del 490/1984, al 223/1984.</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Autos del Pleno del Tribunal Constitucional de 8 de noviembre de 1984, dictados en los recursos núms. 111/1982, 209/1983, 655/1983 y 679/1983, se acordó no haber lugar a la terminación solicitada por el Abogado del Estado y que se oyera a las representaciones del Gobierno de la Nación y del Gobierno vasco sobre la conveniencia de acumular los recursos 209/1983, 655/1983 y 679/1983, al seguido con el núm. 111/1982. </w:t>
      </w:r>
    </w:p>
    <w:p w:rsidR="00256EE9" w:rsidRDefault="00256EE9" w:rsidP="00256EE9">
      <w:pPr>
        <w:pStyle w:val="TextoNormal"/>
      </w:pPr>
      <w:r>
        <w:t xml:space="preserve">El Abogado del Estado mostró su conformidad a estas acumulaciones mediante su escrito de 16 de noviembre siguiente, de que lo hubiera efectuado el Gobierno vasco. </w:t>
      </w:r>
    </w:p>
    <w:p w:rsidR="00256EE9" w:rsidRDefault="00256EE9" w:rsidP="00256EE9">
      <w:pPr>
        <w:pStyle w:val="TextoNormal"/>
      </w:pPr>
      <w:r>
        <w:t>Por Auto del Pleno de este Tribunal de 20 de diciembre de 1984, se acordó acumular al recurso de inconstitucionalidad núm. 111/1982, los de igual condición núms. 209, 655 y 679/1983.</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Pleno del Tribunal Constitucional, en Auto dictado el 15 de enero último, en el recurso 490/1984, acordó no haber lugar a la acumulación de dicho recurso al seguido con el núm. 223/1984, pues los dos recursos de inconstitucionalidad se dirigen contra Leyes distintas, siendo distintos el objeto de ambos aunque guarde conexión una parte del contenido de cada impugnación. </w:t>
      </w:r>
    </w:p>
    <w:p w:rsidR="00256EE9" w:rsidRDefault="00256EE9" w:rsidP="00256EE9">
      <w:pPr>
        <w:pStyle w:val="TextoNormal"/>
      </w:pPr>
      <w:r>
        <w:t xml:space="preserve">En providencia de la Sección Cuarta, de 17 de enero último, se acuerda oír al Abogado del Estado y al Gobierno vasco, a fin de que aleguen sobre la posible acumulación del recurso 223/1984, a los ya acumulados 111/1982, 209, 655 y 679/1983. </w:t>
      </w:r>
    </w:p>
    <w:p w:rsidR="00256EE9" w:rsidRDefault="00256EE9" w:rsidP="00256EE9">
      <w:pPr>
        <w:pStyle w:val="TextoNormal"/>
      </w:pPr>
      <w:r>
        <w:t>El Abogado del Estado, en su escrito de 25 de enero, evacúa el traslado conferido y manifiesta su conformidad a la acumulación indicada. El Gobierno vasco no ha presentado alegación alguna dentro del plazo señalado al efecto.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En los recursos de inconstitucionalidad núms.  111/1982, 209, 655 y 679/1983 y 223/1984, promovidos por el Gobierno vasco, se aprecia la conexión de objeto a que se refiere el art.  83 de la Ley Orgánica del Tribunal Constitucional, por existir identidad entre todos ellos, por tratarse de las mismas partes, y de las propias pretensiones, referidas a la declaración de inconstitucionalidad y nulidad de disposiciones en relación al Fondo de Compensación Interterritorial.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el Pleno del Tribunal Constitucional acuerda acumular el mencionado recurso de inconstitucionalidad núm.</w:t>
      </w:r>
    </w:p>
    <w:p w:rsidR="00256EE9" w:rsidRDefault="00256EE9" w:rsidP="00256EE9">
      <w:pPr>
        <w:pStyle w:val="TextoNormal"/>
      </w:pPr>
      <w:r>
        <w:t>223/1984, a los ya acumulados 111/1982 y 209, 655 y 679/1983.</w:t>
      </w:r>
    </w:p>
    <w:p w:rsidR="00256EE9" w:rsidRDefault="00256EE9" w:rsidP="00256EE9">
      <w:pPr>
        <w:pStyle w:val="TextoNormal"/>
      </w:pPr>
    </w:p>
    <w:p w:rsidR="00256EE9" w:rsidRDefault="00256EE9" w:rsidP="00256EE9">
      <w:pPr>
        <w:pStyle w:val="TextoNormal"/>
      </w:pPr>
      <w:r>
        <w:lastRenderedPageBreak/>
        <w:t>Madrid, a catorce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2" w:name="AUTO_1985_111"/>
      <w:r>
        <w:lastRenderedPageBreak/>
        <w:t>AUTO 111/1985, de 14 de febrero de 1985</w:t>
      </w:r>
    </w:p>
    <w:bookmarkEnd w:id="172"/>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ECLI:ES:TC:1985:111A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Levantando la suspensión, previamente acordada, de la Orden de 6 de abril de 1984, de la Generalidad de Cataluña, en el conflicto positivo de competencia 670/1984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Gobierno de la Nación, mediante escrito de 17 de septiembre de 1984, planteó conflicto constitucional positivo de competencia contra la Orden de 6 de abril de 1984, de la Generalidad de Cataluña, por la que se modifica en parte el Reglamento de la Denominación de Origen «Empordá-Costa Brava» y su Consejo Regulador, con invocación expresa del art. 161.2 de la Constitución al objeto de que fuese ordenada la suspensión de la Orden impugnada.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la Sección Cuarta del Pleno de este Tribunal, de 19 de septiembre de 1984, se tuvo por planteado el conflicto y se dio traslado de la demanda al Consejo Ejecutivo de la Generalidad de Cataluña, teniéndose por producida la suspensión de la vigencia y aplicación de la Orden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00256EE9" w:rsidRDefault="00256EE9" w:rsidP="00256EE9">
      <w:pPr>
        <w:pStyle w:val="TextoNormal"/>
      </w:pPr>
      <w:r>
        <w:t>El Consejo Ejecutivo de la Generalidad de Cataluña se personó y presentó escrito de alegaciones el 19 de octubre de 1984, haciendo constar que el 20 de septiembre de 1984 resolvió atender el requerimiento que le formuló el Gobierno en los siguientes términos: «Añadir a la Orden de 6 de abril de 1984 de la Generalidad de Cataluña un último artículo con el siguiente texto: esta Orden se notificará al Instituto Nacional de Denominaciones de Origen para su conocimiento y posterior ratificación a los solos efectos de lo establecido en el epígrafe c), de la letra B), del Anexo del Real Decreto 479/1981, de 27 de febrero, sobre traspaso de servicios del Estado a la Generalidad de Cataluña en materia de denominación de origen», pidiendo en consecuencia que se declare que el presente conflicto carece de objeto y no procede que este Tribunal se pronuncie sobre el mismo, y subsidiariamente que la competencia controvertida corresponde a la Generalidad.</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xml:space="preserve">. La Sección Cuarta, en providencia de 31 de octubre de 1984, acordó dar traslado al Abogado del Estado del anterior escrito de la Generalidad a fin de que alegara sobre el «suplico» del mismo. </w:t>
      </w:r>
    </w:p>
    <w:p w:rsidR="00256EE9" w:rsidRDefault="00256EE9" w:rsidP="00256EE9">
      <w:pPr>
        <w:pStyle w:val="TextoNormal"/>
      </w:pPr>
      <w:r>
        <w:t xml:space="preserve">En su escrito de 14 de noviembre último manifiesta el Abogado del Estado en relación a la respuesta de la Generalidad al requerimiento del Gobierno y al eventual desistimiento que pudiera acordarse, que éste requiere autorización expresa del Consejo de Ministros por lo que, de momento, carece de todo poder de disposición sobre el objeto procesal. </w:t>
      </w:r>
    </w:p>
    <w:p w:rsidR="00256EE9" w:rsidRDefault="00256EE9" w:rsidP="00256EE9">
      <w:pPr>
        <w:pStyle w:val="TextoNormal"/>
      </w:pPr>
      <w:r>
        <w:t>En escrito de la Abogacía del Estado de 21 de enero del corriente hace constar que el Consejo de Ministros en su reunión de 12 de diciembre de 1984 acordó mantener el presente conflicto positivo de competencia, por lo que se solicita que en su día el Tribunal dicte Sentencia en los términos interesados al promover el conflicto.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En providencia de 23 de enero del corriente, la Sección Cuarta acuerda oír a las partes para que expongan lo que estimen oportuno acerca del mantenimiento o levantamiento de la suspensión de la vigencia y aplicación de la Orden impugnada. </w:t>
      </w:r>
    </w:p>
    <w:p w:rsidR="00256EE9" w:rsidRDefault="00256EE9" w:rsidP="00256EE9">
      <w:pPr>
        <w:pStyle w:val="TextoNormal"/>
      </w:pPr>
      <w:r>
        <w:t xml:space="preserve">El Abogado del Estado evacúa el traslado conferido, en su escrito de 31 de enero último, solicitando del Tribunal el mantenimiento de la suspensión, en cuanto que la Orden objeto del conflicto afecta a un delicado sistema de protección comercial, que trasciende con mucho del ámbito territorial de la Comunidad Autónoma que recibe sus plenos efectos jurídicos de la Ley 25/1970, de 2 de diciembre, y su Reglamento de 3 de marzo de 1972, operado tanto en el plano nacional como, sobre todo, en el internacional y, sobre todo, en el momento presente, donde la previsión de tratados con la C. E. E. imponen la necesidad de una regulación en la que la colaboración del Estado en la materia se garantice plenamente. </w:t>
      </w:r>
    </w:p>
    <w:p w:rsidR="00256EE9" w:rsidRDefault="00256EE9" w:rsidP="00256EE9">
      <w:pPr>
        <w:pStyle w:val="TextoNormal"/>
      </w:pPr>
      <w:r>
        <w:t xml:space="preserve">Por su parte, la Generalidad de Cataluña solicita el levantamiento de la suspensión, alegando en apoyo de esta petición, en su escrito de 1 de los corrientes, que el mantenimiento carece de razón, ya que con ello no se consigue una garantía más amplia que la proporcionada por la propia Orden de 6 de abril de 1984, que será notificada al Instituto Nacional de Denominación de Origen para su conocimiento y posterior ratificación a los solos efectos de lo establecido en el epígrafe c), de la letra b), del Anexo del Real Decreto 479/1981, de 27 de febrero, y que únicamente resultaría un menoscabo para la Generalidad en el ejercicio de la competencia asumida en méritos de lo dispuesto en el art. 12.1.5 del Estatuto de Autonomía. </w:t>
      </w:r>
    </w:p>
    <w:p w:rsidR="00256EE9" w:rsidRDefault="00256EE9" w:rsidP="00256EE9">
      <w:pPr>
        <w:pStyle w:val="TextoNormal"/>
      </w:pPr>
      <w:r>
        <w:t>Reafirma, asimismo, el Abogado de la Generalidad la inexistencia del conflicto por desaparición de su objeto derivado del acuerdo del Consejo Ejecutivo de 20 de septiembre de 1984 por el que se atiende el requerimiento de incompetencia formulado por el Gobierno.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facultad que el art.  161.2 de la Constitución, en su inciso final, otorga a este Tribunal implica un forzoso juicio de ponderación por el mismo en orden a los perjuicios derivables de cada una de las dos situaciones ante las que ha de optar.</w:t>
      </w:r>
    </w:p>
    <w:p w:rsidR="00256EE9" w:rsidRDefault="00256EE9" w:rsidP="00256EE9">
      <w:pPr>
        <w:pStyle w:val="TextoNormal"/>
      </w:pPr>
      <w:r>
        <w:t>El acuerdo del Consejo Ejecutivo de la Generalidad de 20 de septiembre de 1984, comunicado por el Presidente de la Generalitat ese mismo día al Presidente del Gobierno no dio cumplida satisfacción a la pretensión planteada en el presente conflicto, siempre a juicio del Gobierno, ahora expuesto en su acuerdo de 12 de diciembre.  El Abogado del Es</w:t>
      </w:r>
      <w:r>
        <w:lastRenderedPageBreak/>
        <w:t>tado, en su escrito de 21 de enero, fundamenta la decisión del Gobierno en la no coincidencia entre el contenido de la modificación de la Orden de 6 de abril de 1984 y los términos del requerimiento formulado en su día por el Gobierno contra ella; posteriormente la misma representación procesal del Gobierno pide, en el trámite presente, que se mantenga la suspensión y alega en tal sentido dos razones genéricas, aunque no perjuicios claros y precisos derivables del levantamiento. Por el contrario, el Abogado de la Generalitat insiste en que, con la modificación de la Orden el presente conflicto carece de objeto y más aún carece de sentido la suspensión derivada de su inicial planteamiento, aduciendo como perjuicio ocasionado por el mantenimiento de la suspensión el menoscabo, para la Generalitat, de su competencia estatutaria del 12.1.5 de la E. A. C.</w:t>
      </w:r>
    </w:p>
    <w:p w:rsidR="00256EE9" w:rsidRDefault="00256EE9" w:rsidP="00256EE9">
      <w:pPr>
        <w:pStyle w:val="TextoNormal"/>
      </w:pPr>
      <w:r>
        <w:t>Así, pues, ni una ni otra parte llaman la atención sobre graves intereses ni perjuicios notorios derivables de la hipótesis adversa a la que defienden.  Este Tribunal entiende que no habiendo sido alegados perjuicios graves a producir por el levantamiento de la suspensión, y siendo ésta una situación provisional y limitativa de la eficacia de una norma cuya prolongación debe ser expresa y precisamente justificada, debe decidir su levantamiento en el caso presente, y así lo acuerda.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el Tribunal Constitucional acuerda levantar la suspensión de la vigencia y aplicación de la Orden de 6 de abril de 1984, de la Generalidad de Cataluña.</w:t>
      </w:r>
    </w:p>
    <w:p w:rsidR="00256EE9" w:rsidRDefault="00256EE9" w:rsidP="00256EE9">
      <w:pPr>
        <w:pStyle w:val="TextoNormal"/>
      </w:pPr>
    </w:p>
    <w:p w:rsidR="00256EE9" w:rsidRDefault="00256EE9" w:rsidP="00256EE9">
      <w:pPr>
        <w:pStyle w:val="TextoNormal"/>
      </w:pPr>
      <w:r>
        <w:t>Publíquese esta parte dispositiva en el «Boletín Oficial del Estado» y «Diario Oficial de la Generalidad de Cataluña».</w:t>
      </w:r>
    </w:p>
    <w:p w:rsidR="00256EE9" w:rsidRDefault="00256EE9" w:rsidP="00256EE9">
      <w:pPr>
        <w:pStyle w:val="TextoNormal"/>
      </w:pPr>
      <w:r>
        <w:t>Madrid, a catorce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3" w:name="AUTO_1985_112"/>
      <w:r>
        <w:lastRenderedPageBreak/>
        <w:t>AUTO 112/1985, de 20 de febrero de 1985</w:t>
      </w:r>
    </w:p>
    <w:bookmarkEnd w:id="173"/>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ECLI:ES:TC:1985:112A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el archivo de las actuaciones en el procedimiento 290/1984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Julio Sanz Núñez y doña Amelia Alba Guijarro presentan en este Tribunal un escrito con fecha 18 de abril de 1984 en el que dicen interponer recurso de amparo, con el fin de que puedan ser restituidos de la cantidad de 200.000 pesetas entregadas y percibidas indebidamente, con imposición y coacción, por el Abogado que les defendió en determinado proceso solicitando de este Tribunal la asistencia de Abogado y Procurador mediante nombramiento de oficio.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pretensión de los recurrentes se basa en los siguientes hechos: los ahora demandantes, formalizaron en su día un compromiso para la adquisición de una vivienda de la firma «Iberhogar, S. A.», conforme a las condiciones que pactaron. </w:t>
      </w:r>
    </w:p>
    <w:p w:rsidR="00256EE9" w:rsidRDefault="00256EE9" w:rsidP="00256EE9">
      <w:pPr>
        <w:pStyle w:val="TextoNormal"/>
      </w:pPr>
      <w:r>
        <w:t xml:space="preserve">Alegando incumplimiento de lo pactado se formuló por el señor Sanz Núñez demanda en juicio declarativo de mayor cuantía, para obtener la resolución del contrato, que correspondió sustanciar al Juzgado de Primera Instancia núm. 7 de Madrid, quien por Sentencia de 6 de octubre de 1981 desestimó la demanda. Apelada dicha Sentencia, el 20 de noviembre siguiente se firmó una transacción entre el demandante y la Empresa citada, por la que quedó sin efecto el contrato de compraventa quedando comprometido el señor Sanz a desistir de la apelación interpuesta. </w:t>
      </w:r>
    </w:p>
    <w:p w:rsidR="00256EE9" w:rsidRDefault="00256EE9" w:rsidP="00256EE9">
      <w:pPr>
        <w:pStyle w:val="TextoNormal"/>
      </w:pPr>
      <w:r>
        <w:t xml:space="preserve">El 1 de diciembre de 1981, los demandantes formulan ante el Colegio de Abogados de Madrid denuncia al Letrado que les defendió en un proceso judicial, por exigencia y pago indebido de 200.000 pesetas, denuncia que también se presentó ante el Juzgado de Guardia. En cuanto a la primera, y tras la correspondiente información previa, la Junta de Gobierno del Ilustre Colegio de Abogados acordó el archivo de las actuaciones, por no ofrecer la actuación profesional del colegiado circunstancia alguna contraria a la deontologia profesional. </w:t>
      </w:r>
    </w:p>
    <w:p w:rsidR="00256EE9" w:rsidRDefault="00256EE9" w:rsidP="00256EE9">
      <w:pPr>
        <w:pStyle w:val="TextoNormal"/>
      </w:pPr>
      <w:r>
        <w:t xml:space="preserve">Por lo que toca a la segunda, sólo consta en el expediente, una citación de los demandantes del Juzgado de Instrucción núm. 22 de Madrid, en las diligencias previas 781/1982, de fecha 14 de diciembre de 1981, aunque según manifiestan concurrieron en dicho dia a prestar declaración, siéndoles admitida, al parecer, una comparecencia, pero posteriormente les fue rechazado otro escrito por carecer de los requisitos de presentación mediante Abogado y Procurador. </w:t>
      </w:r>
    </w:p>
    <w:p w:rsidR="00256EE9" w:rsidRDefault="00256EE9" w:rsidP="00256EE9">
      <w:pPr>
        <w:pStyle w:val="TextoNormal"/>
      </w:pPr>
      <w:r>
        <w:t xml:space="preserve">Según se desprende del expediente, la denuncia fue archivada. </w:t>
      </w:r>
    </w:p>
    <w:p w:rsidR="00256EE9" w:rsidRDefault="00256EE9" w:rsidP="00256EE9">
      <w:pPr>
        <w:pStyle w:val="TextoNormal"/>
      </w:pPr>
      <w:r>
        <w:lastRenderedPageBreak/>
        <w:t xml:space="preserve">Por escritos de 11 de enero y 21 de septiembre de 1983, los demandantes se dirigen al Defensor del Pueblo reiterando las denuncias ya efectuadas, obteniendo una respuesta que estiman no es satisfactoria, por lo que, interpretando que dicha Institución les sugiere la vía del recurso de amparo, lo interponen alegando que la resolución del Ilustre Colegio de Abogados de Madrid es «ni más ni menos que la de proteger a un Colegiado»; que se ha producido un « silencio administrativo» por parte del Ilustrísimo señor Magistrado Juez del Juzgado de Instrucción núm. 22 de Madrid, y que el escrito del Defensor del Pueblo «trata de inhibirse del caso o asunto, posiblemente por estimar no deben crearse complicaciones con la Justicia». </w:t>
      </w:r>
    </w:p>
    <w:p w:rsidR="00256EE9" w:rsidRDefault="00256EE9" w:rsidP="00256EE9">
      <w:pPr>
        <w:pStyle w:val="TextoNormal"/>
      </w:pPr>
      <w:r>
        <w:t>Solicitan ser restituidos de las 200.000 pesetas abonadas al Letrado mencionado, alegando genéricamente «presuntas violaciones de los derechos y libertades susceptibles de impugnación, según determina el art. 44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9 de mayo de 1984, la Sección acuerda tener por interpuesto recurso de amparo por los señores Sanz Núñez y acceder a lo solicitado en cuanto a la designación de Abogado y Procurador del turno de oficio.</w:t>
      </w:r>
    </w:p>
    <w:p w:rsidR="00256EE9" w:rsidRDefault="00256EE9" w:rsidP="00256EE9">
      <w:pPr>
        <w:pStyle w:val="TextoNormal"/>
      </w:pPr>
    </w:p>
    <w:p w:rsidR="00256EE9" w:rsidRDefault="00256EE9" w:rsidP="00256EE9">
      <w:pPr>
        <w:pStyle w:val="TextoNormal"/>
      </w:pPr>
      <w:r w:rsidRPr="00256EE9">
        <w:rPr>
          <w:rStyle w:val="NumeroAFNegritaCaracter"/>
        </w:rPr>
        <w:t>4</w:t>
      </w:r>
      <w:r>
        <w:t>. Recibidas las correspondientes comunicaciones por las que se designan Procurador y Letrado en turno de oficio a don Antonio Rueda López y a don Francisco Solanos Ferré, respectivamente, la Sección por providencia de 30 de mayo de 1984 acuerda su nombramiento, dándoles traslado de los escritos presentados por los recurrentes para que en el plazo de diez días formalicen la correspondiente demanda, siempre que estimen que son suficientes los hechos consignados en el escrito de interposición, todo ello sin perjuicio del derecho del Letrado a excusarse de la defensa si entendiere que es insostenible la pretensión que quieren hacer valer los recurrentes.</w:t>
      </w:r>
    </w:p>
    <w:p w:rsidR="00256EE9" w:rsidRDefault="00256EE9" w:rsidP="00256EE9">
      <w:pPr>
        <w:pStyle w:val="TextoNormal"/>
      </w:pPr>
    </w:p>
    <w:p w:rsidR="00256EE9" w:rsidRDefault="00256EE9" w:rsidP="00256EE9">
      <w:pPr>
        <w:pStyle w:val="TextoNormal"/>
      </w:pPr>
      <w:r w:rsidRPr="00256EE9">
        <w:rPr>
          <w:rStyle w:val="NumeroAFNegritaCaracter"/>
        </w:rPr>
        <w:t>5</w:t>
      </w:r>
      <w:r>
        <w:t>. Al haber transcurrido con exceso el plazo anteriormente concedido, la Sección, por providencia de 27 de junio de 1984, acuerda requerir al Letrado para que evacúe el trámite de formulación de la demanda, recibiéndose escrito del Procurador señor Rueda López, en el que se manifiesta que, una vez instruido de las actuaciones del recurso, el Letrado designado de oficio no encuentra fundamento alguno para mantenerlo, por lo que solicita se le tenga por excusado de la defensa.</w:t>
      </w:r>
    </w:p>
    <w:p w:rsidR="00256EE9" w:rsidRDefault="00256EE9" w:rsidP="00256EE9">
      <w:pPr>
        <w:pStyle w:val="TextoNormal"/>
      </w:pPr>
    </w:p>
    <w:p w:rsidR="00256EE9" w:rsidRDefault="00256EE9" w:rsidP="00256EE9">
      <w:pPr>
        <w:pStyle w:val="TextoNormal"/>
      </w:pPr>
      <w:r w:rsidRPr="00256EE9">
        <w:rPr>
          <w:rStyle w:val="NumeroAFNegritaCaracter"/>
        </w:rPr>
        <w:t>6</w:t>
      </w:r>
      <w:r>
        <w:t>. Por providencia de 11 de julio de 1984, la Sección accede a lo solicitado y de conformidad con el art. 9 de la norma acerca de la defensa gratuita, acuerda remitir testimonio de los autos al Consejo General de la Abogacía, a fin de que designe dos Letrados para que dictaminen si puede o no sostenerse la acción que se proponen entablar los solicitantes de amparo.</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El 11 de octubre de 1984 el Procurador señor Rueda López dirige escrito al Tribunal Constitucional en nombre del Letrado designado en segundo lugar en turno de oficio por el Consejo General de la Abogacía por el que manifiesta que de acuerdo con los antecedentes estudiados, las pretensiones carecen de base suficiente. Por su parte, el Presidente del antedicho Consejo remite el 29 de octubre de 1984 dictamen emitido por el Letrado señor Domingo Rives, en el que no estima viable el recurso intentado por los recurrentes, </w:t>
      </w:r>
      <w:r>
        <w:lastRenderedPageBreak/>
        <w:t>al no apreciarse vulneración alguna del art. 24 de la C. E. y no haberse agotado todos los recursos utilizables dentro de la vía judicial.</w:t>
      </w:r>
    </w:p>
    <w:p w:rsidR="00256EE9" w:rsidRDefault="00256EE9" w:rsidP="00256EE9">
      <w:pPr>
        <w:pStyle w:val="TextoNormal"/>
      </w:pPr>
    </w:p>
    <w:p w:rsidR="00256EE9" w:rsidRDefault="00256EE9" w:rsidP="00256EE9">
      <w:pPr>
        <w:pStyle w:val="TextoNormal"/>
      </w:pPr>
      <w:r w:rsidRPr="00256EE9">
        <w:rPr>
          <w:rStyle w:val="NumeroAFNegritaCaracter"/>
        </w:rPr>
        <w:t>8</w:t>
      </w:r>
      <w:r>
        <w:t>. Por providencia de 7 de noviembre de 1984, la Sección acuerda dar traslado de los dictámenes anteriores al Ministerio Fiscal para que en el plazo de seis días emita el que resulta preceptivo de acuerdo con el artículo 39 de la L. E. C.</w:t>
      </w:r>
    </w:p>
    <w:p w:rsidR="00256EE9" w:rsidRDefault="00256EE9" w:rsidP="00256EE9">
      <w:pPr>
        <w:pStyle w:val="TextoNormal"/>
      </w:pPr>
    </w:p>
    <w:p w:rsidR="00256EE9" w:rsidRDefault="00256EE9" w:rsidP="00256EE9">
      <w:pPr>
        <w:pStyle w:val="TextoNormal"/>
      </w:pPr>
      <w:r w:rsidRPr="00256EE9">
        <w:rPr>
          <w:rStyle w:val="NumeroAFNegritaCaracter"/>
        </w:rPr>
        <w:t>9</w:t>
      </w:r>
      <w:r>
        <w:t>. El Ministerio Fiscal, en escrito de 19 de noviembre de 1984, manifiesta que el escrito de los recurrentes no reúne los requisitos de un recurso de amparo, ni se precisa contra qué resolución judicial o administrativa se interpone, ni constan los recursos que se han interpuesto, por lo que estima procedente se dé vista a los recurrentes para que aporten la documentación precisa, y una vez recibida y completada la documentación se dictaminará.</w:t>
      </w:r>
    </w:p>
    <w:p w:rsidR="00256EE9" w:rsidRDefault="00256EE9" w:rsidP="00256EE9">
      <w:pPr>
        <w:pStyle w:val="TextoNormal"/>
      </w:pPr>
    </w:p>
    <w:p w:rsidR="00256EE9" w:rsidRDefault="00256EE9" w:rsidP="00256EE9">
      <w:pPr>
        <w:pStyle w:val="TextoNormal"/>
      </w:pPr>
      <w:r w:rsidRPr="00256EE9">
        <w:rPr>
          <w:rStyle w:val="NumeroAFNegritaCaracter"/>
        </w:rPr>
        <w:t>10</w:t>
      </w:r>
      <w:r>
        <w:t>. Por providencia de 29 de noviembre de 1984, la Sección acuerda requerir a los recurrentes para que en el plazo de diez días presenten escrito en el que se determine la resolución contra la que se interpone el recurso de amparo, así como los recursos interpuestos, con aportación de la resolución impugnada y de las recaídas, en su caso, en los recursos previos.</w:t>
      </w:r>
    </w:p>
    <w:p w:rsidR="00256EE9" w:rsidRDefault="00256EE9" w:rsidP="00256EE9">
      <w:pPr>
        <w:pStyle w:val="TextoNormal"/>
      </w:pPr>
    </w:p>
    <w:p w:rsidR="00256EE9" w:rsidRDefault="00256EE9" w:rsidP="00256EE9">
      <w:pPr>
        <w:pStyle w:val="TextoNormal"/>
      </w:pPr>
      <w:r w:rsidRPr="00256EE9">
        <w:rPr>
          <w:rStyle w:val="NumeroAFNegritaCaracter"/>
        </w:rPr>
        <w:t>11</w:t>
      </w:r>
      <w:r>
        <w:t>. El 5 de diciembre de 1984 los demandantes manifiestan que carecen de otros documentos a los ya acompañados al escrito inicial, sin que haya recibido notificación alguna de la resolución del Juzgado de Instrucción núm. 22 de Madrid, en las diligencias previas abiertas con motivo de la denuncia interpuesta contra el Abogado de referencia, por percepción indebida. Acompañan copia del escrito por el que el Procurador señor Gandarillas, en nombre de don Juan Hernández-Canut solicita del Juzgado de Distrito núm. 9 de Madrid la celebración de acto de conciliación con los ahora demandantes, por un presunto delito de calumnia.</w:t>
      </w:r>
    </w:p>
    <w:p w:rsidR="00256EE9" w:rsidRDefault="00256EE9" w:rsidP="00256EE9">
      <w:pPr>
        <w:pStyle w:val="TextoNormal"/>
      </w:pPr>
    </w:p>
    <w:p w:rsidR="00256EE9" w:rsidRDefault="00256EE9" w:rsidP="00256EE9">
      <w:pPr>
        <w:pStyle w:val="TextoNormal"/>
      </w:pPr>
      <w:r w:rsidRPr="00256EE9">
        <w:rPr>
          <w:rStyle w:val="NumeroAFNegritaCaracter"/>
        </w:rPr>
        <w:t>12</w:t>
      </w:r>
      <w:r>
        <w:t>. Acordado por nueva providencia de 12 de diciembre de 1984 el traslado al Ministerio Fiscal de los precedentes escritos, a fin de que manifieste si ejercita o no la acción de amparo en defensa de los recurrentes, estima el Ministerio Fiscal, que no concurren los elementos formales ni materiales para el ejercicio de la acción precedente, ya que el recurso se interpone contra la resolución del Juzgado de Instrucción núm. 22 de Madrid que decretó archivo de las diligencias previas incoadas por denuncia de los recurrentes, por falta de contenido penal de los hechos denunciados, sin que haya habido en momento alguno actividad de los recurrentes que permita ahora acudir a la vía de amparo. Tampoco se puede apreciar falta de tutela judicial efectiva, ya que ha existido acceso al proceso, obteniendo una respuesta, aunque la misma no sea la solicitada ni interesada por el denunciante.</w:t>
      </w:r>
    </w:p>
    <w:p w:rsidR="00256EE9" w:rsidRDefault="00256EE9" w:rsidP="00256EE9">
      <w:pPr>
        <w:pStyle w:val="TextoNormal"/>
      </w:pPr>
    </w:p>
    <w:p w:rsidR="00256EE9" w:rsidRDefault="00256EE9" w:rsidP="00256EE9">
      <w:pPr>
        <w:pStyle w:val="TextoNormal"/>
      </w:pPr>
      <w:r w:rsidRPr="00256EE9">
        <w:rPr>
          <w:rStyle w:val="NumeroAFNegritaCaracter"/>
        </w:rPr>
        <w:t>13</w:t>
      </w:r>
      <w:r>
        <w:t>. Por providencia de 10 de enero de 1985, la Sección acuerda dejar sin efecto la defensa gratuita de los recurrentes requiriéndose a los mismos para que se personen si les interesa en el procedimiento en el plazo de diez días, con Abogado y Procurador a su cargo.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14</w:t>
      </w:r>
      <w:r>
        <w:t>. El señor Sanz Núñez, por escrito de 19 de enero de 1985, solicita una prórroga del plazo concedido para efectuar la personación asistido de Letrado, que le es concedido con carácter improrrogable y por el término de diez días por providencia de 30 de enero de 1985.</w:t>
      </w:r>
    </w:p>
    <w:p w:rsidR="00256EE9" w:rsidRDefault="00256EE9" w:rsidP="00256EE9">
      <w:pPr>
        <w:pStyle w:val="TextoNormal"/>
      </w:pPr>
    </w:p>
    <w:p w:rsidR="00256EE9" w:rsidRDefault="00256EE9" w:rsidP="00256EE9">
      <w:pPr>
        <w:pStyle w:val="TextoNormal"/>
      </w:pPr>
      <w:r w:rsidRPr="00256EE9">
        <w:rPr>
          <w:rStyle w:val="NumeroAFNegritaCaracter"/>
        </w:rPr>
        <w:t>15</w:t>
      </w:r>
      <w:r>
        <w:t>. El 7 de febrero de 1985 el señor Sanz Núñez se dirige a este Tribunal Constitucional manifestando las dificultades que encuentra para verse asistido en su reclamación por Letrado y Procurador de su elección, por lo que solicita de este Tribunal lo que en justicia proceda.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256EE9" w:rsidRDefault="00256EE9" w:rsidP="00256EE9">
      <w:pPr>
        <w:pStyle w:val="TextoNormal"/>
      </w:pPr>
    </w:p>
    <w:p w:rsidR="00256EE9" w:rsidRDefault="00256EE9" w:rsidP="00256EE9">
      <w:pPr>
        <w:pStyle w:val="TextoNormal"/>
      </w:pPr>
      <w:r w:rsidRPr="00256EE9">
        <w:rPr>
          <w:rStyle w:val="NumeroAFNegritaCaracter"/>
        </w:rPr>
        <w:t>2</w:t>
      </w:r>
      <w:r>
        <w:t>. En el presente caso, en que los demandantes de amparo habían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los recurrentes y pronunciarse en el mismo sentido los Letrados designados para dictaminar sobre la cuestión, así como el Ministerio Fiscal, la Sección procedió a dejar sin efecto la defensa acordada por pobre y requerir a los demandantes para que se personasen con Abogado y Procurador a su cargo.</w:t>
      </w:r>
    </w:p>
    <w:p w:rsidR="00256EE9" w:rsidRDefault="00256EE9" w:rsidP="00256EE9">
      <w:pPr>
        <w:pStyle w:val="TextoNormal"/>
      </w:pPr>
    </w:p>
    <w:p w:rsidR="00256EE9" w:rsidRDefault="00256EE9" w:rsidP="00256EE9">
      <w:pPr>
        <w:pStyle w:val="TextoNormal"/>
      </w:pPr>
      <w:r w:rsidRPr="00256EE9">
        <w:rPr>
          <w:rStyle w:val="NumeroAFNegritaCaracter"/>
        </w:rPr>
        <w:t>3</w:t>
      </w:r>
      <w:r>
        <w:t>. En estas circunstancias la no comparecencia de los solicitantes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anteriormente expuesto, la Sección acuerda estimar producida la extinción del proceso abierto por el escrito de demanda de amparo de don Julio Sanz Núñez y doña Amelia Alba Guijarro, y el archivo de las actuaciones.</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4" w:name="AUTO_1985_113"/>
      <w:r>
        <w:lastRenderedPageBreak/>
        <w:t>AUTO 113/1985, de 20 de febrero de 1985</w:t>
      </w:r>
    </w:p>
    <w:bookmarkEnd w:id="174"/>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ECLI:ES:TC:1985:113A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516/1984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5" w:name="AUTO_1985_114"/>
      <w:r>
        <w:lastRenderedPageBreak/>
        <w:t>AUTO 114/1985, de 20 de febrero de 1985</w:t>
      </w:r>
    </w:p>
    <w:bookmarkEnd w:id="175"/>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ECLI:ES:TC:1985:114A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579/1984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6" w:name="AUTO_1985_115"/>
      <w:r>
        <w:lastRenderedPageBreak/>
        <w:t>AUTO 115/1985, de 20 de febrero de 1985</w:t>
      </w:r>
    </w:p>
    <w:bookmarkEnd w:id="176"/>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ECLI:ES:TC:1985:115A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580/1984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7" w:name="AUTO_1985_116"/>
      <w:r>
        <w:lastRenderedPageBreak/>
        <w:t>AUTO 116/1985, de 20 de febrero de 1985</w:t>
      </w:r>
    </w:p>
    <w:bookmarkEnd w:id="177"/>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ECLI:ES:TC:1985:116A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648/1984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Eduardo Morales Price, en nombre de don Carlos Antonio Suárez Mendoza, formula recurso de amparo por escrito de demanda que tuvo entrada en el Registro General el día 24 de agosto de 1984 contra las Sentencias de la Sala Sexta del Tribunal Supremo de 10 de julio de 1984, dictadas en el recurso de casación núm. 230/1984 interpuesto por la Entidad Mercantil «Marítima Petrolquímica, S. A.», contra la Sentencia dictada por la Magistratura de Trabajo núm. 2 de Las Palmas de Gran Canaria en el juicio laboral sobre reclamación de salarios núm. 85 de 1982, seguido a instancia del recurrente en amparo contra la referida Empresa. </w:t>
      </w:r>
    </w:p>
    <w:p w:rsidR="00256EE9" w:rsidRDefault="00256EE9" w:rsidP="00256EE9">
      <w:pPr>
        <w:pStyle w:val="TextoNormal"/>
      </w:pPr>
      <w:r>
        <w:t>La pretensión del recurrente se formula para que se dicte Sentencia que declare la nulidad de las Sentencias de la Sala Sexta del Tribunal Supremo de 10 de julio de 1984 (recurso de casación núm. 230 de 1984), por implicar las mismas una violación del derecho de la igualdad ante la Ley.</w:t>
      </w:r>
    </w:p>
    <w:p w:rsidR="00256EE9" w:rsidRDefault="00256EE9" w:rsidP="00256EE9">
      <w:pPr>
        <w:pStyle w:val="TextoNormal"/>
      </w:pPr>
    </w:p>
    <w:p w:rsidR="00256EE9" w:rsidRDefault="00256EE9" w:rsidP="00256EE9">
      <w:pPr>
        <w:pStyle w:val="TextoNormal"/>
      </w:pPr>
      <w:r w:rsidRPr="00256EE9">
        <w:rPr>
          <w:rStyle w:val="NumeroAFNegritaCaracter"/>
        </w:rPr>
        <w:t>2</w:t>
      </w:r>
      <w:r>
        <w:t>. Los hechos a los que se contrae la demanda son, en resumen, los siguientes: a) el día 12 de enero de 1982 el recurrente en amparo formuló demanda ante la Magistratura de Trabajo de Las Palmas de Gran Canaria contra «Marítima Petrolquímica, S. A.», Entidad en la que presta servicios como primer oficial de puente, en reclamación de 1.761.326 pesetas, cantidad a la que asciende la diferencia entre la retribución que dicha Entidad le abonó por las horas extraordinarias realizadas durante el periodo de diciembre de 1980 a octubre de 1981 y la suma que se le debía haber abonado si se hubiese aplicado el incremento o porcentaje de recargo (75 por 100) que para tal tipo de horas fija el art. 35.1 del Estatuto de los Trabajadores; b) la Magistratura de Trabajo núm. 2 de Las Palmas de Gran Canaria dictó Sentencia, con fecha 30 de mayo de 1983, que condenaba a la Empresa demandada al pago de la suma referida, estableciendo que el incremento del 75 por 100 previsto en el art. 35.1 del Estatuto de los Trabajadores tenía carácter imperativo; c) contra la indicada Sentencia la empresa demandada interpuso recurso de casación ante la Sala Sexta del Tribunal Supremo sosteniendo que era de aplicación la Orden ministerial de 21 de diciembre de 1976 que modificó el art. 116 de la Ordenanza de Trabajo para la Marina Mercante de 20 de mayo de 1969, y la parte recurrente en amparo sostuvo que tal interpretación vulneraría el art. 14 de la C. E. por discriminación de un sector de trabajadores, privándoles del derecho a percibir por .las horas extraordinarias que realizan una remunera</w:t>
      </w:r>
      <w:r>
        <w:lastRenderedPageBreak/>
        <w:t>ción igual a la que la Ley prevé para toda la población trabajadora; d) el Tribunal Supremo, en Sentencias notificadas el día 31 de julio de 1984, estima el recurso en la primera de las Sentencias anulando la Sentencia dictada por la Magistratura y en la segunda Sentencia desestima la demanda en su día interpuesta por el solicitante del amparo.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Después de analizar los fundamentos procesales del recurso, la parte recurrente estima que las Sentencias de la Sala Sexta del Tribunal Supremo al considerar como no aplicable a los trabajadores de la Marina Mercante el inciso final del art. 35.1 del Estatuto de los Trabajadores está infringiendo el principio de igualdad ante la Ley. </w:t>
      </w:r>
    </w:p>
    <w:p w:rsidR="00256EE9" w:rsidRDefault="00256EE9" w:rsidP="00256EE9">
      <w:pPr>
        <w:pStyle w:val="TextoNormal"/>
      </w:pPr>
      <w:r>
        <w:t>A juicio de la parte solicitante del amparo las especialidades de las tareas en el mar pueden dar lugar a disposiciones como el Real Decreto 2001/1983, de 28 de julio, que constituye una regulación especial en cuanto a la duración de la jornada y al régimen de descansos, pero para evitar trato discriminatorio, las horas extraordinarias han de abonarse en la misma forma establecida que para el resto de los trabajadores, esto es, con el 75 por 100 de incremento sobre el valor de la hora ordinaria.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Primera de la Sala Primera de este Tribunal acordó, en providencia de 3 de octubre de 1984, tener por interpuesto recurso de amparo por don Carlos Antonio Suárez Mendoza y por personado y parte en nombre y representación del mismo al Procurador señor Morales Price. </w:t>
      </w:r>
    </w:p>
    <w:p w:rsidR="00256EE9" w:rsidRDefault="00256EE9" w:rsidP="00256EE9">
      <w:pPr>
        <w:pStyle w:val="TextoNormal"/>
      </w:pPr>
      <w:r>
        <w:t>A tenor del art. 50 de la Ley Orgánica del Tribunal Constitucional, la Sección acordó conceder un plazo de diez días al solicitante del amparo y al Ministerio Fiscal para que alegaran lo procedente sobre el motivo de inadmisión previsto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Ministerio Fiscal, por escrito de 18 de octubre de 1984, formuló, en síntesis, las siguientes alegaciones: </w:t>
      </w:r>
    </w:p>
    <w:p w:rsidR="00256EE9" w:rsidRDefault="00256EE9" w:rsidP="00256EE9">
      <w:pPr>
        <w:pStyle w:val="TextoNormal"/>
      </w:pPr>
      <w:r>
        <w:t xml:space="preserve">a) No era de aplicación al caso planteado el genérico Decreto de ordenación de salarios, ni la Orden de 29 de noviembre de 1973, dictada en desarrollo del Decreto sino la específica de la Marina Mercante de 20 de mayo de 1969, y Orden de 21 de diciembre de 1976, que actualizó la tabla del Anexo 5 y fijó el valor alzado de la hora extraordinaria. </w:t>
      </w:r>
    </w:p>
    <w:p w:rsidR="00256EE9" w:rsidRDefault="00256EE9" w:rsidP="00256EE9">
      <w:pPr>
        <w:pStyle w:val="TextoNormal"/>
      </w:pPr>
      <w:r>
        <w:t xml:space="preserve">Tan claro razonamiento justificativo de la existencia de disciplinas normativas diferentes, si existe base razonable para ello como en el caso cuestionado en el recurso, no constituye vulneración del principio de igualdad constitucionalizado en el art. 14 de la Constitución. </w:t>
      </w:r>
    </w:p>
    <w:p w:rsidR="00256EE9" w:rsidRDefault="00256EE9" w:rsidP="00256EE9">
      <w:pPr>
        <w:pStyle w:val="TextoNormal"/>
      </w:pPr>
      <w:r>
        <w:t xml:space="preserve">b) La jurisprudencia constitucional es clara, constante y reiterada sobre el principio de igualdad, en el sentido de que no se vulnera cuando se aplican normas específicas y diferenciadoras a situaciones de hecho distintas, de manera razonable y no arbitraria. </w:t>
      </w:r>
    </w:p>
    <w:p w:rsidR="00256EE9" w:rsidRDefault="00256EE9" w:rsidP="00256EE9">
      <w:pPr>
        <w:pStyle w:val="TextoNormal"/>
      </w:pPr>
      <w:r>
        <w:t xml:space="preserve">El principio no queda vulnerado, según la Sentencia de 16 de enero de 1984 (R. A. 68/1983) si se da un tratamiento diferente a situaciones que también lo son, es decir, si la diferencia de tratamiento está justificada, por resultar razonable y no ofrecer, por consiguiente, carácter discriminatorio. </w:t>
      </w:r>
    </w:p>
    <w:p w:rsidR="00256EE9" w:rsidRDefault="00256EE9" w:rsidP="00256EE9">
      <w:pPr>
        <w:pStyle w:val="TextoNormal"/>
      </w:pPr>
      <w:r>
        <w:t xml:space="preserve">c) La demanda de amparo, en suma, carece manifiestamente de contenido constitucional e incide en la causa de inadmisión del art. 50.2 b) de la LOTC. </w:t>
      </w:r>
    </w:p>
    <w:p w:rsidR="00256EE9" w:rsidRDefault="00256EE9" w:rsidP="00256EE9">
      <w:pPr>
        <w:pStyle w:val="TextoNormal"/>
      </w:pPr>
      <w:r>
        <w:t>El Fiscal interesa del Tribunal Constitucional que dicte Auto acordando la inadmisión del recurso de amparo interpuesto, de conformidad con los arts. 86.1 y 50.2 b) de su Ley Orgánica.</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Don Eduardo Morales Price, Procurador en nombre de don Carlos A. Suárez Mendoza, formula por escrito de 19 de octubre de 1984, los siguientes razonamientos, de modo resumido: </w:t>
      </w:r>
    </w:p>
    <w:p w:rsidR="00256EE9" w:rsidRDefault="00256EE9" w:rsidP="00256EE9">
      <w:pPr>
        <w:pStyle w:val="TextoNormal"/>
      </w:pPr>
      <w:r>
        <w:t xml:space="preserve">a) Aclarado el error de cita del art. 9 de la C. E. y entrando ya en la cuestión que se plantea en la providencia de 3 de octubre de 1984, esta parte reitera que la petición de amparo constitucional posee el suficiente contenido como para ser merecedora de un pronunciamiento sobre el fondo por parte del Tribunal, ya que la Sentencia de la Sala Sexta del Tribunal Supremo, objeto de recurso, constituye una violación del referido principio de igualdad ante la Ley al venir a concluir que el incremento mínimo del 75 por 100 sobre el salario de la hora ordinaria fijado como retribución de la hora extraordinaria por el art. 35.1 del Estatuto de los Trabajadores no es de aplicación a las horas extraordinarias prestadas por los trabajadores de la Marina Mercante, a los cuales, según dicha Sentencia, cabe retribuirle dichas horas con un incremento inferior al fijado en el expresado precepto estatutario. </w:t>
      </w:r>
    </w:p>
    <w:p w:rsidR="00256EE9" w:rsidRDefault="00256EE9" w:rsidP="00256EE9">
      <w:pPr>
        <w:pStyle w:val="TextoNormal"/>
      </w:pPr>
      <w:r>
        <w:t xml:space="preserve">b) Este Tribunal, en Sentencia núm. 31/1984, de 7 de marzo, dictada en el recurso de amparo núm. 324/1983, ha reconocido que la fijación por la Ley de minimos salariales (y no otra cosa es lo que hace el art. 35.1 del Estatuto de los Trabajadores) constituye una forma de hacer efectivo el principio de igualdad ante la Ley, y su evidente aplicación al caso que nos ocupa no merece más comentario que el destacar que, salvo que se mantenga que el trabajo en la Marina Mercante no tiene «igual valor» que el del resto de los sectores laborales, no se puede sostener la tesis de que la retribución mínima fijada en el Estatuto de los Trabajadores (art. 35.1 ) por las horas extraordinarias, no es de aplicación a los hombres del mar. </w:t>
      </w:r>
    </w:p>
    <w:p w:rsidR="00256EE9" w:rsidRDefault="00256EE9" w:rsidP="00256EE9">
      <w:pPr>
        <w:pStyle w:val="TextoNormal"/>
      </w:pPr>
      <w:r>
        <w:t>La parte recurrente solicita que se admita a trámite 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Este Auto tiene por objeto determinar si concurre en el presente recurso el motivo de inadmisión señalado en nuestra providencia de 3 de octubre de 1984, consistente en carecer la demanda manifiestamente de contenido que justifique una decisión por parte del Tribunal Constitucional [art.  50.2 b) de la LOTC], en el sentido de poder resolverse la cuestión planteada en trámite de inadmisión, sin que sea necesario continuar el procedimiento hasta la decisión por Sentencia.</w:t>
      </w:r>
    </w:p>
    <w:p w:rsidR="00256EE9" w:rsidRDefault="00256EE9" w:rsidP="00256EE9">
      <w:pPr>
        <w:pStyle w:val="TextoNormal"/>
      </w:pPr>
    </w:p>
    <w:p w:rsidR="00256EE9" w:rsidRDefault="00256EE9" w:rsidP="00256EE9">
      <w:pPr>
        <w:pStyle w:val="TextoNormal"/>
      </w:pPr>
      <w:r w:rsidRPr="00256EE9">
        <w:rPr>
          <w:rStyle w:val="NumeroAFNegritaCaracter"/>
        </w:rPr>
        <w:t>2</w:t>
      </w:r>
      <w:r>
        <w:t>. El recurrente, Oficial de la Marina Mercante, entiende que las Sentencias impugnadas vulneran el art.  14 de la Constitución por cuanto no le reconocen el derecho al abono de las horas extraordinarias en la cuantía prevista para los demás trabajadores en el art.  35.1 del E.T.  y le aplican, en cambio, lo previsto en la normativa especial para el trabajo en el mar, que le supone una cifra inferior. Para apreciar si ha existido o no vulneración del principio de igualdad conviene recordar que, como reiteradas veces ha declarado este Tribunal, dicho principio se vulnera cuando se da un tratamiento diferente a situaciones sustancialmente iguales, pero no cuando el trato desigual tiene una justificación razonable por la diferencia de las situaciones contempladas.  La cuestión, por tanto, se resuelve en determinar si las condiciones de trabajo en el mar, especialmente respecto a la prestación de horas extraordinarias, suponen una situación distinta a la que tienen el resto de los trabajadores sometidos a la legislación general.</w:t>
      </w:r>
    </w:p>
    <w:p w:rsidR="00256EE9" w:rsidRDefault="00256EE9" w:rsidP="00256EE9">
      <w:pPr>
        <w:pStyle w:val="TextoNormal"/>
      </w:pPr>
      <w:r>
        <w:lastRenderedPageBreak/>
        <w:t>Tal diferencia ha sido reconocida en forma explícita por el mismo convenio de la Marina Mercante, homologado el 14 de marzo de 1980, en cuyo art.  17 se dice que «en la Marina Mercante la naturaleza de la hora extraordinaria no se puede definir ni distinguir especialmente, dado que la misma se produce por contingencias habituales en la navegación, imprevisibles en la mayor parte de los casos, y, además, no pueden reducirse como se podría hacer en los trabajos de tierra».  Estas circunstancias justifican claramente la posibilidad de que el régimen de las horas extraordinarias de trabajo en el mar tengan un régimen especial, sin que se produzca una vulneración de la igualdad consagrada en el art.  14 de la Constitución.</w:t>
      </w:r>
    </w:p>
    <w:p w:rsidR="00256EE9" w:rsidRDefault="00256EE9" w:rsidP="00256EE9">
      <w:pPr>
        <w:pStyle w:val="TextoNormal"/>
      </w:pPr>
    </w:p>
    <w:p w:rsidR="00256EE9" w:rsidRDefault="00256EE9" w:rsidP="00256EE9">
      <w:pPr>
        <w:pStyle w:val="TextoNormal"/>
      </w:pPr>
      <w:r w:rsidRPr="00256EE9">
        <w:rPr>
          <w:rStyle w:val="NumeroAFNegritaCaracter"/>
        </w:rPr>
        <w:t>3</w:t>
      </w:r>
      <w:r>
        <w:t>. De todo lo expuesto resulta que concurre en el presente recurso el motivo de inadmisión señalado en la providencia citada en un principio, es decir, la ausencia manifiesta de contenido que justifique una decisión por Sentencia de este Tribunal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no admisión del recurso, y el archivo de las actuaciones.</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8" w:name="AUTO_1985_117"/>
      <w:r>
        <w:lastRenderedPageBreak/>
        <w:t>AUTO 117/1985, de 20 de febrero de 1985</w:t>
      </w:r>
    </w:p>
    <w:bookmarkEnd w:id="17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ECLI:ES:TC:1985:117A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697/1984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Doña Paloma Tapia Gutiérrez, Procuradora de los Tribunales, interpone en nombre y representación de don Lucas Cascón Santos recurso de amparo constitucional contra la Sentencia dictada por la Magistratura de Trabajo núm. 3 de las de León, en fecha 12 de diciembre de 1977, en Autos acumulados núms. 110 y 2231/1977, seguidos ante la misma a instancia de la extinguida Mutualidad Laboral de Alimentación y Bebidas contra el actor y a instancia de éste contra aquélla, sobre declaración y prestaciones por invalidez permanente derivada de enfermedad común, así como contra los Autos del Tribunal Central de Trabajo de 30 de mayo de 1984, que declaró la improcedencia, por razón de la cuantía, del recurso de «suplicación» formalizado contra la citada Sentencia y de 30 de junio de ese mismo año, desestimatorio del recurso de súplica promovido contra el anterior. La pretensión que se postula se apoya en los siguientes hechos: a) El 13 de enero de 1977, la Inspección de Servicios Sanitarios de la Seguridad Social de León formuló informe-propuesta de invalidez permanente en favor del actor, el cual solicitó del Instituto Nacional de la Seguridad Social ( 1. N. S. S.) la iniciación de actuaciones por parte de la Comisión Técnica Calificadora Provincial con vistas a la oportuna declaración de la situación de invalidez y al reconocimiento de las prestaciones correspondientes. b) En fecha 19 de abril de 1977, la citada Comisión dictó resolución desestimando la solicitud. Interpuesto recurso de alzada, la Comisión Técnica Calificadora Central, por Resolución de 28 de septiembre de ese mismo año, declaró al demandante afecto de invalidez permanente en grado total para el ejercicio de la profesión habitual, reconociéndole el derecho a percibir una pensión vitalicia de 5.386,34 pesetas. c) Contra la anterior resolución, el hoy recurrente en amparo dedujo demanda ante la jurisdicción ordinaria del orden laboral, solicitando la declaración de invalidez absoluta y el derecho a percibir una pensión equivalente al 100 por 100 de la base reguladora, cifrada en 166.440 pesetas. De su lado, la Mutualidad Laboral de Alimentación y Bebidas, parte demandada, impugnó ante la jurisdicción laboral la resolución dictada por la Comisión Técnica Calificadora Central, estimando que el señor Cascón Santos no tenía cubierto el período de carencia mínimo exigido para percibir la pensión reconocida. d) Acumulados ambos procesos, la Magistratura de Trabajo núm. 3 de las de León dictó Sentencia el 12 de diciembre de 1977 en la que, estimando la demanda presentada por la indicada Mutualidad laboral, declaró al señor Cascón Santos afecto a una situación de invalidez permanente «que le incapacita absolutamente para todo trabajo, sin derecho a prestación económica». e) En fecha 26 de febrero de 1979, la representación del señor </w:t>
      </w:r>
      <w:r>
        <w:lastRenderedPageBreak/>
        <w:t>Cascón Santos formalizó recurso de suplicación contra la Sentencia de instancia alegando, entre otros motivos, error de hecho en la apreciación de la prueba demostrado en los documentos obrantes en Autos de los que se infería que el actor había cotizado un total de dos mil ciento setenta días a la Mutualidad Nacional Agraria de la Seguridad Social que, sumados a los reconocidos en la resolución impugnada, arrojaban un período de cotización muy superior al mínimo establecido para tener derecho a la prestación económica por invalidez absoluta, que le fue denegada precisamente por no tener cubierto el indicado período de carencia. f) Por Auto de 30 de mayo de 1984, el Tribunal Central de Trabajo declaró la inadmisión por razón de la cuantía del recurso de suplicación, considerando que si lo solicitado en la demanda era una pensión del 100 por 100 de la base reguladora de 166.440 pesetas anuales, como lo que tiene concedido es una pensión de 5.386,34 pesetas al mes, «la diferencia entre ambas pensiones -cuantía real de la demanda- tampoco alcanza el mínimo de las 100.000 pesetas». Planteado recurso de súplica contra la anterior resolución, el Tribunal Central de Trabajo por Auto de 30 de junio de 1984 lo desestimó.</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escrito de demanda denuncia la violación por las resoluciones impugnadas del art. 24.1 de la Constitución Española (C. E.), la Sentencia de instancia habría vulnerado el derecho a la defensa consagrado en el citado precepto constitucional en razón de no acogerse toda la prueba practicada en el juicio, que acreditaba de manera indubitada que el actor, a lo largo de su vida laboral, cotizó por un total de cinco mil doscientos cuarenta y siete días, periodo muy superior al de carencia exigible. Los Autos impugnados, de su lado, infringen el mencionado derecho por inadmitir el recurso de suplicación sin fundamento legal razonable. Se arguye que al solicitarse en la demanda una declaración de invalidez absoluta, con derecho a una pensión equivalente al 100 por 100 de la base reguladora de 166.440 pesetas anuales, es ésta la cuantía litigiosa, sin que quepa alegar de contrario que la cuantía real es la diferencia entre la prestación reconocida y la postulada, pues «al declararse en la Sentencia la invalidez absoluta, sin derecho a prestaciones, la única petición que prevalece en el asunto es la estimada por la Sentencia de la Mutualidad Laboral de Alimentación y Bebidas. </w:t>
      </w:r>
    </w:p>
    <w:p w:rsidR="00256EE9" w:rsidRDefault="00256EE9" w:rsidP="00256EE9">
      <w:pPr>
        <w:pStyle w:val="TextoNormal"/>
      </w:pPr>
      <w:r>
        <w:t>En el «suplico», se solicita de este Tribunal que decrete la nulidad de las resoluciones impugnadas, reponiendo las actuaciones al momento de dictarse Sentencia por el juzgador de instancia.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21 de noviembre de 1984, la Sección acordó tener por interpuesto el recurso de amparo y conceder un plazo común de diez días al Ministerio Fiscal y al solicitante de amparo para que, dentro de dicho término, alegasen lo pertinente en relación con la posible existencia del motivo de inadmisión consistente en carecer la demanda manifiestamente de contenido que justifique una decisión por parte de este Tribunal [art. 50.2 b) de la Ley Orgánica del Tribunal Constitucional -LOTC-]. </w:t>
      </w:r>
    </w:p>
    <w:p w:rsidR="00256EE9" w:rsidRDefault="00256EE9" w:rsidP="00256EE9">
      <w:pPr>
        <w:pStyle w:val="TextoNormal"/>
      </w:pPr>
      <w:r>
        <w:t xml:space="preserve">a) Evacuando el trámite, el Ministerio Fiscal señala, respecto a los Autos de 30 de mayo y de 30 de junio de 1984, que estas resoluciones razonan de forma fundada y no arbitraria la improcedencia del recurso de suplicación por no alcanzar la cuantía del litigio el mínimo establecido, por lo que, al no consagrar la Constitución la doble instancia, los Autos de inadmisión interpretan la legalidad, sin producir indefensión. </w:t>
      </w:r>
    </w:p>
    <w:p w:rsidR="00256EE9" w:rsidRDefault="00256EE9" w:rsidP="00256EE9">
      <w:pPr>
        <w:pStyle w:val="TextoNormal"/>
      </w:pPr>
      <w:r>
        <w:t>En cuanto a la impugnación de la Sentencia de 12 de diciembre de 1977, el Fiscal ante el Tribunal Constitucional señala no existir la violación denunciada, ya que el recurrente tuvo acceso al proceso y su pretensión fue examinada, sustanciada y decidida bajo el prin</w:t>
      </w:r>
      <w:r>
        <w:lastRenderedPageBreak/>
        <w:t xml:space="preserve">cipio de contradicción mediante una resolución de fondo, sin que el amparo sirva para verificar la apreciación de los hechos. </w:t>
      </w:r>
    </w:p>
    <w:p w:rsidR="00256EE9" w:rsidRDefault="00256EE9" w:rsidP="00256EE9">
      <w:pPr>
        <w:pStyle w:val="TextoNormal"/>
      </w:pPr>
      <w:r>
        <w:t xml:space="preserve">En razón de lo expuesto, se interesa de este Tribunal dicte Auto declarando la inadmisión de la demanda por concurrir la causa prevista en el art. 50.2 b) de la LOTC. </w:t>
      </w:r>
    </w:p>
    <w:p w:rsidR="00256EE9" w:rsidRDefault="00256EE9" w:rsidP="00256EE9">
      <w:pPr>
        <w:pStyle w:val="TextoNormal"/>
      </w:pPr>
      <w:r>
        <w:t>b) En su escrito de alegaciones, el recurrente manifiesta que el recurso trae su fundamento «en una Sentencia errónea» y en unos «Autos injustos» que aplican indebidamente una norma no vigente al tiempo de formalizarse el recurso de suplicación. Este, se indica, «se formalizó por escrito de 26 de febrero de 1977» y el Real Decreto-ley de 7 de junio de 1978 «no entró en vigor hasta el 9 de junio siguiente», fecha en que se publicó en el «Boletín Oficial del Estado», de modo que la «trascendencia de la cuantía está por encima de cualquier otra consideración». El recurrente concluye su escrito de alegaciones solicitando de este Tribunal dicte resolución por la que acuerde la prosecución del trámite del recurso hasta su decisión por Sentencia.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Pese a que la parte recurrente alega un único precepto constitucional infringido, cual es el art.  24 de la C. E., la circunstancia de combatir con el presente recurso resoluciones judiciales distintas no sólo en cuanto a su procedencia sino además y sobre todo en cuanto a su alcance y contenido aconseja llevar a cabo un examen separado de las mismas, siendo conveniente comenzar por las pronunciadas por el Tribunal Central de Trabajo, no sin antes efectuar algunas observaciones en orden a la concreción del petitum, formulado en términos que acusan una clara imprecisión, pues se impugna, en efecto, la Sentencia de instancia y los Autos del Tribunal Central de Trabajo, aquélla y éstos con fundamentos distintos, y con un planteamiento procesalmente coherente en la identificación de los actos recurridos hubiera exigido interesar de este Tribunal la nulidad de todos ellos y no sólo, como se hace, de la resolución dictada por Magistratura de Trabajo, pero pese a estas imprecisiones, estimaremos que la pretensión de nulidad de los Autos va implícita en esa otra.</w:t>
      </w:r>
    </w:p>
    <w:p w:rsidR="00256EE9" w:rsidRDefault="00256EE9" w:rsidP="00256EE9">
      <w:pPr>
        <w:pStyle w:val="TextoNormal"/>
      </w:pPr>
    </w:p>
    <w:p w:rsidR="00256EE9" w:rsidRDefault="00256EE9" w:rsidP="00256EE9">
      <w:pPr>
        <w:pStyle w:val="TextoNormal"/>
      </w:pPr>
      <w:r w:rsidRPr="00256EE9">
        <w:rPr>
          <w:rStyle w:val="NumeroAFNegritaCaracter"/>
        </w:rPr>
        <w:t>2</w:t>
      </w:r>
      <w:r>
        <w:t>. Se afirma por la demandante, que los Autos del Tribunal Central de Trabajo, de 30 de mayo y 30 de junio de 1984, el primero de los cuales declara la inadmisión por razón de la cuantía del recurso de suplicación interpuesto por la parte actora y el segundo desestima el recurso de súplica contra la anterior resolución, a la que confirma, «contienen un error básico en el cálculo de la cuantía litigiosa, porque al solicitarse en la demanda una declaración de invalidez absoluta, con derecho a una pensión equivalente al 100 por 100 de la base reguladora de 166.440 pesetas anuales, ha de ser ésta y no otra la cuantía considerada a los efectos de lo establecido en el art.  178.3 de la Ley Rituaria Civil y que la inadmisión del recurso de suplicación motivada por dicho error sería constitutiva de una violación del derecho a la defensa consagrado en el art. 24.1 de la C. E.</w:t>
      </w:r>
    </w:p>
    <w:p w:rsidR="00256EE9" w:rsidRDefault="00256EE9" w:rsidP="00256EE9">
      <w:pPr>
        <w:pStyle w:val="TextoNormal"/>
      </w:pPr>
      <w:r>
        <w:t>Como ya ha declarado con reiteración este Tribunal, la inadmisión de un recurso efectuado de manera arbitraria y no fundada en Derecho puede implicar una violación de las garantías consagradas en el art. 24.1 de la C. E., por lo que ha de determinarse, entonces, si las resoluciones impugnadas han incurrido o no en la denuncia formulada.</w:t>
      </w:r>
    </w:p>
    <w:p w:rsidR="00256EE9" w:rsidRDefault="00256EE9" w:rsidP="00256EE9">
      <w:pPr>
        <w:pStyle w:val="TextoNormal"/>
      </w:pPr>
    </w:p>
    <w:p w:rsidR="00256EE9" w:rsidRDefault="00256EE9" w:rsidP="00256EE9">
      <w:pPr>
        <w:pStyle w:val="TextoNormal"/>
      </w:pPr>
      <w:r w:rsidRPr="00256EE9">
        <w:rPr>
          <w:rStyle w:val="NumeroAFNegritaCaracter"/>
        </w:rPr>
        <w:t>3</w:t>
      </w:r>
      <w:r>
        <w:t>. Las reglas de fijación de la cuantía litigiosa a los efectos de determinar si contra una Sentencia cabe recurso y qué tipo concreto de recurso (suplicación o casación) se contie</w:t>
      </w:r>
      <w:r>
        <w:lastRenderedPageBreak/>
        <w:t>nen en distintos pasajes de la L. P. L., señaladamente en el art.  178, en el que se formulan diversas normas atendiendo a la naturaleza de la reclamación.  Tratándose de demandas en las que se reclama -como ocurre en el caso de examen- algún beneficio de Seguridad Social, el art.  178.3 surte la regla general, fijándose la cuantía litigiosa «por el importe de las prestaciones correspondientes a un año».</w:t>
      </w:r>
    </w:p>
    <w:p w:rsidR="00256EE9" w:rsidRDefault="00256EE9" w:rsidP="00256EE9">
      <w:pPr>
        <w:pStyle w:val="TextoNormal"/>
      </w:pPr>
      <w:r>
        <w:t>La jurisprudencia laboral, de su parte, ha ido especificando y concretando la mencionada regla, señalando, entre otros extremos, que no hace al caso reseñar, los dos siguientes:</w:t>
      </w:r>
    </w:p>
    <w:p w:rsidR="00256EE9" w:rsidRDefault="00256EE9" w:rsidP="00256EE9">
      <w:pPr>
        <w:pStyle w:val="TextoNormal"/>
      </w:pPr>
      <w:r>
        <w:t>a) El quantum litigioso viene determinado por la pretensión que el demandante ejercita, y no por el resultado del fallo, todo ello sin perjuicio de las facultades revisoras de los órganos judiciales, que han de velar por el cumplimiento de las normas definidoras de los recursos posibles -que son de orden público-, a fin de combatir el fraude procesal y enderezar eventualmente errores.</w:t>
      </w:r>
    </w:p>
    <w:p w:rsidR="00256EE9" w:rsidRDefault="00256EE9" w:rsidP="00256EE9">
      <w:pPr>
        <w:pStyle w:val="TextoNormal"/>
      </w:pPr>
      <w:r>
        <w:t>b) Cuando se solicita una prestación vitalicia de Seguridad Social (pensión) y las Entidades Gestoras ya han efectuado un reconocimiento de la misma, la cuantía real de la demanda viene dada por la diferencia entre la pensión concedida y la solicitada en vía judicial.</w:t>
      </w:r>
    </w:p>
    <w:p w:rsidR="00256EE9" w:rsidRDefault="00256EE9" w:rsidP="00256EE9">
      <w:pPr>
        <w:pStyle w:val="TextoNormal"/>
      </w:pPr>
      <w:r>
        <w:t>Los Autos impugnados no hicieron, en verdad, sino aplicar los criterios expuestos; así, el Auto de 30 de mayo de 1984 inadmitió el recurso de suplicación, fundamentando su decisión en que «lo solicitado en ella (en la demanda) es una pensión del 100 por 100 de la base reguladora de 166.440 pesetas anuales, por lo que como tiene concedida una pensión de 5.386,34 pesetas al mes, la diferencia entre ambas pensiones -cuantía real de la demanda- tampoco alcanza el mínimo de las 100.000 pesetas»; a su vez, el Auto de 30 de junio de 1984 insiste en el criterio señalado indicando que «la cuantía de los litigios no se mide por los resultados finales de los patrimonios de quienes acuden a los Tribunales, sino por lo reclamado ante ellos».</w:t>
      </w:r>
    </w:p>
    <w:p w:rsidR="00256EE9" w:rsidRDefault="00256EE9" w:rsidP="00256EE9">
      <w:pPr>
        <w:pStyle w:val="TextoNormal"/>
      </w:pPr>
      <w:r>
        <w:t>Es precisamente esta interpretación jurisprudencial la que combate el recurrente, que en sus escritos de formalización del recurso de súplica y del presente recurso de amparo estima -con fundamentación que no se caracteriza ciertamente por la claridad expositiva- que la cuantía litigiosa ha de venir dada por la base reguladora de la pensión solicitada de invalidez absoluta, que sobrepasa el tope mínimo de 100.000 pesetas a la sazón vigente.</w:t>
      </w:r>
    </w:p>
    <w:p w:rsidR="00256EE9" w:rsidRDefault="00256EE9" w:rsidP="00256EE9">
      <w:pPr>
        <w:pStyle w:val="TextoNormal"/>
      </w:pPr>
      <w:r>
        <w:t>Así planteado el debate, cabe concluir afirmando que el enfrentamiento del recurrente con las resoluciones impugnadas carece de dimensión constitucional, situándose en el terreno de la legalidad ordinaria, pues lo que combate son los criterios de interpretación del art.  178.3 de la L. P. L.  adoptados por el T. C. T.  en ejercicio de las competencias que le son propias, y por ello la acordada inadmisión del recurso de suplicación, en aplicación razonada de la legislación procesal, no constituye, como con insistencia ha declarado este Tribunal, vulneración del art. 24.1 de la C. E.</w:t>
      </w:r>
    </w:p>
    <w:p w:rsidR="00256EE9" w:rsidRDefault="00256EE9" w:rsidP="00256EE9">
      <w:pPr>
        <w:pStyle w:val="TextoNormal"/>
      </w:pPr>
    </w:p>
    <w:p w:rsidR="00256EE9" w:rsidRDefault="00256EE9" w:rsidP="00256EE9">
      <w:pPr>
        <w:pStyle w:val="TextoNormal"/>
      </w:pPr>
      <w:r w:rsidRPr="00256EE9">
        <w:rPr>
          <w:rStyle w:val="NumeroAFNegritaCaracter"/>
        </w:rPr>
        <w:t>4</w:t>
      </w:r>
      <w:r>
        <w:t>. En su escrito de alegaciones, la defensa del recurrente fundamenta la vulneración por los Autos recurridos del art.  24.1 de la C. E.  con un nuevo argumento que conviene reproducir en su propia literalidad: «el fundamento del Auto de 30 de mayo de 1984, es que la cuantía litigiosa no alcanza el mínimo de 100.000 pesetas establecido por el Real Decreto-ley de 7 de junio de 1978, con olvido -lógico, siete años después- de que el recurso de suplicación se formalizó por escrito de 26 de febrero de 1977 y el aludido Real Decreto-ley no entró en vigor hasta el 9 de junio siguiente».</w:t>
      </w:r>
    </w:p>
    <w:p w:rsidR="00256EE9" w:rsidRDefault="00256EE9" w:rsidP="00256EE9">
      <w:pPr>
        <w:pStyle w:val="TextoNormal"/>
      </w:pPr>
      <w:r>
        <w:t xml:space="preserve">Esta nueva línea de defensa, por lo pronto, es difícilmente conciliable con la aprestada en el escrito de demanda, alterando su planteamiento inicial; ya no se acusa a los Autos recurridos de haber incurrido en error en la determinación de la cuantía litigiosa fijada por </w:t>
      </w:r>
      <w:r>
        <w:lastRenderedPageBreak/>
        <w:t>la normativa para acceder a suplicación; el error se residencia, ahora, en la propia elección de la norma aplicable, por lo que produce una valoración sustancial en el debate, que por sí solo conduciría a su desestimación.</w:t>
      </w:r>
    </w:p>
    <w:p w:rsidR="00256EE9" w:rsidRDefault="00256EE9" w:rsidP="00256EE9">
      <w:pPr>
        <w:pStyle w:val="TextoNormal"/>
      </w:pPr>
      <w:r>
        <w:t>Pero, además, esta argumentación es inexacta en su formulación, ya que de los documentos aportados por el recurrente se deduce sin género alguno de duda, que la fecha de formalización del recurso de suplicación no fue el 26 de febrero de 1977 -lo que de otro lado hubiera sido materialmente imposible, dada la fecha en que se dicta la Sentencia de instancia-, sino el 26 de febrero de 1979, período éste en el que estaba plenamente en vigor el Real Decreto-ley de 7 de junio de 1978, que elevó la cuantía litigiosa para recurrir en suplicación.  La inexactitud de la argumentación adquiere tonos más acusados al comprobar que en el citado escrito la defensa del recurrente invocó de manera expresa y directa el citado Real Decreto-ley como norma fundamentadora de la procedencia procesal del recurso que se formalizó.</w:t>
      </w:r>
    </w:p>
    <w:p w:rsidR="00256EE9" w:rsidRDefault="00256EE9" w:rsidP="00256EE9">
      <w:pPr>
        <w:pStyle w:val="TextoNormal"/>
      </w:pPr>
    </w:p>
    <w:p w:rsidR="00256EE9" w:rsidRDefault="00256EE9" w:rsidP="00256EE9">
      <w:pPr>
        <w:pStyle w:val="TextoNormal"/>
      </w:pPr>
      <w:r w:rsidRPr="00256EE9">
        <w:rPr>
          <w:rStyle w:val="NumeroAFNegritaCaracter"/>
        </w:rPr>
        <w:t>5</w:t>
      </w:r>
      <w:r>
        <w:t>. Aparte de la impugnación de los Autos dictados por el T.  C. T., el recurrente también acusa a la Sentencia de instancia de haber vulnerado su derecho de defensa en razón de no haber acogido «en modo alguno toda la prueba practicada en juicio (...), que acreditaba de manera indubitada que desde su alta en la Seguridad Social (...)  cotizó por un total de cinco mil cuatrocientos veintisiete días, período tan enormemente superior al de carencia exigible que, aunque puedan existir algunas pequeñas coincidencias temporales en la cotización a los dos Regímenes, queda sobradamente cubierto el período de cotización».  Dictada dicha Sentencia el 12 de diciembre de 1977, el solicitante de amparo dirige su demanda contra una resolución judicial muy anterior a la fecha de constitución de este Tribunal y anterior también al momento de entrada en vigor de la Constitución Española.  Estas circunstancias no serían en sí mismas impedimentos para la admisión del recurso, pues la LOTC, en su disposición transitoria segunda, 1, abre la posibilidad de recurrir en amparo contra resoluciones judiciales anteriores, cuando no hubieran agotado sus efectos, pero esta exigencia no concurre en el caso de examen, sin que sea viable alegar que la Sentencia sirvió de fundamento a los posteriores Autos, pues ni los fallos de unos y otra son similares en el terreno de los contenidos ni se combaten unos y otra por idénticas razones.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lo expuesto, la Sección acuerda declarar inadmisible el recurso de amparo, y archivar las actuaciones.</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79" w:name="AUTO_1985_118"/>
      <w:r>
        <w:lastRenderedPageBreak/>
        <w:t>AUTO 118/1985, de 20 de febrero de 1985</w:t>
      </w:r>
    </w:p>
    <w:bookmarkEnd w:id="179"/>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ECLI:ES:TC:1985:118A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710/1984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Saturnino Estévez Rodríguez, en nombre de don René Michel Giuri, promueve recurso de amparo ante este Tribunal, que tuvo entrada en el Registro General el día 16 de octubre de 1984 y fue presentado en el Juzgado de Guardia de Madrid el día 13 de octubre de 1984 contra la Sentencia de la Sala de lo Civil de la Audiencia Provincial de Santa Cruz de Tenerife, dictada con fecha 18 de septiembre de 1984 en el recurso de apelación, rollo núm. 106/1984, en Autos sobre juicio de resolución de contrato de arrendamiento de local de negocio núm. 441/1983 procedentes del Juzgado de Primera Instancia e Instrucción núm. 5 de Santa Cruz de Tenerife, con la pretensión de que se anule la resolución judicial recurrida, una vez que se hayan seguido los trámites legales procedentes. </w:t>
      </w:r>
    </w:p>
    <w:p w:rsidR="00256EE9" w:rsidRDefault="00256EE9" w:rsidP="00256EE9">
      <w:pPr>
        <w:pStyle w:val="TextoNormal"/>
      </w:pPr>
      <w:r>
        <w:t xml:space="preserve">Por otrosí la parte recurrente interesa la suspensión de la ejecución de la resolución recurrida, con fundamento en el art. 56 de la Ley Orgánica del Tribunal Constitucional (LOTC). </w:t>
      </w:r>
    </w:p>
    <w:p w:rsidR="00256EE9" w:rsidRDefault="00256EE9" w:rsidP="00256EE9">
      <w:pPr>
        <w:pStyle w:val="TextoNormal"/>
      </w:pPr>
      <w:r>
        <w:t>El solicitante del amparo considera que se le ha causado indefensión en base a un hecho nuevo e inexistente, como alega en juicio y sin posibilidad procesal de defensa.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que se contrae la demanda son, en extracto, los siguientes: a) los hermanos Díaz Cabrera formularon demanda sobre resolución de contrato de arrendamiento de un local de negocio disfrutado por el recurrente en amparo y el motivo alegado fue una excavación del piso con el fin de darle mayor altura al local, lo que implicaba la realización de obras comprendidas en el art. 114.7 de la L. A. U; b ) la parte actora solicitó del Juzgado la prueba de reconocimiento judicial y el Juzgado de Primera Instancia dictó Sentencia estimatoria de la demanda, en cuyos considerandos, especialmente en el tercero, se incidía en una clara confusión al atribuir al sótano lo que era la altura de la planta primera y tal confusión se derivaba de la comparación del reconocimiento judicial con el acta de inspección llevada a cabo por la Jefatura Local de Sanidad, por confusión en la interpretación de los datos existentes en las respectivas actas; c) el solicitante del amparo interpuso, ante la evidente confusión, recurso de apelación ante la Sala de lo Civil de la Audiencia y en el trámite de instrucción solicitó de nuevo que se practicase la prueba pericial, que no había sido practicada en la Primera Instancia ni se practicó ante la Audiencia Provincial, que por Sentencia de 18 de septiembre de 1984, que es la resolución recurrida en amparo, </w:t>
      </w:r>
      <w:r>
        <w:lastRenderedPageBreak/>
        <w:t>confirmó la dictada por el titular del Juzgado de Primera Instancia de 14 de enero de 1984; d) en el apartado 6 de los hechos de la demanda la parte recurrente señala que el motivo del recurso de amparo viene determinado por la inserción en el tercer considerando de la resolución recurrida de la frase: «que el demandado modificó la altura de esa misma planta de 2,35 metros a 3 metros suprimiendo un falso techo» y tal supuesta supresión del falso techo que no había sido alegada aparece en un momento en que la parte recurrente en amparo no tenía la más mínima posibilidad procesal de desvirtuar la infundada aseveración, con lo que se producen a esta parte las gravísimas consecuencias de una Sentencia dictada en contra de su pretensión, sobre la base de un hecho inexistente que no constaba en la demanda ni había sido aludida en ningún momento del juicio.</w:t>
      </w:r>
    </w:p>
    <w:p w:rsidR="00256EE9" w:rsidRDefault="00256EE9" w:rsidP="00256EE9">
      <w:pPr>
        <w:pStyle w:val="TextoNormal"/>
      </w:pPr>
    </w:p>
    <w:p w:rsidR="00256EE9" w:rsidRDefault="00256EE9" w:rsidP="00256EE9">
      <w:pPr>
        <w:pStyle w:val="TextoNormal"/>
      </w:pPr>
      <w:r w:rsidRPr="00256EE9">
        <w:rPr>
          <w:rStyle w:val="NumeroAFNegritaCaracter"/>
        </w:rPr>
        <w:t>3</w:t>
      </w:r>
      <w:r>
        <w:t>. Después de analizar el cumplimiento de los requisitos procesales en la formalización del recurso de amparo, la parte solicitante concluye señalando que ha sido vulnerado el art. 24 de la C. E., pues se ha olvidado el derecho a la tutela efectiva judicial, se ha producido indefensión y se ha privado a la parte recurrente de utilizar los medios de prueba pertinentes para su defensa.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Segunda de la Sala Primera de este Tribunal, en providencia de 21 de noviembre de 1984, acordó tener por personado y parte al Procurador don Saturnino Estévez Rodríguez en nombre de don René Michel Giuri y hacer saber a la parte solicitante del amparo y al Ministerio Fiscal el motivo de inadmisión previsto en el art. 50.2 b) de la LOTC y en cuanto a la suspensión solicitada en el primer otrosí del escrito de demanda se acordó que una vez se decidiera la admisión o no a trámite de la demanda se resolvería lo procedente. </w:t>
      </w:r>
    </w:p>
    <w:p w:rsidR="00256EE9" w:rsidRDefault="00256EE9" w:rsidP="00256EE9">
      <w:pPr>
        <w:pStyle w:val="TextoNormal"/>
      </w:pPr>
      <w:r>
        <w:t>Antes de formular las alegaciones procedentes el Fiscal ante el Tribunal por escrito de 3 de diciembre de 1984 solicitó que, con suspensión del plazo, se remitiesen a este Tribunal copias de las resoluciones recurridas, ya que, a su juicio, las aportadas eran ilegibles, lo que se acuerda en providencia de 12 de diciembre de 1984 y se tiene por cumplimentado en providencia de 10 de enero de 1985.</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Tribunal Constitucional, por escrito de 23 de enero de 1985 formuló, en síntesis, las siguientes alegaciones: </w:t>
      </w:r>
    </w:p>
    <w:p w:rsidR="00256EE9" w:rsidRDefault="00256EE9" w:rsidP="00256EE9">
      <w:pPr>
        <w:pStyle w:val="TextoNormal"/>
      </w:pPr>
      <w:r>
        <w:t xml:space="preserve">a) El recurrente funda el recurso de amparo en la violación del art. 24.1 de la Constitución al incluir la Sentencia impugnada de apelación un «hecho nuevo e inexistente» no alegado en el juicio y, en consecuencia, sin posibilidad procesal alguna de defensa para el recurrente. </w:t>
      </w:r>
    </w:p>
    <w:p w:rsidR="00256EE9" w:rsidRDefault="00256EE9" w:rsidP="00256EE9">
      <w:pPr>
        <w:pStyle w:val="TextoNormal"/>
      </w:pPr>
      <w:r>
        <w:t xml:space="preserve">El «hecho» que se califica de «nuevo» por el demandante de amparo no lo es, porque estaba en el proceso, desde que se aportó el dictamen de la Jefatura de Sanidad, y desde que se practicó la prueba de inspección ocular, en el procedimiento de instancia. </w:t>
      </w:r>
    </w:p>
    <w:p w:rsidR="00256EE9" w:rsidRDefault="00256EE9" w:rsidP="00256EE9">
      <w:pPr>
        <w:pStyle w:val="TextoNormal"/>
      </w:pPr>
      <w:r>
        <w:t xml:space="preserve">La Audiencia no crea un «hecho nuevo» que no estuviera en el procedimiento, sino que lo hace resaltar y lo pone en evidencia, en su verdadera realidad y dimensión, de igual forma a como lo había tenido en cuenta el Juzgador de instancia. </w:t>
      </w:r>
    </w:p>
    <w:p w:rsidR="00256EE9" w:rsidRDefault="00256EE9" w:rsidP="00256EE9">
      <w:pPr>
        <w:pStyle w:val="TextoNormal"/>
      </w:pPr>
      <w:r>
        <w:t>b) La resolución del contrato de arrendamiento se fundamenta, según la Sentencia, en la realización por el arrendatario de obras que alteran la configuración del local arrendado. Dichas obras son: Supresión de un mostrador y una fila de asientos, adosados, construidos de obra de fábrica y modificación de la altura del local de 2,35 a 3 metros mediante la supresión de un falso techo. Todas estas modificaciones están recogidas en las pruebas apor</w:t>
      </w:r>
      <w:r>
        <w:lastRenderedPageBreak/>
        <w:t xml:space="preserve">tadas en el proceso y la modificación de la altura se encuentra ya en la Sentencia de instancia y es una de las tres modificaciones que determinan la resolución del contrato. La única variación entre ambas Sentencias es la conclusión que se produce al denominar con distinto nombre el local comercial: Planta baja para el juzgador de instancia; sótano para el Tribunal de apelación, pero respondiendo ambas a la misma identidad por ser el mismo local. </w:t>
      </w:r>
    </w:p>
    <w:p w:rsidR="00256EE9" w:rsidRDefault="00256EE9" w:rsidP="00256EE9">
      <w:pPr>
        <w:pStyle w:val="TextoNormal"/>
      </w:pPr>
      <w:r>
        <w:t xml:space="preserve">c) No existe, pues, «hecho nuevo», respecto al cual no haya podido hacer alegaciones el recurrente. Las dos pruebas en las que el Tribunal basa la existencia de las obras inconsentidas han sido realizadas en el procedimiento de instancia, existiendo una efectiva contradicción en el mismo, por lo que no se puede predicar la indefensión denunciada. </w:t>
      </w:r>
    </w:p>
    <w:p w:rsidR="00256EE9" w:rsidRDefault="00256EE9" w:rsidP="00256EE9">
      <w:pPr>
        <w:pStyle w:val="TextoNormal"/>
      </w:pPr>
      <w:r>
        <w:t xml:space="preserve">No ha existido, a juicio del Fiscal, limitación alguna de medios de defensa, núcleo de la indefensión constitucional, pues se ha tenido acceso al proceso, se han hecho las alegaciones pertinentes, se han propuesto y practicado las pruebas, incluida la inspección ocular de los locales y el Juzgador ha valorado la prueba practicada y ha sacado las conclusiones de la misma produciéndose una respuesta jurídica a la pretensión deducida. </w:t>
      </w:r>
    </w:p>
    <w:p w:rsidR="00256EE9" w:rsidRDefault="00256EE9" w:rsidP="00256EE9">
      <w:pPr>
        <w:pStyle w:val="TextoNormal"/>
      </w:pPr>
      <w:r>
        <w:t xml:space="preserve">La Sentencia de apelación hace un examen total del procedimiento de instancia y valora lo actuado, así como las pruebas y realiza la correspondiente resolución. Se trata, pues, de una cuestión alejada de toda conexión constitucional y la demanda aparece sin fundamentación lógica, respecto a la violación denunciada. </w:t>
      </w:r>
    </w:p>
    <w:p w:rsidR="00256EE9" w:rsidRDefault="00256EE9" w:rsidP="00256EE9">
      <w:pPr>
        <w:pStyle w:val="TextoNormal"/>
      </w:pPr>
      <w:r>
        <w:t xml:space="preserve">En suma, para el Fiscal ante el Tribunal la simple lectura de las dos Sentencias prueban esta falta de rigor y la Sentencia de apelación aclara y determina de manera meridiana que ese «nuevo hecho» se encontraba y había sido recogido por la Sentencia de instancia. </w:t>
      </w:r>
    </w:p>
    <w:p w:rsidR="00256EE9" w:rsidRDefault="00256EE9" w:rsidP="00256EE9">
      <w:pPr>
        <w:pStyle w:val="TextoNormal"/>
      </w:pPr>
      <w:r>
        <w:t xml:space="preserve">La demanda de amparo tiene escasa base constitucional. El «nuevo hecho» no lo es, pues está en el «considerando» de la Sentencia de instancia y es una realidad que surge en las pruebas practicadas y una de ellas, la inspección ocular, de una manifiesta inmediatividad. </w:t>
      </w:r>
    </w:p>
    <w:p w:rsidR="00256EE9" w:rsidRDefault="00256EE9" w:rsidP="00256EE9">
      <w:pPr>
        <w:pStyle w:val="TextoNormal"/>
      </w:pPr>
      <w:r>
        <w:t>El Ministerio Fiscal interesa del Tribunal Constitucional dicte Auto, de acuerdo con el art. 86.1 de la LOTC desestimando la demanda de amparo por concurrir en la misma la causa de inadmisión del art. 50.2 b) de la referida Ley.</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Don Saturnino Estévez Rodríguez, Procurador de los Tribunales, en nombre y representación de don René Michel Giuri formula, por escrito de 10 de diciembre de 1984, en síntesis, las siguientes alegaciones: </w:t>
      </w:r>
    </w:p>
    <w:p w:rsidR="00256EE9" w:rsidRDefault="00256EE9" w:rsidP="00256EE9">
      <w:pPr>
        <w:pStyle w:val="TextoNormal"/>
      </w:pPr>
      <w:r>
        <w:t xml:space="preserve">a) El motivo por el que esta parte interpuso recurso de amparo, ha sido la indefensión sufrida por el recurrente al ser condenado en Sentencia irrecurrible, dictada sobre la base de un hecho nuevo e inexistente, no alegado en el juicio, y por ser irrecurrible al dictarse en última instancia, sin posibilidad procesal alguna de defenderse. </w:t>
      </w:r>
    </w:p>
    <w:p w:rsidR="00256EE9" w:rsidRDefault="00256EE9" w:rsidP="00256EE9">
      <w:pPr>
        <w:pStyle w:val="TextoNormal"/>
      </w:pPr>
      <w:r>
        <w:t xml:space="preserve">Efectivamente, en el considerando 6 de la Sentencia dictada por la Audiencia Provincial, se dice textualmente: «... si bien no profundizó el suelo, sino que solamente cambió el pavimento». Este fue el extremo debatido desde la Primera Instancia y por el que los demandantes interpusieron la resolución del contrato de arrendamiento. </w:t>
      </w:r>
    </w:p>
    <w:p w:rsidR="00256EE9" w:rsidRDefault="00256EE9" w:rsidP="00256EE9">
      <w:pPr>
        <w:pStyle w:val="TextoNormal"/>
      </w:pPr>
      <w:r>
        <w:t xml:space="preserve">No obstante se añade «que modificó la altura de esa misma planta de 2,35 metros a 3 metros suprimiendo un falso techo». Este es el motivo del recurso, toda vez que es un nuevo hecho que nunca fue aducido ni en la demanda, ni en los trámites del juicio, que deja indefenso al no darle oportunidad procesal alguna para desvirtuar tan infundada aseveración, porque el falso techo sigue existiendo. </w:t>
      </w:r>
    </w:p>
    <w:p w:rsidR="00256EE9" w:rsidRDefault="00256EE9" w:rsidP="00256EE9">
      <w:pPr>
        <w:pStyle w:val="TextoNormal"/>
      </w:pPr>
      <w:r>
        <w:t>b) La consecuencia más grave es la situación de inseguridad jurídica que la Sentencia crea, puesto que al conocer los Tribunales civiles de cuestiones no discutidas ni tan siquie</w:t>
      </w:r>
      <w:r>
        <w:lastRenderedPageBreak/>
        <w:t xml:space="preserve">ra planteadas en demanda, deja a las partes sin posibilidad de hacer las probanzas necesarias para acreditar o desvirtuar los hechos, y de esta forma, las Sentencias quedarían como decisiones que muchas veces resultarían arbitrarias y siempre afectarían el principio de la «tutela efectiva de los Jueces y Tribunales» consagrado en nuestra Constitución, en el art. 24. </w:t>
      </w:r>
    </w:p>
    <w:p w:rsidR="00256EE9" w:rsidRDefault="00256EE9" w:rsidP="00256EE9">
      <w:pPr>
        <w:pStyle w:val="TextoNormal"/>
      </w:pPr>
      <w:r>
        <w:t xml:space="preserve">Entiende esta parte, que la Sentencia dictada por la Audiencia Territorial de Santa Cruz de Tenerife, de fecha 18 de septiembre, ha violado el principio general de la tutela efectiva de los Tribunales, por cuanto presenta un hecho frente al cual no ha habido posibilidad de probar lo contrario y más aún resulta inexistente. </w:t>
      </w:r>
    </w:p>
    <w:p w:rsidR="00256EE9" w:rsidRDefault="00256EE9" w:rsidP="00256EE9">
      <w:pPr>
        <w:pStyle w:val="TextoNormal"/>
      </w:pPr>
      <w:r>
        <w:t xml:space="preserve">c) Procede la admisión del recurso de amparo, pues corresponde al Tribunal Constitucional el conocimiento de aquellos hechos que supongan un quebranto a los principios protegidos por la Constitución Española. Entre ellos, la tutela efectiva de los Tribunales, que, en reiteradas Sentencias del Tribunal Constitucional se postula al objeto de la obtención de una resolución judicial fundada en Derecho, que podrá ser de inadmisión en ausencia de los necesarios requisitos procesales (S. T. C. 59/1984, de 10 de mayo; 60/1982, de 11 de octubre, entre otras). </w:t>
      </w:r>
    </w:p>
    <w:p w:rsidR="00256EE9" w:rsidRDefault="00256EE9" w:rsidP="00256EE9">
      <w:pPr>
        <w:pStyle w:val="TextoNormal"/>
      </w:pPr>
      <w:r>
        <w:t>La parte recurrente concluye interesando del Tribunal que admita a trámite el recurso de amparo interpuesto, y previo su recibimiento a prueba, dicte Sentencia por la que se otorgue el amparo, anulando la resolución recurrida.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demanda de amparo formulada contra la Sentencia de la Audiencia Provincial de Santa Cruz de Tenerife de 18 de septiembre de 1984, alega la vulneración por ella del art. 24.1 de la C. E. al causarle indefensión por confirmar la Sentencia del Juzgado otorgando la resolución del contrato de arrendamiento de local de negocio, fundándose para ello en haberse apoyado la resolución en un hecho inexistente, sin posibilidad procesal de defenderse contra el mismo, alegando y probando lo que se estimare procedente.  Posición que ha de contrastarse con la causa de inadmisión de la demanda propuesta y establecida en el art.  50.2 b) de la LOTC, por carecer la misma manifiestamente de contenido constitucional que justifique una decisión, en Sentencia, por parte de este Tribunal.</w:t>
      </w:r>
    </w:p>
    <w:p w:rsidR="00256EE9" w:rsidRDefault="00256EE9" w:rsidP="00256EE9">
      <w:pPr>
        <w:pStyle w:val="TextoNormal"/>
      </w:pPr>
    </w:p>
    <w:p w:rsidR="00256EE9" w:rsidRDefault="00256EE9" w:rsidP="00256EE9">
      <w:pPr>
        <w:pStyle w:val="TextoNormal"/>
      </w:pPr>
      <w:r w:rsidRPr="00256EE9">
        <w:rPr>
          <w:rStyle w:val="NumeroAFNegritaCaracter"/>
        </w:rPr>
        <w:t>2</w:t>
      </w:r>
      <w:r>
        <w:t>. Curiosamente no se hace referencia alguna por el actor del amparo en su demanda y alegaciones, a la importante circunstancia de que en las dos Sentencias, y especialmente en la de la Audiencia, se precisa como hecho probado decisivo y valoración jurídica relevante, el de que siendo arrendatario suprimió en la planta sótano del local arrendado un mostrador de más de cinco metros y una fila de asientos que estaba adosada a una de las paredes, y ambos productos de obras de fábrica, entendiendo los dos Tribunales que estas sustanciales modificaciones de la configuración del objeto de la locación, eran determinantes de la apreciación de la causa de resolución del contrato establecida en el núm. 7 del art.  114 de la Ley de Arrendamientos Urbanos (L. A. U.), por lo que, en definitiva, bastaba la apreciación de esta base fáctica y calificación jurídica para llegar al fallo condenatorio, dejando sin efectividad la relación arrendaticia, tratándose de un juicio de mera legalidad sobre el que este Tribunal no puede pronunciarse, tanto por no ser materia del amparo, como por su propia naturaleza que se halla extramuros del control constitucional.</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También en la demanda del proceso arrendaticio se alegó, como otra causa de modificación de la configuración de la estructura del local, el haberle dado mayor altura y, por consiguiente, superior capacidad material, realizando una excavación en el piso, estimando la Sentencia de instancia la presencia de elevación importante de la altura del local, según certificados de la Jefatura Local de Sanidad y apreciación que constaba en la diligencia de inspección judicial, y que cuantificaba en su importancia númérica; y apreciando la Sentencia de la Audiencia, que si bien no se profundizó en el suelo, se modificó la altura de la planta desde 2,35 metros a 3 metros, suprimiendo un falso techo, según resultaba de las pruebas acabadas de indicar practicadas en primera instancia.</w:t>
      </w:r>
    </w:p>
    <w:p w:rsidR="00256EE9" w:rsidRDefault="00256EE9" w:rsidP="00256EE9">
      <w:pPr>
        <w:pStyle w:val="TextoNormal"/>
      </w:pPr>
      <w:r>
        <w:t>Pero del contenido de esta acumulada pretensión y de su apreciación en las dos Sentencias, no se puede derivar la presencia de un nuevo hecho que produjera indefensión al actor del amparo: en primer lugar, por la resolución del contrato que estaba apreciada por la causa examinada en el fundamento anterior, sin que a efectos de la Resolución del contrato fuera necesario la presencia de esta nueva modificación estructural; en segundo término, porque lo realmente trascendente era la presencia de la modificación de la capacidad del local, más que la causa determinante del aumento del volumen, que si no ocurrió por excavación del piso, tuvo su origen en la supresión de un techo; y, en último término, porque esa apreciación de la causa real de la superior capacidad se puso de manifiesto en las dos pruebas antes citadas, practicadas ante el Juzgado de Primera Instancia -el certificado de la Jefatura de Sanidad y la inspección ocular-, que fueron conocidas por el actor, por lo que la apreciación por los órganos judiciales podía efectuarse, sin que la Audiencia al realizar su convicción se apoyase en hecho alguno nuevo que desconociera la parte, valorando el mayor volumen de la cosa arrendada como una nueva causa concurrente para la resolución de la relación arrendaticia, aunque en puridad resultare innecesaria al haberse ya estimado la referente a la destrucción del mostrador y la fila de asientos.</w:t>
      </w:r>
    </w:p>
    <w:p w:rsidR="00256EE9" w:rsidRDefault="00256EE9" w:rsidP="00256EE9">
      <w:pPr>
        <w:pStyle w:val="TextoNormal"/>
      </w:pPr>
      <w:r>
        <w:t>Por todo lo que, en definitiva, no existió la indefensión denunciada, ni la limitación de medios de defensa que protege el art.  24 de la C. E.  concurriendo la causa de inadmisión indicada del art.  50.2 b) de la LOTC, ya que en definitiva se trata de una mera cuestión de legalidad, alejada de cualquier conexión constitucional, y sobre la que este Tribunal no puede hacer funciones de una tercera instancia, por pertenecer al ámbito exclusivo de los órganos de la jurisdicción ordinaria (art. 117.3 de la C. 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acordó: inadmitir a trámite la demanda de amparo formulada por el Procurador don Saturnino Estévez Rodríguez, en representación de don René Michel Giuri, y el archivo de las actuaciones.</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0" w:name="AUTO_1985_119"/>
      <w:r>
        <w:lastRenderedPageBreak/>
        <w:t>AUTO 119/1985, de 20 de febrero de 1985</w:t>
      </w:r>
    </w:p>
    <w:bookmarkEnd w:id="180"/>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ECLI:ES:TC:1985:119A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722/1984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20 de octubre de 1984 tuvo entrada en este Tribunal recurso de amparo formulado por el Procurador de los Tribunales, don José Luis Rodríguez Pereita, en nombre y representación de Mandos Intermedios del Banco Hispano Americano, S. A. (A. M. I. B. H. A.) contra Sentencia dictada por la Sala Quinta del Tribunal Central de Trabajo sustanciando recurso de suplicación. La solicitud de amparo se apoya en los siguientes hechos: a) en 21 de julio de 1983, don José Miguel Sustaeta Miravalles y otros, en su calidad de miembros de la Junta Directiva de la citada Asociación, dedujeron ante la Dirección General de Trabajo, en nombre de la misma, reclamación por vía de conflicto colectivo contra el Banco Hispano Americano, S. A., solicitando que por la Entidad demandada se procediera a clasificar en la clase primera como directores, a todos los oficiales que desempeñan las funciones de dirección o gerencia en las plazas del grupo «C», procedentes de las extinguidas plazas de los grupos «D» y «E», como jefes de cuarta o quinta a todos los oficiales que desempeñan las funciones de jefes de negociado o sección procedentes de las extinguidas plazas «D» y «E» y en la actualidad plazas del grupo «C» y, finalmente, en la categoría primera a quienes desempeñen la función de director en los denominados Centros Administrativos; b) celebrados sin avenencia los preceptivos actos de conciliación, la Autoridad laboral remitió las actuaciones a la jurisdicción social, dictándose por la Magistratura de Trabajo núm. 5 de las de Madrid, Sentencia el 17 de noviembre de 1983, por la que absolvió a la demandada al estimar las excepciones por ésta alegadas de inadecuación de procedimiento, falta de legitimación activa y defecto legal en el modo de proponer la demanda; c) recurrida la anterior Sentencia por la Asociación hoy solicitante de amparo, el Tribunal Central de Trabajo por Sentencia de 14 de marzo de 1984 revocó la de instancia, reponiendo las actuaciones al momento inmediatamente posterior a la tramitación del juicio, a fin de que por el Magistrado de Instancia se dictase otra entrando a conocer en el fondo del asunto; d) en cumplimiento del mandato del Tribunal Central de Trabajo el juzgador de instancia dictó Sentencia, en fecha 3 de mayo de 1984, en la que, estimando en parte la demanda, declaró «que los trabajadores del Banco Hispano Americano que desempeñan o han desempeñado funciones de Director, Jefe de Sección o Negociado en grupo "C", anteriores "D" y "E", y de Directores de Centros Administrativos de nueva creación les corresponde la categoría prevista en el art. 4 de la Reglamentación de Trabajo de la Banca Privada»; e) promovido recurso de suplicación contra la anterior Sentencia por la Entidad demandada, el Tribunal Central de Trabajo, por la </w:t>
      </w:r>
      <w:r>
        <w:lastRenderedPageBreak/>
        <w:t>suya de 20 de septiembre de 1984, lo estimó, revocando la de instancia y absolviendo a la entonces recurrente de las peticiones deducidas frente a ella.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escrito de demanda denuncia la vulneración por la Sentencia impugnada de los arts. 14 y 24 de la C. E. El derecho a la igualdad se habría vulnerado por cuanto dicha Sentencia, al desestimar la petición de clasificación promovida por la A. M. </w:t>
      </w:r>
    </w:p>
    <w:p w:rsidR="00256EE9" w:rsidRDefault="00256EE9" w:rsidP="00256EE9">
      <w:pPr>
        <w:pStyle w:val="TextoNormal"/>
      </w:pPr>
      <w:r>
        <w:t xml:space="preserve">I. B. H. A., discrimina a los afectados por el mero hecho de proceder de determinadas plazas o centros del Banco, colocándoles en una posición diferente con respecto a los restantes trabajadores que desempeñan funciones idénticas a las suyas. De su lado, el derecho a la tutela judicial efectiva se habría infringido al no haber tenido en cuenta la Sentencia combatida el informe emitido por la Dirección General de Trabajo, favorable a las pretensiones de la demandante. </w:t>
      </w:r>
    </w:p>
    <w:p w:rsidR="00256EE9" w:rsidRDefault="00256EE9" w:rsidP="00256EE9">
      <w:pPr>
        <w:pStyle w:val="TextoNormal"/>
      </w:pPr>
      <w:r>
        <w:t xml:space="preserve">4. Por providencia de 19 de diciembre de 1984, la Sección acordó conceder a la Entidad recurrente y al Ministerio Fiscal un plazo común de diez días a fin de que, dentro del mismo, alegaren lo pertinente sobre la posible concurrencia del motivo de inadmisión de carácter insubsanable consistente en carecer la demanda manifiestamente de contenido que justifique una decisión por parte del Tribunal Constitucional [art. 50.2 b) de la Ley Orgánica del Tribunal Constitucional -LOTC-]. </w:t>
      </w:r>
    </w:p>
    <w:p w:rsidR="00256EE9" w:rsidRDefault="00256EE9" w:rsidP="00256EE9">
      <w:pPr>
        <w:pStyle w:val="TextoNormal"/>
      </w:pPr>
      <w:r>
        <w:t xml:space="preserve">5. Evacuando el trámite, el Fiscal ante el Tribunal Constitucional, tras exponer los antecedentes que concurren en la demanda y las alegaciones que fundamentan las presuntas vulneraciones de derechos constitucionales, señala que la mera lectura del recurso evidencia la falta de conexión constitucional entre la Sentencia impugnada y los preceptos de la C. E. estimados como infringidos, no pretendiéndose sino reproducir ante este Tribunal la cuestión debatida ante los Tribunales ordinarios. </w:t>
      </w:r>
    </w:p>
    <w:p w:rsidR="00256EE9" w:rsidRDefault="00256EE9" w:rsidP="00256EE9">
      <w:pPr>
        <w:pStyle w:val="TextoNormal"/>
      </w:pPr>
      <w:r>
        <w:t xml:space="preserve">En lo que se refiere al derecho a la igualdad, el Ministerio Fiscal manifiesta que la recurrente no aporta el obligado «término de comparación», destacando que, en realidad, lo que se combate, bajo la cobertura del art. 14 de la C. E., es la interpretación de la legalidad ordinaria realizada por la resolución impugnada que, en cuanto a tal, es ajena al conocimiento de este Tribunal. La Sentencia no crea discriminación alguna, limitándose a afirmar la distinción entre clasificación de las plazas bancarias y clasificación profesional del grupo de empleados, declarando que la desaparición de las plazas no implica el pase automático de una clasificación a otra, con independencia de las retribuciones especiales a las que tuviere derecho. </w:t>
      </w:r>
    </w:p>
    <w:p w:rsidR="00256EE9" w:rsidRDefault="00256EE9" w:rsidP="00256EE9">
      <w:pPr>
        <w:pStyle w:val="TextoNormal"/>
      </w:pPr>
      <w:r>
        <w:t xml:space="preserve">Tampoco cabe apreciar la alegada vulneración del derecho a la tutela judicial, no pudiendo aceptarse la idea pretendida por la recurrente de que los dictámenes emitidos por la Autoridad laboral condicionaren la interpretación de la legalidad que efectúan los Tribunales. </w:t>
      </w:r>
    </w:p>
    <w:p w:rsidR="00256EE9" w:rsidRDefault="00256EE9" w:rsidP="00256EE9">
      <w:pPr>
        <w:pStyle w:val="TextoNormal"/>
      </w:pPr>
      <w:r>
        <w:t xml:space="preserve">En razón de lo expuesto, el Ministerio Fiscal interesa de este Tribunal dicte Auto de inadmisión por concurrir la causa prevista en el art. 50.2 b) de la LOTC. </w:t>
      </w:r>
    </w:p>
    <w:p w:rsidR="00256EE9" w:rsidRDefault="00256EE9" w:rsidP="00256EE9">
      <w:pPr>
        <w:pStyle w:val="TextoNormal"/>
      </w:pPr>
      <w:r>
        <w:t>6. En su escrito de alegaciones, la recurrente reitera lo esencial del alegato contenido en la demanda, insistiendo en la discriminación causada por la Sentencia recurrida y destacando, de otra parte, la violación del derecho a la tutela judicial al no dar dicha Sentencia una respuesta jurídica al fondo del problema planteado. Por todo ello, solicita de este Tribunal acuerde la admisión del recurso.</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Pese a los esfuerzos dialécticos que realiza la Asociación recurrente para dotar de entidad constitucional al fondo del asunto traído a conocimiento de este Tribunal, lo cierto es que la cuestión debatida está desprovista de toda relevancia constitucional, valorada ésta desde la perspectiva del principio de igualdad ante la Ley, que es la vertiente de este principio expresamente invocada como infringida por la Sentencia recurrida.  El derecho que se reclama no es el derecho a la igualdad de trato en situaciones sustancialmente idénticas, sino, y ello es bien diferente, el derecho al reconocimiento de una categoría profesional superior a la ostentada, desestimado por la resolución judicial impugnada en razonada aplicación de la legalidad ordinaria.  El enfrentamiento de la solicitante de amparo con el pronunciamiento dictado por el Tribunal Central de Trabajo se sitúa cabalmente en un terreno por completo ajeno a lo propio de los procesos constitucionales, pues lo que se está combatiendo realmente son los criterios de interpretación de la normativa reguladora del régimen de ascensos de categoría, señaladamente la distinción elaborada por el órgano judicial entre clasificación de las plazas bancarias y clasificación profesional del grupo de empleados, que es el soporte del que se sirve para entender que la supresión de los grupos «D» y «E» en la clasificación de los establecimientos bancarios no lleva aparejada el pase automático a la categoría de jefe de quienes prestaban en ellos servicios con la categoría de oficiales, que lo continúan siendo aunque «se les retribuya con una gratificación especial».  Tales criterios podrán o no ser acertados, pero, en modo alguno, producen discriminación, entre otras razones por la muy elemental de no existir término de comparación del que pueda esgrimirse la igualdad de tratamiento, sin que, desde luego, sirva como tal la situación de quienes ostentan funciones propias de tal categoría en las plazas de los grupos «A», «B», y «C».</w:t>
      </w:r>
    </w:p>
    <w:p w:rsidR="00256EE9" w:rsidRDefault="00256EE9" w:rsidP="00256EE9">
      <w:pPr>
        <w:pStyle w:val="TextoNormal"/>
      </w:pPr>
    </w:p>
    <w:p w:rsidR="00256EE9" w:rsidRDefault="00256EE9" w:rsidP="00256EE9">
      <w:pPr>
        <w:pStyle w:val="TextoNormal"/>
      </w:pPr>
      <w:r w:rsidRPr="00256EE9">
        <w:rPr>
          <w:rStyle w:val="NumeroAFNegritaCaracter"/>
        </w:rPr>
        <w:t>2</w:t>
      </w:r>
      <w:r>
        <w:t>. Privada de todo razonable fundamento está, por lo demás, la presunta vulneración del art.  24.1 de la C. E.  que se habría producido, en el decir del escrito de demanda, por no considerar la Sentencia recurrida «el informe de la Autoridad laboral» de alto «valor estimativo» para apreciar la discriminación y, en el decir del escrito de alegaciones, por no estar la resolución fundada en Derecho.  Ninguna de estas argumentaciones es atendible.  La primera, por cuanto el referido informe no constituye sino uno más de los elementos que contribuyen a la formación del delicado y complejo proceso judicial de subsunción, sin que pueda sostenerse, ni tan siquiera a efectos dialécticos, que el derecho a la tutela judicial se vulnera por separarse el Juez de los criterios formulados en dictámenes técnicos.</w:t>
      </w:r>
    </w:p>
    <w:p w:rsidR="00256EE9" w:rsidRDefault="00256EE9" w:rsidP="00256EE9">
      <w:pPr>
        <w:pStyle w:val="TextoNormal"/>
      </w:pPr>
      <w:r>
        <w:t>La segunda, por cuanto la Sentencia motiva en términos razonables el fallo que establece, siendo inmune a la acusación de no estar fundada jurídicamente.  La recurrente ha tenido acceso a un proceso celebrado con todas las garantías procesales y ha obtenido una respuesta judicial a su pretensión, aun cuando la misma no haya sido favorable a sus intereses.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inadmitir el recurso, y archivar las actuaciones.</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1" w:name="AUTO_1985_120"/>
      <w:r>
        <w:lastRenderedPageBreak/>
        <w:t>AUTO 120/1985, de 20 de febrero de 1985</w:t>
      </w:r>
    </w:p>
    <w:bookmarkEnd w:id="181"/>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ECLI:ES:TC:1985:120A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726/1984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el 23 de octubre de 1984 en este Tribunal Constitucional (T.C.), por el Procurador de los Tribunales don Ignacio Corujo Pita, se interpone recurso de amparo en nombre de don Rubén Antonio Sosa Richter, Licenciado en Derecho, contra la Sentencia del Juez de Distrito núm. 3 de Salamanca de 23 de mayo de 1984 y la dictada en apelación por el Juez de Primera Instancia e Instrucción núm. 3 de la propia ciudad, de 7 de septiembre de 1984, condenatorias del recurrente. Invoca como vulnerado el art. 24 de la C. E. y pide la nulidad de las mencionadas resoluciones judiciales, con la determinación de los efectos que corresponden a dicha declaración. Por otrosí solicita se ordene al Juzgado de Distrito la suspensión de la ejecución de la Sentencia.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antecedentes en que se basa el recurso son los siguientes: </w:t>
      </w:r>
    </w:p>
    <w:p w:rsidR="00256EE9" w:rsidRDefault="00256EE9" w:rsidP="00256EE9">
      <w:pPr>
        <w:pStyle w:val="TextoNormal"/>
      </w:pPr>
      <w:r>
        <w:t xml:space="preserve">El 16 de febrero de 1984 don José García Cuerva presentó denuncia en la Comisaría de Policía de Salamanca por lesiones causadas, según el denunciante, por la agresión del ahora recurrente. </w:t>
      </w:r>
    </w:p>
    <w:p w:rsidR="00256EE9" w:rsidRDefault="00256EE9" w:rsidP="00256EE9">
      <w:pPr>
        <w:pStyle w:val="TextoNormal"/>
      </w:pPr>
      <w:r>
        <w:t xml:space="preserve">Celebrado juicio verbal de faltas ante el Juzgado de Distrito, se dictó Sentencia condenatoria contra el denunciado, ahora recurrente, como autor responsable de una falta del art. 582 del Código Penal. </w:t>
      </w:r>
    </w:p>
    <w:p w:rsidR="00256EE9" w:rsidRDefault="00256EE9" w:rsidP="00256EE9">
      <w:pPr>
        <w:pStyle w:val="TextoNormal"/>
      </w:pPr>
      <w:r>
        <w:t xml:space="preserve">Apelada la anterior Sentencia, resultó confirmada por el Juez de Instrucción núm. 3 de aquella ciudad, por lo que se acude en amparo a este T.C., frente a las dos resoluciones judiciales. </w:t>
      </w:r>
    </w:p>
    <w:p w:rsidR="00256EE9" w:rsidRDefault="00256EE9" w:rsidP="00256EE9">
      <w:pPr>
        <w:pStyle w:val="TextoNormal"/>
      </w:pPr>
      <w:r>
        <w:t>Fundamenta su tesis el recurrente en una personal interpretación del art. 741 de la L. E. Cr., razonando desde su punto de vista la alegada inexistencia de actividad probatoria, aludiendo a la posibilidad de que se haya llegado a una discriminación en cuanto a las alegaciones de las partes, en atención a la distinta nacionalidad de las mismas, al ser español el demandante y el argentino el denunciado.</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14 de noviembre de 1984, la Sección Segunda tiene por interpuesto el recurso y por personado y parte, en nombre del recurrente, al Procurador señor Corujo Pita, y a tenor de lo dispuesto en el art. 50 de la Ley Orgánica del Tribunal Constitucional (LOTC) concede un plazo común de diez días al Ministerio Fiscal y al solicitante de amparo para alegaciones en relación con la posible existencia de los motivos de inad</w:t>
      </w:r>
      <w:r>
        <w:lastRenderedPageBreak/>
        <w:t xml:space="preserve">misión consistentes en: a) haber presentado la demanda fuera de plazo, y b) carecer la demanda manifiestamente de contenido que justifique una decisión por parte de este T. C., recogidas en los arts. 44.2, en conexión con el art. 50.1 a) y 50.2 b) de la LOTC. </w:t>
      </w:r>
    </w:p>
    <w:p w:rsidR="00256EE9" w:rsidRDefault="00256EE9" w:rsidP="00256EE9">
      <w:pPr>
        <w:pStyle w:val="TextoNormal"/>
      </w:pPr>
      <w:r>
        <w:t>En cuanto a la solicitud de suspensión, se indicaba que una vez se resolviera sobre la admisión o inadmisión del recurso se acordaría lo que procediera.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Dentro del plazo otorgado, el Ministerio Fiscal señala en primer lugar que corresponde al recurrente acreditar documentalmente la fecha de notificación de la resolución recaída en el proceso judicial, puesto que las fechas de la Sentencia del Juzgado de Primera Instancia (7 de septiembre de 1984) y de presentación del recurso de amparo (23 de octubre siguiente) hacen pensar en una posible extemporaneidad, que daría lugar a la aplicación de la primera causa de inadmisión. </w:t>
      </w:r>
    </w:p>
    <w:p w:rsidR="00256EE9" w:rsidRDefault="00256EE9" w:rsidP="00256EE9">
      <w:pPr>
        <w:pStyle w:val="TextoNormal"/>
      </w:pPr>
      <w:r>
        <w:t>Afirma, además, el Ministerio Fiscal que en este caso no ha existido vulneración alguna del art. 24 de la C. E. en cuanto tutela el derecho a la presunción de inocencia, puesto que en el proceso ha existido, conforme a la doctrina del T. C. para desvirtuar la presunción iuris tantum de inocencia, una mínima actividad probatoria de cargo, sin que se pueda en sede constitucional entrar en la valoración, efectuada por los Tribunales, de dicha prueba. Por todo lo cual postula la inadmisión del recurso.</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Por su parte, el demandante aporta copia de la resolución judicial en segunda instancia en la que constan dos diligencias, fechadas el 4 de octubre de 1984, por las que se notifica al condenado la tasación de costas y se le hace entrega del testimonio de la Sentencia, quedando enterado y notificado el ahora recurrente. </w:t>
      </w:r>
    </w:p>
    <w:p w:rsidR="00256EE9" w:rsidRDefault="00256EE9" w:rsidP="00256EE9">
      <w:pPr>
        <w:pStyle w:val="TextoNormal"/>
      </w:pPr>
      <w:r>
        <w:t>Reitera, asimismo el demandante, el contenido constitucional que tiene, en su criterio, el caso traído a consideración del T. C., por haberse infringido el derecho a la presunción de inocencia.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Sección puso de manifiesto inicialmente al demandante la posible existencia de un motivo insubsanable de inadmisibilidad cual es el recogido en el art. 50.1 b) de la LOTC.</w:t>
      </w:r>
    </w:p>
    <w:p w:rsidR="00256EE9" w:rsidRDefault="00256EE9" w:rsidP="00256EE9">
      <w:pPr>
        <w:pStyle w:val="TextoNormal"/>
      </w:pPr>
      <w:r>
        <w:t>De los documentos aportados por el recurrente en trámite de alegaciones, cabe deducir que la eventual extemporaneidad en la presentación del recurso no aparece desde el momento en que consta una doble diligencia de fecha 4 de octubre de 1984, en la que se notifica la tasación de costas al condenado y seguidamente se le hace entrega del testimonio de la Sentencia dictada por el señor Juez de instrucción en apelación, habiendo afirmado en su demanda el recurrente que dicha Sentencia no le fue notificada en el rollo respectivo.  Procede declarar, por tanto, que la demanda no incide en la causa de inadmisibilidad comprendida en el art. 50.1 a)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Entrando, por consiguiente, en el segundo de los motivos de inadmisión puesto de manifiesto en nuestra providencia de 14 de noviembre de 1984, hemos de analizar si las Sentencias impugnadas han podido vulnerar el derecho a la presunción de inocencia reconocido en el art.  24.2 de la C. E., al no existir, a juicio del recurrente, prueba alguna de cargo.</w:t>
      </w:r>
    </w:p>
    <w:p w:rsidR="00256EE9" w:rsidRDefault="00256EE9" w:rsidP="00256EE9">
      <w:pPr>
        <w:pStyle w:val="TextoNormal"/>
      </w:pPr>
      <w:r>
        <w:lastRenderedPageBreak/>
        <w:t>El derecho a la presunción de inocencia garantizado por el art.  24 de la C.  E. se halla explícitamente incluido en el ámbito del amparo, siendo competente el T. C.  para estimar en caso de recurso, si dicha presunción, de carácter iuris tantum, ha quedado desvirtuada.  Pero esta estimación ha de hacerse respetando el principio de libre valoración de la prueba que corresponde a los Tribunales ordinarios, debiendo examinar solamente el T. C.  si ha existido una mínima actividad probatoria, producida con las debidas garantías procesales, que de alguna manera pueda entenderse de cargo y de la que se pueda deducir la culpabilidad del procesado, estándole vedado a este T. C., por la propia configuración del recurso de amparo, entrar en el examen de los hechos que dieron lugar al proceso.</w:t>
      </w:r>
    </w:p>
    <w:p w:rsidR="00256EE9" w:rsidRDefault="00256EE9" w:rsidP="00256EE9">
      <w:pPr>
        <w:pStyle w:val="TextoNormal"/>
      </w:pPr>
    </w:p>
    <w:p w:rsidR="00256EE9" w:rsidRDefault="00256EE9" w:rsidP="00256EE9">
      <w:pPr>
        <w:pStyle w:val="TextoNormal"/>
      </w:pPr>
      <w:r w:rsidRPr="00256EE9">
        <w:rPr>
          <w:rStyle w:val="NumeroAFNegritaCaracter"/>
        </w:rPr>
        <w:t>3</w:t>
      </w:r>
      <w:r>
        <w:t>. Tal aplicación de esta doctrina, reiteradamente expuesta por este T. C.  -así, en las Sentencias de 28 de julio de 1981 y 26 de julio de 1982, y en Autos, entre otros, de 3 de marzo de 1982 (núms.  105/1982 y 106/1982), 28 de septiembre de 1983 y 13 de octubre de 1983- conduce a inadmitir la presente demanda, por carecer manifiestamente de contenido constitucional que exija dictar una Sentencia, luego de agotar todos los trámites del proceso de amparo [art.  50.2 b) de la LOTC], toda vez que no puede afirmarse con razón por el Juez, en ambas instancias, haya condenado sin el respaldo de una mínima prueba.</w:t>
      </w:r>
    </w:p>
    <w:p w:rsidR="00256EE9" w:rsidRDefault="00256EE9" w:rsidP="00256EE9">
      <w:pPr>
        <w:pStyle w:val="TextoNormal"/>
      </w:pPr>
      <w:r>
        <w:t>Así, en el proceso y pese a lo sostenido por el recurrente, han existido, como pone de relieve el Ministerio Fiscal, unos hechos constitutivos de lesiones en la persona del denunciante avaladas por el médico que le atendió en el primer momento y confirmadas por el dictamen pericial del Forense, sin que sean repudiables las propias declaraciones del lesionado, puesto que como señala el Auto de este T. C. de 3 de marzo de 1982 (R. A. 106/1982) «la declaración en el proceso del propio lesionado reconociendo al recurrente como autor material de los hechos constitutivos de delito por la que fue condenado» tiene el carácter de medio probatorio, conforme a los arts.  410 y ss.  y 702 y ss.  de la L. E. Cr.</w:t>
      </w:r>
    </w:p>
    <w:p w:rsidR="00256EE9" w:rsidRDefault="00256EE9" w:rsidP="00256EE9">
      <w:pPr>
        <w:pStyle w:val="TextoNormal"/>
      </w:pPr>
      <w:r>
        <w:t>Por lo demás, cabe recordar que, según ha declarado este T. C., no puede hablarse en este caso de ausencia de actividad probatoria de cargo habida cuenta de la legitimidad de la utilización de la denunciada prueba por presunciones, basada en un proceso deductivo que corresponde realizar, en exclusiva (art.  117.3 de la C. E.), al Juez, con arreglo a las pautas recogidas en el art. 741 de la L. E. Cr. y art. 11 del Decreto de 21 de noviembre de 1952 -en este caso en una doble instancia conforme- sin que este T. C.  pueda subrogarse en dicha apreciación, obtenida con inmediación, a través del juego de las deducciones lógicas que la integran, y que conducen directamente a la formación de la precisa e íntima convicción del juzgador.</w:t>
      </w:r>
    </w:p>
    <w:p w:rsidR="00256EE9" w:rsidRDefault="00256EE9" w:rsidP="00256EE9">
      <w:pPr>
        <w:pStyle w:val="TextoNormal"/>
      </w:pPr>
      <w:r>
        <w:t>3.  No ha de acogerse, por otra parte, la alusión que realiza el recurrente a la posible motivación de su condena, al ponerla en relación con el art.  14 de la C. E., ya que es de nacionalidad argentina mientras que el denunciante es ciudadano español, hipótesis que en ninguna parte del procedimiento encuentra un mínimo respaldo, por lo que ha de merecer el calificativo de irrelevante.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De todo lo dicho se infiere la inadmisibilidad del presente recurso, y el archivo de las actuaciones, sin que proceda acordar la suspensión de la Sentencia pedida por el recurrente dada la inadmisión del presente recurso de amparo.</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2" w:name="AUTO_1985_121"/>
      <w:r>
        <w:lastRenderedPageBreak/>
        <w:t>AUTO 121/1985, de 20 de febrero de 1985</w:t>
      </w:r>
    </w:p>
    <w:bookmarkEnd w:id="182"/>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ECLI:ES:TC:1985:121A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761/1984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José Luis Ortiz Cañavate y Puig-Mauri formuló demanda de amparo ante este Tribunal Constitucional con fecha 2 de noviembre de 1984 en representación de don José María Ruiz-Mateos y Jiménez, doña María Teresa Rivero y Sánchez Romate, don Alfonso María Ruiz-Mateos y Jiménez, don Zoilo Ruiz-Mateos y Jiménez, doña Rosario Pérez Luna Gallego, don Rafael Ruiz-Mateos y Jiménez, doña María de las Mercedes Hernando Rodrigo, don Isidoro Ruiz-Mateos y Jiménez, doña María Dolores Albarracín y Jiménez de Tejada, doña María Dolores Ruiz-Mateos y Jiménez, y don Alberto Pérez Luna y Gallego, en el que se exponen como antecedentes: </w:t>
      </w:r>
    </w:p>
    <w:p w:rsidR="00256EE9" w:rsidRDefault="00256EE9" w:rsidP="00256EE9">
      <w:pPr>
        <w:pStyle w:val="TextoNormal"/>
      </w:pPr>
      <w:r>
        <w:t xml:space="preserve">Que por escrito dirigido a la Dirección General del Patrimonio del Estado el 11 de enero de 1984, don José María Ruiz-Mateos y Jiménez solicitó una habilitación de fondos por importe de 395.000.000 de pesetas, para atender al pago de honorarios profesionales de los Peritos que hayan de proceder a la tasación de todos y cada uno de los Bancos y Empresas del Grupo Rumasa, S. A. cantidad que, en su caso, habría de considerarse como anticipo a cuenta de las que, en su día, tuviese que percibir aquél como consecuencia del justiprecio de bienes expropiados. Al no obtener respuesta de la Administración, los ahora demandantes en amparo interpusieron, ante la Sala Tercera del Tribunal Supremo, por el procedimiento de la Ley 62/1978, de 26 de diciembre, recurso contencioso-administrativo contra la denegación presunta de la referida solicitud. </w:t>
      </w:r>
    </w:p>
    <w:p w:rsidR="00256EE9" w:rsidRDefault="00256EE9" w:rsidP="00256EE9">
      <w:pPr>
        <w:pStyle w:val="TextoNormal"/>
      </w:pPr>
      <w:r>
        <w:t>Por Sentencia de 27 de septiembre de 1984 la Sala Tercera del Tribunal Supremo desestimó el recurso, declarando la inexistencia de lesión de derechos fundamentales reconocidos y contemplados en el art. 53.2 de la Constitución, en relación con el acto recurrido, condenando a los recurrentes al pago de las costas del recurso, Los demandantes solicitan del Tribunal, que declare la nulidad de la referida denegación presunta y que tanto ellos, como cualesquiera otros titulares de acciones o participaciones de las Sociedades afectadas por el Real Decreto-ley 2/1983 y por la Ley 7/1983, han tenido y tienen derecho a la dotación de los bienes económicos (además del acceso a la documentación íntegra de las Sociedades del anexo a los citados «actos legislativos» y por el tiempo preciso) necesarios para abonar, a las tarifas colegiales o precios de mercado que resulten de aplicación, los honorarios de los profesionales que deban intervenir, por su designación en las piezas de justiprecio, según la naturaleza de los bienes y derechos que afecten. Solicitan, igualmente, por otrosí que, de acuerdo con lo previsto en el art, 55.2 de la Ley Orgánica del Tribunal Constitucional (LOTC), la Sala eleve al Pleno del Tribunal la cuestión de inconstitu</w:t>
      </w:r>
      <w:r>
        <w:lastRenderedPageBreak/>
        <w:t xml:space="preserve">cionalidad de la Ley 7/1983, con la amplitud con que dicha cuestión ha sido suscitada en el recurso, y para que dicte Sentencia de inconstitucionalidad conforme a lo dispuesto en el art. 39.2 de la LOTC. Por último, y en segundo otrosí, solicitan le sea tenida en cuenta, que la limitación del objeto del recurso, no empece la expresa reserva de cuantas acciones y derechos les correspondan para impugnar la Ley 7/1983 y todas y cada una de las aplicaciones de la misma. </w:t>
      </w:r>
    </w:p>
    <w:p w:rsidR="00256EE9" w:rsidRDefault="00256EE9" w:rsidP="00256EE9">
      <w:pPr>
        <w:pStyle w:val="TextoNormal"/>
      </w:pPr>
      <w:r>
        <w:t xml:space="preserve">Los recurrentes entienden que el acto impugnado lesiona el derecho a la defensa del derecho de propiedad y, en concreto, el derecho consagrado en el art. 24 de la Constitución Española (C.E.) en relación con el art. 33 del mismo Texto Fundamental. A tal efecto hacen una serie de consideraciones que en síntesis se pueden recoger así: </w:t>
      </w:r>
    </w:p>
    <w:p w:rsidR="00256EE9" w:rsidRDefault="00256EE9" w:rsidP="00256EE9">
      <w:pPr>
        <w:pStyle w:val="TextoNormal"/>
      </w:pPr>
      <w:r>
        <w:t xml:space="preserve">A) La vulneración del derecho a la defensa efectiva de los derechos de los demandantes, resulta de la desatención por parte de la Administración expropiante de los bienes, de las cautelas que marcó el voto particular de seis Magistrados del Tribunal Constitucional a la Sentencia 111/1983, que resolvió el recurso de inconstitucionalidad contra el Decreto-ley 2/1983. </w:t>
      </w:r>
    </w:p>
    <w:p w:rsidR="00256EE9" w:rsidRDefault="00256EE9" w:rsidP="00256EE9">
      <w:pPr>
        <w:pStyle w:val="TextoNormal"/>
      </w:pPr>
      <w:r>
        <w:t xml:space="preserve">B) Que la decisión gubernamental fáctica de «privar» de fondos a los expropiados encuentre aparente cobertura en una «legalidad formal», al no obligarle a tal provisión de fondos la Ley 7/1983, de suerte que, en definitiva, pueda ser la constitucionalidad de esa Ley y, en concreto,, de los arts. 2 y 4 de la misma, el fondo de la situación sometida al Tribunal Constitucional, que no sólo no hace inadmisible el amparo por carencia manifiesta de contenido, sino que incrementa la justificación de que dicho Tribunal se pronuncie al respecto, con toda la profundidad que una demanda como la presente comporta y que, sabiamente, ya consideró a priori posible y perfectamente admisible el propio legislador en el art. 55.2 de la LOTC. </w:t>
      </w:r>
    </w:p>
    <w:p w:rsidR="00256EE9" w:rsidRDefault="00256EE9" w:rsidP="00256EE9">
      <w:pPr>
        <w:pStyle w:val="TextoNormal"/>
      </w:pPr>
      <w:r>
        <w:t xml:space="preserve">C) La Ley de Expropiación Forzosa de 1954 establece en su art. 29 que la hoja de aprecio, derecho fundamental de lo expropiado, según resalta la exposición de motivos habrá de ser forzosamente «motivada», es decir, justificada en base al soporte de unos determinados conocimientos científicos, técnicos y contables más complejos cuanto más compleja sea la realidad económica sobre la que se opera; y esta obligación (derecho) de motivar la tasación del contenido económico de los propios bienes sacrificados al interés general, garantía última de la indemnización del expropiado, es lo que ha sido ignorado, con presunto apoyo legal, por la Administración actuante, a pesar de las advertencias del Tribunal Constitucional, con lo que la actuación de la Administración, confirmada en la Sentencia del Tribunal Supremo de 27 de septiembre de 1984, y con presunto apoyo legal al no establecerse una obligación de hacer, consuma la merma de garantías en la defensa del contenido económico del derecho de propiedad cuyo riesgo ya había advertido el Tribunal Constitucional. </w:t>
      </w:r>
    </w:p>
    <w:p w:rsidR="00256EE9" w:rsidRDefault="00256EE9" w:rsidP="00256EE9">
      <w:pPr>
        <w:pStyle w:val="TextoNormal"/>
      </w:pPr>
      <w:r>
        <w:t xml:space="preserve">D) En una correcta interpretación finalista las garantías del ciudadano, para evitar su indefensión, no sólo abarcan el proceso judicial en sí mismo, sino a las actuaciones administrativas previas, en cuanto éstas condicionen o debiliten tal actuación procesal. </w:t>
      </w:r>
    </w:p>
    <w:p w:rsidR="00256EE9" w:rsidRDefault="00256EE9" w:rsidP="00256EE9">
      <w:pPr>
        <w:pStyle w:val="TextoNormal"/>
      </w:pPr>
      <w:r>
        <w:t xml:space="preserve">E) Dado que el Tribunal Supremo en la Sentencia citada declara que «al no probarse la existencia de valoración positiva patrimonial de las empresas objeto de expropiación no cabe hablar de la indefensión aludida en el art. 24 de la C. E.», a sensu contrario, si el supuesto no puede ser mantenido, es obvio que el Tribunal Supremo, órgano de la actuación judicial en única instancia, reconoce que tal actuación y la previa de la Administración, consuman la indefensión de los ahora solicitantes de amparo. </w:t>
      </w:r>
    </w:p>
    <w:p w:rsidR="00256EE9" w:rsidRDefault="00256EE9" w:rsidP="00256EE9">
      <w:pPr>
        <w:pStyle w:val="TextoNormal"/>
      </w:pPr>
      <w:r>
        <w:t>F) La Administración y el Tribunal Supremo tenían la obligación positiva de procurar la igualdad efectiva de las partes en las piezas de justiprecio a que ha dado lugar la expro</w:t>
      </w:r>
      <w:r>
        <w:lastRenderedPageBreak/>
        <w:t xml:space="preserve">piación acordada por el Real Decretoley 2/1983, siguiendo las pautas que, a este propósito y sobre esta materia concreta, ya había marcado el Tribunal Constitucional en su Sentencia 111/1983. </w:t>
      </w:r>
    </w:p>
    <w:p w:rsidR="00256EE9" w:rsidRDefault="00256EE9" w:rsidP="00256EE9">
      <w:pPr>
        <w:pStyle w:val="TextoNormal"/>
      </w:pPr>
      <w:r>
        <w:t xml:space="preserve">G) Si la presencia efectiva y operativa del interesado (de todos y cada uno de los interesados) no es posible en la pieza de justiprecio por prohibirlo la Ley o, aun siendo posible, se hace inviable por resoluciones o comportamientos concretos de las instancias administrativas y judiciales, se le habrá privado del derecho real a intervenir en el negocio jurídico expropiatario, impidiendo la formación de la voluntad negocial y expropiando en realidad no bienes o derechos materiales, sino la propia voluntad negocial. Y es contra esa conclusión, obvia a la vista de los hechos que se enjuician, pero operante, contra la que se solicita el amparo. </w:t>
      </w:r>
    </w:p>
    <w:p w:rsidR="00256EE9" w:rsidRDefault="00256EE9" w:rsidP="00256EE9">
      <w:pPr>
        <w:pStyle w:val="TextoNormal"/>
      </w:pPr>
      <w:r>
        <w:t xml:space="preserve">H) La valoración de los bienes y derechos expropiados no puede llevarse a cabo sin un soporte técnico necesariamente retribuido. </w:t>
      </w:r>
    </w:p>
    <w:p w:rsidR="00256EE9" w:rsidRDefault="00256EE9" w:rsidP="00256EE9">
      <w:pPr>
        <w:pStyle w:val="TextoNormal"/>
      </w:pPr>
      <w:r>
        <w:t xml:space="preserve">Ello es no sólo un derecho legalmente reconocido ( y aplicable al caso según el voto particular de la Sentencia 111/1983 so pena de minorar las garantías constitucionales de los expropiados), sino un imperativo de la realidad. Por consiguiente, la intervención en la pieza de justiprecio por medio de expertos titulados ( que han de ser necesariamente retribuidos ), según la misma Administración actuante reconoció procedente, era condición sine qua non para hacer real y no meramente formal y aparente, la «participación» activa de los recurrentes en el justiprecio, como derecho subjetivo propio. </w:t>
      </w:r>
    </w:p>
    <w:p w:rsidR="00256EE9" w:rsidRDefault="00256EE9" w:rsidP="00256EE9">
      <w:pPr>
        <w:pStyle w:val="TextoNormal"/>
      </w:pPr>
      <w:r>
        <w:t xml:space="preserve">I) La argumentación de que los expropiados podían disponer de bienes propios, al margen de los expropiados a tal fin, ha de ser frontalmente rechazada, en particular, cuando se trata de apreciar si ha existido en los comportamientos ajenos -administración expropiante y Sala Tercera del Tribunal Supremodenegación de tutela o del derecho a la defensa de derecho subjetivos por varios motivos: </w:t>
      </w:r>
    </w:p>
    <w:p w:rsidR="00256EE9" w:rsidRDefault="00256EE9" w:rsidP="00256EE9">
      <w:pPr>
        <w:pStyle w:val="TextoNormal"/>
      </w:pPr>
      <w:r>
        <w:t xml:space="preserve">a) Porque se haría depender el otorgamiento o no de los medios económicos solicitados, de la situación económico-patrimonial de cada persona, con notoria acepción de personas, lo que vulneraría brutalmente el art. 14 de la C. E. </w:t>
      </w:r>
    </w:p>
    <w:p w:rsidR="00256EE9" w:rsidRDefault="00256EE9" w:rsidP="00256EE9">
      <w:pPr>
        <w:pStyle w:val="TextoNormal"/>
      </w:pPr>
      <w:r>
        <w:t xml:space="preserve">b) Porque de ninguna forma se acredita en tales piezas de justiprecio la existencia de «otros bienes» de los expropiados, por parte de la Administración, supuesto que se admitiese la tesis aberrante de que ello relevaba de facilitar la defensa de sus derechos, mediante los oportunos medios económicos, para este caso singular. </w:t>
      </w:r>
    </w:p>
    <w:p w:rsidR="00256EE9" w:rsidRDefault="00256EE9" w:rsidP="00256EE9">
      <w:pPr>
        <w:pStyle w:val="TextoNormal"/>
      </w:pPr>
      <w:r>
        <w:t xml:space="preserve">c) Porque la expropiación forzosa se inicia y concluye en los bienes y derechos a que afecta: es de ellos de lo que se priva a los titulares, es su contenido lo que procede indemnizar y es ese contenido económico el que hay que abonar en un momento dado, y el que tiene que posibilitar económicamente la defensa del expropiado durante el proceso expropiatorio; dicho de otra forma, es un acto objetivo, que no hace consideración a la total personalidad del expropiado. </w:t>
      </w:r>
    </w:p>
    <w:p w:rsidR="00256EE9" w:rsidRDefault="00256EE9" w:rsidP="00256EE9">
      <w:pPr>
        <w:pStyle w:val="TextoNormal"/>
      </w:pPr>
      <w:r>
        <w:t xml:space="preserve">J) El Tribunal Supremo en la Sentencia de 27 de septiembre de 1984 declara que en el procedimiento de la Ley 62/1978 únicamente es enjuiciable la violación de derechos fundamentales de la persona. Contra esta tesis cabe afirmar, por el contrario que el Tribunal en dicho procedimiento tiene competencia objetiva para conocer de todas y cada una de las pretensiones aducidas por los recurrentes en relación con el acuerdo tácito que se impugnaba, ya que el art. 44 de la Ley de la Jurisdicción dispone que «serán acumulables en un proceso las pretensiones que no sean incompatibles entre sí y se deduzcan en relación con un mismo acto o disposición» en consecuencia el Tribunal Supremo debió conocer y resolver sobre la totalidad de las pretensiones de los recurrentes en amparo. En otro caso, y como alternativa, la Sala debió aplicar el art. 45.2 de la propia Ley de la Jurisdicción </w:t>
      </w:r>
      <w:r>
        <w:lastRenderedPageBreak/>
        <w:t xml:space="preserve">declarando expresamente su incompetencia o no idoneidad del procedimiento a fin de que los recurrentes pudiesen canalizar parte de sus pretensiones hacia el proceso adecuado. Al no haber habido en ningún momento del proceso un pronunciamiento expreso de la Sala sobre tal aspecto, la Sentencia ha dejado imprejuzgadas, produciendo una verdadera denegación de justicia, las pretensiones de los recurrentes con lo que no se ha atenido a lo dispuesto en el art. 80 de la Ley de la Jurisdicción. </w:t>
      </w:r>
    </w:p>
    <w:p w:rsidR="00256EE9" w:rsidRDefault="00256EE9" w:rsidP="00256EE9">
      <w:pPr>
        <w:pStyle w:val="TextoNormal"/>
      </w:pPr>
      <w:r>
        <w:t xml:space="preserve">K) La Sala del Tribunal Supremo debió proceder, en todo caso, como viene haciendo la Audiencia Nacional (así, en el Auto de 13 de abril de 1984), es decir, cuestionando, en pieza contradictoria la procedencia o no de resolver por la vía de la Ley 62/1978 la totalidad de las cuestiones propuestas por los recurrentes para, en otro supuesto, permitirles la posibilidad de elegir su tramitación por la vía del procedimiento ordinario, con la subsanación de los defectos procesales que, en su caso, se hubiesen producido y, en caso contrario, debió realizar un pronunciamiento expreso sobre todas las pretensiones. Al no haberlo hecho así incurre en la violación radical de lo preceptuado en el art. 102.1 g) de la Ley de la Jurisdicción y consuma la denegación de justicia producida en el expediente administrativo. </w:t>
      </w:r>
    </w:p>
    <w:p w:rsidR="00256EE9" w:rsidRDefault="00256EE9" w:rsidP="00256EE9">
      <w:pPr>
        <w:pStyle w:val="TextoNormal"/>
      </w:pPr>
      <w:r>
        <w:t xml:space="preserve">L) Al limitar la Sala en el considerando segundo de la Sentencia la remisión jurisdiccional a la dotación o no de medios, sin conexión alguna con la indefensión que la privación le supone en cuanto al contenido económico del derecho de propiedad, está trucando radicalmente el problema y haciéndolo ininteligible, pues, en definitiva, está reduciendo la cuestión a analizar si una persona tiene o no derecho a la habilitación de fondos por parte del Estado, por lo que no encuentra apoyo normativo, sin entender que esta privación priva de defensa al derecho de propiedad en el trance esencial de su expropiación y en cuanto a la esencia de tal derecho, que es su contenido económico. </w:t>
      </w:r>
    </w:p>
    <w:p w:rsidR="00256EE9" w:rsidRDefault="00256EE9" w:rsidP="00256EE9">
      <w:pPr>
        <w:pStyle w:val="TextoNormal"/>
      </w:pPr>
      <w:r>
        <w:t xml:space="preserve">LL) Frente a la declaración contenida en la Sentencia de que «no se prueba y ni siquiera se alega la existencia de una valoración del patrimonio » expropiado por parte de los recurrentes, con lo que «no cabe hablar de la indefensión aludida por el art. 24 de la C. E.», es preciso señalar que: </w:t>
      </w:r>
    </w:p>
    <w:p w:rsidR="00256EE9" w:rsidRDefault="00256EE9" w:rsidP="00256EE9">
      <w:pPr>
        <w:pStyle w:val="TextoNormal"/>
      </w:pPr>
      <w:r>
        <w:t xml:space="preserve">a) La práctica de la prueba de valor positivo ni es exigible con carácter previo al expropiado, ni ha podido llevarse a cabo en autos, ya que la Sala acordó no haber lugar al recibimiento a prueba del proceso. </w:t>
      </w:r>
    </w:p>
    <w:p w:rsidR="00256EE9" w:rsidRDefault="00256EE9" w:rsidP="00256EE9">
      <w:pPr>
        <w:pStyle w:val="TextoNormal"/>
      </w:pPr>
      <w:r>
        <w:t xml:space="preserve">b) La presunción legal en todo expediente expropiatorio es la de la existencia de un haber líquido, o valor, compensable. </w:t>
      </w:r>
    </w:p>
    <w:p w:rsidR="00256EE9" w:rsidRDefault="00256EE9" w:rsidP="00256EE9">
      <w:pPr>
        <w:pStyle w:val="TextoNormal"/>
      </w:pPr>
      <w:r>
        <w:t xml:space="preserve">c) Es ya un hecho acreditado que en determinadas empresas reprivatizadas ha habido un valor positivo -contrastado por el precio ofertado por ellas-, con lo que es evidente, según el propio pronunciamiento de la Sentencia que se ha producido una gravísima indefensión a los recurrentes por la falta de posibilidad efectiva de intervenir en la pieza de justiprecio. </w:t>
      </w:r>
    </w:p>
    <w:p w:rsidR="00256EE9" w:rsidRDefault="00256EE9" w:rsidP="00256EE9">
      <w:pPr>
        <w:pStyle w:val="TextoNormal"/>
      </w:pPr>
      <w:r>
        <w:t>M) Con posterioridad a la Sentencia del Tribunal Supremo se ha producido un hecho de enorme trascendencia y que guarda relación, con luminosa coherencia, con el contenido del voto particular de la Sentencia 111/1983; se trata, concretamente, del Auto dictado por el Magistrado-Juez de Primera Instancia núm. 18 de los de Madrid, en el interdicto promovido por los ahora demandantes en amparo contra la ocupación de bienes y derechos dispuesta por el Real Decreto-ley 2/1983, por el que se plantea ante este Tribunal Constitucional cuestión de inconstitucionalidad en relación con los arts. 1 y 2 de la Ley 7/1983.</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Segunda por providencia de 19 de diciembre de 1984, tuvo por personado al Procurador Ortiz Cañavate en nombre de los demandantes antes reseñados y por re</w:t>
      </w:r>
      <w:r>
        <w:lastRenderedPageBreak/>
        <w:t xml:space="preserve">cibido el escrito de demanda, mandando entender con aquél las sucesivas actuaciones. He hizo saber al expresado Procurador, la posible concurrencia de los siguientes motivos de inadmisión de la demanda: </w:t>
      </w:r>
    </w:p>
    <w:p w:rsidR="00256EE9" w:rsidRDefault="00256EE9" w:rsidP="00256EE9">
      <w:pPr>
        <w:pStyle w:val="TextoNormal"/>
      </w:pPr>
      <w:r>
        <w:t xml:space="preserve">1.° No haberse agotado todos los recursos utilizables en la vía judicial, en relación a la Sentencia de 27 de septiembre de 1984, de la Sala Tercera del Tribunal Supremo, y, en concreto, el recurso extraordinario de revisión establecido en el art. 102.1 g) de la Jurisdicción Contencioso-Administrativa, al atacar aquella resolución de incongruente, por no resolver todas las cuestiones planteadas en el recurso, según lo establecido en el art. 44.1 a), en relación con el art. 50.1 b) de la LOTC. </w:t>
      </w:r>
    </w:p>
    <w:p w:rsidR="00256EE9" w:rsidRDefault="00256EE9" w:rsidP="00256EE9">
      <w:pPr>
        <w:pStyle w:val="TextoNormal"/>
      </w:pPr>
      <w:r>
        <w:t xml:space="preserve">2.° Carecer la demanda manifiestamente de contenido que justifique una decisión, en Sentencia, por parte de este Tribunal [art. 50.2 b) de la LOTC], tanto en relación al acto administrativo presunto combatido, como con la citada Sentencia del Tribunal Supremo. </w:t>
      </w:r>
    </w:p>
    <w:p w:rsidR="00256EE9" w:rsidRDefault="00256EE9" w:rsidP="00256EE9">
      <w:pPr>
        <w:pStyle w:val="TextoNormal"/>
      </w:pPr>
      <w:r>
        <w:t>Concediendo un plazo de diez días a los recurrentes y al Ministerio Fiscal, para que efectuaran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Ministerio Fiscal evacuando tal trámite, formuló en síntesis las alegaciones, de tratarse de un recurso mixto situado en los arts. 43 y 44 de la LOTC, con la particularidad de que esta formulación acumulada es incompatible, en el sentido de que si prospera el amparo frente a la Sentencia del Tribunal Supremo, anulada ésta no podía entrar en el análisis de la pretendida infracción por parte de la Administración, al no resultar agotada la vía judicial según el art. 43.1. Por ello examina en primer término la alegada vulneración en que ha podido incurrir el Tribunal Supremo: de una parte la del art. 24.1 por incongruencia al no resolver los extremos sometidos a la consideración del Tribunal Supremo; y de otra la infracción del art. 24.2 por no permitirle utilizar pruebas pertinentes. </w:t>
      </w:r>
    </w:p>
    <w:p w:rsidR="00256EE9" w:rsidRDefault="00256EE9" w:rsidP="00256EE9">
      <w:pPr>
        <w:pStyle w:val="TextoNormal"/>
      </w:pPr>
      <w:r>
        <w:t xml:space="preserve">Al alegar la incongruencia desconociendo el procedimiento de la Ley 62/1978 reservado para la vulneración de derechos y libertades fundamentales y no a vicios de legalidad, se incurre en manifiesta inadmisibilidad, pues tratándose de cuestiones planteadas y no resueltas, se está en presencia del motivo de revisión del art. 102.1 g) de la Ley de la Jurisdicción Contencioso-Administrativa (LJCA) y el Tribunal Constitucional exige que se haga uso del mismo en el Auto de 23 de mayo de 1984, por lo que existe la causa de inadmisión del art. 50.1 b) en relación con el art. 40.1 a) de la LOTC que exigen agotar los recursos utilizables. </w:t>
      </w:r>
    </w:p>
    <w:p w:rsidR="00256EE9" w:rsidRDefault="00256EE9" w:rsidP="00256EE9">
      <w:pPr>
        <w:pStyle w:val="TextoNormal"/>
      </w:pPr>
      <w:r>
        <w:t xml:space="preserve">El derecho a utilizar los medios pertinentes de prueba que se dicen vulnerados es un tema que corresponde a los Tribunales ordinarios precisar y el de la admisión de las pruebas; y el Tribunal Constitucional no puede considerar pertinente una prueba que ha sido estimada razonadamente como impertinente por el Tribunal ordinario, a no ser que se haya causado indefensión, lo que no se produce en el caso de examen, pues la prueba se rechazó para aquellos puntos que no podían ser objeto de enjuiciamiento en el procedimiento seguido, y el recurso fue inadmitido al no apreciarse lesión de los derechos fundamentales. </w:t>
      </w:r>
    </w:p>
    <w:p w:rsidR="00256EE9" w:rsidRDefault="00256EE9" w:rsidP="00256EE9">
      <w:pPr>
        <w:pStyle w:val="TextoNormal"/>
      </w:pPr>
      <w:r>
        <w:t xml:space="preserve">El otro motivo del amparo formulado se refiere a la impugnación del acto-silencio administrativo, por la misma razón de falta de tutela judicial. </w:t>
      </w:r>
    </w:p>
    <w:p w:rsidR="00256EE9" w:rsidRDefault="00256EE9" w:rsidP="00256EE9">
      <w:pPr>
        <w:pStyle w:val="TextoNormal"/>
      </w:pPr>
      <w:r>
        <w:t xml:space="preserve">La tutela del art. 24.1 de la C. E. es tutela que han de prestar los Jueces y Tribunales que son los únicos que pueden lesionarla (Sentencia del T. C. 26/1983). </w:t>
      </w:r>
    </w:p>
    <w:p w:rsidR="00256EE9" w:rsidRDefault="00256EE9" w:rsidP="00256EE9">
      <w:pPr>
        <w:pStyle w:val="TextoNormal"/>
      </w:pPr>
      <w:r>
        <w:t>Aun extendiendo tal derecho fundamental no se puede sostener que lo lesionara el Gobierno al denegar la provisión de fondos pedida por los recurrentes, fundamentalmente por no acreditarse que ese dinero que pedían fuera presupuesto de su posibilidad de defensa en el expediente de justiprecio. Se pide además un amparo cautelar, anticipando una eventual falta de tutela de los Tribunales que dependerá en todo caso del resultado de las conversa</w:t>
      </w:r>
      <w:r>
        <w:lastRenderedPageBreak/>
        <w:t xml:space="preserve">ciones y expedientes de la fijación del precio: amparo hipotético que rechaza el Auto de 4 de octubre de 1983 y la Sentencia 10/1983. </w:t>
      </w:r>
    </w:p>
    <w:p w:rsidR="00256EE9" w:rsidRDefault="00256EE9" w:rsidP="00256EE9">
      <w:pPr>
        <w:pStyle w:val="TextoNormal"/>
      </w:pPr>
      <w:r>
        <w:t xml:space="preserve">Concurre la causa de inadmisión del art. 50.2 b) de la LOTC. </w:t>
      </w:r>
    </w:p>
    <w:p w:rsidR="00256EE9" w:rsidRDefault="00256EE9" w:rsidP="00256EE9">
      <w:pPr>
        <w:pStyle w:val="TextoNormal"/>
      </w:pPr>
      <w:r>
        <w:t xml:space="preserve">En el fondo la demanda quiere plantear un recurso de inconstitucionalidad de los arts. 2 y 4 de la Ley expropiatoria del Grupo Rumasa. Pretensión fuera de lugar por estar ya entablada cuestión de inconstitucionalidad sobre dicha Ley. </w:t>
      </w:r>
    </w:p>
    <w:p w:rsidR="00256EE9" w:rsidRDefault="00256EE9" w:rsidP="00256EE9">
      <w:pPr>
        <w:pStyle w:val="TextoNormal"/>
      </w:pPr>
      <w:r>
        <w:t>Y por fin alega el escaso rigor de la demanda, que sustenta no poca de su argumentación en el voto particular de sus Magistrados del Tribunal Constitucional, realizada en la Sentencia que declaró constitucional el Decreto-ley de expropiación de Rumasa no pudiendo construirse un recurso de amparo contra débiles razonamientos.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Procurador señor Ortiz Cañavate en representación de la parte actora formuló escrito de alegaciones, en relación al trámite de inadmisión, en el que en síntesis expone: </w:t>
      </w:r>
    </w:p>
    <w:p w:rsidR="00256EE9" w:rsidRDefault="00256EE9" w:rsidP="00256EE9">
      <w:pPr>
        <w:pStyle w:val="TextoNormal"/>
      </w:pPr>
      <w:r>
        <w:t xml:space="preserve">Que es erróneo estimar que no se agotaron todos los recursos utilizables en la vía judicial en relación a la Sentencia del Tribunal Supremo, pues en el «suplico» de la demanda se dice tener por formulado el recurso de amparo contra el acto presunto de la Dirección General del Patrimonio del Estado, lo que supone recurrir contra actos administrativos y no contra la Sentencia del Tribunal Supremo, debiendo analizarse si contra dichos actos administrativos se agotaron los recursos judiciales procedentes según el art. 44. 1 a) de la LOTC. El recurso de revisión es extraordinario y excepcional pues invalida una Sentencia firme al rescindir un proceso judicial ultimado, y el recurso del art. 102.1 de la LJCA sólo será por causas tasadas de interpretación restrictiva. Siendo así, es evidente que la vía judicial contenciosa se agotó con la utilización de los recursos ordinarios, en este caso con el recurso ante la Sala Tercera del Tribunal Supremo terminando la vía jurisdiccional. El recurso de revisión nunca puede ser carga u obligación para su planteamiento, quedando al arbitrio del legitimado para entablarlo, y que siendo los motivos de revisión tasados y de interpretación restrictiva no puede hacerse depender la viabilidad del amparo en su admisión, de que el proceso contencioso o en la Sentencia que lo resuelve se hayan producido o no las irregularidades que establece el art. 102 de la LJCA. No debe forzarse la interpretación del art. 44.1 a) de la LOTC exigiendo en todo caso como trámite ordinario para la admisión del amparo lo que es por Ley extraordinario, excepcional y de ejercicio voluntario y discrecional por el perjudicado, lo que avala también razones de economía procesal. No se puede exigir tal recurso como trámite complementario y notoriamente excesivo por lo que es obvio que se han agotado todos los recursos utilizables que exige el art. 44.1 a) de la LOTC. </w:t>
      </w:r>
    </w:p>
    <w:p w:rsidR="00256EE9" w:rsidRDefault="00256EE9" w:rsidP="00256EE9">
      <w:pPr>
        <w:pStyle w:val="TextoNormal"/>
      </w:pPr>
      <w:r>
        <w:t>En relación a la causa de inadmisión del art. 50.2 b) de la LOTC no admite su presencia, pues la Sentencia recurrida admite explícitamente que la expropiación sin previo pago ni depósito previo, y sin habilitación de fondos con que atender el importe del justiprecio, puede constituir violación del derecho a la defensa, aunque lo condiciona a que los bienes expropiados tuvieran una valoración positiva, tesis esta última gratuita y grave, porque en la apertura del período probatorio se negó por la Sala demostrarlo, y porque en toda expropiación existe el derecho al justiprecio, y la presunción de que lo expropiado tiene algún valor positivo. Examinando el contenido del voto particular tan aludido, estima que se redujeron las garantías de los expropiados, y que como quedó indicado el patrimonio tiene en todo caso una valoración positiva. Terminó solicitando, que se admita el recurso de amparo a trámite y se dicte Sentencia otorgando lo solicitado en la demanda de acuerdo con sus pretensiones.</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Los recurrentes en amparo solicitaron de la Dirección General del Patrimonio del Estado, la habilitación de 395.000.000 de pesetas, para atender al pago de los honorarios profesionales de los Peritos que hayan de proceder a tasar los Bancos y Empresas del Grupo Rumasa, S. A.  expropiados en virtud del Decreto-ley 2/1983, y más tarde por la Ley 7/1983, y todo ello a cuenta de la cantidad que deberían recibir en pago luego de justipreciados los bienes.  Negada la solicitud por silencio de la Administración, formularon por el cauce del procedimiento especial precisado en la Ley 62/1978 recurso contencioso-administrativo ante la Sala Tercera del Tribunal Supremo, que fue desestimado por la Sentencia de 27 de septiembre de 1984, interponiéndose el recurso de amparo, por entender que el acto administrativo impugnado lesiona el derecho a la defensa del derecho de propiedad, y en concreto el derecho consagrado en el art. 24 en relación con el art. 33 de la Constitución (C. E.), y contra cuya demanda se formularon, en trámite previo la posible existencia de las dos causas de inadmisión que señaló la providencia de 19 de diciembre siguiente.</w:t>
      </w:r>
    </w:p>
    <w:p w:rsidR="00256EE9" w:rsidRDefault="00256EE9" w:rsidP="00256EE9">
      <w:pPr>
        <w:pStyle w:val="TextoNormal"/>
      </w:pPr>
    </w:p>
    <w:p w:rsidR="00256EE9" w:rsidRDefault="00256EE9" w:rsidP="00256EE9">
      <w:pPr>
        <w:pStyle w:val="TextoNormal"/>
      </w:pPr>
      <w:r w:rsidRPr="00256EE9">
        <w:rPr>
          <w:rStyle w:val="NumeroAFNegritaCaracter"/>
        </w:rPr>
        <w:t>2</w:t>
      </w:r>
      <w:r>
        <w:t>. Aunque la demanda en el «suplico» sólo se dirige, recabando su nulidad, contra el acto presunto de dicha Dirección General del Patrimonio del Estado, a pesar de esta apariencia formal o externa, impugna en todo su contenido también la Sentencia del Tribunal Supremo, que confirmó la legalidad de dicha actuación negativa, y por motivos que encajados en la vulneración del mismo derecho fundamental son diferentes -al menos, en parte- de los referibles al acto administrativo, por lo que se trata de un recurso de amparo mixto, que ha de situarse en los arts. 43 y 44 respectivamente de la LOTC, debiendo examinarse separadamente esta doble impugnación según su contenido particular.</w:t>
      </w:r>
    </w:p>
    <w:p w:rsidR="00256EE9" w:rsidRDefault="00256EE9" w:rsidP="00256EE9">
      <w:pPr>
        <w:pStyle w:val="TextoNormal"/>
      </w:pPr>
    </w:p>
    <w:p w:rsidR="00256EE9" w:rsidRDefault="00256EE9" w:rsidP="00256EE9">
      <w:pPr>
        <w:pStyle w:val="TextoNormal"/>
      </w:pPr>
      <w:r w:rsidRPr="00256EE9">
        <w:rPr>
          <w:rStyle w:val="NumeroAFNegritaCaracter"/>
        </w:rPr>
        <w:t>3</w:t>
      </w:r>
      <w:r>
        <w:t>. El primer acto impugnado, que es la denegación presunta de la solicitud de los indicados honorarios por silencio de la referida Dirección General, se basa en la tesis, de que la tutela del derecho de propiedad, exige la habilitación de fondos a cuenta del pago del precio futuro, para satisfacer sus honorarios a los peritos tasadores de bienes expropiados en la pieza de justiprecio, en que surte efectos la hoja de aprecio del particular que los nombra. Tesis que no resulta admisible, porque ese pretendido derecho no forma parte del derecho a la defensa, es decir, del derecho a la tutela judicial efectiva que, como este Tribunal en constante doctrina viene precisando, es un derecho de acceso al proceso o a la jurisdicción de los Tribunales ordinarios que han de prestar los Jueces o Tribunales, según la expresa dicción del art.  24.1 de la Constitución.  El derecho que se invoca como vulnerado no forma parte en modo alguno del derecho a la defensa o a la tutela judicial efectiva, que es por su propia naturaleza un derecho instrumental y no sustantivo, como lo es el derecho de propiedad, que consagrado en el art.  33 de la C. E.  queda fuera de los derechos tutelables en el recurso de amparo constitucional segun el art. 53.2 de la misma. Falta en definitiva una relación causal directa entre la pretensión ante la Administración y el acceso ante los Tribunales de justicia, y por consiguiente no puede fundarse en el mero hecho del derecho al proceso que establece el art. 24 de la C. E.</w:t>
      </w:r>
    </w:p>
    <w:p w:rsidR="00256EE9" w:rsidRDefault="00256EE9" w:rsidP="00256EE9">
      <w:pPr>
        <w:pStyle w:val="TextoNormal"/>
      </w:pPr>
      <w:r>
        <w:t>La demanda de amparo por ello y en relación a este punto, carece manifiestamente de contenido constitucional, que justifique una decisión, en Sentencia, por parte de este Tribunal, según establece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En relación a la Sentencia del Tribunal Supremo indicada, se opuso la causa de inadmisión del art. 44.1 a) de la LOTC, por no haberse agotado contra la misma todos los recursos utilizables dentro de la vía judicial, puesto que el recurso de amparo la atacaba de incongruente, por no haber resuelto todas las cuestiones planteadas en el recurso [art.  102. 1 g) de la Ley de la Jurisdicción Contencioso-Administrativa -LJCA-], al limitar el procedimiento especial de la Ley 62/1978 a enjuiciar la violación de los derechos fundamentales, y sin embargo, no utilizar lo dispuesto en los arts.  44, 45.2 y 80 de la LJCA y en definitiva por no permitirle la posibilidad de elegir la vía del procedimiento ordinario, o en caso contrario realizar un pronunciamiento expreso sobre todas las pretensiones, por lo que «al no hacerlo así incurre en la violación radical de lo preceptuado en el art.  102.  1 g)» de dicha Ley y «consuma la denegación de justicia producida en el procedimiento administrativo».</w:t>
      </w:r>
    </w:p>
    <w:p w:rsidR="00256EE9" w:rsidRDefault="00256EE9" w:rsidP="00256EE9">
      <w:pPr>
        <w:pStyle w:val="TextoNormal"/>
      </w:pPr>
      <w:r>
        <w:t>Es doctrina muy común de este Tribunal, expuesta entre otros en los Autos de 4 de abril y 23 de noviembre de 1983, y últimamente en el de 6 de febrero de 1985, la de que el cumplimiento antes de acceder al recurso de amparo de lo dispuesto en el art.  44.1 a) de la LOTC se debe al carácter subsidiario de este proceso, porque las pretensiones constitucionales no pueden plantearse ante este Tribunal sin que sean objeto al previo examen y decisión por los Jueces y Tribunales del Poder Judicial, en cuanto a su alcance constitucional: y también la de que, en el caso de incongruencia de las Sentencias de la jurisdicción contencioso-administrativa, o de cualquier otro de los supuestos del art.  102.1 de la LJCA, deberá utilizarse el recurso extraordinario de revisión, y especialmente el del apartado g) «si la Sentencia se hubiese dictado con infracción de lo dispuesto en el art. 43, o si en ella no se resolviere alguna de las cuestiones planteadas en la demanda y contestación», pues el recurso de revisión indicado es de obligado cumplimiento y a pesar de considerarse como extraordinario y de revisión, en puridad tiene una naturaleza especial distinta a la propia revisora común, que permite el restablecimiento del derecho conculcado a través de una instancia judicial de queja, posibilitando la resolución con arreglo a derecho por cauces jurisdiccionales apropiados.</w:t>
      </w:r>
    </w:p>
    <w:p w:rsidR="00256EE9" w:rsidRDefault="00256EE9" w:rsidP="00256EE9">
      <w:pPr>
        <w:pStyle w:val="TextoNormal"/>
      </w:pPr>
      <w:r>
        <w:t>En el caso de examen como aseguran los recurrentes, el Tribunal Supremo pudo oír a las partes en el proceso seguido ante él, sobre la limitación del ámbito del mismo, regulado en la Ley 62/1978, pero del hecho de que no se hiciera así y dictara Sentencia limitando la cognición, no se deriva la posibilidad de impugnar directamente la misma ante este Tribunal, pues debió de haberse seguido la vía indicada del recurso de revisión necesariamente, y al no efectuarlo de esta manera, se incurrió en la causa de inadmisión, en cuanto a este punto, del art.  50.1 b) en relación con el 44.1 a)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Además concurre en relación con la Sentencia del Tribunal Supremo recurrida, la propia causa de inadmisión del art. 50.2 b) de la LOTC, porque dicha resolución razona la desestimación del recurso contencioso-administrativo de manera suficiente, cumpliendo los requisitos exigidos en el art.  24.1 de la C. E., tal y como han sido reiteradamente interpretados por este Tribunal, estimando que no es posible equiparar la ausencia de tutela judicial efectiva con la desestimación de las pretensiones de cualquiera de las partes de un proceso, pues dicho derecho no incluye, obviamente, el de obtener una decisión favorable a las pretensiones de aquélla, y la demanda de amparo trata esencialmente de contraargumentar oponiéndose a la fundamentación de la Sentencia, desde el plano prohibido para este Tribunal de la mera legalidad.</w:t>
      </w:r>
    </w:p>
    <w:p w:rsidR="00256EE9" w:rsidRDefault="00256EE9" w:rsidP="00256EE9">
      <w:pPr>
        <w:pStyle w:val="TextoNormal"/>
      </w:pPr>
      <w:r>
        <w:t>Debiendo precisarse, que tampoco puede admitirse que la afirmación contenida en la Sentencia, de que la ausencia de prueba sobre la valoración positiva del patrimonio expro</w:t>
      </w:r>
      <w:r>
        <w:lastRenderedPageBreak/>
        <w:t>piado por parte de los recurrentes, resulta contradictoria con la denegación del recibimiento a prueba del proceso por parte de la Sala, ya que la solicitud de prueba se hizo por los actores en exclusiva relación con «la cuantía de los honorarios, procedentes según normas colegiales, para los Peritos o expertos que deban intervenir sobre la valoración de los bienes y derechos expropiados por el Real Decreto 2/1983» (otrosí de la demanda ante el Tribunal Supremo, cifra 218 del «rollo» del presente recurso ), es decir, en relación con una cuestión que nada tenía que ver con lo que se afirma posteriormente por el Tribunal Supremo en su Sentencia, no concurriendo como precisa esta resolución indefensión alguna por tal motivo, sin que los argumentos aducidos en la demanda de amparo puedan aceptarse por falta de fuerza, dada la ausencia de relación entre la demostración exigida efectuar por la Sentencia y la prueba propuesta referida indudablemente a otra materia, y que fue denegada.</w:t>
      </w:r>
    </w:p>
    <w:p w:rsidR="00256EE9" w:rsidRDefault="00256EE9" w:rsidP="00256EE9">
      <w:pPr>
        <w:pStyle w:val="TextoNormal"/>
      </w:pPr>
    </w:p>
    <w:p w:rsidR="00256EE9" w:rsidRDefault="00256EE9" w:rsidP="00256EE9">
      <w:pPr>
        <w:pStyle w:val="TextoNormal"/>
      </w:pPr>
      <w:r w:rsidRPr="00256EE9">
        <w:rPr>
          <w:rStyle w:val="NumeroAFNegritaCaracter"/>
        </w:rPr>
        <w:t>6</w:t>
      </w:r>
      <w:r>
        <w:t>. El razonamiento que intenta apoyar la argumentación del amparo en el Auto de reenvío de un Juez civil a este Tribunal, planteando una cuestión de inconstitucionalidad, que incluso ha sido admitida a trámite, no puede considerarse como fundamento decisivo de la pretensión de amparo, sobre materia diferente, ni mucho menos, como es lógico, vincular al mismo para admitir o estimar el recurso de amparo, sin que por lo demás pueda entenderse, que la Ley 7/1983 puesta en debate de inconstitucionalidad por dicha cuestión, impida a la decisión presente y exija elevar al Pleno del Tribunal el mismo tema de que ya conoce.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Sección acordó:</w:t>
      </w:r>
    </w:p>
    <w:p w:rsidR="00256EE9" w:rsidRDefault="00256EE9" w:rsidP="00256EE9">
      <w:pPr>
        <w:pStyle w:val="TextoNormal"/>
      </w:pPr>
      <w:r>
        <w:t>Inadmitir a trámite la demanda de recurso de amparo propuesta por el Procurador don José Luis Ortiz Cañavate y Puig-Mauri, en nombre y representación de las personas determinadas en el primer antecedente de esta decisión, y el archivo de las actuaciones.</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3" w:name="AUTO_1985_122"/>
      <w:r>
        <w:lastRenderedPageBreak/>
        <w:t>AUTO 122/1985, de 20 de febrero de 1985</w:t>
      </w:r>
    </w:p>
    <w:bookmarkEnd w:id="183"/>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ECLI:ES:TC:1985:122A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780/1984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presentado en este Tribunal el día 10 de noviembre de 1984, don Agustín González Ruiz, Abogado en ejercicio en el Ilmo. </w:t>
      </w:r>
    </w:p>
    <w:p w:rsidR="00256EE9" w:rsidRDefault="00256EE9" w:rsidP="00256EE9">
      <w:pPr>
        <w:pStyle w:val="TextoNormal"/>
      </w:pPr>
      <w:r>
        <w:t xml:space="preserve">Colegio de Madrid, interpuso recurso de amparo contra la Sentencia de la Sala Segunda del Tribunal Supremo de 9 de octubre de 1984 que, a juicio del Letrado recurrente, desconoce el derecho del reclamante a exponer y difundir los pensamientos, ideas y opiniones, reconocido en el art. 20.1 a) de la Constitución (C. E.) y solicita la nulidad de dicha resolución judicial. </w:t>
      </w:r>
    </w:p>
    <w:p w:rsidR="00256EE9" w:rsidRDefault="00256EE9" w:rsidP="00256EE9">
      <w:pPr>
        <w:pStyle w:val="TextoNormal"/>
      </w:pPr>
      <w:r>
        <w:t>Por sendos otrosíes solicita el recibimiento a prueba, proponiendo la documental que juzga pertinente, y la suspensión de la ejecución de la Sentencia impugnada.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De los hechos descritos y documentos aportados se desprende lo siguiente: </w:t>
      </w:r>
    </w:p>
    <w:p w:rsidR="00256EE9" w:rsidRDefault="00256EE9" w:rsidP="00256EE9">
      <w:pPr>
        <w:pStyle w:val="TextoNormal"/>
      </w:pPr>
      <w:r>
        <w:t xml:space="preserve">a) El ahora recurrente, en el ejercicio de su función de Abogado, demandó, en nombre de «Inversiones Josalpa, S. A.» a PLF, sobre resolución de contrato de aparcería, ante el Juzgado de Primera Instancia de Motilla del Palancar, el cual por Sentencia de 17 de enero de 1979 acordó absolver al demandado, sin entrar en el fondo, al acoger la excepción formulada por éste. Recurrida tal resolución ante la Sala de lo Civil de la Audiencia Territorial de Albacete, el 21 de febrero de 1980 se dictó Sentencia, confirmando el anterior pronunciamiento, lo que motivó la interposición de un recurso de revisión ante el Tribunal Supremo, que fue resuelto el 5 de junio de 1981, confirmando los anteriores fallos, con el siguiente extremo: «...expídase por el Tribunal a quo testimonio de los particulares ( relativos ) a las falsedades y defraudaciones a que se alude en el considerando tercero de la Sentencia recurrida, así como de dicho considerando y del fallo desestimatorio de la demanda y lo remita al Ministerio Fiscal a los efectos oportunos...». </w:t>
      </w:r>
    </w:p>
    <w:p w:rsidR="00256EE9" w:rsidRDefault="00256EE9" w:rsidP="00256EE9">
      <w:pPr>
        <w:pStyle w:val="TextoNormal"/>
      </w:pPr>
      <w:r>
        <w:t>b) No conforme con lo acordado, y después de solicitar determinadas aclaraciones, el recurrente se dirigió a la Sala Primera de la Audiencia Territorial de Albacete, reiterando su criterio de que «no es jurisdiccionalmente posible que sea el Tribunal a quo el expedidor del testimonio de las falsedades y defraudaciones contempladas en el considerando tercero de su Sentencia, por cuanto es precisamente esa Sala de lo Civil la que «conoce, disculpa y ampara y en definitiva se solidariza con las evidentes falsedades y defraudaciones delictivas realizadas por el aparcero», por lo que solicita la inhibición de dicha Sala del conocimiento y decisiones de las consecuencias de orden penal del texto del conside</w:t>
      </w:r>
      <w:r>
        <w:lastRenderedPageBreak/>
        <w:t xml:space="preserve">rando aludido, al ser Juez y parte en las actividades denunciadas por el Tribunal Supremo, que ha ordenado la expedición de un testimonio en persecución de claros y definidos hechos delictivos. </w:t>
      </w:r>
    </w:p>
    <w:p w:rsidR="00256EE9" w:rsidRDefault="00256EE9" w:rsidP="00256EE9">
      <w:pPr>
        <w:pStyle w:val="TextoNormal"/>
      </w:pPr>
      <w:r>
        <w:t xml:space="preserve">c) La Sala de lo Civil de la Audiencia Territorial de Albacete acordó deducir testimonio por desacato que tuvo como consecuencia la interposición, por el Fiscal, de querella ante el Juzgado de Instrucción núm. 2 de Albacete. Dictado Auto de procesamiento por supuesto delito de desacato, el inculpado formalizó recurso de reforma y subsidiario de apelación, así como un escrito dirigido al Consejo General del Poder Judicial. </w:t>
      </w:r>
    </w:p>
    <w:p w:rsidR="00256EE9" w:rsidRDefault="00256EE9" w:rsidP="00256EE9">
      <w:pPr>
        <w:pStyle w:val="TextoNormal"/>
      </w:pPr>
      <w:r>
        <w:t xml:space="preserve">La Audiencia Provincial de Albacete dictó el 7 de diciembre de 1982 Sentencia que absuelve al procesado del delito de desacato que se le imputara y le condena como autor responsable de una falta de irrespetuosidad a la Autoridad. </w:t>
      </w:r>
    </w:p>
    <w:p w:rsidR="00256EE9" w:rsidRDefault="00256EE9" w:rsidP="00256EE9">
      <w:pPr>
        <w:pStyle w:val="TextoNormal"/>
      </w:pPr>
      <w:r>
        <w:t xml:space="preserve">d) La Sentencia mencionada fue recurrida en casación por infracción de Ley, por el Ministerio Fiscal, dictándose por la Sala Segunda del Tribunal Supremo Sentencia el 9 de octubre de 1984, en cuyo fallo declara haber lugar al recurso de casación por infracción de Ley, casando y anulando la Sentencia dictada por la Audiencia Territorial de Albacete y, en consecuencia, condenando al procesado como responsable en concepto de autor de un delito de desacato a la pena correspondiente y las accesorias. </w:t>
      </w:r>
    </w:p>
    <w:p w:rsidR="00256EE9" w:rsidRDefault="00256EE9" w:rsidP="00256EE9">
      <w:pPr>
        <w:pStyle w:val="TextoNormal"/>
      </w:pPr>
      <w:r>
        <w:t xml:space="preserve">Frente a esta Sentencia se interpone el presente recurso de amparo. </w:t>
      </w:r>
    </w:p>
    <w:p w:rsidR="00256EE9" w:rsidRDefault="00256EE9" w:rsidP="00256EE9">
      <w:pPr>
        <w:pStyle w:val="TextoNormal"/>
      </w:pPr>
      <w:r>
        <w:t xml:space="preserve">e) La vulneración invocada del art. 20 de la C. E., en relación concreta con el derecho del Letrado a la libre expresión, se argumenta por el recurrente en razón a la injustificada condena por delito de desacato al poner de manifiesto una conducta irregular de un órgano judicial, señalando la posibilidad, e incluso la conveniencia, de que los Abogados ejerzan la crítica de las resoluciones judiciales, derecho que podría verse reducido a la nada si el aparato judicial pretendiese una total autonomía del control de la opinión pública, persiguiendo bajo acusación de vilipendio cualquier áspera manifestación de crítica o censura; más aún, si son los propios Tribunales de Justicia los encargados de enjuiciar penalmente los desacatos contra ellos dirigidos. </w:t>
      </w:r>
    </w:p>
    <w:p w:rsidR="00256EE9" w:rsidRDefault="00256EE9" w:rsidP="00256EE9">
      <w:pPr>
        <w:pStyle w:val="TextoNormal"/>
      </w:pPr>
      <w:r>
        <w:t xml:space="preserve">Alude, finalmente, el recurrente, al desconsiderado agravio de la Sala Segunda del Tribunal Supremo, al redactar el preámbulo de su Sentencia, «violando maliciosamente» los arts. 14 y 18.1 de la C. E. al consignar «ignorada conducta del Letrado que firma el presente recurso», lo que presupone una intención que justifica los términos de su Sentencia. </w:t>
      </w:r>
    </w:p>
    <w:p w:rsidR="00256EE9" w:rsidRDefault="00256EE9" w:rsidP="00256EE9">
      <w:pPr>
        <w:pStyle w:val="TextoNormal"/>
      </w:pPr>
      <w:r>
        <w:t>f) Solicita el recurrente la declaración de nulidad de la resolución judicial dictada por la Sala Segunda del Tribunal Supremo, por entender que dicha resolución le ha impedido el pleno ejercicio de los derechos y libertades consagrados en el art. 20 de la Constitución, y en particular el derecho a expresar y difundir libremente los pensamientos, ideas y opiniones mediante la palabra, el escrito o cualquier otro medio de reproducción.</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5 de diciembre de 1984, la Sección acordó poner de manifiesto la posible existencia de la causa de inadmisión que regula el art. 50.2 b) de la Ley Orgánica de este Tribunal (LOTC), por cuanto la demanda pudiera carecer de contenido que justifique una decisión por parte de este Tribunal, concediendo (art. 50 de la LOTC) un plazo común de diez días al recurrente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recurrente en su escrito de alegaciones reitera in extenso sus anteriores argumentaciones recogidas en el escrito de demanda, señalando la contraposición existente entre la Sentencia de la Audiencia Provincial de Albacete y la de la Sala Segunda del Tribunal Supremo, que es la ahora recurrida. En síntesis, combate el recurrente la subsunción que realiza este último Tribunal de los hechos para aplicar el tipo penal resultante, afirmando </w:t>
      </w:r>
      <w:r>
        <w:lastRenderedPageBreak/>
        <w:t>que, en su opinión, ha existido una interpretación tal, que resulta limitativa para el derecho fundamental que invoca, consagrado en el art. 20.1 de la C. E., el cual, entiende el recurrente, da auténtico contenido a su pretensión. Tras exponer, como en su escrito de demanda, ampliamente los hechos en las diversas instancias del proceso previo, aduce, apoyándose en la jurisprudencia de este Tribunal (en particular las Sentencias de la Sala Primera del mismo de 12 de julio de 1982 y 30 de enero de 1981 ), que no aspira a abrir con su recurso una nueva instancia, y que la prohibición de que este Tribunal conozca de los hechos no se refiere a que no pueda tenerlos en cuenta a título de ilustración o análisis reflexivo, pudiendo ello resultar positivo, o incluso necesario, para fundar una resolución, y el Tribunal puede decidir sobre si, al sancionarse penalmente unos hechos, las respectivas Sentencias infringieron o no de forma directa a inmediata los derechos constitucionales reconocidos e invocados. Concluye el recurrente que el recurso debe admitirse a trámite.</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Tribunal Constitucional, por su parte, estima carente de justificación los fundamentos del recurso, que se plantea desde planos abstractos. El derecho del art. 20.1 de la C. E. tiene, como todo derecho, limites, y uno de ellos viene señalado en el mismo art. 20.4, cuando se refiere al honor, intimidad, etc. El recurrente tiene derecho a criticar resoluciones judiciales siempre que dicha crítica no deje de ser tal, para constituir injuria. En el caso concreto, la crítica del recurrente contenía, según el Tribunal Supremo, un ánimo de injuriar al Tribunal que dictó la Sentencia, constituyendo por tanto el tipo penal del delito de desacato. No es, subraya el Ministerio Fiscal, competencia del Tribunal Constitucional examinar la determinación y valoración realizada por el Tribunal Supremo de los hechos, en este caso del escrito declarado injurioso, ni la subsunción de estos hechos en el tipo penal del delito de desacato, pues esta función es propia de la jurisdicción ordinaria. El recurso trata de convertir el amparo en una tercera instancia, en contradicción con la naturaleza de éste. </w:t>
      </w:r>
    </w:p>
    <w:p w:rsidR="00256EE9" w:rsidRDefault="00256EE9" w:rsidP="00256EE9">
      <w:pPr>
        <w:pStyle w:val="TextoNormal"/>
      </w:pPr>
      <w:r>
        <w:t>El recurrente, que no determina en qué ha consistido la violación del derecho del art. 20 de la C. E., solamente no está conforme con la interpretación jurídica dada por la resolución judicial, y estamos en el campo de la legalidad ordinaria; por lo que se interesa de este Tribunal la desestimación de la demanda, al incurrir ésta en la causa del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recurrente alega que la Sentencia impugnada del Tribunal Supremo ha infringido el derecho a expresar y difundir libremente los pensamientos, ideas y opiniones mediante la palabra, el escrito o cualquier otro medio de reproducción», reconocido por el art.  20.1 a) de la C. E., derecho del que pretende haber hecho uso con respecto a una resolución judicial.</w:t>
      </w:r>
    </w:p>
    <w:p w:rsidR="00256EE9" w:rsidRDefault="00256EE9" w:rsidP="00256EE9">
      <w:pPr>
        <w:pStyle w:val="TextoNormal"/>
      </w:pPr>
      <w:r>
        <w:t>Ahora bien, de la lectura del citado artículo se desprende que no es el derecho en él contemplado el que pudo infringir la Sentencia impugnada, pues la expresión oral del recurrente se produjo ante un Tribunal con ocasión de un proceso, en el ejercicio de su actividad como Abogado en defensa de su representado, por lo que la supuesta infracción lo sería más bien del derecho a la defensa de su causa, situándose propiamente en el art. 24 de la Constitución.  Tal derecho ha de ser obviamente respetado por el respectivo Tribunal, pero no por ello es un derecho que pueda ejercerse sin limite.</w:t>
      </w:r>
    </w:p>
    <w:p w:rsidR="00256EE9" w:rsidRDefault="00256EE9" w:rsidP="00256EE9">
      <w:pPr>
        <w:pStyle w:val="TextoNormal"/>
      </w:pPr>
      <w:r>
        <w:lastRenderedPageBreak/>
        <w:t>Le es lícito al recurrente criticar Sentencias judiciales en cuanto le parecen desacertadas, ya sea fuera del proceso, ya en el marco de éste, en el desempeño de su actividad profesional, como ocurrió en el supuesto que aquí se considera.  Pero hemos de recordar al respecto lo dicho por esta Sala en su Auto 142/1982, de 21 de abril (rec. de amparo 49/1982), a saber, que haciéndose coincidir la llamada libertad de expresión con la libertad de actuación de los Abogados en los procesos, que coincide con el derecho y la libertad de los Abogados para alegar y argumentar en defensa de su causa, no es menos cierto, sin embargo, que este derecho tiene sus límites, por cuanto no se pueden violar con ocasión de su ejercicio derechos de igual rango de los demás (fundamento juridico 1). Los límites a que se hace referencia son los que señala el propio art. 20 en su núm. 4, con especial mención del derecho al honor, a la intimidad, a la propia imagen. En el caso que nos ocupa, la conducta del procesado fue analizada y tipificada por la Audiencia Provincial de Albacete, que le absolvió del delito de desacato pero le condenó por no guardar el respeto y comedimiento debidos al Tribunal al que el escrito impugnado iba dirigido, y luego por el Tribunal Supremo, que apreció en la crítica del recurrente un animus iniuriandi y lo condenó por desacato.  Examinar esta valoración, llevada a cabo por el Tribunal Supremo, del escrito del recurrente declarado injurioso, y la subsunción de los hechos incriminados en el tipo penal del delito de desacato, cuando no se aprecia ninguna violación de derecho fundamental alguno, no corresponde a este Tribunal.  El recurrente, a lo largo de sus sucesivos escritos, no precisa en qué habría consistido tal vulneración, poniendo de manifiesto en realidad su disconformidad con la resolución recaída.  Prácticamente, el recurso equivale a intentar reabrir la cuestión zanjada por la jurisdicción ordinaria en el ámbito de la competencia propia que le asigna el art.  117.3 de la C. E., lo que equivaldría a someter aquélla a una nueva instancia, en contradicción con la naturaleza del recurso de amparo, que, según se ha dicho reiteradamente por este Tribunal, no puede constituir una nueva vía para revisar los juicios de mera legalidad.  Es, pues, patente la existencia de la causa de inadmisibilidad contemplada por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 sin que proceda, en consecuencia, pronunciarse sobre la suspensión solicitada.</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4" w:name="AUTO_1985_123"/>
      <w:r>
        <w:lastRenderedPageBreak/>
        <w:t>AUTO 123/1985, de 20 de febrero de 1985</w:t>
      </w:r>
    </w:p>
    <w:bookmarkEnd w:id="184"/>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ECLI:ES:TC:1985:123A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809/1984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en este Tribunal el día 23 de noviembre de 1984, don Gustavo Cubillo Losada -que comparece por si mismo, en virtud de su condición de Licenciado en Derecho, habilitado además a estos efectos por el Decano del Colegio de Abogados de Madrid- interpone recurso de amparo contra la Sentencia de la Sala Quinta del Tribunal Supremo de 24 de octubre de 1984, por entender que en ella se han violado los arts. 14 y 24 de la Constitución.</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antecedentes que están a la base del presente recurso son los siguientes: </w:t>
      </w:r>
    </w:p>
    <w:p w:rsidR="00256EE9" w:rsidRDefault="00256EE9" w:rsidP="00256EE9">
      <w:pPr>
        <w:pStyle w:val="TextoNormal"/>
      </w:pPr>
      <w:r>
        <w:t xml:space="preserve">El ahora demandante de amparo, funcionario público, interpuso ante el Tribunal Supremo recurso contencioso-administrativo contra el Acuerdo del Consejo de Ministros de 19 de enero de 1983 sobre horarios en las oficinas públicas dependientes de la Administración del Estado, Organismos Autónomos y Seguridad Social, en solicitud de que se declarase la nulidad de dicho Acuerdo y la de los actos dimanantes del mismo y, en concreto, de la exigencia para los funcionarios acogidos al régimen de dedicación exclusiva de «prolongar su jornada de trabajo dos horas más con respecto al resto de los funcionarios durante los cinco primeros días de la semana», así como una indemnización por el exceso de horas trabajadas por este concepto. </w:t>
      </w:r>
    </w:p>
    <w:p w:rsidR="00256EE9" w:rsidRDefault="00256EE9" w:rsidP="00256EE9">
      <w:pPr>
        <w:pStyle w:val="TextoNormal"/>
      </w:pPr>
      <w:r>
        <w:t>El recurso se fundó en la violación de disposiciones vigentes, en especial de la Ley de Retribuciones de 1965. Tramitado por el procedimiento especial previsto en la L.J. en materia de personal, el recurso fue resuelto en sentido desestimatorio por la Sala Quinta de dicho Alto Tribunal por Sentencia de 24 de octubre de 1984, que ahora se impugna ante este Tribunal.</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recurrente considera que la Sentencia impugnada viola los arts. 14 y 24 de la Constitución. </w:t>
      </w:r>
    </w:p>
    <w:p w:rsidR="00256EE9" w:rsidRDefault="00256EE9" w:rsidP="00256EE9">
      <w:pPr>
        <w:pStyle w:val="TextoNormal"/>
      </w:pPr>
      <w:r>
        <w:t xml:space="preserve">Aparte de en otros argumentos de mera legalidad ordinaria, el señor Cubillo entiende que la Sentencia: a) al aplicar normas contenidas en el Titulo Preliminar del Código Civil de forma diferente a la aplicación que de las mismas se hace en el Derecho laboral ha discriminado a los funcionarios ( trabajadores de la función pública) con respecto a los trabajadores por cuenta ajena, lo que supone una violación del art. 14 de la Constitución; b) al omitir la existencia del informe de Presidencia del Gobierno donde consta que no existían </w:t>
      </w:r>
      <w:r>
        <w:lastRenderedPageBreak/>
        <w:t>los informes previos, antecedentes e informes de la Comisión Superior de Personal, se omite un hecho fundamental para probar la nulidad del Acuerdo impugnado; y c) al interpretar de una manera errónea la disposición final decimocuarta del Real Decreto-ley 22/1977, de 30 de marzo, y al omitir hechos fundamentales (el informe de Presidencia del Gobierno) e imputar al recurrente consentimiento nunca dado a un acto administrativo para el cual nunca fue requerido, ha violado el derecho fundamental del demandante a la tutela efectiva consagrada en el art. 24 de la Constitución.</w:t>
      </w:r>
    </w:p>
    <w:p w:rsidR="00256EE9" w:rsidRDefault="00256EE9" w:rsidP="00256EE9">
      <w:pPr>
        <w:pStyle w:val="TextoNormal"/>
      </w:pPr>
    </w:p>
    <w:p w:rsidR="00256EE9" w:rsidRDefault="00256EE9" w:rsidP="00256EE9">
      <w:pPr>
        <w:pStyle w:val="TextoNormal"/>
      </w:pPr>
      <w:r w:rsidRPr="00256EE9">
        <w:rPr>
          <w:rStyle w:val="NumeroAFNegritaCaracter"/>
        </w:rPr>
        <w:t>4</w:t>
      </w:r>
      <w:r>
        <w:t>. El demandante solicita de este Tribunal que declare: a) Que la aplicación de las normas de Derecho Administrativo referidas a materia de personal hecha a través del Título Preliminar del Código Civil, se haga por el criterio de analogía del art. 4.1 del citado texto legal, con los mismos principios que rigen en el Derecho del trabajo, o sea los de norma mínima y norma favorable para el caso de normas vigentes simultáneamente; el principio de condición más beneficiosa para la determinación de la norma aplicable entre las sucesivamente vigentes; el principio de irrenunciabilidad como limitativo de la autonomía de la voluntad; el principio «pro operario» en cuanto a los principios interpretativos generales y la exclusión de la Ley aplicable por ser contraria al orden público. b) Que la interpretación de la disposición final decimocuarta del Real Decreto-ley 22/1977, de 30 de marzo, es inaplicable al caso por inconstitucional. c) Que la omisión del informe de Presidencia de Gobierno pedido por el Abogado del Estado y la vinculación de la voluntad del demandante a un acto administrativo diferente para el que la dio son omisiones y acciones que tienen su origen inmediato en órganos judiciales que violan derechos legítimos del demandante. d) La nulidad de la Sentencia de la Sala Quinta de lo Contencioso-Administrativo del Tribunal Supremo de fecha 24 de octubre de 1984. e) Que se restablezca al demandante en su derecho a la tutela efectiva de Jueces y Tribunales en el ejercicio de sus derechos legítimos, para lo cual se mande retrotraer las actuaciones del recurso contencioso-administrativo núm. 515.010 interpuesto ante la Sala Quinta de lo Contencioso-Administrativo del Tribunal Supremo al momento anterior en que fue dictada la Sentencia.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Por providencia del pasado día 10 de enero la Sección acordó tener por recibido el escrito de demanda formulada en nombre propio por don Gustavo Cubillo Losada y hacerle saber la posible concurrencia de los siguientes motivos de inadmisión: </w:t>
      </w:r>
    </w:p>
    <w:p w:rsidR="00256EE9" w:rsidRDefault="00256EE9" w:rsidP="00256EE9">
      <w:pPr>
        <w:pStyle w:val="TextoNormal"/>
      </w:pPr>
      <w:r>
        <w:t>a) Carecer la demanda manifiestamente de contenido que justifique una decisión por parte del Tribunal Constitucional, conforme a lo establecido en el art. 50.2 b) de la Ley Orgánica del Tribunal Constitucional (LOTC); y b) en cuanto a la violación alegada del principio de igualdad, ser la demanda defectuosa por no ser imputable tal pretendida vulneración a la resolución judicial impugnada de modo directo e inmediato, según dispone el art. 50.1 b), en conexión con el 44.1 b), ambos de la LOTC. Por lo que, en virtud de lo dispuesto en el art. 50 de la citada Ley Orgánica, se concedió al recurrente y al Ministerio Fiscal un plazo común de diez días, a fin de que dentro del mismo formulasen las alegaciones que estimasen pertinentes.</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Ministerio Fiscal, en su escrito de alegaciones, interesa de este Tribunal que dicte Auto de conformidad con el art. 86.1 de la LOTC, por el que declare la inadmisión de la demanda de amparo por incidir en las causas de inadmisión previstas en el art. 50.2 b) y, por lo que se refiere a la alegación del principio de igualdad como supuestamente vulnerado, en el art. 50.1 b), en relación con el 44.1 b), de la mencionada Ley Orgánica. </w:t>
      </w:r>
    </w:p>
    <w:p w:rsidR="00256EE9" w:rsidRDefault="00256EE9" w:rsidP="00256EE9">
      <w:pPr>
        <w:pStyle w:val="TextoNormal"/>
      </w:pPr>
      <w:r>
        <w:lastRenderedPageBreak/>
        <w:t xml:space="preserve">Los argumentos en los que el Ministerio Público apoya su posición pueden sintetizarse de este modo: </w:t>
      </w:r>
    </w:p>
    <w:p w:rsidR="00256EE9" w:rsidRDefault="00256EE9" w:rsidP="00256EE9">
      <w:pPr>
        <w:pStyle w:val="TextoNormal"/>
      </w:pPr>
      <w:r>
        <w:t xml:space="preserve">a) El recurrente sostiene la equiparación del funcionario y el trabajador y desde esta premisa equivocada obtiene la consecuencia equivocada también, que los supuestos de hecho eran los mismos y, en consecuencia, que fue discriminatorio que el Tribunal Supremo no aplicara a su caso los principios de derecho laboral. </w:t>
      </w:r>
    </w:p>
    <w:p w:rsidR="00256EE9" w:rsidRDefault="00256EE9" w:rsidP="00256EE9">
      <w:pPr>
        <w:pStyle w:val="TextoNormal"/>
      </w:pPr>
      <w:r>
        <w:t xml:space="preserve">Por tanto, el actor concluye que se ha vulnerado el art. 14 de la Constitución y el principio de igualdad que consagra. Pero eso no es así pese a los esfuerzos dialécticos del recurrente, ya que no existe la supuesta identidad de hecho pretendida, ni por los sujetos ni por la relación jurídica. No es lo mismo la relación Administración-funcionario y Empresa-trabajador, y los sujetos, evidentemente, son diferentes. De los arts. 103.2 y 35.2 de la Constitución se derivan, respectiva y claramente, en contra de lo sostenido por el recurrente, el «estatuto de los funcionarios públicos» y el «estatuto de los trabajadores». En este sentido y aunque la cuestión de fondo fuera completamente distinta, cabe citar la Sentencia de este Tribunal 90/1984, que hace apreciaciones válidas en lo esencial para la controvertida en el presente recurso. </w:t>
      </w:r>
    </w:p>
    <w:p w:rsidR="00256EE9" w:rsidRDefault="00256EE9" w:rsidP="00256EE9">
      <w:pPr>
        <w:pStyle w:val="TextoNormal"/>
      </w:pPr>
      <w:r>
        <w:t xml:space="preserve">b) El recurrente no ha ofrecido tampoco el adecuado término de comparación concreto que exige la jurisprudencia constitucional, sin que sea posible seleccionar elementos comparativos de distintas situaciones jurídicas, y olvida que se pueden aplicar normativas diferentes si existe base razonable o, por decirlo con terminología constitucional consagrada, si existe elemento diferenciador de relevancia jurídica. La igualdad, en suma, ha de aplicarse desde la legalidad. En resumen, no se ha justificado, en modo alguno, la violación del art. 14 de la Constitución, ni la doctrina establecida en la Sentencia 49/1982 es aplicable al caso cuestionado en el sentido que pretende el recurrente. </w:t>
      </w:r>
    </w:p>
    <w:p w:rsidR="00256EE9" w:rsidRDefault="00256EE9" w:rsidP="00256EE9">
      <w:pPr>
        <w:pStyle w:val="TextoNormal"/>
      </w:pPr>
      <w:r>
        <w:t xml:space="preserve">c) Tampoco se ha vulnerado el art. 24.1 de la Constitución por supuesta denegación de tutela judicial efectiva, pues la Sentencia impugnada analiza con detenimiento en nueve considerandos todas las cuestiones planteadas de manera fundada y no irrazonable, en un meticuloso estudio de la legislación invocada por el recurrente y además -iura novit curia- el Decreto 2764/1967, de 27 de noviembre. </w:t>
      </w:r>
    </w:p>
    <w:p w:rsidR="00256EE9" w:rsidRDefault="00256EE9" w:rsidP="00256EE9">
      <w:pPr>
        <w:pStyle w:val="TextoNormal"/>
      </w:pPr>
      <w:r>
        <w:t xml:space="preserve">De los diáfanos y abundantes razonamientos de la Sentencia recurrida no se deduce, en suma, la alegada vulneración del art. 24.1 de la Constitución, ni que el recurrente sufriera indefensión por falta de tutela judicial efectiva, pues tuvo acceso al proceso, obtuvo del Tribunal Supremo resolución motivada de fondo, aunque no le fuera favorable, dictada de acuerdo con la interpretación que el Tribunal hace de la normativa vigente, en el ejercicio exclusivo de su propia competencia en materia de legalidad ordinaria, conforme al art. 117.3 de la Carta fundamental. No se obtiene consecuencia distinta de la Sentencia 66/1982 que cita el recurrente. </w:t>
      </w:r>
    </w:p>
    <w:p w:rsidR="00256EE9" w:rsidRDefault="00256EE9" w:rsidP="00256EE9">
      <w:pPr>
        <w:pStyle w:val="TextoNormal"/>
      </w:pPr>
      <w:r>
        <w:t xml:space="preserve">d) De acuerdo con las consideraciones anteriores, el Fiscal concluye que la demanda de amparo carece manifiestamente de contenido constitucional e incide en la causa de inadmisión prevista en el art. 50.2 b) de la LOTC. </w:t>
      </w:r>
    </w:p>
    <w:p w:rsidR="00256EE9" w:rsidRDefault="00256EE9" w:rsidP="00256EE9">
      <w:pPr>
        <w:pStyle w:val="TextoNormal"/>
      </w:pPr>
      <w:r>
        <w:t xml:space="preserve">e) Además de lo anterior, el Ministerio Fiscal estima que la demanda también incurre en la causa de inadmisión del art. 50.1 b) de la LOTC en relación con el 44.1 b ) de la misma, por lo que se refiere a la violación alegada del principio de igualdad, pues se ha dirigido contra resolución judicial a la que no es imputable de modo directo e inmediato la pretendida vulneración de derechos fundamentales. </w:t>
      </w:r>
    </w:p>
    <w:p w:rsidR="00256EE9" w:rsidRDefault="00256EE9" w:rsidP="00256EE9">
      <w:pPr>
        <w:pStyle w:val="TextoNormal"/>
      </w:pPr>
      <w:r>
        <w:t>6. El recurrente, por su parte, en su escrito de alegaciones, reitera los argumentos expuestos en la demanda y solicita la admisión a trámite de ésta.</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existen las causas de inadmisión puestas de manifiesto en nuestra providencia de 10 de enero de 1985 (antecedente 4).</w:t>
      </w:r>
    </w:p>
    <w:p w:rsidR="00256EE9" w:rsidRDefault="00256EE9" w:rsidP="00256EE9">
      <w:pPr>
        <w:pStyle w:val="TextoNormal"/>
      </w:pPr>
    </w:p>
    <w:p w:rsidR="00256EE9" w:rsidRDefault="00256EE9" w:rsidP="00256EE9">
      <w:pPr>
        <w:pStyle w:val="TextoNormal"/>
      </w:pPr>
      <w:r w:rsidRPr="00256EE9">
        <w:rPr>
          <w:rStyle w:val="NumeroAFNegritaCaracter"/>
        </w:rPr>
        <w:t>2</w:t>
      </w:r>
      <w:r>
        <w:t>. La primera causa de inadmisión es la prevista en el art.  50.2 b) de la Ley Orgánica del Tribunal Constitucional -LOTC-, es decir la de carecer la demanda manifiestamente de contenido que justifique una decisión del Tribunal en forma de Sentencia, con el desarrollo procesal consiguiente.</w:t>
      </w:r>
    </w:p>
    <w:p w:rsidR="00256EE9" w:rsidRDefault="00256EE9" w:rsidP="00256EE9">
      <w:pPr>
        <w:pStyle w:val="TextoNormal"/>
      </w:pPr>
      <w:r>
        <w:t>A cuyo efecto hemos de examinar las violaciones de los arts.  14 y 24.1 de la Constitución alegados por el actor.</w:t>
      </w:r>
    </w:p>
    <w:p w:rsidR="00256EE9" w:rsidRDefault="00256EE9" w:rsidP="00256EE9">
      <w:pPr>
        <w:pStyle w:val="TextoNormal"/>
      </w:pPr>
      <w:r>
        <w:t>a) La violación del principio de igualdad -art.  14- por resoluciones judiciales, según ha declarado el Tribunal en muy reiteradas ocasiones, requiere que se aporte un término de comparación en virtud del cual puede apreciarse que el mismo órgano judicial ha resuelto con anterioridad, de forma distinta, un supuesto sustancialmente igual.  El actor no aporta este término de comparación, por lo que resulta claro que no existe el menor indicio de que el principio de igualdad haya podido ser vulnerado por la Sentencia impugnada, lo que conduce a la conclusión de que sí existe la causa de inadmisión prevista en el art. 50.2 b) de la LOTC.</w:t>
      </w:r>
    </w:p>
    <w:p w:rsidR="00256EE9" w:rsidRDefault="00256EE9" w:rsidP="00256EE9">
      <w:pPr>
        <w:pStyle w:val="TextoNormal"/>
      </w:pPr>
      <w:r>
        <w:t>b) El art. 24.1 de la Constitución reconoce a todas las personas el derecho a obtener la tutela efectiva de Jueces y Tribunales en el ejercicio de sus derechos o intereses legítimos sin que, en ningún caso, pueda producirse indefensión.  Este derecho fundamental ha sido interpretado por el Tribunal en muy reiteradas ocasiones en el sentido de que comprende el de obtener una resolución fundada en Derecho, sea o no favorable a las pretensiones del actor.</w:t>
      </w:r>
    </w:p>
    <w:p w:rsidR="00256EE9" w:rsidRDefault="00256EE9" w:rsidP="00256EE9">
      <w:pPr>
        <w:pStyle w:val="TextoNormal"/>
      </w:pPr>
      <w:r>
        <w:t>En el presente caso es de señalar que el recurrente ha obtenido una resolución fundada en Derecho, aunque no haya sido favorable a sus pretensiones, por lo que resulta claro que el art.  24.1 de la Constitución no ha sido vulnerado.  En consecuencia, se llega a la conclusión de que, también en relación con el derecho a tutela judicial efectiva, existe el motivo de inadmisión previsto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La segunda causa de inadmisión puesta de manifiesto en nuestra providencia de 10 de enero de 1985, afecta únicamente a la violación alegada del principio de igualdad, y es la prevista en el art.  50.1 b ) de la LOTC, consistente en ser la demanda defectuosa por no ser imputable la pretendida violación, de modo directo e inmediato, a la resolución judicial impugnada, es decir por no reunir el requisito establecido en el art.  44.1 b) de la propia Ley.</w:t>
      </w:r>
    </w:p>
    <w:p w:rsidR="00256EE9" w:rsidRDefault="00256EE9" w:rsidP="00256EE9">
      <w:pPr>
        <w:pStyle w:val="TextoNormal"/>
      </w:pPr>
      <w:r>
        <w:t>En efecto la infracción del principio de igualdad, caso de haberse producido, sería imputable de forma directa e inmediata al Acuerdo del Consejo de Ministros que el actor impugna a través del recurso contenciosoadministrativo desestimado por la Sentencia impugnada. Ahora bien, el hecho de que esta Sentencia haya confirmado la legalidad del repetido Acuerdo no da lugar a que incurra en violación del derecho a la igualdad de trato, susceptible de amparo, porque tal violación no puede imputarse de forma directa e inmediata a la misma.</w:t>
      </w:r>
    </w:p>
    <w:p w:rsidR="00256EE9" w:rsidRDefault="00256EE9" w:rsidP="00256EE9">
      <w:pPr>
        <w:pStyle w:val="TextoNormal"/>
      </w:pPr>
      <w:r>
        <w:t xml:space="preserve">Por otra parte, a mayor abundamiento, debe señalarse que si la infracción constitucional podía haberse producido por el Acuerdo, el demandante debió impugnarlo en amparo, y, antes, debió alegarla en el proceso contencioso-administrativo, de modo que éste fuese así </w:t>
      </w:r>
      <w:r>
        <w:lastRenderedPageBreak/>
        <w:t>la vía constitucional previa al recurso de amparo (art. 43.1 y disposición transitoria segunda de la LOTC), dado que tal recurso, según ha señalado el Tribunal en reiteradas ocasiones, tiene carácter subsidiario.  Pero ni el solicitante del amparo impugna el tan repetido Acuerdo ni ha alegado en la vía contenciosa la vulneración del principio de igualdad, tal y como se deduce con claridad del resumen que de los fundamentos jurídicos de la demanda lleva a cabo la Sentencia recurrida en su resultando primero, y también de la relación de normas invocadas por la actora que contiene el quinto considerando.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5" w:name="AUTO_1985_124"/>
      <w:r>
        <w:lastRenderedPageBreak/>
        <w:t>AUTO 124/1985, de 20 de febrero de 1985</w:t>
      </w:r>
    </w:p>
    <w:bookmarkEnd w:id="185"/>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ECLI:ES:TC:1985:124A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828/1984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procedente del Juzgado de Guardia, en el que tuvo entrada el 26 de noviembre de 1984, don Carlos de Zulueta y Cebrián, Procurador de los Tribunales, interpone recurso de amparo constitucional en nombre y representación de «Hermanos Bravo, S. L.», contra Sentencia del Juzgado de Primera Instancia núm. 17 de los de Madrid, dictada en apelación de la Sentencia de 1 de septiembre de 1984 del Juzgado de Distrito núm. 3 de la misma villa, en procedimiento de desahucio por falta de pago de rentas de local comercial. </w:t>
      </w:r>
    </w:p>
    <w:p w:rsidR="00256EE9" w:rsidRDefault="00256EE9" w:rsidP="00256EE9">
      <w:pPr>
        <w:pStyle w:val="TextoNormal"/>
      </w:pPr>
      <w:r>
        <w:t xml:space="preserve">Pide que se declare la nulidad de la resolución judicial impugnada y que se restablezca el derecho de su representada a la defensión y tutela jurisdiccional, así como a la igualdad entre las partes reconocidos en los arts. 24 y 14 de la Constitución Española. </w:t>
      </w:r>
    </w:p>
    <w:p w:rsidR="00256EE9" w:rsidRDefault="00256EE9" w:rsidP="00256EE9">
      <w:pPr>
        <w:pStyle w:val="TextoNormal"/>
      </w:pPr>
      <w:r>
        <w:t>Por escrito que tuvo entrada en el Tribunal Constitucional el 10 de diciembre de 1984, se solicita la suspensión de la ejecución de la Sentencia recurrida en amparo ya que el lanzamiento produciría a la recurrente perjuicios de imposible o dificil reparación.</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siguientes hechos: </w:t>
      </w:r>
    </w:p>
    <w:p w:rsidR="00256EE9" w:rsidRDefault="00256EE9" w:rsidP="00256EE9">
      <w:pPr>
        <w:pStyle w:val="TextoNormal"/>
      </w:pPr>
      <w:r>
        <w:t xml:space="preserve">a) El Juzgado de Primera Instancia núm. 17 de los de Madrid, desestimó el recurso de apelación interpuesto por la entidad «Hermanos Bravo, S. L.» contra la Sentencia dictada por el Juez de Distrito núm. 23 de la misma villa el día 1 de septiembre de 1984 en procedimiento de desahucio de local comercial por impago de rentas. Entendió el Juez de apelación que era necesario ratificar la resolución de instancia, toda vez que era irrelevante la alegación de indefensión formulada por la demandada por el hecho de no haberle sido entregada copia de la demanda en la primera instancia. Estimó que «no puede invocar seriamente dicha causa quien compareció en el proceso y obtuvo la nulidad de actuaciones por ello, máxime cuando repuesto el procedimiento se reprodujo la demanda en el acto del juicio verbal al que compareció». </w:t>
      </w:r>
    </w:p>
    <w:p w:rsidR="00256EE9" w:rsidRDefault="00256EE9" w:rsidP="00256EE9">
      <w:pPr>
        <w:pStyle w:val="TextoNormal"/>
      </w:pPr>
      <w:r>
        <w:t>b) Alega la recurrente que «todavía hoy no se le ha dado traslado de la demanda» y relata que, el 2 de abril de 1984, compareció en el Juzgado de Distrito núm. 23 de los de Madrid y manifestó que había tenido conocimiento, por uno de los obreros que trabajaban en el local comercial sito en Bravo Murillo, 63, de la existencia de un procedimiento de desahucio; que «Hermanos Bravo, S. L.» nunca había tenido su domicilio social en los lugares designados por el demandante para notificaciones; que desconocia que la propieta</w:t>
      </w:r>
      <w:r>
        <w:lastRenderedPageBreak/>
        <w:t xml:space="preserve">ria del local litigioso fuese la demandante y que, en fin, si bien existía falta de pago de las mensualidades debidas como renta, ello se debía a que no habían sido pasados los recibos correspondientes a su vencimiento. En el mismo acto hizo consignación de las rentas en que -a su juicio- se sustentaba la demanda. </w:t>
      </w:r>
    </w:p>
    <w:p w:rsidR="00256EE9" w:rsidRDefault="00256EE9" w:rsidP="00256EE9">
      <w:pPr>
        <w:pStyle w:val="TextoNormal"/>
      </w:pPr>
      <w:r>
        <w:t xml:space="preserve">c) Continúa el relato de antecedentes señalando la recurrente que, tras tenerla por comparecida y parte, el Juez de Distrito dictó Auto el 25 de abril de 1984 en el que acordó declarar la nulidad de todo lo actuado hasta el momento y desestimar la pretensión de la actora de que el demandado fuera citado en estrados por entender que las citaciones de la parte demandada para juicio se habían efectuado -a instancia de la parte actora- en domicilios inexactos por el tiempo transcurrido sin que se efectuara citación alguna en el local de Bravo Murillo, 63, que era el objeto de desahucio en que la parte demandada tenia su domicilio. </w:t>
      </w:r>
    </w:p>
    <w:p w:rsidR="00256EE9" w:rsidRDefault="00256EE9" w:rsidP="00256EE9">
      <w:pPr>
        <w:pStyle w:val="TextoNormal"/>
      </w:pPr>
      <w:r>
        <w:t>d) Protesta la solicitante de amparo de que en el acto del juicio solicitó que se le diese traslado de la demanda y alegó indefensión; que ignora si la demandante es propietaria y por qué concepto; que ha abonado todas las cantidades e incluso mayor cantidad, superando con mucho las rentas que se dicen adeudadas, que ha enviado varios giros, etc.</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de la demanda son que se ha producido indefensión, prohibida por el art. 24 de la C. E., ya que no se le ha dado traslado de la demanda «a pesar de que solicitó dicho traslado el día de la comparecencia oral en juicio, a través de su Procurador y Abogado». </w:t>
      </w:r>
    </w:p>
    <w:p w:rsidR="00256EE9" w:rsidRDefault="00256EE9" w:rsidP="00256EE9">
      <w:pPr>
        <w:pStyle w:val="TextoNormal"/>
      </w:pPr>
      <w:r>
        <w:t>Asimismo la solicitante de amparo reitera sus protestas de que, en síntesis, la demandante no le pasó los recibos, que la intentó desahuciar de mala fe, que dio domicilios incorrectos con la finalidad de originar indefensión; que se niega a recibir las rentas, etc., etc.</w:t>
      </w:r>
    </w:p>
    <w:p w:rsidR="00256EE9" w:rsidRDefault="00256EE9" w:rsidP="00256EE9">
      <w:pPr>
        <w:pStyle w:val="TextoNormal"/>
      </w:pPr>
    </w:p>
    <w:p w:rsidR="00256EE9" w:rsidRDefault="00256EE9" w:rsidP="00256EE9">
      <w:pPr>
        <w:pStyle w:val="TextoNormal"/>
      </w:pPr>
      <w:r w:rsidRPr="00256EE9">
        <w:rPr>
          <w:rStyle w:val="NumeroAFNegritaCaracter"/>
        </w:rPr>
        <w:t>4</w:t>
      </w:r>
      <w:r>
        <w:t>. Por escrito de 7 de diciembre de 1984, que tuvo entrada en el Tribunal el dia 10 siguiente, la solicitante de amparo pide la suspensión de la ejecución de la Sentencia impugnada.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Por providencia del pasado 16 de enero, la Sección Tercera de este Tribunal puso de manifiesto a la recurrente y al Ministerio Fiscal la posible existencia de la causa de inadmisión a que se refiere el art. 50.2 b) de la LOTC. </w:t>
      </w:r>
    </w:p>
    <w:p w:rsidR="00256EE9" w:rsidRDefault="00256EE9" w:rsidP="00256EE9">
      <w:pPr>
        <w:pStyle w:val="TextoNormal"/>
      </w:pPr>
      <w:r>
        <w:t xml:space="preserve">Dentro del plazo marcado por la referida providencia han presentado sus alegaciones la representación de la recurrente y el Ministerio Fiscal. </w:t>
      </w:r>
    </w:p>
    <w:p w:rsidR="00256EE9" w:rsidRDefault="00256EE9" w:rsidP="00256EE9">
      <w:pPr>
        <w:pStyle w:val="TextoNormal"/>
      </w:pPr>
      <w:r>
        <w:t xml:space="preserve">La representación de la recurrente reitera los argumentos ya expuestos en la demanda para sostener que se ha producido indefensión, argumentos que en lo sustancial se contraen a la afirmación de que no ha llegado a conocer la demanda dirigida contra ella; de que ha pagado o consignado todas las rentas que se decían debidas y que incluso se ha dictado, sin que le diera previamente traslado para instrucción, la Sentencia de apelación contra la que recurre. </w:t>
      </w:r>
    </w:p>
    <w:p w:rsidR="00256EE9" w:rsidRDefault="00256EE9" w:rsidP="00256EE9">
      <w:pPr>
        <w:pStyle w:val="TextoNormal"/>
      </w:pPr>
      <w:r>
        <w:t xml:space="preserve">El Ministerio Fiscal, por su parte, después de hacer un resumen de los hechos que se deducen de la demanda y de la documentación que la acompaña, sostiene que toda la demanda se apoya en una defectuosa comprensión del procedimiento regulado en el art. 1.563 de la Ley de Enjuiciamiento Civil, el cual, de acuerdo con lo dispuesto en el art. 720 de la misma Ley, se inicia con papeleta de demanda. Afirma asimismo que, de acuerdo con el art. 279.2 de la mencionada Ley procesal, una vez que la recurrente se dio por enterada de la demanda dirigida contra ella, la notificación defectuosa surtió todos los efectos. </w:t>
      </w:r>
      <w:r>
        <w:lastRenderedPageBreak/>
        <w:t>Añade que, habiendo comparecido al acto del juicio verbal después de obtener la nulidad de todo lo actuado con anterioridad y habiendo dispuesto en el curso de dicho juicio de la posibilidad de alegar cuanto estimó por conveniente y de obtener la realización de las pruebas que propuso, no cabe sostener, en absoluto, que se le haya colocado en la situación de indefensión que dice haber sufrido. Concluye solicitando, por tanto,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demanda de amparo que expresamente se dirige contra la Sentencia dictada en apelación por el Juzgado de Primera Instancia núm. 17, ha de entenderse también dirigida contra la anterior Sentencia del Juzgado de Distrito núm.  23, también de Madrid, que aquélla vino expresamente a confirmar y que es a la que en realidad se imputa la violación del derecho constitucional garantizado por el art.  24 de la C. E.</w:t>
      </w:r>
    </w:p>
    <w:p w:rsidR="00256EE9" w:rsidRDefault="00256EE9" w:rsidP="00256EE9">
      <w:pPr>
        <w:pStyle w:val="TextoNormal"/>
      </w:pPr>
      <w:r>
        <w:t>La supuesta violación se habría producido, de una parte, porque la mencionada Sentencia que dispone que el desahucio de la recurrente no habría tenido en cuenta que ésta había pagado, intentado pagar, o consignado las rentas vencidas; de la otra, porque en el juicio en el que la Sentencia se produjo no se habría dado a la recurrente la posibilidad de conocer la demanda que contra ella se dirigía.  Como es evidente, el primero de estos argumentos sólo tendría sentido si este Tribunal fuera una nueva instancia judicial en la que pudieran discutirse los hechos ya fijados en instancias anteriores. Como esto no es así, y el Juez de Distrito declara en su Sentencia, con expresa referencia a las pruebas practicadas en el acto del juicio verbal, que la recurrente debía parte de las rentas que estaba obligada a abonar al arrendador, es evidente que tal argumento no puede ser tomado en consideración para fundamentar una decisión de amparo, y que la demanda carece en este punto de contenido.</w:t>
      </w:r>
    </w:p>
    <w:p w:rsidR="00256EE9" w:rsidRDefault="00256EE9" w:rsidP="00256EE9">
      <w:pPr>
        <w:pStyle w:val="TextoNormal"/>
      </w:pPr>
      <w:r>
        <w:t>El segundo de los argumentos utilizados, el de que la recurrente no conoció la demanda que contra ella se dirigía, parte de una manifiesta ignorancia del procedimiento legalmente establecido en la Ley de Enjuiciamiento Civil para el juicio verbal, procedimiento que, como señala el Ministerio Fiscal, se inicia por una papeleta de demanda en la que se fijan los elementos básicos de la pretensión y en el que ésta se desarrolla y argumenta en la comparecencia ante el Juez. La recurrente tuvo, en este caso, conocimiento perfectamente suficiente tanto de la papeleta de demanda, como de las razones de la demandante, contra las que presentó sus propios argumentos, como evidencia su comportamiento procesal en las dos instancias en las que ha sido parte.  Su alegato, por tanto, construido sobre el equívoco, no sólo no ofrece indicio alguno de que se haya podido producir la vulneración del derecho constitucional de la que dice haber sido víctima, sino que patentiza, además, una temeridad frente a la cual no podemos dejar de reaccionar.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manifiesta carencia de contenido constitucional de la demanda se pretende encubrir, en efecto, con una argumentación que el más elemental conocimiento de las normas procesales denuncia como inconsistente. La conclusión a la que este razonamiento nos</w:t>
      </w:r>
    </w:p>
    <w:p w:rsidR="00256EE9" w:rsidRDefault="00256EE9" w:rsidP="00256EE9">
      <w:pPr>
        <w:pStyle w:val="TextoNormal"/>
      </w:pPr>
      <w:r>
        <w:lastRenderedPageBreak/>
        <w:t>conduce hace manifiestamente innecesario todo pronunciamiento acerca de la suspensión de la Sentencia impugnada.</w:t>
      </w:r>
    </w:p>
    <w:p w:rsidR="00256EE9" w:rsidRDefault="00256EE9" w:rsidP="00256EE9">
      <w:pPr>
        <w:pStyle w:val="TextoNormal"/>
      </w:pPr>
      <w:r>
        <w:t>Por todo lo expuesto, la Sección ha acordado declarar la inadmisión del presente recurso de amparo e imponer a la recurrente las costas del mismo y una sanción de 25.000 pesetas, no procediendo pronunciarse sobre la suspensión solicitada.</w:t>
      </w:r>
    </w:p>
    <w:p w:rsidR="00256EE9" w:rsidRDefault="00256EE9" w:rsidP="00256EE9">
      <w:pPr>
        <w:pStyle w:val="TextoNormal"/>
      </w:pPr>
    </w:p>
    <w:p w:rsidR="00256EE9" w:rsidRDefault="00256EE9" w:rsidP="00256EE9">
      <w:pPr>
        <w:pStyle w:val="TextoNormal"/>
      </w:pPr>
      <w:r>
        <w:t>Madrid, a veinte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6" w:name="AUTO_1985_125"/>
      <w:r>
        <w:lastRenderedPageBreak/>
        <w:t>AUTO 125/1985, de 21 de febrero de 1985</w:t>
      </w:r>
    </w:p>
    <w:bookmarkEnd w:id="186"/>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ECLI:ES:TC:1985:125A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Ratificando la suspensión, previamente acordada, de diversos preceptos del Decreto Foral 24/1984, de la Diputación Foral de Navarra, en el conflicto positivo de competencia 652/1984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Gobierno de la Nación, representado y bajo la dirección letrada del Abogado del Estado planteó el 3 de septiembre de 1984, conflicto positivo de competencia, haciendo expresa innovación del art. 161.2 de la Constitución, contra el Decreto Foral 24/1984, de 18 de abril, «por el que se regula el régimen jurídico del otorgamiento, modificación y extinción de las autorizaciones de transporte público discrecional de mercancias y viajeros por carretera para vehículos con residencia en Navarra, en cuanto regula el régimen de las autorizaciones de ámbito superior al del territorio foral, en particular: el art. 3.2 (autorización de transportes de mercancías para vehículos pesados de ámbito nacional); art. 3.7 (autorizaciones de ámbito nacional); art. 5.9 b), párrafo 6.° (autorizaciones de ámbito nacional para vehículos ligeros); art 11 b) (autorizaciones para vehículos con menos de 10 plazas, incluida la de conductor, sin radio de acción limitado), y art. 12, reglas segunda y tercera (autorizaciones con radio de acción nacional).</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del 5 de septiembre se tuvo por planteado el conflicto, con los efectos del art. 161.2 de la Constitución; y dado el traslado al Gobierno de Navarra, se personó en su nombre el Abogado don José Lecumberri Jiménez, que se opuso al conflicto por extemporaneidad o, en otro caso, para que entrando en el fondo se declare que los preceptos impugnados del Decreto Foral no están viciados de incompetencia por haber actuado Navarra dentro de las facultades y competencias que ostenta y tiene reconocidas.</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del 16 de enero del corriente, se acordó oír al Gobierno de la Nación, a través de su representación en el conflicto, y a la representación de Navarra acerca de la suspensión. Sólo el Abogado del Estado ha presentado alegaciones el 29 de enero, pidiendo el mantenimiento de la suspensión, por entender que el levantamiento de la misma habría de causar perjuicios irreparables que se evitarían con dicho mantenimiento, pues se trata de mantener la suspensión de una norma que proyecta su eficacia sobre itine</w:t>
      </w:r>
      <w:r>
        <w:lastRenderedPageBreak/>
        <w:t>rarios distintos al propio de la Comunidad Navarra; y atendiendo exclusivamente al hecho de que toda norma de competencia, si es después revocada, causa mayores perjuicios y dificultades que si simplemente se retarda su entrada en vigor, infiere la conveniencia práctica de mantener la suspensión.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161.2 de la Constitución en su inciso final dispone que la suspensión automática de la vigencia de la disposición, operada cuando el Gobierno invoca el mencionado articulo, debe ratificarse o levantarse en un plazo no superior a cinco meses.  La adopción de esta medida implica un juicio de ponderación en orden a las consecuencias perjudiciales que pudieran derivarse de la adopción de la medida de uno y otro signo.  En el caso actual, el Gobierno de Navarra o Diputación Foral nada ha opuesto a la suspensión y aunque este silencio no comporta necesariamente aquietamiento con la misma, nada se ha dicho respecto en qué medida los intereses forales pueden resultar perjudicados por el mantenimiento de la suspensión. Con este planteamiento no hay razón conocida que justifique el levantamiento y, por tanto, debe mantenerse referida a los preceptos del Decreto Foral 24/1984, de 18 de abril, que son objeto del conflicto.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el Tribunal, en su reunión del día de hoy, ha acordado ratificar la suspensión en los mismos términos de la providencia del 5 de septiembre último («Boletín Oficial del Estado» del 15 del mismo) respecto de los arts.  3.2 (autorizaciones</w:t>
      </w:r>
    </w:p>
    <w:p w:rsidR="00256EE9" w:rsidRDefault="00256EE9" w:rsidP="00256EE9">
      <w:pPr>
        <w:pStyle w:val="TextoNormal"/>
      </w:pPr>
      <w:r>
        <w:t>de transporte de mercancías para vehículos pesados de ámbito nacional); art.  3.7 (autorizaciones de ámbito nacional); art.  5.9 b) párrafo 6.° (autorizaciones de ámbito nacional para vehículos ligeros); art. 11 b) (autorizaciones para vehículos con</w:t>
      </w:r>
    </w:p>
    <w:p w:rsidR="00256EE9" w:rsidRDefault="00256EE9" w:rsidP="00256EE9">
      <w:pPr>
        <w:pStyle w:val="TextoNormal"/>
      </w:pPr>
      <w:r>
        <w:t>menos de 10 plazas, incluida la del conductor, sin radio de acción limitado), y art.  12, reglas segunda y tercera (autorizaciones con radio de acción nacional).</w:t>
      </w:r>
    </w:p>
    <w:p w:rsidR="00256EE9" w:rsidRDefault="00256EE9" w:rsidP="00256EE9">
      <w:pPr>
        <w:pStyle w:val="TextoNormal"/>
      </w:pPr>
    </w:p>
    <w:p w:rsidR="00256EE9" w:rsidRDefault="00256EE9" w:rsidP="00256EE9">
      <w:pPr>
        <w:pStyle w:val="TextoNormal"/>
      </w:pPr>
      <w:r>
        <w:t>Publíquese en el «Boletín Oficial del Estado» y en el «Boletín Oficial de Navarra».</w:t>
      </w:r>
    </w:p>
    <w:p w:rsidR="00256EE9" w:rsidRDefault="00256EE9" w:rsidP="00256EE9">
      <w:pPr>
        <w:pStyle w:val="TextoNormal"/>
      </w:pPr>
      <w:r>
        <w:t>Madrid, a veintiuno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7" w:name="AUTO_1985_126"/>
      <w:r>
        <w:lastRenderedPageBreak/>
        <w:t>AUTO 126/1985, de 21 de febrero de 1985</w:t>
      </w:r>
    </w:p>
    <w:bookmarkEnd w:id="187"/>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ECLI:ES:TC:1985:126A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la acumulación de los conflictos positivos de competencia 838 y 891/1984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Generalidad de Cataluña, el 19 de diciembre último planteó conflicto positivo de competencia frente al Gobierno del Estado, por estimar que la Orden ministerial de 19 de julio de 1984 («Boletín Oficial del Estado» de 2 de agosto), por el que se convoca concurso de subvenciones a fondo perdido para la promoción y comercialización del turismo rural, vulnera la competencia de Cataluña en virtud de lo dispuesto en la Constitución (art. 148.1.18) y en el Estatuto de Autonomía (art. 9.12), y en el que se decía que es evidente que el art. 9.12 ha reservado a la Generalidad la competencia exclusiva en materia de turismo y que la totalidad de los Estatutos de las otras Comunidades de acuerdo con el art. 148.1.18 han asumido para las mismas la «promoción del turismo» en su ámbito territorial, por lo que el Estado carece de competencia en dicha materia y en relación a todo el territorio nacional.</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del 9 de enero actual se tuvo por planteado el conflicto y se dispuso el traslado al Gobierno de la Nación al objeto de que en el plazo de veinte días pueda oponerse al conflicto haciendo las alegaciones que considere convenientes. El Abogado del Estado por escrito de 19 de enero solicitó la suspensión del plazo para alegaciones y que se tramitara la acumulación del presente procedimiento a los seguidos bajos los núms. 838, 839, 840 y 841/1984, promovidos por la Xunta de Galicia, cuya acumulación tiene solicitada en dichos procedimientos.</w:t>
      </w:r>
    </w:p>
    <w:p w:rsidR="00256EE9" w:rsidRDefault="00256EE9" w:rsidP="00256EE9">
      <w:pPr>
        <w:pStyle w:val="TextoNormal"/>
      </w:pPr>
    </w:p>
    <w:p w:rsidR="00256EE9" w:rsidRDefault="00256EE9" w:rsidP="00256EE9">
      <w:pPr>
        <w:pStyle w:val="TextoNormal"/>
      </w:pPr>
      <w:r w:rsidRPr="00256EE9">
        <w:rPr>
          <w:rStyle w:val="NumeroAFNegritaCaracter"/>
        </w:rPr>
        <w:t>3</w:t>
      </w:r>
      <w:r>
        <w:t>. Con suspensión del plazo para alegaciones se acordó por providencia del 23 del mismo mes oir sobre la acumulación a la Generalidad de Cataluña y a la Xunta de Galicia, no compareciendo en el incidente de acumulación esta Xunta, pero manifestando en los recursos 838, 839, 840 y 841/1984 que nada tenía que oponer a la acumulación de los recursos indicados.</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La acumulación de procesos, esto es, la reunión de dos o más procesos ya incoados, a fin de que viniendo a formar uno sólo se continúen y decidan en un solo juicio, está admitida por el art. 83 de la LOTC, cuando entre los objetos de cada uno de ellos se dé una conexión que justifique la unidad de tramitación y decisión; y como en este caso el objeto del recurso 838/1984 es también la Orden de 19 de julio de 1984 que hemos mencionado en los antecedentes y las fundamentaciones en aquel conflicto y en el presente guardan similitud y se da la conexidad que justifica la unidad de tramitación y decisión, procede decretar la acumulación.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el Tribunal dispone la acumulación del conflicto promovido por la Generalidad de Cataluña y seguido con el núm.  891/1984 al promovido por la Xunta de Galicia seguido con el núm. 838/1984.</w:t>
      </w:r>
    </w:p>
    <w:p w:rsidR="00256EE9" w:rsidRDefault="00256EE9" w:rsidP="00256EE9">
      <w:pPr>
        <w:pStyle w:val="TextoNormal"/>
      </w:pPr>
    </w:p>
    <w:p w:rsidR="00256EE9" w:rsidRDefault="00256EE9" w:rsidP="00256EE9">
      <w:pPr>
        <w:pStyle w:val="TextoNormal"/>
      </w:pPr>
      <w:r>
        <w:t>Madrid, a veintiuno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8" w:name="AUTO_1985_127"/>
      <w:r>
        <w:lastRenderedPageBreak/>
        <w:t>AUTO 127/1985, de 27 de febrero de 1985</w:t>
      </w:r>
    </w:p>
    <w:bookmarkEnd w:id="188"/>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ECLI:ES:TC:1985:127A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Denegando la suspensión de la ejecución del acto que origina el recurso de amparo 375/1984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Rafael Rodríguez Montaut, en nombre y representación que acreditaba de la «Coordinadora de Organizaciones de Agricultores y Ganaderos del Estado Español» (COAG) presentó escrito en el Registro General de este Tribunal Constitucional con fecha 24 de mayo de 1984, promoviendo recurso de amparo contra la Sentencia dictada por la Sala Tercera del Tribunal Supremo de fecha 31 de enero de 1984, que anula la Orden ministerial de 23 de septiembre de 1983 por la que se suprimen las Comisiones Central y de Zonas de Cultivadores de Remolacha, Fabricantes de Azúcar, y se crea la Comisión Nacional Azucarera, al no ser conforme a Derecho, según el Tribunal, y conteniendo la siguiente petición: </w:t>
      </w:r>
    </w:p>
    <w:p w:rsidR="00256EE9" w:rsidRDefault="00256EE9" w:rsidP="00256EE9">
      <w:pPr>
        <w:pStyle w:val="TextoNormal"/>
      </w:pPr>
      <w:r>
        <w:t xml:space="preserve">a) Que se declare la nulidad de la Sentencia de la Sala Tercera del Tribunal Supremo de 31 de enero de 1984, anulando en consecuencia el fallo de la misma. </w:t>
      </w:r>
    </w:p>
    <w:p w:rsidR="00256EE9" w:rsidRDefault="00256EE9" w:rsidP="00256EE9">
      <w:pPr>
        <w:pStyle w:val="TextoNormal"/>
      </w:pPr>
      <w:r>
        <w:t xml:space="preserve">b) Que se reconozca seguidamente el derecho de la Coordinadora de Organizaciones de Agricultores y Ganaderos del Estado Español a ser emplazada en el recurso contencioso-administrativo interpuesto por la Confederación Nacional Española de Cultivadores de Remolacha y Caña Azucareras, por lo que deberá retrotraerse el procedimiento al momento de la interposición del referido recurso contencioso-administrativo, para que sean emplazadas todas las partes interesadas, y en concreto, la recurrente. </w:t>
      </w:r>
    </w:p>
    <w:p w:rsidR="00256EE9" w:rsidRDefault="00256EE9" w:rsidP="00256EE9">
      <w:pPr>
        <w:pStyle w:val="TextoNormal"/>
      </w:pPr>
      <w:r>
        <w:t>El recurso de amparo constitucional, se formula en base al art. 24.1 de la C.E.; y por medio de otrosí, la parte recurrente solicita la suspensión de la ejecución de la resolución judicial recurrida, debido al enorme perjuicio que supone para ella, y demás organizaciones profesionales agrarias, el verse excluida de los órganos de representación de los agricultores remolacheros.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Tercera de este Tribunal, acordó formar la correspondiente pieza separada para la sustanciación del incidente de suspensión, otorgando un plazo de tres días a la solicitante del amparo y demás partes personadas, para que conforme al art. 56.2 de la LOTC pudieran alegar lo que estimasen conveniente en orden a la suspensión solicitada. </w:t>
      </w:r>
    </w:p>
    <w:p w:rsidR="00256EE9" w:rsidRDefault="00256EE9" w:rsidP="00256EE9">
      <w:pPr>
        <w:pStyle w:val="TextoNormal"/>
      </w:pPr>
      <w:r>
        <w:t xml:space="preserve">La representación de la Entidad demandante manifiesta que al dejar sin efecto la Sentencia de la Sala Tercera del Tribunal Supremo recurrida en amparo, la Orden ministerial </w:t>
      </w:r>
      <w:r>
        <w:lastRenderedPageBreak/>
        <w:t xml:space="preserve">de 23 de septiembre de 1983, y al no existir ninguna otra normativa legal que arbitre el conflicto de intereses entre los distintos sindicatos del sector, hace que no sólo la demandante de amparo, sino otros sindicatos, no puedan articular la representatividad de los productores agrarios afectados por la litis. </w:t>
      </w:r>
    </w:p>
    <w:p w:rsidR="00256EE9" w:rsidRDefault="00256EE9" w:rsidP="00256EE9">
      <w:pPr>
        <w:pStyle w:val="TextoNormal"/>
      </w:pPr>
      <w:r>
        <w:t xml:space="preserve">El Ministerio Fiscal expone, que la suspensión interesada, de acordarse, traería como consecuencia que la Orden declarada nula por la Sentencia que ahora se impugna recuperaría su validez y que la Comisión Nacional Azucarera se constituiría -continuaría más bien, puesto que debió ya constituirse conforme a lo que la misma previene. Lo que, ciertamente, va más allá de lo interesado por la parte actora en la demanda, que simplemente pide que se le dé la debida audiencia, mediante emplazamiento directo y personal, sin, al menos en el presente momento, impugnar el fallo en si mismo. No parece, por otra parte, que la nulidad de la Orden en cuestión esté produciendo un especial perjuicio al demandante, aunque otra cosa diga. </w:t>
      </w:r>
    </w:p>
    <w:p w:rsidR="00256EE9" w:rsidRDefault="00256EE9" w:rsidP="00256EE9">
      <w:pPr>
        <w:pStyle w:val="TextoNormal"/>
      </w:pPr>
      <w:r>
        <w:t xml:space="preserve">Contrariamente, decretar la suspensión supondría, primero, ir contra los intereses generales, siempre presentes en el cumplimiento de las resoluciones judiciales; y, segundo, paralizar el derecho a la igualdad reconocido a un tercero por una Sentencia judicial motivada en Derecho, a la que no se le ha puesto ninguna tacha de fondo, por el momento, como hemos señalado. </w:t>
      </w:r>
    </w:p>
    <w:p w:rsidR="00256EE9" w:rsidRDefault="00256EE9" w:rsidP="00256EE9">
      <w:pPr>
        <w:pStyle w:val="TextoNormal"/>
      </w:pPr>
      <w:r>
        <w:t xml:space="preserve">Sopesando todas estas consideraciones y muy en especial teniendo en cuenta que la situación actual -nulidad de la Orden- no ocasiona un perjuicio irreparable a la parte demandante en amparo, ni que, de otorgarse éste, pierda su finalidad (todo se reduciría a repetir el proceso y nada autoriza a pensar que el fallo iba a ser distinto) es el del parecer que no debe acordarse la suspensión interesada. </w:t>
      </w:r>
    </w:p>
    <w:p w:rsidR="00256EE9" w:rsidRDefault="00256EE9" w:rsidP="00256EE9">
      <w:pPr>
        <w:pStyle w:val="TextoNormal"/>
      </w:pPr>
      <w:r>
        <w:t xml:space="preserve">El Abogado del Estado, alega, en el escrito presentado, que entiende debe denegarse la suspensión solicitada por no justificarse por el demandante que puedan producirse perjuicios que harían perder su finalidad al amparo, puesto que la organización demandante conserva su representatividad indudable, sin que el mantenimiento de la Orden anulada por el Tribunal Supremo, pueda suponer el único medio de ostentar tal representación, al configurarse en la referida Orden una Comisión que en modo alguno podía ostentar un monopolio jurídico de las representaciones referidas. </w:t>
      </w:r>
    </w:p>
    <w:p w:rsidR="00256EE9" w:rsidRDefault="00256EE9" w:rsidP="00256EE9">
      <w:pPr>
        <w:pStyle w:val="TextoNormal"/>
      </w:pPr>
      <w:r>
        <w:t xml:space="preserve">La Confederación Nacional Española de Cultivadores de Remolacha y Caña Azucareras, solicita se dicte Auto denegando la suspensión de la Sentencia recurrida, Expone, en su escrito, que aquella Sentencia, en efecto, no tiene más que una eficacia meramente constitutiva que se agota en la propia declaración de invalidez de un producto normativo (la Orden de 23 de septiembre de 1983), de modo que «suspender» la ejecución de la Sentencia no sería otra cosa que otorgar validez y eficacia, a título provisorio y en tanto se falla este recurso, a la Orden declarada nula, es decir, ordenar que se considere vigente por un corto tiempo una Orden anulada. </w:t>
      </w:r>
    </w:p>
    <w:p w:rsidR="00256EE9" w:rsidRDefault="00256EE9" w:rsidP="00256EE9">
      <w:pPr>
        <w:pStyle w:val="TextoNormal"/>
      </w:pPr>
      <w:r>
        <w:t xml:space="preserve">Por no suspender en el presente momento la ejecución de la Sentencia recurrida no se hace imposible que el amparo cumpla su finalidad, si fuera otorgado. El pronunciamiento de nulidad de actuaciones y retroacción de las mismas es tan posible y hacedero, y permitiría cumplir al amparo su finalidad, lo mismo ahora que dentro de un corto tiempo cuando este recurso se falle. No se ve, pues, qué perjuicio que haga perder al amparo su finalidad pueda sufrir la recurrente porque la situación producida desde 31 de enero de 1984 (fecha de la Sentencia impugnada) se mantenga algún tiempo más, hasta el fallo de este proceso si, lo que no creemos, fuera estimatorio. Si el amparo se otorga, su finalidad -retrotraer actuaciones para emplazar personalmente-, no se pierde ni se daña por no haberse suspendido la Sentencia. </w:t>
      </w:r>
    </w:p>
    <w:p w:rsidR="00256EE9" w:rsidRDefault="00256EE9" w:rsidP="00256EE9">
      <w:pPr>
        <w:pStyle w:val="TextoNormal"/>
      </w:pPr>
      <w:r>
        <w:lastRenderedPageBreak/>
        <w:t xml:space="preserve">La razón ofrecida para justificar la petición suspensiva, además de carecer de toda realidad, no tiene ninguna relación con la pretensión de amparo. Este se apoya en el art. 24.1 de la Constitución y su finalidad es lograr una anulación de actuaciones para que se emplace personalmente a la recurrente. La petición de suspensión trae a colación el si la recurrente debe o no debe estar presente en ciertos órganos administrativos en representación de los intereses de remolacheros y cañeros, lo que pertenece a la esfera no del art. 24.1, sino de los 14 y 28.1 de la C.E. Así, pues, la petición de suspensión (basada en el «derecho a representar» a los cultivadores) nada tiene que ver con la finalidad del amparo (emplazamiento personal). </w:t>
      </w:r>
    </w:p>
    <w:p w:rsidR="00256EE9" w:rsidRDefault="00256EE9" w:rsidP="00256EE9">
      <w:pPr>
        <w:pStyle w:val="TextoNormal"/>
      </w:pPr>
      <w:r>
        <w:t xml:space="preserve">Por lo demás, la recurrente carece de todo título jurídico para pretender manifestar la voluntad de las «demás organizaciones profesionales agrarias». </w:t>
      </w:r>
    </w:p>
    <w:p w:rsidR="00256EE9" w:rsidRDefault="00256EE9" w:rsidP="00256EE9">
      <w:pPr>
        <w:pStyle w:val="TextoNormal"/>
      </w:pPr>
      <w:r>
        <w:t>Desde luego, así es por lo que toca a la Confederación exponente, que es una organización profesional agraria.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Mediante la petición de suspensión de la ejecutividad de la Sentencia del Tribunal Supremo, lo que se pretende es el restablecimiento de la vigencia de la Orden ministerial de 23 de septiembre de 1983, anulada por aquella Sentencia por incidir lesivamente en derechos fundamentales del que instó el proceso contencioso-administrativo; y se pretende este restablecimiento invocando que el derecho fundamental lesionado ha sido el de no haber oído -o dado la oportunidad de ser oído-, en aquel proceso.</w:t>
      </w:r>
    </w:p>
    <w:p w:rsidR="00256EE9" w:rsidRDefault="00256EE9" w:rsidP="00256EE9">
      <w:pPr>
        <w:pStyle w:val="TextoNormal"/>
      </w:pPr>
      <w:r>
        <w:t>Ni el restablecimiento temporal de la Orden ministerial haría cesar una lesión actual de derechos de la Entidad recurrente, pues nada se ha justificado razonablemente al efecto, ni puede restablecerse esa vigencia sin afectar a los derechos fundamentales de la otra parte.  Como, por otra parte, en la hipótesis de que el presente recurso fuera estimado, que no es el caso tratarlo ahora, no se derivarían otras consecuencias que el reponer el proceso a momento procesal que hiciera posible la defensión, no se dan ni la pérdida de finalidad del amparo ni el no afectar a derechos fundamentales de otras partes, todo lo cual debe llevar a denegar la petición de suspensión, a tenor de lo previsto en el art.  56.1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Sala decide que no ha lugar a suspender la ejecutividad de la Sentencia del Tribunal Supremo (Sala Tercera), de fecha 31 de enero de 1984, recaída en el recurso núm. 307.019/1983.</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89" w:name="AUTO_1985_128"/>
      <w:r>
        <w:lastRenderedPageBreak/>
        <w:t>AUTO 128/1985, de 27 de febrero de 1985</w:t>
      </w:r>
    </w:p>
    <w:bookmarkEnd w:id="189"/>
    <w:p w:rsidR="00256EE9" w:rsidRDefault="00256EE9" w:rsidP="00256EE9">
      <w:pPr>
        <w:pStyle w:val="TtuloResolucin"/>
      </w:pPr>
      <w:r>
        <w:t>Sala Primera</w:t>
      </w:r>
    </w:p>
    <w:p w:rsidR="00256EE9" w:rsidRDefault="00256EE9" w:rsidP="00256EE9">
      <w:pPr>
        <w:pStyle w:val="TtuloResolucin"/>
      </w:pPr>
    </w:p>
    <w:p w:rsidR="00256EE9" w:rsidRDefault="00256EE9" w:rsidP="00256EE9">
      <w:pPr>
        <w:pStyle w:val="SntesisDescriptiva"/>
      </w:pPr>
      <w:r>
        <w:t>ECLI:ES:TC:1985:128A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don Manuel Díez de Velasco Vallejo, doña Gloria Begué Cantón, don Rafael Gómez-Ferrer Morant y don Ángel Escudero del Corral.</w:t>
      </w:r>
    </w:p>
    <w:p w:rsidR="00256EE9" w:rsidRDefault="00256EE9" w:rsidP="00256EE9">
      <w:pPr>
        <w:pStyle w:val="SntesisDescriptiva"/>
      </w:pPr>
    </w:p>
    <w:p w:rsidR="00256EE9" w:rsidRDefault="00256EE9" w:rsidP="00256EE9">
      <w:pPr>
        <w:pStyle w:val="SntesisDescriptiva"/>
      </w:pPr>
      <w:r>
        <w:t>Denegando la suspensión de la ejecución del acto que origina el recurso de amparo 438/1984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Bonifacio Fraile Sánchez, en nombre de don Enrique Tristán Ojauguren promovió recurso de amparo ante este Tribunal Constitucional (T.C.), que tuvo entrada en el Registro General el día 19 de junio de 1984, para que se anulase la Sentencia núm. 70 de la Sala de lo Contencioso-Administrativo de la Audiencia Territorial de Valladolid de 28 de febrero de 1984, en la que se había acordado la anulación de las bases del concurso de méritos para la provisión de una plaza de Arquitecto Superior de Urbanismo de la Diputación Provincial de Salamanca de la que había resultado adjudicatario el recurrente en amparo. </w:t>
      </w:r>
    </w:p>
    <w:p w:rsidR="00256EE9" w:rsidRDefault="00256EE9" w:rsidP="00256EE9">
      <w:pPr>
        <w:pStyle w:val="TextoNormal"/>
      </w:pPr>
      <w:r>
        <w:t xml:space="preserve">El recurrente alegaba que había sido vulnerado el art. 24.1 de la Constitución Española (C.E.), ya que no había sido emplazado en el procedimiento, a pesar de estar directamente afectado por la Sentencia. </w:t>
      </w:r>
    </w:p>
    <w:p w:rsidR="00256EE9" w:rsidRDefault="00256EE9" w:rsidP="00256EE9">
      <w:pPr>
        <w:pStyle w:val="TextoNormal"/>
      </w:pPr>
      <w:r>
        <w:t>En el segundo otrosí del escrito de demanda el solicitante del amparo pretendía que se suspendiese la Sentencia recurrida, al amparo del art. 56 de la Ley Orgánica del Tribunal Constitucional (LOTC) ya que si bien razonaba la parte recurrente que no existían perjuicios para los intereses públicos ni para terceros, sí se producían gravísimos perjuicios para el solicitante del amparo que perdía su condición de funcionario con las evidentes repercusiones económicas que influían en el ámbito familiar.</w:t>
      </w:r>
    </w:p>
    <w:p w:rsidR="00256EE9" w:rsidRDefault="00256EE9" w:rsidP="00256EE9">
      <w:pPr>
        <w:pStyle w:val="TextoNormal"/>
      </w:pPr>
    </w:p>
    <w:p w:rsidR="00256EE9" w:rsidRDefault="00256EE9" w:rsidP="00256EE9">
      <w:pPr>
        <w:pStyle w:val="TextoNormal"/>
      </w:pPr>
      <w:r w:rsidRPr="00256EE9">
        <w:rPr>
          <w:rStyle w:val="NumeroAFNegritaCaracter"/>
        </w:rPr>
        <w:t>2</w:t>
      </w:r>
      <w:r>
        <w:t>. En providencia de la Sección Segunda de la Sala Primera de este T.C. de fecha 26 de septiembre de 1984 se acordó formar la pieza separada de suspensión y, de conformidad con lo dispuesto en el art. 56.2 de la LOTC, otorgar un plazo de tres días al Ministerio Fiscal y al solicitante del amparo para que alegaran lo procedente sobre la suspensión solicitada.</w:t>
      </w:r>
    </w:p>
    <w:p w:rsidR="00256EE9" w:rsidRDefault="00256EE9" w:rsidP="00256EE9">
      <w:pPr>
        <w:pStyle w:val="TextoNormal"/>
      </w:pPr>
    </w:p>
    <w:p w:rsidR="00256EE9" w:rsidRDefault="00256EE9" w:rsidP="00256EE9">
      <w:pPr>
        <w:pStyle w:val="TextoNormal"/>
      </w:pPr>
      <w:r w:rsidRPr="00256EE9">
        <w:rPr>
          <w:rStyle w:val="NumeroAFNegritaCaracter"/>
        </w:rPr>
        <w:t>3</w:t>
      </w:r>
      <w:r>
        <w:t>. El Fiscal ante el T.C., por escrito de 3 de octubre de 1984, formuló, en síntesis, las siguientes alegaciones: 1.ª No estamos ante un supuesto previsto en el art. 56 de la LOTC, pues la ejecución de la Sentencia dictada por la Sala de lo Contencioso-Administrativo, aunque supondría el cese del recurrente como funcionario, en la sesión del 30 de abril de 1984 de la Diputación Provincial de Salamanca se acordó mantener la vigencia del contra</w:t>
      </w:r>
      <w:r>
        <w:lastRenderedPageBreak/>
        <w:t xml:space="preserve">to administrativo suscrito por don Enrique Tristán, como Arquitecto Superior de Urbanismo y no se dan las repercusiones económicas que alega el recurrente. 2.ª La ejecución de la Sentencia precisa la redacción de nuevas bases, la publicación de un nuevo concurso y su resolución, todo lo cual requiere un tiempo que será superior a la resolución de este recurso de amparo, de modo que si el recurso prospera y se anula la Sentencia, habrá ocasión de deshacer el nuevo concurso, sin que el recurrente sufra un daño irreparable. </w:t>
      </w:r>
    </w:p>
    <w:p w:rsidR="00256EE9" w:rsidRDefault="00256EE9" w:rsidP="00256EE9">
      <w:pPr>
        <w:pStyle w:val="TextoNormal"/>
      </w:pPr>
      <w:r>
        <w:t>El Fiscal concluye solicitando del T.C. que no debe accederse a la suspensión interesada.</w:t>
      </w:r>
    </w:p>
    <w:p w:rsidR="00256EE9" w:rsidRDefault="00256EE9" w:rsidP="00256EE9">
      <w:pPr>
        <w:pStyle w:val="TextoNormal"/>
      </w:pPr>
    </w:p>
    <w:p w:rsidR="00256EE9" w:rsidRDefault="00256EE9" w:rsidP="00256EE9">
      <w:pPr>
        <w:pStyle w:val="TextoNormal"/>
      </w:pPr>
      <w:r w:rsidRPr="00256EE9">
        <w:rPr>
          <w:rStyle w:val="NumeroAFNegritaCaracter"/>
        </w:rPr>
        <w:t>4</w:t>
      </w:r>
      <w:r>
        <w:t>. El Procurador de los Tribunales don Bonifacio Fraile Sánchez, en nombre de don Enrique Tristán Ojauguren, solicita en escrito de 29 de septiembre de 1984 que se tengan por reproducidos los argumentos esgrimidos en el escrito de demanda tendentes a que se admita la suspensión.</w:t>
      </w:r>
    </w:p>
    <w:p w:rsidR="00256EE9" w:rsidRDefault="00256EE9" w:rsidP="00256EE9">
      <w:pPr>
        <w:pStyle w:val="TextoNormal"/>
      </w:pPr>
    </w:p>
    <w:p w:rsidR="00256EE9" w:rsidRDefault="00256EE9" w:rsidP="00256EE9">
      <w:pPr>
        <w:pStyle w:val="TextoNormal"/>
      </w:pPr>
      <w:r w:rsidRPr="00256EE9">
        <w:rPr>
          <w:rStyle w:val="NumeroAFNegritaCaracter"/>
        </w:rPr>
        <w:t>5</w:t>
      </w:r>
      <w:r>
        <w:t>. La Sala Primera, por Auto de 10 de octubre de 1984 acordó no acceder a la suspensión solicitada por el Procurador de los Tribunales don Bonifacio Fraile Sánchez, en nombre de don Enrique Tristán Ojauguren de la Sentencia núm. 70 dictada con fecha de 28 de febrero de 1984 por la Sala de lo Contencioso-Administrativo de la Audiencia Territorial de Valladolid.</w:t>
      </w:r>
    </w:p>
    <w:p w:rsidR="00256EE9" w:rsidRDefault="00256EE9" w:rsidP="00256EE9">
      <w:pPr>
        <w:pStyle w:val="TextoNormal"/>
      </w:pPr>
    </w:p>
    <w:p w:rsidR="00256EE9" w:rsidRDefault="00256EE9" w:rsidP="00256EE9">
      <w:pPr>
        <w:pStyle w:val="TextoNormal"/>
      </w:pPr>
      <w:r w:rsidRPr="00256EE9">
        <w:rPr>
          <w:rStyle w:val="NumeroAFNegritaCaracter"/>
        </w:rPr>
        <w:t>6</w:t>
      </w:r>
      <w:r>
        <w:t>. En nuevo escrito de 3 de diciembre de 1984 el Procurador de los Tribunales don Bonifacio Fraile Sánchez, en nombre de don Enrique Tristán Ojauguren, estima que las circunstancias han variado ya que el día 23 de noviembre de 1984 se produjo la rescisión del contrato administrativo del solicitante del amparo como Arquitecto Superior de Urbanismo de la Diputación Provincial de Salamanca, cuya vigencia se había acordado en sesión plenaria de la Diputación el día 30 de abril de 1984. La Sección Segunda de la Sala Primera de este T.C., en providencia de 12 de diciembre de 1984, acordó dar traslado al Ministerio Fiscal para que, en término de tres días, alegase lo que estimase pertinente en relación con la suspensión solicitada.</w:t>
      </w:r>
    </w:p>
    <w:p w:rsidR="00256EE9" w:rsidRDefault="00256EE9" w:rsidP="00256EE9">
      <w:pPr>
        <w:pStyle w:val="TextoNormal"/>
      </w:pPr>
    </w:p>
    <w:p w:rsidR="00256EE9" w:rsidRDefault="00256EE9" w:rsidP="00256EE9">
      <w:pPr>
        <w:pStyle w:val="TextoNormal"/>
      </w:pPr>
      <w:r w:rsidRPr="00256EE9">
        <w:rPr>
          <w:rStyle w:val="NumeroAFNegritaCaracter"/>
        </w:rPr>
        <w:t>7</w:t>
      </w:r>
      <w:r>
        <w:t>. El Fiscal, por escrito de 18 de diciembre de 1984, solicitó que se aportara el acuerdo de la Diputación de Salamanca en virtud del cual se rescindió el contrato administrativo suscrito por el recurrente. La Sección Segunda de la Sala Primera de este T.C., en providencia de 10 de enero de 1985, acordó que se interesase de la Diputación Provincial de Salamanca la remisión del testimonio del acuerdo por el que se rescindió el contrato administrativo del señor Tristán Ojauguren.</w:t>
      </w:r>
    </w:p>
    <w:p w:rsidR="00256EE9" w:rsidRDefault="00256EE9" w:rsidP="00256EE9">
      <w:pPr>
        <w:pStyle w:val="TextoNormal"/>
      </w:pPr>
    </w:p>
    <w:p w:rsidR="00256EE9" w:rsidRDefault="00256EE9" w:rsidP="00256EE9">
      <w:pPr>
        <w:pStyle w:val="TextoNormal"/>
      </w:pPr>
      <w:r w:rsidRPr="00256EE9">
        <w:rPr>
          <w:rStyle w:val="NumeroAFNegritaCaracter"/>
        </w:rPr>
        <w:t>8</w:t>
      </w:r>
      <w:r>
        <w:t>. La Diputación Provincial de Salamanca por escrito que tuvo entrada en el Registro General el día 23 de enero de 1985, indicaba que el solicitante del amparo había recurrido ante la Sala de lo Contencioso-Administrativo de la Audiencia Territorial de Valladolid contra la desestimación del recurso de reposición que interpuso contra la resolución de la Presidencia de la Diputación por la que se rescindía su contrato administrativo como Arquitecto Superior de Urbanismo de la Diputación y que había remitido el expediente original a la Sala de lo Contencioso, por lo que enviaba a este T.C. un testimonio de todos los documentos que integraban el expediente.</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9</w:t>
      </w:r>
      <w:r>
        <w:t>. La Sección Segunda de la Sala Primera, en providencia de 30 de enero de 1985, acordó tener por recibido el expediente y se dio traslado a las partes para que en término de tres días alegaran lo que estimasen pertinente en relación a la suspensión interesada.</w:t>
      </w:r>
    </w:p>
    <w:p w:rsidR="00256EE9" w:rsidRDefault="00256EE9" w:rsidP="00256EE9">
      <w:pPr>
        <w:pStyle w:val="TextoNormal"/>
      </w:pPr>
    </w:p>
    <w:p w:rsidR="00256EE9" w:rsidRDefault="00256EE9" w:rsidP="00256EE9">
      <w:pPr>
        <w:pStyle w:val="TextoNormal"/>
      </w:pPr>
      <w:r w:rsidRPr="00256EE9">
        <w:rPr>
          <w:rStyle w:val="NumeroAFNegritaCaracter"/>
        </w:rPr>
        <w:t>10</w:t>
      </w:r>
      <w:r>
        <w:t xml:space="preserve">. El Fiscal, por escrito de 7 de febrero de 1985, hizo constar, resumidamente, las siguientes alegaciones: </w:t>
      </w:r>
    </w:p>
    <w:p w:rsidR="00256EE9" w:rsidRDefault="00256EE9" w:rsidP="00256EE9">
      <w:pPr>
        <w:pStyle w:val="TextoNormal"/>
      </w:pPr>
      <w:r>
        <w:t xml:space="preserve">1.ª Si bien es verdad que como dice el art. 57 de la LOTC y nos recordó el anterior Auto sobre suspensión de este T.C. y ahora reitera el demandante, el cambio de circunstancias puede determinar la modificación de cualquier medida sobre suspensión, lo cierto es que el cambio que ahora se aduce derivado de una resolución de un contrato administrativo es ajeno al acto impugnado en amparo aunque alguna relación guarde con él, ya que la contratación sustituyó provisionalmente al cese de la relación funcionarial, consecuencia del cumplimiento de la Sentencia que ahora se impugna. </w:t>
      </w:r>
    </w:p>
    <w:p w:rsidR="00256EE9" w:rsidRDefault="00256EE9" w:rsidP="00256EE9">
      <w:pPr>
        <w:pStyle w:val="TextoNormal"/>
      </w:pPr>
      <w:r>
        <w:t xml:space="preserve">2.ª Las razones de la suspensión no son otras, a tenor de lo dispuesto en el art. 56.1 de la LOTC, que la irreversibilidad del perjuicio que haga perder al amparo su finalidad. Este no es el caso, pues si se ampara al recurrente deberá ser emplazado personalmente al proceso judicial en que se impugnaron las bases del concurso en virtud del que fue nombrado funcionario, lo que podrá efectuarse aunque no se suspenda la Sentencia; y si ésta fuera modificada, el recurrente será reintegrado en su condición de funcionario. </w:t>
      </w:r>
    </w:p>
    <w:p w:rsidR="00256EE9" w:rsidRDefault="00256EE9" w:rsidP="00256EE9">
      <w:pPr>
        <w:pStyle w:val="TextoNormal"/>
      </w:pPr>
      <w:r>
        <w:t>En suma, para el Fiscal, al no apreciarse un perjuicio irreparable, debe mantenerse lo ordenado por una Sentencia firme, según los términos en que está ordenada la suspensión de los actos frente a los que se reclama en esta jurisdicción constitucional (art. 56.1 de la LOTC).</w:t>
      </w:r>
    </w:p>
    <w:p w:rsidR="00256EE9" w:rsidRDefault="00256EE9" w:rsidP="00256EE9">
      <w:pPr>
        <w:pStyle w:val="TextoNormal"/>
      </w:pPr>
    </w:p>
    <w:p w:rsidR="00256EE9" w:rsidRDefault="00256EE9" w:rsidP="00256EE9">
      <w:pPr>
        <w:pStyle w:val="TextoNormal"/>
      </w:pPr>
      <w:r w:rsidRPr="00256EE9">
        <w:rPr>
          <w:rStyle w:val="NumeroAFNegritaCaracter"/>
        </w:rPr>
        <w:t>11</w:t>
      </w:r>
      <w:r>
        <w:t>. El Procurador señor Fraile Sánchez, en nombre del recurrente en amparo, no formuló escrito alguno durante el término concedido al efecto por la Sección.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petición del recurrente persigue en esta segunda ocasión, al amparo del art.  57 de la LOTC, la modificación de la decisión de esta Sala que en el precedente Auto de 10 de octubre de 1984 acordó denegar la suspensión de la Sentencia núm. 70/1984, de 28 de febrero, dictada por la Sala de lo Contencioso-Administrativo de la Audiencia de Valladolid, con fundamento en que a partir del día 23 de noviembre de 1984 se produjo la resolución de su contrato administrativo, cesando en sus servicios como Arquitecto de la Diputación Provincial.</w:t>
      </w:r>
    </w:p>
    <w:p w:rsidR="00256EE9" w:rsidRDefault="00256EE9" w:rsidP="00256EE9">
      <w:pPr>
        <w:pStyle w:val="TextoNormal"/>
      </w:pPr>
      <w:r>
        <w:t>El contrato administrativo de prestación de servicios había sido suscrito por la Diputación de Salamanca y don Enrique Tristán Ojauguren el día 23 de noviembre de 1981 y tenía una vigencia de un año, si bien el Pleno de la Diputación Provincial, en sesión del día 30 de abril de 1984, acordó mantener la vigencia del contrato que había sido interrumpida como consecuencia del nombramiento en propiedad del señor Tristán de la plaza de Arquitecto de la Diputación, en virtud de concurso de méritos cuyas bases fueron anuladas por la Sentencia recurrida en amparo.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Sala estima que la resolución contractual referida en el apartado precedente no tiene entidad suficiente para producir una modificación de la denegación de la suspensión, </w:t>
      </w:r>
      <w:r>
        <w:lastRenderedPageBreak/>
        <w:t>pues es una cuestión marginal de la pretensión constitucional que persigue el emplazamiento del recurrente en la vía contencioso-administrativa.</w:t>
      </w:r>
    </w:p>
    <w:p w:rsidR="00256EE9" w:rsidRDefault="00256EE9" w:rsidP="00256EE9">
      <w:pPr>
        <w:pStyle w:val="TextoNormal"/>
      </w:pPr>
      <w:r>
        <w:t>Por otra parte, la jurisdicción contencioso-administrativa está conociendo en la actualidad de dicha resolución contractual, según se indica en el apartado octavo de los antecedentes, y corresponde a esa jurisdicción conocer de la situación jurídica que afecta al recurrente en el momento actual, por lo que este T.C.  no puede invalidar o considerar ineficaz tal resolución contractual.  La Sala de este T.C.  reitera loa razonamientos de la denegación, inicialmente acordada por el Auto de 10 de octubre de 1984 y tiene en cuenta para ello que los eventuales perjuicios serían siempre evaluables económicamente y no se trata de una situación cuya ejecución haría perder al amparo su finalidad.</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Sala acuerda mantener la denegación de la suspensión acordada en el Auto de 10 de octubre de 1984 dictado en la pieza separada de suspensión del recurso de referencia y denegar por tanto la suspensión pedida en el nuevo</w:t>
      </w:r>
    </w:p>
    <w:p w:rsidR="00256EE9" w:rsidRDefault="00256EE9" w:rsidP="00256EE9">
      <w:pPr>
        <w:pStyle w:val="TextoNormal"/>
      </w:pPr>
      <w:r>
        <w:t>escrito de 3 de diciembre de 1984.</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0" w:name="AUTO_1985_129"/>
      <w:r>
        <w:lastRenderedPageBreak/>
        <w:t>AUTO 129/1985, de 27 de febrero de 1985</w:t>
      </w:r>
    </w:p>
    <w:bookmarkEnd w:id="190"/>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ECLI:ES:TC:1985:129A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581/1984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1" w:name="AUTO_1985_130"/>
      <w:r>
        <w:lastRenderedPageBreak/>
        <w:t>AUTO 130/1985, de 27 de febrero de 1985</w:t>
      </w:r>
    </w:p>
    <w:bookmarkEnd w:id="191"/>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ECLI:ES:TC:1985:130A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740/1984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ha tenido entrada en este Tribunal Constitucional (T.C.) el día 26 de octubre de 1984, el Procurador de los Tribunales don José R. Gayoso Rey, interpone recurso de amparo en nombre de don Claudio Favier Orendain contra la Sentencia de la Sala Tercera de lo Contencioso-Administrativo del Tribunal Supremo de 27 de septiembre de 1984, invocando la presunta infracción de los arts. 17.1, 20.1 b) y 25.1 de la C.E. Solicita la revocación de la mencionada Sentencia y la declaración de que el título de Arquitecto obtenido por el recurrente en la Escuela Técnica Superior de Madrid, tenga validez profesional para su ejercicio en España. </w:t>
      </w:r>
    </w:p>
    <w:p w:rsidR="00256EE9" w:rsidRDefault="00256EE9" w:rsidP="00256EE9">
      <w:pPr>
        <w:pStyle w:val="TextoNormal"/>
      </w:pPr>
      <w:r>
        <w:t>Por otrosí solicita la suspensión de la ejecución de la resolución judicial impugnada.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De las alegaciones y documentos aportados se deduce lo siguiente: </w:t>
      </w:r>
    </w:p>
    <w:p w:rsidR="00256EE9" w:rsidRDefault="00256EE9" w:rsidP="00256EE9">
      <w:pPr>
        <w:pStyle w:val="TextoNormal"/>
      </w:pPr>
      <w:r>
        <w:t xml:space="preserve">El ahora recurrente, de nacionalidad mexicana, convalidó sus estudios de los primeros cursos de Arquitectura en la Universidade Complutense de Madrid, cursando el resto de la carrera en dicha Universidad, hasta la obtención del correspondiente título de Arquitecto. </w:t>
      </w:r>
    </w:p>
    <w:p w:rsidR="00256EE9" w:rsidRDefault="00256EE9" w:rsidP="00256EE9">
      <w:pPr>
        <w:pStyle w:val="TextoNormal"/>
      </w:pPr>
      <w:r>
        <w:t xml:space="preserve">El Colegio de Arquitectos de Madrid denegó el alta en dicha Corporación al señor Favier por no haber probado el principio de reciprocidad, en cuanto al ejercico profesional con México, decisión confirmada por el Ministerio de Educación y Ciencia, por Resolución de 5 de febrero de 1979. Interpuesto recurso contencioso-administrativo ante la Audiencia Nacional, ésta dictó Sentencia anulando la Resolución recurrida, declarando que el título de Arquitecto del ahora recurrente tiene validez profesional para su ejercicio en España, lo que permitió al interesado darse de alta en el Colegio de Arquitectos de Madrid. </w:t>
      </w:r>
    </w:p>
    <w:p w:rsidR="00256EE9" w:rsidRDefault="00256EE9" w:rsidP="00256EE9">
      <w:pPr>
        <w:pStyle w:val="TextoNormal"/>
      </w:pPr>
      <w:r>
        <w:t xml:space="preserve">La Sentencia mencionada fue apelada por el Abogado del Estado, ante el Tribunal Supremo, cuya Sala Tercera de lo Contencioso-Administrativo, por Sentencia de 27 de septiembre de 1984, revocó la de la Audiencia Nacional, denegando la validez profesional en España del título de Arquitecto del recurrente por no haber probado el principio de reciprocidad. </w:t>
      </w:r>
    </w:p>
    <w:p w:rsidR="00256EE9" w:rsidRDefault="00256EE9" w:rsidP="00256EE9">
      <w:pPr>
        <w:pStyle w:val="TextoNormal"/>
      </w:pPr>
      <w:r>
        <w:t xml:space="preserve">El demandante, invocando los derechos constitucionales contenidos en los artículos antes mencionados, pide se declare que su título de Arquitecto tiene validez profesional para el ejercicio en España, por lo que le faculta para darse de alta en cualquiera de los Colegios de Arquitectos españoles a los efectos del ejercicio profesional. </w:t>
      </w:r>
    </w:p>
    <w:p w:rsidR="00256EE9" w:rsidRDefault="00256EE9" w:rsidP="00256EE9">
      <w:pPr>
        <w:pStyle w:val="TextoNormal"/>
      </w:pPr>
      <w:r>
        <w:lastRenderedPageBreak/>
        <w:t xml:space="preserve">Fundamenta su pretensión en la infracción del derecho fundamental o libertad pública «a la producción y creación literaria, artística, científica y técnica», en cuyas actividades se encuentra el ejercicio de la Arquitectura, que puede ejercer en España un extranjero, en aplicación del art. 13.1 de la C.E. </w:t>
      </w:r>
    </w:p>
    <w:p w:rsidR="00256EE9" w:rsidRDefault="00256EE9" w:rsidP="00256EE9">
      <w:pPr>
        <w:pStyle w:val="TextoNormal"/>
      </w:pPr>
      <w:r>
        <w:t xml:space="preserve">Afirma el recurrente que en virtud de la Ley 118/1969, de 30 de diciembre, un súbdito hispanoamericano tiene derecho a ejercer cualquier clase de trabajo, en igualdad con los españoles y que, además, se ha probado suficientemente la existencia del principio de reciprocidad que exige el art. 6 del Decreto 1676/1969, de 24 de julio, y la Orden de 25 de agosto del mismo año, en cuanto a que los españoles pueden ejercer en México la profesión de Arquitectos. </w:t>
      </w:r>
    </w:p>
    <w:p w:rsidR="00256EE9" w:rsidRDefault="00256EE9" w:rsidP="00256EE9">
      <w:pPr>
        <w:pStyle w:val="TextoNormal"/>
      </w:pPr>
      <w:r>
        <w:t>Por otra parte, alega infracción de los arts. 17.1 de la C.E. según el cual toda persona tiene derecho a la libertad, y 25.1 de la C.E. aplicables, en su criterio, a tenor de lo dispuesto en el art. 13.1 de la C.E.</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14 de noviembre de 1984, la Sección acordó tener por interpuesto el recurso, concediendo un plazo común de diez días al Ministerio Fiscal y al demandante a tenor de lo dispuesto en el art. 50 de la LOTC, para que alegasen lo que estimasen procedente en relación con la posible existencia del motivo de inadmisión de carácter insubsanable consistente en carecer la demanda manifiestamente de contenido que justifique una decisión por parte del T.C., conforme a lo establecido en el art. 50.2 b) de la LOTC. </w:t>
      </w:r>
    </w:p>
    <w:p w:rsidR="00256EE9" w:rsidRDefault="00256EE9" w:rsidP="00256EE9">
      <w:pPr>
        <w:pStyle w:val="TextoNormal"/>
      </w:pPr>
      <w:r>
        <w:t>En cuanto a la suspensión solicitada, la resolución procedente se acordará una vez que se decida sobre la admisión o no a trámite de la demanda.</w:t>
      </w:r>
    </w:p>
    <w:p w:rsidR="00256EE9" w:rsidRDefault="00256EE9" w:rsidP="00256EE9">
      <w:pPr>
        <w:pStyle w:val="TextoNormal"/>
      </w:pPr>
    </w:p>
    <w:p w:rsidR="00256EE9" w:rsidRDefault="00256EE9" w:rsidP="00256EE9">
      <w:pPr>
        <w:pStyle w:val="TextoNormal"/>
      </w:pPr>
      <w:r w:rsidRPr="00256EE9">
        <w:rPr>
          <w:rStyle w:val="NumeroAFNegritaCaracter"/>
        </w:rPr>
        <w:t>4</w:t>
      </w:r>
      <w:r>
        <w:t>. En el plazo otorgado, el Ministerio Fiscal comparece interesando del T.C. dicte Auto declarando la inadmisión de la demanda por incidir en los motivos de inadmisión previstos en los arts. 50.1 b) y 50.2 b) de la LOTC, dado que no se acompañan la Resolución del Ministerio de Educación y Ciencia, ni la Sentencia del Tribunal de lo Contencioso-Administrativo de instancia, sin que la demanda revista contenido constitucional puesto que no pueden entenderse afectados en manera alguna los derechos constitucionales invocados por el recurrente.</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Por su parte, la representación del demandante solicita la admisión del recurso interpuesto, y su estimación, a fin de que se respeten los derechos fundamentales invocados, consistentes en la facultad que tiene el interesado de darse de alta en cualquier Colegio de Arquitectos de España. </w:t>
      </w:r>
    </w:p>
    <w:p w:rsidR="00256EE9" w:rsidRDefault="00256EE9" w:rsidP="00256EE9">
      <w:pPr>
        <w:pStyle w:val="TextoNormal"/>
      </w:pPr>
      <w:r>
        <w:t>En opinión del recurrente la actividad propia de la Arquitectura se encuentra incluida en el derecho fundamental establecido en el art. 20.1 b) de la C.E., que ha sido infringido por la resolución judicial recurrida, al desconocer además las normas vigentes en relación con el trabajo de ciudadanos hispanoamericanos en España así como el cumplimiento del principio de reciprocidad con México en esta materia. Considera así el demandante que la resolución impugnada cercena su libertad y constituye una sanción de carácter administrativo, con infracción del art. 25.1 de la C.E.</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Las reiteradas manifestaciones del demandante sitúan las pretendidas vulneraciones constitucionales que han motivado el presente recurso en la Sentencia de la Sala Tercera de lo Contencioso-Administrativo del Tribunal Supremo, que revoca la Sentencia de apelación y declara conformes a Derecho las resoluciones expresa y presunta del Ministerio de Educación y Ciencia que, en su día, denegaron al interesado la concesión de validez profesional de su título de Arquitecto, para ejercer la profesión en España.</w:t>
      </w:r>
    </w:p>
    <w:p w:rsidR="00256EE9" w:rsidRDefault="00256EE9" w:rsidP="00256EE9">
      <w:pPr>
        <w:pStyle w:val="TextoNormal"/>
      </w:pPr>
      <w:r>
        <w:t>Habrían de ser, por tanto, las expresadas resoluciones administrativas las supuestamente vulneradoras de los derechos fundamentales invocados por el recurrente, con la consecuencia en el orden procesal de que la vía de amparo utilizable para reparar tales infracciones sería la prevista en el art. 43 de la LOTC.  El hecho, sin embargo, de que se haya agotado la vía judicial precedente, y sea precisamente la resolución judicial que la agota la directamente impugnada, evita entrar en consideraciones, en este caso, sobre la distinción entre las vías de los arts.  43 y 44 de la LOTC, ya que los requisitos formales pueden estimarse cumplidos en uno y otro supuesto, y dado que hay un nexo o relación causal evidente entre acto administrativo originario y resolución judicial conclusiva, procede entrar a juzgar de la adecuación o no a los preceptos constitucionales de esta última, ya que, como mantiene el recurrente, ha sido tal resolución judicial la causante de la vulneración constitucional.</w:t>
      </w:r>
    </w:p>
    <w:p w:rsidR="00256EE9" w:rsidRDefault="00256EE9" w:rsidP="00256EE9">
      <w:pPr>
        <w:pStyle w:val="TextoNormal"/>
      </w:pPr>
    </w:p>
    <w:p w:rsidR="00256EE9" w:rsidRDefault="00256EE9" w:rsidP="00256EE9">
      <w:pPr>
        <w:pStyle w:val="TextoNormal"/>
      </w:pPr>
      <w:r w:rsidRPr="00256EE9">
        <w:rPr>
          <w:rStyle w:val="NumeroAFNegritaCaracter"/>
        </w:rPr>
        <w:t>2</w:t>
      </w:r>
      <w:r>
        <w:t>. Estima el demandante que la Sentencia recurrida, al denegarle la facultad de darse de alta en cualquier Colegio de Arquitectos de España, está vulnerando determinados derechos fundamentales, como son los contenidos en los arts 20.1 b), 17.1 y 25.1 de la C.E.</w:t>
      </w:r>
    </w:p>
    <w:p w:rsidR="00256EE9" w:rsidRDefault="00256EE9" w:rsidP="00256EE9">
      <w:pPr>
        <w:pStyle w:val="TextoNormal"/>
      </w:pPr>
      <w:r>
        <w:t>El reconocimiento y protección que el art. 20.1 b) de la C.E.  contiene del derecho a la producción y creación literaria, artística, científica y técnica no puede enlazarse del modo que pretende el demandante al ejercicio de la profesión de Arquitecto. En efecto, el contenido y manifestaciones del art. 20 de la C.E. hace referencia a los variados ámbitos en que se manifiesta la libertad de pensamiento y de expresión, sin que pueda reconducirse a tal esfera el ejercicio de una profesión, y menos una profesión titulada, que la propia Constitución reserva, en cuanto su ejercicio, a la Ley, como se comprueba por la simple remisión al art.  36 de la C.E., precepto que por su inserción en la sección segunda del capítulo 2 del Título I de la C.E., no puede ser objeto de invocación en la vía de amparo.</w:t>
      </w:r>
    </w:p>
    <w:p w:rsidR="00256EE9" w:rsidRDefault="00256EE9" w:rsidP="00256EE9">
      <w:pPr>
        <w:pStyle w:val="TextoNormal"/>
      </w:pPr>
      <w:r>
        <w:t>Trae a colación el demandante el art.  13.1 de la C.E.  relativo al goce por los extranjeros en España de las libertades públicas que garantiza el Título I del Texto Fundamental, pero no debe olvidarse que los derechos y libertades reconocidos a los extranjeros son todos, sin excepción en cuanto a su contenido, derechos de configuración legal, conforme declara la Sentencia de este T.C. 107/1984, de 23 de noviembre, y que como reiteradamente ha expresado este T.C.  la interpretación de la legalidad ordinaria corresponde al Juez ordinario, en este caso, en su más alta expresión, sin que pueda este T.C.  hacer otra cosa que asumir su decisión, sin sustituirla por otra diferente en un recurso de amparo cuando ello no viene reclamado por la necesidad de ajustarla a la Constitución.</w:t>
      </w:r>
    </w:p>
    <w:p w:rsidR="00256EE9" w:rsidRDefault="00256EE9" w:rsidP="00256EE9">
      <w:pPr>
        <w:pStyle w:val="TextoNormal"/>
      </w:pPr>
      <w:r>
        <w:t xml:space="preserve">Es obvio que en este caso, lo único que intenta el recurrente acudiendo a esta sede constitucional, es cambiar el signo de una decisión judicial que le ha sido desfavorable y perjudicial a sus particulares intereses, invocando para ello unos preceptos de la C.E.  sin más fundamento que una subjetiva y errónea interpretación de lo que significan en el ámbito del desenvolvimiento de los derechos y libertades fundamentales, puesto que ningún </w:t>
      </w:r>
      <w:r>
        <w:lastRenderedPageBreak/>
        <w:t>sentido tiene invocar en este litigio como vulnerados el art. 17.1 de la C.E. que es bien sabido contempla el aspecto más tangible de la libertad, esto es, la libertad física, y el art. 25.1 de la C.E., que consagra el principio de legalidad en el ámbito sancionatorio, penal o administrativo, sin que el incumplimiento o la carencia de los requisitos legales para el ejercicio profesional pueda reconducirse al referido ámbito sancionatorio.</w:t>
      </w:r>
    </w:p>
    <w:p w:rsidR="00256EE9" w:rsidRDefault="00256EE9" w:rsidP="00256EE9">
      <w:pPr>
        <w:pStyle w:val="TextoNormal"/>
      </w:pPr>
    </w:p>
    <w:p w:rsidR="00256EE9" w:rsidRDefault="00256EE9" w:rsidP="00256EE9">
      <w:pPr>
        <w:pStyle w:val="TextoNormal"/>
      </w:pPr>
      <w:r w:rsidRPr="00256EE9">
        <w:rPr>
          <w:rStyle w:val="NumeroAFNegritaCaracter"/>
        </w:rPr>
        <w:t>3</w:t>
      </w:r>
      <w:r>
        <w:t>. Lo expuesto es suficiente para acreditar la falta de contenido constitucional del asunto que se ha traído a la consideración de este T.C., lo que ha de conducir a la declaración de que la demanda carece manifiestamente de contenido que justifique una decisión en forma de Sentencia con el desarrollo procesal consiguiente.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anterior procede declarar la inadmisión, en aplicación del art. 50.2 b) de la LOTC, del presente recurso, sin que sea necesario pronunciamiento alguno sobre la solicitud de suspensión de la resolución judicial impugnada, y el archivo de las</w:t>
      </w:r>
    </w:p>
    <w:p w:rsidR="00256EE9" w:rsidRDefault="00256EE9" w:rsidP="00256EE9">
      <w:pPr>
        <w:pStyle w:val="TextoNormal"/>
      </w:pPr>
      <w:r>
        <w:t>actuaciones.</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2" w:name="AUTO_1985_131"/>
      <w:r>
        <w:lastRenderedPageBreak/>
        <w:t>AUTO 131/1985, de 27 de febrero de 1985</w:t>
      </w:r>
    </w:p>
    <w:bookmarkEnd w:id="192"/>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ECLI:ES:TC:1985:131A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772/1984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Jesús Gómez Olmedo Martín-Sacristán, don José Sardinero Alonso, don Rafael Balmaseda Díaz-Palacios, don Arturo Alvarez Monge, don Hilario Sánchez Garrido Ramírez, don Manuel García González, don José Calvo Calvo, don Emiliano López Guiñales, don Honorio Martín Simón, don Federico Sepúlveda Madero, don Angel González Serrano, don Florentino Pérez Escribano, don Enrique Pita Sánchez Mora, don Manuel Eloy Montes García Pando, don Jesús Martín Martínez-Conde, don Mariano Checa Saiz, don Marino Almendro del Cerco, don Pablo Vaca Martín, don Teodoro Robles Gómez, don Vicente Juste Gómez, don Marcelino Avila Sánchez y don Nicolás Castro Villalobos, representados por el Procurador don Antonio García Díaz y asistidos de Letrado, deducen demanda de amparo contra Sentencia de la Sala Quinta del Tribunal Supremo de 18 de julio de 1984, notificada el 15 de octubre siguiente, recaída en el recurso núm. 514.816, contra Resolución del Consejo de Ministros. </w:t>
      </w:r>
    </w:p>
    <w:p w:rsidR="00256EE9" w:rsidRDefault="00256EE9" w:rsidP="00256EE9">
      <w:pPr>
        <w:pStyle w:val="TextoNormal"/>
      </w:pPr>
      <w:r>
        <w:t xml:space="preserve">La demanda se basa en los siguientes hechos: </w:t>
      </w:r>
    </w:p>
    <w:p w:rsidR="00256EE9" w:rsidRDefault="00256EE9" w:rsidP="00256EE9">
      <w:pPr>
        <w:pStyle w:val="TextoNormal"/>
      </w:pPr>
      <w:r>
        <w:t xml:space="preserve">a) Los demandantes, todos ellos titulados superiores y titulares, mediante oposición, de plazas pertenecientes al Cuerpo de Funcionarios Técnicos del Estado al Servicio de la Sanidad Local (Veterinarios Titulares), Cuerpo adscrito al Ministerio de Sanidad y Consumo, elevaron sendos escritos al Ministro de Hacienda para que, previos los informes preceptivos, se elevase propuesta al Consejo de Ministros a fin de que, por este órgano, se asignase a los solicitantes el coeficiente multiplicador cinco (5,0), en armonía con el coeficiente asignado a otros Cuerpos Superiores de la Administración Civil del Estado, y muy en concreto a los Veterinarios que, como funcionarios de la Administración Local, prestan sus servicios en las Corporaciones Locales, todos los cuales, por diversas declaraciones jurisprudenciales, tienen asignado el coeficiente cinco. </w:t>
      </w:r>
    </w:p>
    <w:p w:rsidR="00256EE9" w:rsidRDefault="00256EE9" w:rsidP="00256EE9">
      <w:pPr>
        <w:pStyle w:val="TextoNormal"/>
      </w:pPr>
      <w:r>
        <w:t xml:space="preserve">b) Transcurridos tres meses desde la formulación de la anterior petición sin que la Administración contestase, se denunció la mora, a pesar de lo cual no hubo resolución expresa, por lo que se interpuso recurso contencioso-administrativo, formalizándose posteriormente la demanda ante la Sala Quinta del Tribunal Supremo, una vez recibido por los recurrentes el expediente administrativo, en el cual figuraba un informe emitido por el Ministerio de Hacienda a solicitud del Ministerio de Sanidad y Consumo, que se oponía a la asignación del coeficiente cinco, por estas razones: a) no existir equiparación económica alguna entre los solicitantes o su Cuerpo de pertenencia y el Cuerpo Técnico de la Administración Civil del Estado; b) no haber obligatoriedad de equiparación económica entre </w:t>
      </w:r>
      <w:r>
        <w:lastRenderedPageBreak/>
        <w:t xml:space="preserve">Cuerpos de funcionarios; c) no ser posible modificar los coeficientes por Acuerdo del Consejo de Ministros. </w:t>
      </w:r>
    </w:p>
    <w:p w:rsidR="00256EE9" w:rsidRDefault="00256EE9" w:rsidP="00256EE9">
      <w:pPr>
        <w:pStyle w:val="TextoNormal"/>
      </w:pPr>
      <w:r>
        <w:t>c) La Sala Quinta del Tribunal Supremo, en Sentencia de 18 de julio de 1984, decidió, en primer término y de conformidad con la contestación de la demanda del Abogado del Estado, declarar la inadmisibilidad del recurso por lo que respecta a los recurrentes señores Gómez Olmedo, Sardinero Alonso, Balmaseda Díaz-Palacios, Alvarez Monje, Sánchez Garrido, García González, Calvo Calvo y López Guiñales, con arreglo a lo establecido en el art. 82 c) en relación con el 1 y 37, todos de la Ley Reguladora de la Jurisdicción Contencioso-Administrativa, dado que consta que no presenta on en vía administrativa el escrito solicitando el señalamiento de coeficiente, de modo que el silencio de la Administración no puede afectarles al no haber provocado la actuación administrativa; igualmente declaró la inadmisión del recurso interpuesto por el señor Martín Simón, por no haber formulado la denuncia de la mora, requisito sine qua non para que se produzca un acto presunto. En cuanto al fondo del asunto, el Tribunal Supremo desestimó el recurso, en relación con los restantes recurrentes, en razón a que el coeficiente retributivo repercute en la asignación del grado, nuevo elemento estructural en las retribuciones de los funcionarios públicos introducido por el Real Decreto 22/1977, de 30 de marzo, habiéndose establecido en la Ley 42/1979 de Presupuestos Generales del Estado una reserva de Ley en orden a la modificación y asignación del grado en referencia con las retribuciones básicas de los funcionarios, reserva legal reproducida en el articulado de sucesivas Leyes reguladoras de los Presupuestos Generales del Estado, por lo que acoger la pretensión de los repetidos recurrentes implicaría imponer al Gobierno la obligación de señalar un coeficiente que lleva consigo la modificación del grado inicial, cuando esta materia corresponde al poder legislativo.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demandantes consideran que en la referida Sentencia se desconoce la pervivencia del sistema de coeficientes multiplicadores, pese a su derogación formal por el Decreto-ley 22/1977, y se confunde la aprobación de la lista de coeficientes (materia propia del Poder Legislativo) con la asignación de estos coeficientes a cada uno de los Cuerpos (materia propia del Consejo de Ministros) y, finalmente, se lesiona el derecho a la igualdad reconocido en el art. 14 de la C. E., porque, entre los veterinarios se ha discriminado a unos respecto de otros, ya que exigiéndoles el mismo título, las mismas pruebas selectivas y las mismas funciones, si se encuentran al servicio de una Corporación Local se les asigna el coeficiente cinco y si se encuentran al servicio del Estado se les asigna el cuatro. </w:t>
      </w:r>
    </w:p>
    <w:p w:rsidR="00256EE9" w:rsidRDefault="00256EE9" w:rsidP="00256EE9">
      <w:pPr>
        <w:pStyle w:val="TextoNormal"/>
      </w:pPr>
      <w:r>
        <w:t>Por todo ello, suplican a este Tribunal que dicte Sentencia, en su día, otorgando el amparo, con expresa afirmación de que el Tribunal Supremo debió entrar a conocer el fondo de la cuestión planteada, por ser el acto impugnado competencia del Consejo de Ministros y no del Poder Legislativo; y declarando la nulidad de la Sentencia, por haber vulnerado el principio de igualdad, se ordene la aplicación del art. 14 de la C. E. con todas las consecuencias inherentes al mismo.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del pasado 16 de enero, la Sección Tercera acordó incorporar a los autos del presente recurso, copia de la Sentencia dictada por la Sala Segunda de este Tribunal en el recurso de amparo núm. 502/1983 (Sentencia núm. 99/1984, de 5 de noviembre de 1984) y poner de manifiesto a los recurrentes y al Ministerio Fiscal la posible existencia de las causas de inadmisión a que se refieren los apartados 2 c) y 2 b) del art. 50 de la LOTC. </w:t>
      </w:r>
    </w:p>
    <w:p w:rsidR="00256EE9" w:rsidRDefault="00256EE9" w:rsidP="00256EE9">
      <w:pPr>
        <w:pStyle w:val="TextoNormal"/>
      </w:pPr>
      <w:r>
        <w:lastRenderedPageBreak/>
        <w:t xml:space="preserve">Dentro del plazo señalado por la indicada providencia presentaron sus escritos la representación de los recurrentes y el Ministerio Fiscal. </w:t>
      </w:r>
    </w:p>
    <w:p w:rsidR="00256EE9" w:rsidRDefault="00256EE9" w:rsidP="00256EE9">
      <w:pPr>
        <w:pStyle w:val="TextoNormal"/>
      </w:pPr>
      <w:r>
        <w:t xml:space="preserve">La indicada representación sostiene que no se da ninguna de las dos causas de inadmisión referidas en nuestra providencia. La primera de ellas, la del art. 50.2 c) de la LOTC, por no ser sustancialmente iguales los supuestos del presente recurso y los del recurso 502/1983 a que puso término la Sentencia de 5 de noviembre de 1984. En éste actuaban Veterinarios del Instituto Nacional para la Conservación de la Naturaleza; en aquél, esto es, en el presente recurso, los recurrentes son funcionarios de carrera del Ministerio de Sanidad y Consumo, es decir, de la Administración Central y no, como en el caso anterior, de la Administración Institucional. Además, el amparo que en el presente recurso se solicita va dirigido contra la Sentencia del Tribunal Supremo de 18 de julio de 1984 por haberse negado en ésta la Sala a conocer del fondo de la pretensión en razón de que el señalamiento de coeficientes, y la consiguiente modificación del grado inicial corresponde al Poder Legislativo y no al Gobierno. El recurso resuelto por la Sentencia de 5 de noviembre de 1984 no incorporaba pretensión alguna que fuese ni sustancial, ni parcialmente igual a ésta. Tampoco se da, a juicio de la citada representación, la segunda de las causas citadas puesto que la diferencia de coeficientes entre Veterinarios que tienen el mismo título, han superado las mismas pruebas y desempeñan idénticas funciones, implica una discriminación contraria al art. 14 de la Constitución, acerca de la que este Tribunal debe pronunciarse. </w:t>
      </w:r>
    </w:p>
    <w:p w:rsidR="00256EE9" w:rsidRDefault="00256EE9" w:rsidP="00256EE9">
      <w:pPr>
        <w:pStyle w:val="TextoNormal"/>
      </w:pPr>
      <w:r>
        <w:t>El Ministerio Fiscal, por su parte, entiende que se da sin lugar a dudas la primera de las causas de inadmisión señalada dada la entidad sustancial que media entre el presente recurso y el resuelto por la tantas veces citada Sentencia de 5 de noviembre de 1984. Advierte, sin embargo, que en el presente recurso hay una petición no contenida en el anterior, en concreto, la de que se declare la nulidad de la Sentencia del Tribunal Supremo por no haber entrado éste a conocer del fondo del asunto. Indica, en conexión con ello, que resulta inconsecuente la pretensión de los demandantes de amparo que al encauzar su demanda por la vía del art. 43 de la LOTC y fundamentarla en la supuesta infracción del principio de igualdad, no deberían haber incorporado a ella una petición que sólo tiene sentido siguiendo el cauce del art. 44 de la LOTC y que sólo puede fundamentarse en una hipotética infracción del art. 24.1 de la Constitución Española. En todo caso, sostiene el Ministerio Fiscal, la razón que el Tribunal Supremo da para declarar la inadmisión del recurso es la de la falta de competencia del Consejo de Ministros para modificar los coeficientes de los funcionarios, es decir, una consideración de pura legalidad que para nada roza los derechos fundamentales que se dicen violados y desde luego no el art. 14 de la C. 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 evidente que la igualdad sustancial a la que se refiere el art. 50.2 c) de la LOTC es la que media entre el contenido de la pretensión que se deduce en dos recursos distintos y no la que exista entre las circunstancias personales de los distintos recurrentes, en cuanto éstas no sean relevantes para fundamentar su petición.</w:t>
      </w:r>
    </w:p>
    <w:p w:rsidR="00256EE9" w:rsidRDefault="00256EE9" w:rsidP="00256EE9">
      <w:pPr>
        <w:pStyle w:val="TextoNormal"/>
      </w:pPr>
      <w:r>
        <w:t xml:space="preserve">La diferencia que los recurrentes ven entre el presente recurso y el seguido con el núm. 502/1983, es sólo la de que los actores de éste eran funcionarios de la Administración Institucional en tanto que ellos lo son de la Administración Central del Estado.  Es evidente que esta diferencia en la condición funcionarial es irrelevante desde el punto de vista de </w:t>
      </w:r>
      <w:r>
        <w:lastRenderedPageBreak/>
        <w:t>las respectivas pretensiones que se basan, ambas, en el hecho de que a diferentes Cuerpos de funcionarios les sean atribuidos coeficientes distintos aunque para el ingreso en todos ellos se requiere estar en posesión del mismo título y desempeñen funciones análogas.  Lo que se discute en ambos casos es si a igualdad de titulación y a igualdad de funciones debe corresponder o no un mismo coeficiente, y siendo idéntica la petición e idéntico del fundamento de la misma, existe, sin lugar a dudas, igualdad sustancial entre ambos recursos, por lo que habiendo sido desestimado el recurso de amparo 502/1983 por la Sentencia de 5 de noviembre de 1984, se da en éste la causa de inadmisión a que se refiere el art. 50.2 c)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La concurrencia de la causa de inadmisión a que se refiere el fundamento anterior es, sin embargo, como señalan los recurrentes y el propio Ministerio Fiscal, sólo parcial, en cuanto que opera sólo respecto de lo que podríamos llamar el núcleo de su pretensión (la petición de que se les adjudique el coeficiente cinco por implicar el que actualmente tienen asignado, una discriminación contraria al art.  14 de la C. E., pero no respecto de la totalidad del contenido de la demanda, dirigida también contra la Sentencia de la Sala Quinta del Tribunal Supremo por haberse negado ésta a pronunciarse sobre el fondo del recurso que ante ella se llevó, al entender que la fijación de los coeficientes está reservada a la Ley y que, por tanto, no puede dirigirse una demanda que contenga tal petición contra actos del Consejo de Ministros.</w:t>
      </w:r>
    </w:p>
    <w:p w:rsidR="00256EE9" w:rsidRDefault="00256EE9" w:rsidP="00256EE9">
      <w:pPr>
        <w:pStyle w:val="TextoNormal"/>
      </w:pPr>
      <w:r>
        <w:t>Prescindiendo del hecho, subrayado por el Ministerio Fiscal, de que a la mencionada Sentencia, por la razón dicha, podría imputársele quizás una violación del art. 24 de la Constitución, pero en modo alguno una violación del art.  14, que es el único que los recurrentes invocan, y de que bastaría con ello para declarar carente de contenido constitucional su demanda, es evidente que el fundamento de esta decisión del Tribunal Supremo, sea o no acertada, es un razonamiento basado en la interpretación de las normas legales atributivas de competencia a distintos órganos del Estado, interpretación que, en cuanto no resulte lesiva de ninguno de los derechos fundamentales y libertades públicas garantizados por la Constitución, no puede ser discutida, enmendada, ni corregida por este Tribunal.  Es evidente, por tanto, que en este aspecto secundario, la demanda carece manifiestamente de contenido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todo lo expuesto, la Sección ha acordado la inadmisión del presente recurso.</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3" w:name="AUTO_1985_132"/>
      <w:r>
        <w:lastRenderedPageBreak/>
        <w:t>AUTO 132/1985, de 27 de febrero de 1985</w:t>
      </w:r>
    </w:p>
    <w:bookmarkEnd w:id="193"/>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ECLI:ES:TC:1985:132A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798/1984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Juzgado de Instrucción núm. 8 de Sevilla por Sentencia de 31 de mayo de 1984 absolvió a don Manuel Fernández Prieto del delito tipificado en el art. 340 bis a) 1 del Código Penal. </w:t>
      </w:r>
    </w:p>
    <w:p w:rsidR="00256EE9" w:rsidRDefault="00256EE9" w:rsidP="00256EE9">
      <w:pPr>
        <w:pStyle w:val="TextoNormal"/>
      </w:pPr>
      <w:r>
        <w:t>Recurrida en apelación la Sentencia por el Ministerio Fiscal, la Sección Tercera de la Audiencia de Sevilla revoca la del Juzgado condenando a don Manuel Fernández Prieto, por el delito anteriormente citado a una pena de multa de 30.000 pesetas y a la privación del permiso de conducir durante un tiempo de cuatro meses.</w:t>
      </w:r>
    </w:p>
    <w:p w:rsidR="00256EE9" w:rsidRDefault="00256EE9" w:rsidP="00256EE9">
      <w:pPr>
        <w:pStyle w:val="TextoNormal"/>
      </w:pPr>
    </w:p>
    <w:p w:rsidR="00256EE9" w:rsidRDefault="00256EE9" w:rsidP="00256EE9">
      <w:pPr>
        <w:pStyle w:val="TextoNormal"/>
      </w:pPr>
      <w:r w:rsidRPr="00256EE9">
        <w:rPr>
          <w:rStyle w:val="NumeroAFNegritaCaracter"/>
        </w:rPr>
        <w:t>2</w:t>
      </w:r>
      <w:r>
        <w:t>. Con fecha 19 de noviembre de 1984 el señor Fernández Prieto formuló demanda de amparo alegando que en la Sentencia de la Audiencia de Sevilla se había vulnerado su derecho fundamental a la presunción de inocencia reconocida en el art. 24 de la Constitución y pidiendo al mismo tiempo la suspensión de la ejecución de la Sentencia.</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Cuarta de este Tribunal en su reunión de 6 de febrero del corriente año acordó admitir a trámite el recurso de amparo promovido por don Manuel Fernández Prieto ordenando que se sustanciara de acuerdo con la Ley.</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Formada la oportuna pieza separada para tramitar la suspensión, se otorgó en ella un plazo al solicitante del amparo y al Ministerio Fiscal a fin de que alegaran lo que consideraran atinente a su derecho respecto de la mencionada medida de suspensión. </w:t>
      </w:r>
    </w:p>
    <w:p w:rsidR="00256EE9" w:rsidRDefault="00256EE9" w:rsidP="00256EE9">
      <w:pPr>
        <w:pStyle w:val="TextoNormal"/>
      </w:pPr>
      <w:r>
        <w:t xml:space="preserve">El solicitante del amparo ha evacuado el referido traslado señalando que la ejecución de la Sentencia le ocasionaría un perjuicio irremediable, indicando que la privación del permiso de conducir es uno de los motivos principales de interposición del recurso, que se basa en la carencia absoluta de valor probatorio de los medios empleados y que el recurrente por su profesión necesita el vehículo como instrumento fundamental de su trabajo. </w:t>
      </w:r>
    </w:p>
    <w:p w:rsidR="00256EE9" w:rsidRDefault="00256EE9" w:rsidP="00256EE9">
      <w:pPr>
        <w:pStyle w:val="TextoNormal"/>
      </w:pPr>
      <w:r>
        <w:t>El Ministerio Fiscal por su parte considera que la ejecución de la pena de multa no puede producir perjuicio alguno al recurrente, admitiendo, en cambio, la posibilidad de suspender la pena de privación del permiso de conducir, garantizando el recurrente mediante caución el cumplimiento de la resolución impugnada.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Desde el momento que este recurso ha sido admitido a trámite y no hay perturbación grave de los intereses generales o de los derechos fundamentales o libertades públicas de terceros que puedan derivarse de la suspensión de la ejecución, que es a lo que el art. 56 de la LOTC condiciona, en su caso, la suspensión, procede que adoptemos la indicada medida preventiva, pues en otro caso, podría perjudicarse la efectividad del amparo en la hipótesis -que no juzgamos ahora- que la demanda fuera acogida; y esta suspensión la acordamos sin afianzamiento, pues si el recurso no fuera estimado, todo el contenido sancionador tendría plena ejecución sin que a ello añadiera algo el afianzamiento.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Sala decide suspender la ejecución de la Sentencia pronunciada por la Audiencia de Sevilla, en la que ha sido condenado don Manuel Fernández Prieto, como autor responsable de un delito contra la seguridad del tráfico.</w:t>
      </w:r>
    </w:p>
    <w:p w:rsidR="00256EE9" w:rsidRDefault="00256EE9" w:rsidP="00256EE9">
      <w:pPr>
        <w:pStyle w:val="TextoNormal"/>
      </w:pPr>
    </w:p>
    <w:p w:rsidR="00256EE9" w:rsidRDefault="00256EE9" w:rsidP="00256EE9">
      <w:pPr>
        <w:pStyle w:val="TextoNormal"/>
      </w:pPr>
      <w:r>
        <w:t>Comuníquese esta decisión a la Audiencia de Sevilla, por medio de testimonio de esta resolución, a los efectos procedentes.</w:t>
      </w: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4" w:name="AUTO_1985_133"/>
      <w:r>
        <w:lastRenderedPageBreak/>
        <w:t>AUTO 133/1985, de 27 de febrero de 1985</w:t>
      </w:r>
    </w:p>
    <w:bookmarkEnd w:id="194"/>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ECLI:ES:TC:1985:133A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802/1984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presentado en el Registro General de este Tribunal Constitucional, el dia 21 de noviembre de 1984, el Procurador de los Tribunales don Jesús Guerrero Laverat, en nombre y representación que acreditaba debidamente de don Heliodoro Morán Arias, promovió recurso de amparo contra la Sentencia dictada por el Juzgado de Instrucción núm. 7 de los de Madrid, que en grado de apelación confirmaba la pronunciada por el Juzgado de Distrito núm. 16 de los de la misma capital en juicio de faltas, con elevación de las indemnizaciones. </w:t>
      </w:r>
    </w:p>
    <w:p w:rsidR="00256EE9" w:rsidRDefault="00256EE9" w:rsidP="00256EE9">
      <w:pPr>
        <w:pStyle w:val="TextoNormal"/>
      </w:pPr>
      <w:r>
        <w:t xml:space="preserve">En el mencionado escrito, se exponen los siguientes hechos: </w:t>
      </w:r>
    </w:p>
    <w:p w:rsidR="00256EE9" w:rsidRDefault="00256EE9" w:rsidP="00256EE9">
      <w:pPr>
        <w:pStyle w:val="TextoNormal"/>
      </w:pPr>
      <w:r>
        <w:t xml:space="preserve">a) El día 25 de febrero de 1978 a las dos horas, cuando el demandante en amparo circulaba en un vehículo de su propiedad, fue colisionado en la parte posterior del mismo por otro automóvil, a consecuencia de lo cual fue a empotrarse contra una barrera metálica de protección de la vía por la que circulaba. Momentos después, cuando el señor Morán Arias y su esposa descendieron del vehículo para atender al conductor de otro, un tercer vehículo, conducido por don Alfonso Fraile Díaz Masa, que venía en la misma dirección, embistió contra el vehículo del hoy demandante en amparo, pese a que disponía de tres carriles libres para poder evitar el choque. El propietario del coche impulsor, estuvo un día ingresado en un centro médico donde se calificaron las heridas sufridas de pronóstico grave. </w:t>
      </w:r>
    </w:p>
    <w:p w:rsidR="00256EE9" w:rsidRDefault="00256EE9" w:rsidP="00256EE9">
      <w:pPr>
        <w:pStyle w:val="TextoNormal"/>
      </w:pPr>
      <w:r>
        <w:t xml:space="preserve">Posteriormente, el Médico Forense dictaminó la existencia de diversas lesiones en la cara, y cincuenta días después, en un nuevo informe, añadió que padecía «dolorimiento de cadera izquierda». Debido a esta supuesta lesión, se prolongó la instrucción de las diligencias hasta el 17 de mayo de 1979, que fue cuando el Médico Forense dio de alta al señor Fraile, determinando que las secuelas funcionales que padecía no le impedían sus ocupaciones habituales. </w:t>
      </w:r>
    </w:p>
    <w:p w:rsidR="00256EE9" w:rsidRDefault="00256EE9" w:rsidP="00256EE9">
      <w:pPr>
        <w:pStyle w:val="TextoNormal"/>
      </w:pPr>
      <w:r>
        <w:t xml:space="preserve">b) El 17 de diciembre de 1979, ante el Juzgado de Distrito núm. 16 de los de Madrid, tuvo lugar la preceptiva audiencia, en la que el accidentado reclamó, en concepto de indemnización, casi 4.000.000 de pesetas, aportando a tal efecto un escrito-propuesta de la Comisión Técnico-Calificadora Laboral que le declaraba incapaz para su trabajo habitual y que no figura incorporado a los Autos. Como quiera que había discrepancias entre las distintas profesiones que del señor Fraile aparecían en las actuaciones, se suspendió la vista. Mientras tanto, la Clínica médico-forense de Madrid, con fecha 19 de febrero de 1980, emitió un dictamen, opuesto al del Médico Forense, en el que se dice que el lesionado padece una artrosis de probable etiología traumática y de evolución progresiva que le </w:t>
      </w:r>
      <w:r>
        <w:lastRenderedPageBreak/>
        <w:t xml:space="preserve">incapacita de manera permanente y total para algunos trabajos propios de su profesión habitual de Jefe de Talleres. </w:t>
      </w:r>
    </w:p>
    <w:p w:rsidR="00256EE9" w:rsidRDefault="00256EE9" w:rsidP="00256EE9">
      <w:pPr>
        <w:pStyle w:val="TextoNormal"/>
      </w:pPr>
      <w:r>
        <w:t xml:space="preserve">c) Reanudada la vista, el 31 de marzo de 1980, el Juzgado de Distrito núm. 16 condenó a don Heliodoro Morán Arias, como autor de una falta de imprudencia, prevista en el art. 586.3 del Código Penal, a las penas de 3.000 pesetas de multa, reprensión privada y retirada del permiso de conducir por término de un mes, al pago de las costas y a indemnizar al señor Fraile por los gastos médicos y quirúrgicos, por los perjuicios durante los días de lesiones, por la incapacidad permanente para su trabajo y por los daños de su vehículo. </w:t>
      </w:r>
    </w:p>
    <w:p w:rsidR="00256EE9" w:rsidRDefault="00256EE9" w:rsidP="00256EE9">
      <w:pPr>
        <w:pStyle w:val="TextoNormal"/>
      </w:pPr>
      <w:r>
        <w:t xml:space="preserve">d) Interpuesto recurso de apelación por ambas partes, el Juzgado de Instrucción núm. 7 de Madrid, en Sentencia de 16 de mayo de 1980, aceptando los resultandos de la resolución recurrida, procedió a confirmarla en todos sus extremos, pero elevando la cuantía de la indemnización que debía percibir el perjudicado por los días de lesión y por la incapacidad y secuelas. </w:t>
      </w:r>
    </w:p>
    <w:p w:rsidR="00256EE9" w:rsidRDefault="00256EE9" w:rsidP="00256EE9">
      <w:pPr>
        <w:pStyle w:val="TextoNormal"/>
      </w:pPr>
      <w:r>
        <w:t xml:space="preserve">e) Al solicitar el demandante de amparo, un testimonio de la Sentencia, pudo comprobar la falta del documento propuesta de la Comisión Técnico-Calificadora Laboral, y la existencia de unas fotocopias de diversos partes de confirmación de la incapacidad laboral del señor Fraile, apareciendo en los mismos una profesión distinta a la que figura en todo el expediente. </w:t>
      </w:r>
    </w:p>
    <w:p w:rsidR="00256EE9" w:rsidRDefault="00256EE9" w:rsidP="00256EE9">
      <w:pPr>
        <w:pStyle w:val="TextoNormal"/>
      </w:pPr>
      <w:r>
        <w:t xml:space="preserve">Por lo que el recurrente, a continuación, hizo una serie de averiguaciones, a través de una Agencia de Detectives Privados, cuyo informe acompaña, de las que se deducen que el señor Fraile, cuando contaba diez años de edad, sufrió un accidente que le ocasionó diversas lesiones, y en 1974, otro accidente de circulación, a raíz de todo lo cual padecía dolores en la columna vertebral y no caminaba correctamente. Además, pudo saber el demandante que el referido señor Fraile no realizaba actividad laboral alguna cuando ocurrió el accidente, pues venía percibiendo una pensión por invalidez provisional desde el 17 de junio de 1976, fecha en la que el médico de cabecera le dio de baja laboral por dolencia en la columna vertebral de origen traumático anterior. Por otra parte, el señor Fraile, once meses después del accidente, se dio de alta en una empresa («Talleres la Estrella, S. </w:t>
      </w:r>
    </w:p>
    <w:p w:rsidR="00256EE9" w:rsidRDefault="00256EE9" w:rsidP="00256EE9">
      <w:pPr>
        <w:pStyle w:val="TextoNormal"/>
      </w:pPr>
      <w:r>
        <w:t xml:space="preserve">A.») que no aparece inscrita en el Registro Mercantil, y cuyo domicilio indicado como social, corresponde a una casa de la que, al menos entonces, era propietario el repetido señor Fraile, quien causó baja en la Seguridad Social seis meses más tarde. Por todo ello, el solicitante considera que las resultas del accidente han sido utilizadas por el señor Fraile en su perjuicio y en engaño de la Administración de Justicia. </w:t>
      </w:r>
    </w:p>
    <w:p w:rsidR="00256EE9" w:rsidRDefault="00256EE9" w:rsidP="00256EE9">
      <w:pPr>
        <w:pStyle w:val="TextoNormal"/>
      </w:pPr>
      <w:r>
        <w:t xml:space="preserve">f) Con fecha 30 de julio de 1980, se dictó providencia por el Juzgado de Distrito núm. 16 en la que se acordó declarar el embargo de la vivienda del demandante en amparo, en cuanto resultara suficiente para cubrir la cantidad que faltaba de la indemnización fijada, una vez que la aseguradora del vehiculo del señor Morán hubiera satisfecho una parte. </w:t>
      </w:r>
    </w:p>
    <w:p w:rsidR="00256EE9" w:rsidRDefault="00256EE9" w:rsidP="00256EE9">
      <w:pPr>
        <w:pStyle w:val="TextoNormal"/>
      </w:pPr>
      <w:r>
        <w:t xml:space="preserve">g) Estimando el recurrente que el señor Fraile era autor de los delitos de falsedad en documento, falso testimonio y estafa, cometidas durante la instrucción del juicio de faltas, interpuso querella criminal, solicitando la suspensión de la ejecución de la antedicha providencia; querella que fue archivada el 1 de febrero de 1982, para seguidamente, en el mes de marzo, celebrarse la subasta de la vivienda. Con posterioridad, se ordenó al recurrente el otorgamiento de escritura pública al adjudicatario, y se le apercibió para que procediera al desalojo del piso. </w:t>
      </w:r>
    </w:p>
    <w:p w:rsidR="00256EE9" w:rsidRDefault="00256EE9" w:rsidP="00256EE9">
      <w:pPr>
        <w:pStyle w:val="TextoNormal"/>
      </w:pPr>
      <w:r>
        <w:t>h) No habiendo podido plantear recurso alguno contra la Sentencia del Juzgado de Instrucción, ni siquiera el de revisión, el promovente del amparo envió una carta a S. M. el Rey y otra al Defensor del Pueblo, en solicitud de interposición del recurso de amparo, sin que se haya producido ninguna actuación al respecto.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demandante estima que se ha vulnerado el art. 24.2 de la C.E. en cuanto consagra el derecho a un proceso público sin dilaciones indebidas y con todas las garantías -pues desde el accidente hasta la Sentencia de instancia transcurrió más de dos años, lo que permitió al señor Fraile urdir la trama expuesta- y el derecho al Juez ordinario predeterminado por la Ley, dado que fue el Juzgado de Instrucción núm. 7 el que instruyó las primeras diligencias, para luego trasladarlas al Juzgado de Distrito núm. 16, y quien falló la apelación, siendo sorprendente que también instruyera las primeras diligencias y decretara el archivo de la querella interpuesta contra el señor Fraile, cuando correspondía hacerlo al Juzgado de Instrucción núm. 19. Igualmente atribuye el recurrente la violación del art. 24.2, a que la Sala Tercera de la Audiencia Provincial de Madrid, anticipara en ocho meses la vista del recurso de reforma y subsidiario de apelación contra el archivo de la referida querella, con lo que provocó el adelantamiento de la ejecución de la providencia de embargo. Por último, denuncia el demandante la violación del art. 15 de la C. E., por cuanto las actuaciones descritas conculcan el principio de igualdad ante la Ley, fundamentalmente en relación con dos aspectos concretos, cuales son, el de la presunción de inocencia y el de la libre valoración de la prueba, este último recogido en el art. 741 de la Ley de Enjuiciamiento Criminal. El primero porque la mayor parte de las diligencias practicadas se limitaron a una sola de las partes, pareciendo existir un juicio de culpabilidad anticipado; el segundo, porque se precisa un mínimo de actividad probatoria. </w:t>
      </w:r>
    </w:p>
    <w:p w:rsidR="00256EE9" w:rsidRDefault="00256EE9" w:rsidP="00256EE9">
      <w:pPr>
        <w:pStyle w:val="TextoNormal"/>
      </w:pPr>
      <w:r>
        <w:t>Por todo ello, termina suplicando del Tribunal que pronuncie Sentencia declarando nulas las del Juzgado de Distrito y del de Instrucción de fechas 31 de marzo y 16 de mayo de 1980.</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Tercera de este Tribunal, en providencia de fecha 16 de enero del año actual, acordó poner de manifiesto la posible existencia de las siguientes causas de inadmisibilidad: </w:t>
      </w:r>
    </w:p>
    <w:p w:rsidR="00256EE9" w:rsidRDefault="00256EE9" w:rsidP="00256EE9">
      <w:pPr>
        <w:pStyle w:val="TextoNormal"/>
      </w:pPr>
      <w:r>
        <w:t xml:space="preserve">1.ª La del art. 50.1 a) en relación con el 44.2, ambos de la Ley Orgánica, por interposición tardía del recurso. </w:t>
      </w:r>
    </w:p>
    <w:p w:rsidR="00256EE9" w:rsidRDefault="00256EE9" w:rsidP="00256EE9">
      <w:pPr>
        <w:pStyle w:val="TextoNormal"/>
      </w:pPr>
      <w:r>
        <w:t xml:space="preserve">2.ª La del art. 50.1 b) en relación con el 44.1 c), ambos de la misma Ley Orgánica, por no haberse invocado el derecho constitucional vulnerado, en el previo proceso. </w:t>
      </w:r>
    </w:p>
    <w:p w:rsidR="00256EE9" w:rsidRDefault="00256EE9" w:rsidP="00256EE9">
      <w:pPr>
        <w:pStyle w:val="TextoNormal"/>
      </w:pPr>
      <w:r>
        <w:t xml:space="preserve">Por lo que otorgó un plazo común de diez días al solicitante de amparo y al Ministerio Fiscal para que presentaran alegaciones. </w:t>
      </w:r>
    </w:p>
    <w:p w:rsidR="00256EE9" w:rsidRDefault="00256EE9" w:rsidP="00256EE9">
      <w:pPr>
        <w:pStyle w:val="TextoNormal"/>
      </w:pPr>
      <w:r>
        <w:t xml:space="preserve">El demandante, mediante escrito presentado el día 9 de febrero, expone, con relación a la primera de las causas puesta de manifiesto, que la sucesión de una serie de actuaciones realizadas por el recurrente, guardando una última conexión con las resoluciones judiciales recaídas en su día, impidieron al interesado solicitar el amparo en el término legalmente previsto. Concretamente, la querella criminal admitida a trámite por el Juzgado de Instrucción núm. 19 de Madrid con fecha 14 de marzo de 1981; el recurso de reforma y subsidiario de apelación admitido por la Audiencia Provincial de Madrid el 13 de noviembre del mismo año y por último, el escrito formulado ante el Defensor del Pueblo, al que contestó el 29 de marzo de 1984. </w:t>
      </w:r>
    </w:p>
    <w:p w:rsidR="00256EE9" w:rsidRDefault="00256EE9" w:rsidP="00256EE9">
      <w:pPr>
        <w:pStyle w:val="TextoNormal"/>
      </w:pPr>
      <w:r>
        <w:t xml:space="preserve">Se refiere muy especialmente a esta última instancia, que sin constituir obviamente un requisito procesal a efectos del recurso de amparo, ha podido motivar por su inoperancia una absoluta indefensión a esta parte. Se destaca la incongruencia del escrito remitido por el Defensor del Pueblo con fecha 29 de marzo de 1984, un año y cuarenta y ocho días después de la solicitud, en el que se alude a la imposibilidad de tramitar como queja la petición formulada por esta parte, olvidando la legitimación conferida a dicha Institución por </w:t>
      </w:r>
      <w:r>
        <w:lastRenderedPageBreak/>
        <w:t xml:space="preserve">el art. 29 de su Ley Orgánica, para interponer por sí mismo los recursos de inconstitucionalidad y amparo. Evidentemente, tal omisión por parte del Defensor del Pueblo, sin perjuicio de su inusitada demora, determina una clara indefensión a esta parte habida cuenta de que no tratándose de una auténtica instancia jurisdiccional, no sería aplicable al plazo preclusivo previsto legalmente para la posterior interposición del recurso de amparo, ya que conforme se reconoce por el propio Tribunal Constitucional, el art. 24 de la Constitución consagra el derecho a una tutela efectiva conteniendo un mandato positivo que obliga a interpretar la normativa vigente en el sentido más favorable para la efectividad del derecho fundamental. </w:t>
      </w:r>
    </w:p>
    <w:p w:rsidR="00256EE9" w:rsidRDefault="00256EE9" w:rsidP="00256EE9">
      <w:pPr>
        <w:pStyle w:val="TextoNormal"/>
      </w:pPr>
      <w:r>
        <w:t xml:space="preserve">Por lo que se refiere a la segunda de las posibles causas de inadmisibilidad puestas de manifiesto, expone que si bien la falta de invocación del precepto constitucional vulnerado puede conducir a la declaración de inadmisibilidad del recurso o a la denegación del amparo solicitado, debe entenderse que tan grave consecuencia no es susceptible de aplicación automática sino que, muy al contrario, debe ser objeto de importantes matizaciones. En primer término por cuanto que el cumplimiento de tal requisito obliga tan sólo a partir de la entrada en vigor de la Ley Orgánica del Tribunal Constitucional. Los hechos que dieron lugar a los pronunciamientos judiciales requeridos de amparo tuvieron su origen el 25 de febrero de 1978, siendo así que las diligencias del Juzgado de Instrucción núm. 7 de Madrid finalizaron por Auto de dicho Juzgado de fecha 9 de julio de 1979. En consecuencia, todas las actuaciones practicadas tuvieron lugar con anterioridad al 5 de octubre de 1979, fecha de publicación de la Ley Orgánica del Tribunal Constitucional, sin perjuicio de que la Sentencia del Juzgado de Distrito, tras repetidas suspensiones, no se emitiese hasta el mes de marzo del año siguiente. </w:t>
      </w:r>
    </w:p>
    <w:p w:rsidR="00256EE9" w:rsidRDefault="00256EE9" w:rsidP="00256EE9">
      <w:pPr>
        <w:pStyle w:val="TextoNormal"/>
      </w:pPr>
      <w:r>
        <w:t xml:space="preserve">Y en segundo término porque tal requisito tampoco es exigible cuando no hay oportunidad de realizar la alegación, lo que ocurre cuando la violación se imputa a la resolución que pone fin al proceso. También en este aspecto existe declaración expresa por parte del Tribunal Constitucional en el sentido de que la invocación del derecho y del precepto constitucional infringido, sólo es requisito del amparo en aquellos casos en los que el ciudadano haya tenido oportunidad procesal de realizar la correspondiente alegación. </w:t>
      </w:r>
    </w:p>
    <w:p w:rsidR="00256EE9" w:rsidRDefault="00256EE9" w:rsidP="00256EE9">
      <w:pPr>
        <w:pStyle w:val="TextoNormal"/>
      </w:pPr>
      <w:r>
        <w:t xml:space="preserve">El Ministerio Fiscal, en su escrito, expone que las resoluciones impugnadas en el recurso son de 31 de marzo (la de instancia) y 16 de mayo (la de apelación), las dos de 1980. La demanda de amparo, sin que exista otra actividad judicial intermedia, es de 15 de noviembre de 1984. Ha transcurrido, pues, más que sobradamente el plazo para interponerla, de acuerdo con lo señalado en el art. 44.2 de la LOTC. Se da, por tanto, la causa de inadmisión del art. 50.1 a). </w:t>
      </w:r>
    </w:p>
    <w:p w:rsidR="00256EE9" w:rsidRDefault="00256EE9" w:rsidP="00256EE9">
      <w:pPr>
        <w:pStyle w:val="TextoNormal"/>
      </w:pPr>
      <w:r>
        <w:t xml:space="preserve">Por otra parte, no hay constancia de que se invocara en su momento la vulneración o vulneraciones de derechos constitucionales que ahora se hace. </w:t>
      </w:r>
    </w:p>
    <w:p w:rsidR="00256EE9" w:rsidRDefault="00256EE9" w:rsidP="00256EE9">
      <w:pPr>
        <w:pStyle w:val="TextoNormal"/>
      </w:pPr>
      <w:r>
        <w:t xml:space="preserve">Ni siquiera hay referencia a este extremo en la demanda. Se hace preciso la inadmisión, esta vez por defectuosidad de la demanda, conforme al art. 50. 1 b ) por incumplimiento de lo preceptuado en el art. 44.1 c). </w:t>
      </w:r>
    </w:p>
    <w:p w:rsidR="00256EE9" w:rsidRDefault="00256EE9" w:rsidP="00256EE9">
      <w:pPr>
        <w:pStyle w:val="TextoNormal"/>
      </w:pPr>
      <w:r>
        <w:t>Terminando por interesar se inadmita el recurso, por concurrir los motivos recogidos en el art. 50.1 a) y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No puede decirse, en modo alguno, acudiendo a la idea de que la queja ante el Defensor del Pueblo interrumpe el plazo de ejercicio de la acción de amparo que el presente </w:t>
      </w:r>
      <w:r>
        <w:lastRenderedPageBreak/>
        <w:t>recurso está en plazo, pues es claro que el plazo se inicia -lo dice el art. 44 de la LOTC- desde la notificación de la resolución que se impugna en amparo, o desde que concluyen las instancias jurisdiccionales comprendidas en la remisión que hace el art.  44.1 a) de la Ley citada, computándose el plazo desde la notificación de la resolución que puso fin a esta instancia. Siendo esto así la acción de amparo se ha ejercitado tardíamente, pues la Sentencia de la segunda instancia es de 16 de mayo de 1980, notificada poco después, y aquí se ha acudido transcurridos más de cuatro años.</w:t>
      </w:r>
    </w:p>
    <w:p w:rsidR="00256EE9" w:rsidRDefault="00256EE9" w:rsidP="00256EE9">
      <w:pPr>
        <w:pStyle w:val="TextoNormal"/>
      </w:pPr>
      <w:r>
        <w:t>Cuanto se dice acerca de la transitoria segunda de la LOTC, o al ejercicio de la acción penal en otro proceso o a la queja dirigida al Defensor, es extraño al tema de la interposición intempestiva del amparo; y es que ni el caso se subsume en la indicada transitoria, pero aunque no fuera así también estaría caducada la acción desde hace años; y por lo que se refiere a los otros alegatos, ni son relevantes a los efectos del plazo de interposición del amparo, ni aunque tuvieran relevancia -que no la tienen- situarían el recurso en tiempo. Concurre, pues, la causa de inadmisión del art.  50.1 a)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Otra vez vuelve el actor a equivocar las cosas cuando para eludir el art.  44.1 c) de la LOTC, pretende situar el acto lesivo y por esto recurrible en tiempo anterior a la entrada en vigor de la LOTC, o cuando a esto añade vagas referencias a interpretaciones respecto al cumplimiento de los requisitos que impone al amparo el art. 44.1 de la Ley citada; y es que la Sentencia de instancia es posterior a la entrada en vigor de la LOTC y a ella debe referirse el art. 44.1 c) y no a la de segunda instancia confirmatoria, con elevación de indemnizaciones, de la pronunciada por el Juez de Distrito, y por ello debió cumplirse lo que dispone aquel precepto, a lo que no puede objetarse que no tuvo oportunidad de hacerlo, pues contó con la segunda instancia, y tampoco puede decirse que obedeció a que en la segunda instancia -y en su momento- no contara con una advertida dirección letrada.  Por lo demás, los requisitos del art. 44 no son ni dispensables ni hueras exigencias formales, y concretamente, no lo es el del art. 44.1 c), pues obedece al carácter subsidiario que tiene el amparo, esto es, a que antes de acudir al Tribunal Constitucional se intente la reparación del derecho constitucional que se reputa violado ante los Jueces o Tribunales ordinarios.  El incumplimiento del indicado requisito es causa de inadmisión en virtud de lo que dispone el art. 50.1 b)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No hay otra alternativa que la de calificar la conducta procesal del recurrente como temeraria, pues una diligencia mínima, exigible a cualquier dirección letrada fácilmente hubiera llevado a lo insostenible de un recurso tan tardíamente interpuesto y tan falto del presupuesto que hemos dicho.</w:t>
      </w:r>
    </w:p>
    <w:p w:rsidR="00256EE9" w:rsidRDefault="00256EE9" w:rsidP="00256EE9">
      <w:pPr>
        <w:pStyle w:val="TextoNormal"/>
      </w:pPr>
      <w:r>
        <w:t>Y esta conducta temeraria tenemos que sancionarla con la condena en costas y una multa que fijamos en el mínimo dentro de las previsiones legales del art.  95.3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de amparo interpuesto por don Heliodoro Morán Arias con imposición de las costas y una sanción de 5.000 pesetas.</w:t>
      </w:r>
    </w:p>
    <w:p w:rsidR="00256EE9" w:rsidRDefault="00256EE9" w:rsidP="00256EE9">
      <w:pPr>
        <w:pStyle w:val="TextoNormal"/>
      </w:pPr>
    </w:p>
    <w:p w:rsidR="00256EE9" w:rsidRDefault="00256EE9" w:rsidP="00256EE9">
      <w:pPr>
        <w:pStyle w:val="TextoNormal"/>
      </w:pPr>
      <w:r>
        <w:lastRenderedPageBreak/>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5" w:name="AUTO_1985_134"/>
      <w:r>
        <w:lastRenderedPageBreak/>
        <w:t>AUTO 134/1985, de 27 de febrero de 1985</w:t>
      </w:r>
    </w:p>
    <w:bookmarkEnd w:id="195"/>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ECLI:ES:TC:1985:134A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803/1984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fecha 22 de noviembre de 1984 tuvo entrada en este Tribunal Constitucional (T. C.) demanda de amparo formulada por el Procurador de los Tribunales don Gabriel Sánchez Malingre, en nombre y representación de don Tomás Calleja Rodríguez, frente a las siguientes actuaciones judiciales: 1.° omisión de la Sala de lo Contencioso-Administrativo de la Audiencia Nacional al no resolver expresamente, mediante Auto motivado, incidente de solicitud de completar expediente administrativo; 2.° Auto de la misma Sala que desestima recurso de súplica contra resolución denegatoria de recibimiento a prueba; 3.° providencia por la que se declara no haber lugar a la apelación interpuesta frente al anterior Auto desestimatorio.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de amparo se basa, en síntesis, en los hechos siguientes: </w:t>
      </w:r>
    </w:p>
    <w:p w:rsidR="00256EE9" w:rsidRDefault="00256EE9" w:rsidP="00256EE9">
      <w:pPr>
        <w:pStyle w:val="TextoNormal"/>
      </w:pPr>
      <w:r>
        <w:t xml:space="preserve">a) En recurso contencioso-administrativo interpuesto según el procedimiento previsto en la Ley 62/1978, el hoy solicitante de amparo, parte demandante en dicho recurso, solicitó de la Sala competente de la Audiencia Nacional, conforme a lo establecido en el art. 70 de la Ley Reguladora de la Jurisdicción Contencioso-Administrativa (L.J.), que la Administración completase el expediente remitido, sin que la Sala, que tuvo por recibida tal solicitud en Resolución de 25 de agosto de 1984, resolviese expresamente el incidente planteado en el término y plazo de dicho precepto legal. </w:t>
      </w:r>
    </w:p>
    <w:p w:rsidR="00256EE9" w:rsidRDefault="00256EE9" w:rsidP="00256EE9">
      <w:pPr>
        <w:pStyle w:val="TextoNormal"/>
      </w:pPr>
      <w:r>
        <w:t xml:space="preserve">b) Mediante Auto dictado el día 15 de octubre de 1984, la misma Sala de la Audiencia Nacional desestimó el recurso de súplica interpuesto por el señor Calleja Rodríguez frente al Auto de dicha Sala de fecha 6 de septiembre anterior por el que se denegó el recibimiento a prueba del recurso interpuesto, solicitándose, además, en dicha súplica, la resolución expresa del incidente planteado al amparo del art. 70 de la L.J. </w:t>
      </w:r>
    </w:p>
    <w:p w:rsidR="00256EE9" w:rsidRDefault="00256EE9" w:rsidP="00256EE9">
      <w:pPr>
        <w:pStyle w:val="TextoNormal"/>
      </w:pPr>
      <w:r>
        <w:t>c) Frente al anterior Auto desestimatorio de la súplica, interpuso el señor Calleja Rodríguez recurso de apelación, dictando la Sala competente, con fecha 31 de octubre de 1984, providencia notificada el día 12 de noviembre siguiente, por la que se declaró no haber lugar a la apelación interpuesta.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presente demanda de amparo dice dirigirse frente a las mencionadas omisión y resoluciones de la Sala de lo Contencioso-Administrativo de la Audiencia Nacional y se fundamenta en una presunta violación del derecho a una tutela jurisdiccional efectiva, que </w:t>
      </w:r>
      <w:r>
        <w:lastRenderedPageBreak/>
        <w:t>se reconoce en el art. 24.1 de la C. E. Dicha violación se habría producido, según se alega en la demanda de amparo, al no resolver expresamente dicho órgano judicial el incidente planteado conforme al art. 70 de la L.J., reproducido en el referido recurso de súplica, sin resolverse tampoco en el Auto que desestimó este último, ni en la providencia que denegó la admisión a trámite del recurso de apelación interpuesto frente a dicha desestimación. Según se alega, asimismo, al no resolverse el incidente planteado en el término legalmente previsto, se habría vulnerado también el derecho a un proceso público sin dilaciones indebidas, reconocido por el art. 24.2 de la C. E.</w:t>
      </w:r>
    </w:p>
    <w:p w:rsidR="00256EE9" w:rsidRDefault="00256EE9" w:rsidP="00256EE9">
      <w:pPr>
        <w:pStyle w:val="TextoNormal"/>
      </w:pPr>
    </w:p>
    <w:p w:rsidR="00256EE9" w:rsidRDefault="00256EE9" w:rsidP="00256EE9">
      <w:pPr>
        <w:pStyle w:val="TextoNormal"/>
      </w:pPr>
      <w:r w:rsidRPr="00256EE9">
        <w:rPr>
          <w:rStyle w:val="NumeroAFNegritaCaracter"/>
        </w:rPr>
        <w:t>4</w:t>
      </w:r>
      <w:r>
        <w:t>. Se solicita de este T. C. que ordene a la Sala de lo Contencioso-Administrativo de la Audiencia Nacional resolver expresamente el incidente planteado al amparo del art. 70 de la L.J., mediante un Auto fundado en Derecho y adoptar cuantas medidas fuesen necesarias para el pleno restablecimiento de los derechos fundamentales que se consideran vulnerados, anulando los Autos y providencias posteriores a la resolución del citado incidente.</w:t>
      </w:r>
    </w:p>
    <w:p w:rsidR="00256EE9" w:rsidRDefault="00256EE9" w:rsidP="00256EE9">
      <w:pPr>
        <w:pStyle w:val="TextoNormal"/>
      </w:pPr>
    </w:p>
    <w:p w:rsidR="00256EE9" w:rsidRDefault="00256EE9" w:rsidP="00256EE9">
      <w:pPr>
        <w:pStyle w:val="TextoNormal"/>
      </w:pPr>
      <w:r w:rsidRPr="00256EE9">
        <w:rPr>
          <w:rStyle w:val="NumeroAFNegritaCaracter"/>
        </w:rPr>
        <w:t>5</w:t>
      </w:r>
      <w:r>
        <w:t>. La Sección Segunda de este T. C., mediante providencia de 19 de diciembre de 1984, acordó, a tenor de lo dispuesto en el art. 50 de la Ley Orgánica del Tribunal Constitucional (LOTC), conceder un plazo común de diez días al Ministerio Fiscal y al solicitante de amparo para que dentro de dicho término alegasen lo que estimaren pertinente en relación con la posible existencia del siguiente motivo de inadmisión: no haberse agotado todos los recursos utilizables dentro de la vía judicial, conforme previene el art. 44.1 a) de la LOTC, en conexión con el art. 50.1 b) de la misma Ley.</w:t>
      </w:r>
    </w:p>
    <w:p w:rsidR="00256EE9" w:rsidRDefault="00256EE9" w:rsidP="00256EE9">
      <w:pPr>
        <w:pStyle w:val="TextoNormal"/>
      </w:pPr>
    </w:p>
    <w:p w:rsidR="00256EE9" w:rsidRDefault="00256EE9" w:rsidP="00256EE9">
      <w:pPr>
        <w:pStyle w:val="TextoNormal"/>
      </w:pPr>
      <w:r w:rsidRPr="00256EE9">
        <w:rPr>
          <w:rStyle w:val="NumeroAFNegritaCaracter"/>
        </w:rPr>
        <w:t>6</w:t>
      </w:r>
      <w:r>
        <w:t>. El Fiscal, dentro del plazo conferido, formuló sus alegaciones en el sentido de interesar la inadmisión del recurso de amparo, por entender que concurría el defecto puesto de manifiesto por la anterior providencia, al proceder el recurso de queja frente a la resolución aquí impugnada, por la que se declaró no haber lugar a admitir la apelación interpuesta.</w:t>
      </w:r>
    </w:p>
    <w:p w:rsidR="00256EE9" w:rsidRDefault="00256EE9" w:rsidP="00256EE9">
      <w:pPr>
        <w:pStyle w:val="TextoNormal"/>
      </w:pPr>
    </w:p>
    <w:p w:rsidR="00256EE9" w:rsidRDefault="00256EE9" w:rsidP="00256EE9">
      <w:pPr>
        <w:pStyle w:val="TextoNormal"/>
      </w:pPr>
      <w:r w:rsidRPr="00256EE9">
        <w:rPr>
          <w:rStyle w:val="NumeroAFNegritaCaracter"/>
        </w:rPr>
        <w:t>7</w:t>
      </w:r>
      <w:r>
        <w:t>. Dentro del mismo plazo, el demandante de amparo alegó que, al no ser admitido a trámite el referido recurso de apelación se agotaba la vía judicial posible dentro del proceso especial sumario y urgente regulado por la Ley 62/1978, dejando abierto de pleno derecho la vía al recurso de amparo y no siendo posible para acudir a esta vía, cualquier otro tipo de recurso, inexistente por otra parte, ni esperar a la resolución de Sentencia respecto al asunto principal, para a su vez ser recurrida, con un objeto y contenido diferente, ante el Tribunal Supremo.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cuestión que la presente demanda de amparo plantea se refiere a una supuesta violación de los derechos reconocidos por los núms.  1 y 2 del art.  24 de la C. E.  La violación de tales derechos, caso de producirse, tendría su origen en la supuesta omisión, por parte de la Sala de lo Contencioso-Administrativo de la Audiencia Nacional, al no resolver expresamente la solicitud formulada al amparo del art.  70 de la L.J.  de que, por parte de la Administración demandada en el correspondiente proceso se completase el expediente remitido en cumplimiento de lo dispuesto en el art.  8.1 de la Ley 62/1978.</w:t>
      </w:r>
    </w:p>
    <w:p w:rsidR="00256EE9" w:rsidRDefault="00256EE9" w:rsidP="00256EE9">
      <w:pPr>
        <w:pStyle w:val="TextoNormal"/>
      </w:pPr>
    </w:p>
    <w:p w:rsidR="00256EE9" w:rsidRDefault="00256EE9" w:rsidP="00256EE9">
      <w:pPr>
        <w:pStyle w:val="TextoNormal"/>
      </w:pPr>
      <w:r w:rsidRPr="00256EE9">
        <w:rPr>
          <w:rStyle w:val="NumeroAFNegritaCaracter"/>
        </w:rPr>
        <w:t>2</w:t>
      </w:r>
      <w:r>
        <w:t>. Así delimitado el objeto del amparo que se solicita, es preciso señalar que las dos resoluciones que, junto a dicha omisión, asimismo se impugnan, es decir, un Auto denegatorio de súplica y una providencia por la que se declara no haber lugar a la apelación interpuesta frente al anterior, parecen referirse, exclusivamente, a otra pretensión suscitada por el actor en el proceso contencioso-administrativo, como fue la solicitud de recibimiento a prueba de dicho proceso.</w:t>
      </w:r>
    </w:p>
    <w:p w:rsidR="00256EE9" w:rsidRDefault="00256EE9" w:rsidP="00256EE9">
      <w:pPr>
        <w:pStyle w:val="TextoNormal"/>
      </w:pPr>
      <w:r>
        <w:t>No obstante, el demandante de amparo alega que, además de esta última pretensión, también solicitó en la súplica que interpuso la resolución expresa del incidente planteado en base al art. 70 de la L.J., y en el escrito de apelación cuya copia aporta se señala expresamente que el Auto recurrido no lo fue por su contenido denegatorio de la petición de recibimiento a prueba, sino por no resolver el mencionado incidente.  Pese a ello, en la providencia por la que se declara no haber lugar a la apelación se afirma que esta decisión se fundamenta en el art. 92 de la L.J., según el cual la apelación no es admisible contra los Autos resolutorios de peticiones sobre recibimiento y práctica de prueba.</w:t>
      </w:r>
    </w:p>
    <w:p w:rsidR="00256EE9" w:rsidRDefault="00256EE9" w:rsidP="00256EE9">
      <w:pPr>
        <w:pStyle w:val="TextoNormal"/>
      </w:pPr>
    </w:p>
    <w:p w:rsidR="00256EE9" w:rsidRDefault="00256EE9" w:rsidP="00256EE9">
      <w:pPr>
        <w:pStyle w:val="TextoNormal"/>
      </w:pPr>
      <w:r w:rsidRPr="00256EE9">
        <w:rPr>
          <w:rStyle w:val="NumeroAFNegritaCaracter"/>
        </w:rPr>
        <w:t>3</w:t>
      </w:r>
      <w:r>
        <w:t>. En esta situación procesal, ha de afirmarse que el actor no ha agotado todos los recursos utilizables dentro de la vía judicial emprendida para satisfacer su pretensión, pues, según reiterada doctrina de este T. C.  en relación al proceso contencioso-administrativo, frente a las resoluciones que inadmitan recursos de apelación en dicho proceso cabe interponer el recurso ordinario de queja ante el Tribunal Superior, en virtud de lo dispuesto en los arts.  398 a 400 de la Ley de Enjuiciamiento Civil, que son aplicables subsidiariamente conforme a la disposición adicional sexta de la L. J., y, por extensión, en lo que se refiere al procedimiento regulado por la Ley 62/1978, según lo previsto en el art. 6 de esta última. Así está recogido, en efecto, en nuestro Auto 141/1983, de 6 de abril, y en otros posteriores, sin que la doctrina que el demandante de amparo aporta en apoyo de sus alegaciones guarde relación o suponga contradicción respecto a la afirmada en tales resoluciones precedentes.</w:t>
      </w:r>
    </w:p>
    <w:p w:rsidR="00256EE9" w:rsidRDefault="00256EE9" w:rsidP="00256EE9">
      <w:pPr>
        <w:pStyle w:val="TextoNormal"/>
      </w:pPr>
    </w:p>
    <w:p w:rsidR="00256EE9" w:rsidRDefault="00256EE9" w:rsidP="00256EE9">
      <w:pPr>
        <w:pStyle w:val="TextoNormal"/>
      </w:pPr>
      <w:r w:rsidRPr="00256EE9">
        <w:rPr>
          <w:rStyle w:val="NumeroAFNegritaCaracter"/>
        </w:rPr>
        <w:t>4</w:t>
      </w:r>
      <w:r>
        <w:t>. No consta que el actor haya formulado recurso de queja ante el Tribunal Supremo, contra la providencia de la Audiencia Nacional en la que se declaró no haber lugar a la apelación formulada, por lo que, en virtud de lo afirmado en nuestro anterior fundamento jurídico, la demanda de amparo resulta inadmisible conforme a lo establecido en el art.  50.1 b), en relación al 43.1, ambos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anteriormente expuesto, la Sección acuerda declarar inadmisible el recurso de amparo formulado por el Procurador de los Tribunales don Gabriel Sánchez Malingre, en nombre y representación de don Tomás Calleja Rodríguez, y el archivo de las</w:t>
      </w:r>
    </w:p>
    <w:p w:rsidR="00256EE9" w:rsidRDefault="00256EE9" w:rsidP="00256EE9">
      <w:pPr>
        <w:pStyle w:val="TextoNormal"/>
      </w:pPr>
      <w:r>
        <w:t>actuaciones.</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6" w:name="AUTO_1985_135"/>
      <w:r>
        <w:lastRenderedPageBreak/>
        <w:t>AUTO 135/1985, de 27 de febrero de 1985</w:t>
      </w:r>
    </w:p>
    <w:bookmarkEnd w:id="196"/>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ECLI:ES:TC:1985:135A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808/1984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Tribunal Constitucional el 23 de noviembre de 1984, don Alejandro González Salinas, Procurador de los Tribunales, interpuso recurso de amparo constitucional en nombre y representación del Ayuntamiento de Bilbao contra Sentencia de la Sala Tercera del Tribunal Supremo de 18 de julio de 1984 que, al estimar el recurso de apelación interpuesto contra la Sentencia de la Sala de lo Contencioso-Administrativo de la Audiencia Territorial de Bilbao de 10 de mayo de 1984, declaró nula la convocatoria del concurso-oposición convocado por dicho Ayuntamiento para proveer una plaza de Ingeniero Industrial, en cuanto vulneraba el principio de igualdad ante la Ley. </w:t>
      </w:r>
    </w:p>
    <w:p w:rsidR="00256EE9" w:rsidRDefault="00256EE9" w:rsidP="00256EE9">
      <w:pPr>
        <w:pStyle w:val="TextoNormal"/>
      </w:pPr>
      <w:r>
        <w:t>Pide la demanda que se declare la nulidad de la Sentencia impugnada y se reconozca el derecho del recurrente al mantenimiento de la validez y eficacia del acuerdo de 1 de junio de 1983 sobre convocatoria de concurso-oposición para proveer una plaza de Ingeniero Industrial.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siguientes hechos: </w:t>
      </w:r>
    </w:p>
    <w:p w:rsidR="00256EE9" w:rsidRDefault="00256EE9" w:rsidP="00256EE9">
      <w:pPr>
        <w:pStyle w:val="TextoNormal"/>
      </w:pPr>
      <w:r>
        <w:t xml:space="preserve">a) Por acuerdo publicado en el «Boletín Oficial del Señorío de Vizcaya» núm. 24 de 1 de junio de 1983, el Ayuntamiento de Bilbao aprobó las bases de un concurso-oposición y su convocatoria para proveer una plaza de Ingeniero Industrial. Las pruebas selectivas incluían una prueba voluntaria de conocimiento de euskera, cuya puntuación equivalía al 6 por 100 de la puntuación máxima alcanzable. </w:t>
      </w:r>
    </w:p>
    <w:p w:rsidR="00256EE9" w:rsidRDefault="00256EE9" w:rsidP="00256EE9">
      <w:pPr>
        <w:pStyle w:val="TextoNormal"/>
      </w:pPr>
      <w:r>
        <w:t xml:space="preserve">b) El Colegio de Ingenieros Industriales de Madrid, tras la desestimación presunta del recurso de reposición interpuesto, impugnó la convocatoria por la vía de la Ley 62/1978, de 26 de diciembre, ante la Sala de lo Contencioso-Administrativo de la Audiencia Territorial de Bilbao, por entender que infringía el principio de igualdad respecto de los aspirantes que no conociesen el euskera frente a quienes sí lo conocieran. Por Sentencia de 10 de mayo de 1984 la mencionada Sala desestimó el recurso, por entender que la convocatoria no era discriminatoria. </w:t>
      </w:r>
    </w:p>
    <w:p w:rsidR="00256EE9" w:rsidRDefault="00256EE9" w:rsidP="00256EE9">
      <w:pPr>
        <w:pStyle w:val="TextoNormal"/>
      </w:pPr>
      <w:r>
        <w:t xml:space="preserve">c) Interpuesto por el referido Colegio Oficial de Ingenieros Industriales recurso de apelación, la Sala Tercera del Tribunal Supremo dictó Sentencia el 18 de julio de 1984, estimando la apelación interpuesta y anulando la base relativa a la prueba voluntaria de euskera por entender que implicaba una discriminación irrazonable para aquellos que conocieran sólo el castellano y no el euskera. </w:t>
      </w:r>
    </w:p>
    <w:p w:rsidR="00256EE9" w:rsidRDefault="00256EE9" w:rsidP="00256EE9">
      <w:pPr>
        <w:pStyle w:val="TextoNormal"/>
      </w:pPr>
      <w:r>
        <w:lastRenderedPageBreak/>
        <w:t>d) Notificada la Sentencia al Ayuntamiento de Bilbao el 31 de octubre de 1984, la Comisión Municipal Permanente decidió, previo dictamen de Letrado, interponer recurso de amparo constitucional.</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de la demanda son los siguientes: </w:t>
      </w:r>
    </w:p>
    <w:p w:rsidR="00256EE9" w:rsidRDefault="00256EE9" w:rsidP="00256EE9">
      <w:pPr>
        <w:pStyle w:val="TextoNormal"/>
      </w:pPr>
      <w:r>
        <w:t xml:space="preserve">a) El Ayuntamiento de Bilbao goza de capacidad procesal (art. 6 de la Ley de Régimen Local) y está legitimado para la interposición de recurso de amparo, ya que ha sido parte en el proceso judicial. Toda duda sobre la posibilidad de que las personas jurídicas, y en concreto las de Derecho público, interpongan recurso de amparo ante el Tribunal Constitucional es ya imposible -a juicio del recurrente- tras la Sentencia 19/1983, de 14 de marzo, del Tribunal Constitucional. </w:t>
      </w:r>
    </w:p>
    <w:p w:rsidR="00256EE9" w:rsidRDefault="00256EE9" w:rsidP="00256EE9">
      <w:pPr>
        <w:pStyle w:val="TextoNormal"/>
      </w:pPr>
      <w:r>
        <w:t xml:space="preserve">b) La Sentencia de la Sala Tercera del Tribunal Supremo trata discriminatoriamente al Ayuntamiento de Bilbao respecto a otras Administraciones de las Comunidades Autónomas, sin que exista razón o justificación alguna. </w:t>
      </w:r>
    </w:p>
    <w:p w:rsidR="00256EE9" w:rsidRDefault="00256EE9" w:rsidP="00256EE9">
      <w:pPr>
        <w:pStyle w:val="TextoNormal"/>
      </w:pPr>
      <w:r>
        <w:t>Por el contrario, el diferente trato que según la base del concurso-oposición se daba a los participantes que conocían el idioma euskera encontraba su radical fundamento en el derecho de los ciudadanos a utilizar las dos lenguas oficiales. Se ha vulnerado, en consecuencia, el art. 14 de la Constitución respecto del Ayuntamiento de Bilbao, siendo imputable tal lesión a la Sentencia del Tribunal Supremo que se impugna.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por providencia de 23 de enero, acordó poner de manifiesto al recurrente y al Ministerio Fiscal la posible existencia en la demanda de amparo de la causa de inadmisibilidad que regula el art. 50.1 b) en relación con el 46. </w:t>
      </w:r>
    </w:p>
    <w:p w:rsidR="00256EE9" w:rsidRDefault="00256EE9" w:rsidP="00256EE9">
      <w:pPr>
        <w:pStyle w:val="TextoNormal"/>
      </w:pPr>
      <w:r>
        <w:t>1 b), ambos de la Ley Orgánica del Tribunal Constitucional (LOTC), por falta de legitimación del Ayuntamiento, por no accionar respecto de derechos fundamentales de los que tengan la titularidad, otorgándoles un plazo común de diez días (art. 50 de la LOTC) para alegaciones.</w:t>
      </w:r>
    </w:p>
    <w:p w:rsidR="00256EE9" w:rsidRDefault="00256EE9" w:rsidP="00256EE9">
      <w:pPr>
        <w:pStyle w:val="TextoNormal"/>
      </w:pPr>
    </w:p>
    <w:p w:rsidR="00256EE9" w:rsidRDefault="00256EE9" w:rsidP="00256EE9">
      <w:pPr>
        <w:pStyle w:val="TextoNormal"/>
      </w:pPr>
      <w:r w:rsidRPr="00256EE9">
        <w:rPr>
          <w:rStyle w:val="NumeroAFNegritaCaracter"/>
        </w:rPr>
        <w:t>5</w:t>
      </w:r>
      <w:r>
        <w:t>. Por escrito de 13 de febrero, la representación del Ayuntamiento de Bilbao reiteró la súplica de su demanda. Afirma que la improcedencia de la inadmisibilidad era, a su juicio, patente, por basarse la petición de amparo en la infracción del derecho subjetivo del Ayuntamiento de Bilbao de ser tratado de igual modo que el resto de las administraciones públicas en orden a poder disponer de personal capacitado para ofrecer reales posibilidades a sus administrados de usar el euskera en sus relaciones con el Poder Municipal, invocando al respecto la Sentencia de la Sala Tercera del Tribunal Supremo de 18 de julio de 1984.</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Para el Fiscal ante el Tribunal Constitucional, cuyo escrito fue registrado el 8 de febrero, la jurisprudencia de este Tribunal ha ido perfilando la legitimación en el recurso de amparo en el sentido de que se puede tener legitimación aun no habiendo sido parte en el proceso judicial, y el haber sido parte en el proceso judicial puede ser insuficiente para estar legitimado en el recurso de amparo (Auto 102/1980, de 20 de noviembre). Este es el caso en el presente recurso, pues en el supuesto de apreciarse prima facie, lo que no parece ser así, una lesión al principio de igualdad, no se demuestra que el Ente accionante fuera el agraviado directamente, conforme a la condición que se exige en el Auto de 6 de junio de 1984 (recurso de amparo 243/1984); por lo que la demanda incide en la causa propuesta por este Tribunal. Tal vez pudiera decirse, a juicio del Ministerio Fiscal, que en la demanda no se plantea un verdadero recurso de amparo, pues la invocación que se hace de la </w:t>
      </w:r>
      <w:r>
        <w:lastRenderedPageBreak/>
        <w:t>regla de igualdad no es para alegar su quebrantamiento en relación a persona o grupo de personas concretos, sino para denunciar lo que se estima como una interpretación errónea del Tribunal Supremo. Solicita en conclusión el Ministerio Fiscal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legitimación para la interposición del recurso de amparo viene establecida en el art.  162. 1 b) de la Constitución y 46.1 b) de la LOTC, de acuerdo con los cuales, con respecto a lo que atañe al presente recurso, puede interponer el recurso de amparo «toda persona natural o jurídica que invoque un interés legítimo» y, en los casos de los arts.  43 y 44 de la LOTC, «quienes hayan sido parte en el proceso judicial correspondiente».</w:t>
      </w:r>
    </w:p>
    <w:p w:rsidR="00256EE9" w:rsidRDefault="00256EE9" w:rsidP="00256EE9">
      <w:pPr>
        <w:pStyle w:val="TextoNormal"/>
      </w:pPr>
      <w:r>
        <w:t>Esta última condición es invocada por la representación del Ayuntamiento de Bilbao como suficiente por sí sola para, al margen de cualquier otra consideración, poder interponer con eficacia el recurso de amparo.  Ahora bien, esta invocación sin más no asegura dicha eficacia, dada la necesidad de dar cumplimiento a lo prevenido en el citado art.  162.1 b) de la Constitución, en consonancia con la naturaleza del amparo constitucional, que no abre, como se ha advertido repetidamente, una vía impugnatoria abstracta, sino un cauce para obtener la reparación de las violaciones concretas de derechos fundamentales de que hayan podido ser objeto las situaciones jurídicas subjetivas cuya tutela tiene atribuidas.</w:t>
      </w:r>
    </w:p>
    <w:p w:rsidR="00256EE9" w:rsidRDefault="00256EE9" w:rsidP="00256EE9">
      <w:pPr>
        <w:pStyle w:val="TextoNormal"/>
      </w:pPr>
    </w:p>
    <w:p w:rsidR="00256EE9" w:rsidRDefault="00256EE9" w:rsidP="00256EE9">
      <w:pPr>
        <w:pStyle w:val="TextoNormal"/>
      </w:pPr>
      <w:r w:rsidRPr="00256EE9">
        <w:rPr>
          <w:rStyle w:val="NumeroAFNegritaCaracter"/>
        </w:rPr>
        <w:t>2</w:t>
      </w:r>
      <w:r>
        <w:t>. Esta naturaleza del amparo constitucional conduce precisamente a no admitir la legitimación del recurrente.  El Ayuntamiento de Bilbao pretende sostener aquí un acto propio, ya defendido por él en la vía previa, contencioso-administrativa, tratando de vincularla a una presunta quiebra del principio de igualdad originada como consecuencia de la invalidación de dicho acto en la mencionada vía contenciosa, quiebra que, al implicar una discriminación, justificaría su intento actual de obtener la reparación de las lesiones sufridas por otros.</w:t>
      </w:r>
    </w:p>
    <w:p w:rsidR="00256EE9" w:rsidRDefault="00256EE9" w:rsidP="00256EE9">
      <w:pPr>
        <w:pStyle w:val="TextoNormal"/>
      </w:pPr>
      <w:r>
        <w:t>La genérica legitimación para interponer recurso de amparo de las personas jurídicas que sean titulares de un interés legítimo aun cuando no sean titulares del derecho fundamental que se alega como vulnerado, fue admitida por la Sentencia de la Sala Primera de este Tribunal núm.  19/1983, de 14 de marzo («Boletín Oficial del Estado» de 12 de abril; fundamento juridico 1); pero dicha Sentencia señalaba al propio tiempo que un «problema distinto al de la legitimación, que conecta ya con la cuestión de fondo», era «el de determinar si el objeto del recurso entra o no en el ámbito limitado del recurso de amparo», y que «la cuestión de la titularidad de los derechos fundamentales no puede ser resuelta con carácter general en relación a todos y cada uno de ellos» (fundamento jurídico 2).</w:t>
      </w:r>
    </w:p>
    <w:p w:rsidR="00256EE9" w:rsidRDefault="00256EE9" w:rsidP="00256EE9">
      <w:pPr>
        <w:pStyle w:val="TextoNormal"/>
      </w:pPr>
      <w:r>
        <w:t xml:space="preserve">Ahora bien, la posibilidad en cuestión de las personas jurídicas no puede extenderse, dada la naturaleza del recurso de amparo, hasta permitir que a través de éste los Poderes Públicos puedan accionar frente a resoluciones judiciales que, invalidando sus actos, pudieran haber afectado también de cualquier modo a los derechos fundamentales de los ciudadanos.  Tal presunta afectación podrá fácilmente apreciarse siempre que la resolución judicial anterior haya hecho aplicación del principio de igualdad, por la misma naturaleza relacional de la regla contenida en el art.  14 de la Constitución, pero sin que se siga de ello que con esta simple conexión quede abierto el cauce del recurso de amparo para el ente público de que se trate; pues si se admitiera en este punto la argumentación del actor, </w:t>
      </w:r>
      <w:r>
        <w:lastRenderedPageBreak/>
        <w:t>habría que aceptar también que todos los Poderes Públicos contarían con una genérica facultad impugnatoria de los actos igualmente públicos que conculcasen derechos fundamentales de los ciudadanos, facultad ésta que se presentaría como un atípico medio de defensa ulterior de los propios actos cuando, como aquí ocurre, fuese el ente que recurre el autor, también, de la resolución invalidada por el acto judicial impugnado.  No es necesario insistir en lo inadmisible de esta conclusión, que altera manifiestamente el sentido de este proceso constitucional y que priva también de fundamento a la legitimación institucional reconocida por la Constitución y la LOTC (artículos citados en el fundamento jurídico 1) al Defensor del Pueblo y al Ministerio Fiscal.</w:t>
      </w:r>
    </w:p>
    <w:p w:rsidR="00256EE9" w:rsidRDefault="00256EE9" w:rsidP="00256EE9">
      <w:pPr>
        <w:pStyle w:val="TextoNormal"/>
      </w:pPr>
    </w:p>
    <w:p w:rsidR="00256EE9" w:rsidRDefault="00256EE9" w:rsidP="00256EE9">
      <w:pPr>
        <w:pStyle w:val="TextoNormal"/>
      </w:pPr>
      <w:r w:rsidRPr="00256EE9">
        <w:rPr>
          <w:rStyle w:val="NumeroAFNegritaCaracter"/>
        </w:rPr>
        <w:t>3</w:t>
      </w:r>
      <w:r>
        <w:t>. Por lo que se refiere, por último, a la pretendida legitimación del Ayuntamiento de Bilbao para recurrir en amparo alegando ser titular del derecho fundamental a la igualdad reconocido en el art.  14 de la Constitución, es de advertir que tal legitimación no se da en el presente caso, porque los entes públicos, como el Ayuntamiento de Bilbao, no pueden ser considerados como titulares del derecho fundamental a la no discriminación amparado por el citado artículo, que se refiere a los españoles» y no es de aplicación a las personas jurídico-públicas en cuanto tales.  Lo que aquí, en definitiva, pretende el Ayuntamiento recurrente, es defender competencias que considera propias, y es obvio que ésta es una cuestión a cuyo servicio no está el recurso de amparo.</w:t>
      </w:r>
    </w:p>
    <w:p w:rsidR="00256EE9" w:rsidRDefault="00256EE9" w:rsidP="00256EE9">
      <w:pPr>
        <w:pStyle w:val="TextoNormal"/>
      </w:pPr>
      <w:r>
        <w:t>Sentada la falta de legitimación del ente recurrente en el presente recurso de amparo, no es preciso entrar a considerar la Sentencia impugnada y emitir juicio alguno acerca de su corrección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7" w:name="AUTO_1985_136"/>
      <w:r>
        <w:lastRenderedPageBreak/>
        <w:t>AUTO 136/1985, de 27 de febrero de 1985</w:t>
      </w:r>
    </w:p>
    <w:bookmarkEnd w:id="197"/>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ECLI:ES:TC:1985:136A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810/1984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Vidal Herrero Zapatero, representado por Procurador y asistido de Letrado, interpone recurso de amparo, mediante escrito que tuvo su entrada el 23 de noviembre de 1984, contra el Auto del 5 de noviembre de 1984 de la Sala de lo Contencioso-Administrativo de la Audiencia Territorial de Burgos, resolutorio de recurso de súplica frente a la providencia de la propia Sala de 21 de septiembre anterior; así como contra la Resolución del Rector de la Universidad de Santander de 29 de febrero de 1984. </w:t>
      </w:r>
    </w:p>
    <w:p w:rsidR="00256EE9" w:rsidRDefault="00256EE9" w:rsidP="00256EE9">
      <w:pPr>
        <w:pStyle w:val="TextoNormal"/>
      </w:pPr>
      <w:r>
        <w:t xml:space="preserve">Los hechos en que se funda la demanda o que se desprenden de la documentación aportada son los siguientes: a) El solicitante de amparo, Jefe de Servicio de Oftalmología del Centro Médico Nacional «marqués de Valdecilla» de Santander en situación de supernumerario, venía impartiendo docencia, como contratado, en la Cátedra de Oftalmología de la Facultad de Medicina de la Universidad de Santander, en virtud -dicede un convenio suscrito entre ambos entes. b) El Rector de la Universidad de Santander acordó con fecha de 16 de mayo de 1979 separar temporalmente de la docencia al solicitante de amparo, lo que le fue comunicado el 9 de junio del mismo año. </w:t>
      </w:r>
    </w:p>
    <w:p w:rsidR="00256EE9" w:rsidRDefault="00256EE9" w:rsidP="00256EE9">
      <w:pPr>
        <w:pStyle w:val="TextoNormal"/>
      </w:pPr>
      <w:r>
        <w:t xml:space="preserve">c) Tras agotar la vía administrativa, el señor Herrero interpuso recurso contencioso-administrativo, en el que recayó Sentencia de la Audiencia Territorial de Burgos de 13 de octubre de 1983, cuyo fallo fue el siguiente: «Que en el recurso interpuesto por don Vidal Herrero Zapatero contra resolución del Excmo. y Magfco. señor Rector de la Universidad de Santander de fecha 16 de mayo de 1979, confirmada en alzada por el Ministerio de Universidades e Investigación, debemos anular y anulamos dichos actos en cuanto acordaron la suspensión temporal del demandante en la docencia de la asignatura de Oftalmología; y no ha lugar a lo demás solicitado; todo ello sin especial pronunciamiento sobre pago de costas». d) El solicitante de amparo dice haber presentado en fecha 31 de enero de 1984 un escrito solicitando la ejecución de la Sentencia. e) La Sala acordó en 6 de marzo de 1984 librar oficio al Rector de la Universidad de Santander para que manifestase las diligencias practicadas en orden a la ejecución. f) El Rector, mediante oficio con fecha de 5 de marzo de 1984, dio traslado a la Sala de la Resolución ejecutoria del Rectorado de fecha 29 de febrero de 1984 por la que se había considerado ejecutada la Sentencia en lo que se refiere a las retribuciones correspondientes al recurrente desde el 16 de mayo de 1979 hasta el 30 de septiembre de 1979, que habían sido abonadas al mismo en su día. Se acompañó certificación del Habilitado de la Universidad en la que se hacía constar que dicho recurrente había percibido «en el año 1979 durante los meses de mayo, junio, julio, </w:t>
      </w:r>
      <w:r>
        <w:lastRenderedPageBreak/>
        <w:t xml:space="preserve">agosto y septiembre, fecha de terminación del contrato, la cantidad de 175.390 pesetas íntegras». </w:t>
      </w:r>
    </w:p>
    <w:p w:rsidR="00256EE9" w:rsidRDefault="00256EE9" w:rsidP="00256EE9">
      <w:pPr>
        <w:pStyle w:val="TextoNormal"/>
      </w:pPr>
      <w:r>
        <w:t xml:space="preserve">Se acompañan a la demanda de amparo copias de tales documentos. g) El recurrente presentó nuevo escrito, en fecha -dicede 8 de junio siguiente, entendiendo que se daba un supuesto de ejecución parcial de la Sentencia, al no haber sido repuesto en la situación docente en que se encontraba, ni haberle sido abonados los haberes dejados de percibir mientras duró la suspensión. h) Dado traslado del anterior escrito al Abogado del Estado, que se opuso a las pretensiones del actor, la Sala dictó providencia de 21 de septiembre de 1984, decretando no haber lugar a lo solicitado. No se acompaña copia de dicha providencia. En un resultando del Auto de 5 de noviembre de 1984, a que más adelante se hace referencia, se indica como fundamento de la providencia el de que «no hay constancia en Autos de que, a partir del día 30 de mayo de 1979, estuviera vigente su contrato para impartir la docencia en la Universidad de Santander, por lo que la anulación de su suspensión, único pronunciamiento positivo de la Sentencia dictada en estos autos, no puede producir el efecto de ser repuesto en la docencia y percibir retribuciones con posterioridad a la citada fecha». </w:t>
      </w:r>
    </w:p>
    <w:p w:rsidR="00256EE9" w:rsidRDefault="00256EE9" w:rsidP="00256EE9">
      <w:pPr>
        <w:pStyle w:val="TextoNormal"/>
      </w:pPr>
      <w:r>
        <w:t>i) Interpuesto frente a dicha providencia recurso de súplica, mediante escrito cuya copia se acompaña, éste fue desestimado por Auto de la misma Sala de lo Contencioso-Administrativo de 5 de noviembre de 1984, cuya copia también se acompaña. En el escrito de interposición del recurso de súplica el recurrente reconoció que, cuando se produjo la resolución de suspensión temporal en la docencia, prestaba su función docente en virtud del contrato en vigor hasta el 30 de septiembre de 1979 -y no hasta el 30 de mayo de 1979, como por error se había dicho en la providencia impugnada-, y que hasta esa fecha le fueron abonados sus haberes a pesar de estar suspendido en la docencia desde el 16 de mayo anterior; pero entendió que la no renovación del contrato, pese a lo dispuesto en el Convenio entre el Centro Médico y la Universidad de Santander -y, concretamente, en la cláusula 7.ª del mismo, en relación con la 6.ª-, fue debida a la suspensión temporal en que se encontraba. En el Auto se consideró que, «como con acierto hace notar el Abogado del Estado en sus alegaciones, el tema relativo a la renovación del contrato existente entre el señor Herrero Zapatero y la Universidad de Santander es algo absolutamente ajeno a lo resuelto por esta Sala en la Sentencia de cuya ejecución se trata».</w:t>
      </w:r>
    </w:p>
    <w:p w:rsidR="00256EE9" w:rsidRDefault="00256EE9" w:rsidP="00256EE9">
      <w:pPr>
        <w:pStyle w:val="TextoNormal"/>
      </w:pPr>
    </w:p>
    <w:p w:rsidR="00256EE9" w:rsidRDefault="00256EE9" w:rsidP="00256EE9">
      <w:pPr>
        <w:pStyle w:val="TextoNormal"/>
      </w:pPr>
      <w:r w:rsidRPr="00256EE9">
        <w:rPr>
          <w:rStyle w:val="NumeroAFNegritaCaracter"/>
        </w:rPr>
        <w:t>2</w:t>
      </w:r>
      <w:r>
        <w:t>. El solicitante de amparo entiende en su demanda que, tanto la Resolución del Rector de la Universidad de Santander de 29 de febrero de 1984 como el Auto resolutorio del recurso de súplica de 5 de noviembre último, violan el art. 24.1 de la Constitución Española (C. E.), aparte de infringir los preceptos legales que menciona, citando igualmente doctrina de este Tribunal Constitucional. Solicita que se decrete la nulidad del Auto impugnado de 5 de noviembre de 1984 y se le reconozca el derecho a ser reintegrado en la situación en la que se encontraba en la Universidad» en el momento de adoptarse por parte del Rector de la misma el Acuerdo de 9 de junio de 1979» -parece referirse al de fecha 16 de mayo de 1979, notificado el 9 de junio-, «así como a que se le abonen los haberes dejados de percibir desde tal fecha hasta que la readmisión tenga lugar de forma efectiva en la función docente».</w:t>
      </w:r>
    </w:p>
    <w:p w:rsidR="00256EE9" w:rsidRDefault="00256EE9" w:rsidP="00256EE9">
      <w:pPr>
        <w:pStyle w:val="TextoNormal"/>
      </w:pPr>
    </w:p>
    <w:p w:rsidR="00256EE9" w:rsidRDefault="00256EE9" w:rsidP="00256EE9">
      <w:pPr>
        <w:pStyle w:val="TextoNormal"/>
      </w:pPr>
      <w:r w:rsidRPr="00256EE9">
        <w:rPr>
          <w:rStyle w:val="NumeroAFNegritaCaracter"/>
        </w:rPr>
        <w:t>3</w:t>
      </w:r>
      <w:r>
        <w:t>. En su sesión de 23 de enero de 1985, la Sección Cuarta acordó por providencia poner de manifiesto la posible concurrencia en este caso del motivo de inadmisibilidad del art. 50.2 b) de la Ley Orgánica de este Tribunal (LOTC), para que el Ministerio Fiscal y la parte actora aleguen al respecto lo que entendieren conveniente. En su escrito de alegacio</w:t>
      </w:r>
      <w:r>
        <w:lastRenderedPageBreak/>
        <w:t>nes el recurrente, en el breve espacio de un folio se limita a considerar violado «el tenor del art. 24.1 de la C. E. que consigna, como es sabido, el derecho a la obtención de tutela efectiva por parte de Jueces y Tribunales». Entiende que la violación consiste en que la Sala de lo Contencioso se limitó a decretar la nulidad de los acuerdos «sin asumir las consecuencias de dicha declaración en ejecución de Sentencia». Reitera citas de Sentencias de este Tribunal y pide la admisión de su recurso. El Fiscal ante el Tribunal pide la inadmisión por concurrir el motivo del 50.2 b); indebidamente situado el recurso, a su juicio, en la doble vía de los arts. 43 y 44 de la LOTC, el Fiscal entiende que, no el Rectorado, sino tan sólo el órgano judicial pudo actuar contra los derechos del art. 24 en fase de ejecución de Sentencia, pero como éste declaró que la decisión ha estado bien ejecutada, es claro que el recurso carece de dimensión constitucional por no trascender el ámbito de la legalidad ordinaria.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demanda formulada suscita la cuestión de si ha sido violado el art.  24.1 al no haberse procedido a la ejecución de una Sentencia en los términos en los que el propio demandante entiende que debía haber sido cumplida.  Ciertamente, este Tribunal ha declarado en la Sentencia 32/1982, de 7 de junio, cuya doctrina se reitera en la 26/1983, de 13 de abril, ambas citadas por el solicitante de amparo, que el derecho a la tutela judicial efectiva exige también «que el fallo judicial se cumpla y que el recurrente sea repuesto en su derecho y compensado, si hubiere lugar a ello, por el daño sufrido», y que «lo contrario sería convertir las decisiones judiciales (... ) en meras declaraciones de intenciones».  Pero lo que sería difícilmente sostenible en el presente supuesto es que el fallo judicial haya dejado de ser cumplido en sus términos.  Pues por dicho fallo se anuló la suspensión de la actividad docente prestada en virtud de un contrato que vencía el 30 de septiembre de 1979, como vino a reconocer el propio recurrente, y se declaró que «no ha lugar a lo demás solicitado; en fase de ejecución de Sentencia se acreditó haber sido abonados los haberes que el recurrente debió percibir en virtud del contrato hasta dicha fecha; y finalmente ni de la lectura de los resultandos de la Sentencia cuya copia se acompaña, ni tampoco de la propia demanda de amparo, se desprende que el recurrente haya llegado a pedir siquiera en la vía administrativa o en la contencioso-administrativa, con anterioridad a la Sentencia, la renovación de tal contrato.  De ahí que no pueda admitirse que la ejecución de la Sentencia de que se trata pudiera producir efectos tales como los pretendidos ahora por el demandante, a saber, la reposición en la docencia o el abono de haberes con posterioridad a la indicada fecha de 30 de septiembre de 1979, efectos que sólo podrían corresponder al cumplimiento de un nuevo contrato.</w:t>
      </w:r>
    </w:p>
    <w:p w:rsidR="00256EE9" w:rsidRDefault="00256EE9" w:rsidP="00256EE9">
      <w:pPr>
        <w:pStyle w:val="TextoNormal"/>
      </w:pPr>
      <w:r>
        <w:t>Esto es lo que se desprende del examen del Auto impugnado y de la documentación adjunta a la demanda, todo lo cual revela que no hay indicios de violación al derecho a una tutela judicial efectiva, extensible desde luego a la fase de ejecución, sino una discrepancia entre lo que el recurrente cree que debió ser el correcto cumplimiento de la Sentencia y lo que ha sido el contenido de ésta y de su ejecución. Discrepancia que no trasciende el ámbito de la legalidad ni permite involucrar en ella los derechos del art.  24 de la C. E., por lo que hay que entender que concurre el motivo de inadmisibilidad del 50.2 b).</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En atención a todo lo expuesto, la Sección acuerda la inadmisión del recurso.</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8" w:name="AUTO_1985_137"/>
      <w:r>
        <w:lastRenderedPageBreak/>
        <w:t>AUTO 137/1985, de 27 de febrero de 1985</w:t>
      </w:r>
    </w:p>
    <w:bookmarkEnd w:id="198"/>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ECLI:ES:TC:1985:137A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haber lugar al desistimiento del actor en el recurso de amparo 830/1984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Francisco de Guinea y Gauna, en nombre y representación de don Amado Prendes García, presentó ante este Tribunal recurso de amparo contra la Sentencia pronunciada por la Sala Tercera del Tribunal Supremo en 2 de octubre de 1984 en recurso de apelación núm. 63.949/1984 contra Sentencia de la Sala de lo Contencioso-Administrativo de la Audiencia Territorial de Burgos, de 23 de julio de 1984, dictada en el recurso núm. 193/1984; así como contra Resoluciones del Subsecretario de Trabajo y Seguridad Social de 30 de junio de 1983 y 6 de febrero de 1984. </w:t>
      </w:r>
    </w:p>
    <w:p w:rsidR="00256EE9" w:rsidRDefault="00256EE9" w:rsidP="00256EE9">
      <w:pPr>
        <w:pStyle w:val="TextoNormal"/>
      </w:pPr>
      <w:r>
        <w:t xml:space="preserve">Los hechos en que fundamenta la demanda de amparo, en esencia, son los siguientes: a) El solicitante es funcionario de carrera del Instituto Nacional de Empleo, con el puesto de trabajo de «Jefe de Negociado de Habilitación y Administración». b) Hasta el 15 de diciembre de 1983, en que causó baja por imposición administrativa, ejercía la profesión de Graduado Social, debidamente colegiado. c) En 17 de marzo de 1983, cumpliendo lo dispuesto en la Resolución de 25 de febrero de 1983 de la Secretaría de Estado para la Administración Pública, el demandante declaró sus actividades en los sectores público y privado, solicitando se le autorizase a compatibilizarlas. d) En 15 de noviembre de 1983 se le notificó la Resolución del Subsecretario de Trabajo y Seguridad Social de 30 de junio de 1983, por la que se había acordado no autorizar la compatibilidad solicitada. En dicha notificación no se hizo referencia a la posibilidad de interponer recurso contencioso-administrativo, ni tampoco a «cualquier otro recurso que se estime pertinente», con independencia del recurso de reposición. e) Interpuesto recurso de reposición, se desestimó por Resolución del Subsecretario de Trabajo y Seguridad Social en 6 de febrero de 1984. Al notificársele esta Resolución, el 8 del mismo mes y año, se le advirtió de la posibilidad de interponer recurso contencioso-administrativo ordinario, en el plazo de dos meses, pero no de interponer el de la Ley 62/1978, ni «cualquier otro recurso que se estime pertinente». f) El recurso contencioso-administrativo interpuesto al amparo de la Ley 62/1978, se tramitó con el núm. 193/1984 de la Sala de lo Contencioso-Administrativo de la Audiencia Territorial de Burgos, la que, tras admitirlo a trámite -se dice- por providencia de 16 de mayo de 1984, declaró su inadmisibilidad, por considerarlo extemporáneo, y sin pronunciarse sobre el fondo del asunto, mediante Sentencia de 23 de julio de 1984. En la Sentencia se dice que no obsta a su extemporaneidad el hecho de que al notificarse las resoluciones administrativas «no se indicara la posibilidad y plazo de interposición del recurso por el procedimiento especial de la Ley 62/1978, ya que, dado su carácter excepcional, ello no </w:t>
      </w:r>
      <w:r>
        <w:lastRenderedPageBreak/>
        <w:t xml:space="preserve">era necesario». g) El recurso de apelación interpuesto contra la anterior Sentencia fue desestimado por Sentencia de la Sala Tercera del Tribunal Supremo de 2 de octubre de 1984, notificada, según se dice, el 7 de noviembre. h) En la demanda se indica que está pendiente ante la Sala de lo Contencioso-Administrativo de la Audiencia Territorial de Burgos otro recurso contencioso-administrativo -este ordinario-, interpuesto al parecer frente a las mismas resoluciones administrativas, aunque sin haberse alegado en él, al contrario que en el anteriormente citado, «la inconstitucionalidad de las resoluciones por vulnerar el principio de igualdad». </w:t>
      </w:r>
    </w:p>
    <w:p w:rsidR="00256EE9" w:rsidRDefault="00256EE9" w:rsidP="00256EE9">
      <w:pPr>
        <w:pStyle w:val="TextoNormal"/>
      </w:pPr>
      <w:r>
        <w:t>En la demanda de amparo se citan como infringidos el art. 24.1 de la C. E. por la no admisión del recurso extraordinario formulado al amparo de la Ley 62/1978, de Protección Jurisdiccional de los Derechos Fundamentales de la Persona; y los arts. 14 y 23.2 de la C. E. por la negación de compatibilidad efectuada por las resoluciones impugnadas. Solicita la nulidad de las dos Sentencias recaídas; que se reconozca su derecho a que se declare la admisibilidad del recurso 193/1984; que se restablezca el derecho a la tutela judicial efectiva «entrándose en el fondo del asunto planteado en el recurso contencioso-administrativo 193/1984 de referencia; la nulidad de las dos Resoluciones del Subsecretario de Trabajo y Seguridad Social y el derecho a compatibilizar su puesto como funcionario público con su actividad privada de Graduado Social.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23 de enero pasado, la Sección puso de manifiesto la posible existencia de las causas de inadmisión reguladas por los articulos 50.1 b), en relación con el 43.1 de la Ley Orgánica del Tribunal Constitucional y la del 50.2 b) de la LOTC, concediéndose un plazo común de diez días a la parte recurrente y al Ministerio Fiscal para alegaciones. </w:t>
      </w:r>
    </w:p>
    <w:p w:rsidR="00256EE9" w:rsidRDefault="00256EE9" w:rsidP="00256EE9">
      <w:pPr>
        <w:pStyle w:val="TextoNormal"/>
      </w:pPr>
      <w:r>
        <w:t xml:space="preserve">La representación del recurrente presentó escrito en el que hace diversas alegaciones en defensa de la admisibilidad del recurso, formulando al propio tiempo desestimiento del mismo, habida cuenta de la reciente entrada en vigor de la Ley 53/1984 de Incompatibildades y a la vista de la Resolución de 23 de enero de 1985 de la Secretaría de Estado para la Administración Pública. </w:t>
      </w:r>
    </w:p>
    <w:p w:rsidR="00256EE9" w:rsidRDefault="00256EE9" w:rsidP="00256EE9">
      <w:pPr>
        <w:pStyle w:val="TextoNormal"/>
      </w:pPr>
      <w:r>
        <w:t>El Fiscal General del Estado evacuando el trámite conferido, interesa del Tribunal que declare la inadmisión del presente recurso de amparo por concurrir los motivos recogidos en el art. 50.1 b) y 2 b) de la Ley Orgánica, puestos de manifiesto en la providencia de la Sección, de 23 de enero pasado.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actor, con poder suficiente al Procurador, ha anunciado en el trámite del art.  50 de la LOTC su deseo de abandonar el desarrollo de la pretensión que interpuso en este proceso, pendiente de resolver acerca de la admisión. Con ello -y habiéndose opuesto el Ministerio Fiscal a la admisión del recurso- es claro que ha de tenerse por desistido al actor y concluido el proceso, adoptándose, a este fin, la resolución que dispone el articulo 86.1 de la LOTC, puesto que falta una voluntad de mantener el recurso y ninguna razón pública se ha esgrimido por el Ministerio Fiscal favorable a la continuación del proceso.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terminado el presente proceso por desistimiento del actor.</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199" w:name="AUTO_1985_138"/>
      <w:r>
        <w:lastRenderedPageBreak/>
        <w:t>AUTO 138/1985, de 27 de febrero de 1985</w:t>
      </w:r>
    </w:p>
    <w:bookmarkEnd w:id="199"/>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ECLI:ES:TC:1985:138A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832/1984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Ayuntamiento de Vilaseca-Salou acordó el 15 de diciembre de 1977 aprobar la fase inicial de un proyecto de «red de alcantarillado y emisario submarino» contra cuyo acuerdo interpuso don Esteban Petit Fortuny recurso de reposición, que fue desestimado en 9 de marzo de 1978. </w:t>
      </w:r>
    </w:p>
    <w:p w:rsidR="00256EE9" w:rsidRDefault="00256EE9" w:rsidP="00256EE9">
      <w:pPr>
        <w:pStyle w:val="TextoNormal"/>
      </w:pPr>
      <w:r>
        <w:t xml:space="preserve">Contra ambos acuerdos municipales interpuso el señor Petit recurso contencioso-administrativo ante la Audiencia Territorial de Barcelona, que dictó Sentencia el 28 de octubre de 1980 declarando inadmisible el recurso formulado, entre otras razones por no haberse agotado la vía administrativa en cuanto al fondo del asunto. </w:t>
      </w:r>
    </w:p>
    <w:p w:rsidR="00256EE9" w:rsidRDefault="00256EE9" w:rsidP="00256EE9">
      <w:pPr>
        <w:pStyle w:val="TextoNormal"/>
      </w:pPr>
      <w:r>
        <w:t xml:space="preserve">Apelada la anterior Sentencia, la Sala Cuarta del Tribunal Supremo en la suya de 6 de abril de 1983 hace propios los considerandos de la Sentencia apelada, confirmándola en todos sus extremos. </w:t>
      </w:r>
    </w:p>
    <w:p w:rsidR="00256EE9" w:rsidRDefault="00256EE9" w:rsidP="00256EE9">
      <w:pPr>
        <w:pStyle w:val="TextoNormal"/>
      </w:pPr>
      <w:r>
        <w:t>Finalmente, se interpuso recurso extraordinario de revisión, que la Sala Especial de Revisión de lo Contencioso-Administrativo del Tribunal Supremo inadmitió, por extemporáneo, por Auto de 17 de octubre de 1984.</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Contra las anteriores resoluciones se interpuso por el señor Petit Fortuny recurso de amparo mediante demanda presentada el 29 de noviembre, en la que el solicitante de amparo pretende, con invocación del art. 24 de la Constitución, que se declaren nulas por este Tribunal no sólo las resoluciones judiciales mencionadas anteriormente, sino también las resoluciones administrativas originarias, aludiendo la vía del art. 43 de la Ley Orgánica de este Tribunal y a la del art. 44 de la misma Ley. </w:t>
      </w:r>
    </w:p>
    <w:p w:rsidR="00256EE9" w:rsidRDefault="00256EE9" w:rsidP="00256EE9">
      <w:pPr>
        <w:pStyle w:val="TextoNormal"/>
      </w:pPr>
      <w:r>
        <w:t>La fundamentación de tal pretensión estriba, sustancialmente, en que los Tribunales no han atendido la petición del recurrente, que ha pretendido demostrar la actuación arbitraria de la Administración, sin resultados positivos.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9 de enero pasado se acordó oír al demandante y al Ministerio Fiscal acerca de la posible inadmisión del recurso por la causa que regula el art. 50.2 b) de la Ley Orgánica de este Tribunal, por cuanto pudiera la demanda carecer de contenido que justifique una decisión de este Tribunal. </w:t>
      </w:r>
    </w:p>
    <w:p w:rsidR="00256EE9" w:rsidRDefault="00256EE9" w:rsidP="00256EE9">
      <w:pPr>
        <w:pStyle w:val="TextoNormal"/>
      </w:pPr>
      <w:r>
        <w:t xml:space="preserve">El demandante ha alegado que el contenido constitucional de su pretensión de amparo viene dado por la falta de tutela jurisdiccional eficaz, y la total indefensión que se le ha </w:t>
      </w:r>
      <w:r>
        <w:lastRenderedPageBreak/>
        <w:t xml:space="preserve">producido; habiéndose producido, en la vía administrativa, el desconocimiento del derecho de audiencia. </w:t>
      </w:r>
    </w:p>
    <w:p w:rsidR="00256EE9" w:rsidRDefault="00256EE9" w:rsidP="00256EE9">
      <w:pPr>
        <w:pStyle w:val="TextoNormal"/>
      </w:pPr>
      <w:r>
        <w:t>El Ministerio Fiscal expone, remitiéndose a la doctrina de este Tribunal, que no se ha producido falta de tutela jurisdiccional una vez que en la vía judicial han recaído razonadas y certeras resoluciones; habiendo sido impugnado un acto administrativo de mero trámite, que sólo podía conducir a la inadmisión de sus recursos.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recurrente viene a resumir la base de su pretensión al expresar en el escrito de demanda de este recurso de amparo que «las Sentencias contra las que se formula, no recogen la argumentación vertida en sus escritos y en su lugar se limitan lisa y llanamente a desestimar las pretensiones por razones formales, evitando así todo pronunciamiento sobre el fondo de las cuestiones planteadas, lo cual equivale sencillamente a denegar el derecho a una tutela efectiva de Jueces y Tribunales».</w:t>
      </w:r>
    </w:p>
    <w:p w:rsidR="00256EE9" w:rsidRDefault="00256EE9" w:rsidP="00256EE9">
      <w:pPr>
        <w:pStyle w:val="TextoNormal"/>
      </w:pPr>
      <w:r>
        <w:t>Examinados los antecedentes precisos se comprueba que la Sala de lo Contencioso de la Audiencia Territorial declaró la inadmisibilidad del recurso, por entender que, de acuerdo con lo previsto en el art. 37 de la Ley de la Jurisdicción, y en méritos de los razonamientos que incluye, debían calificarse como de trámite los actos impugnados, en concreto, los de aprobación inicial por el Ayuntamiento, de red de alcantarillado y emisario submarino de determinada zona, tesis compartida por la Sala Cuarta del Tribunal Supremo al dictar Sentencia en grado de apelación, en la que se consignan además nuevos razonamientos en el mismo sentido, para -finalmente inadmitirse a trámite un ulterior recurso extraordinario de revisión, por la Sala Especial, en razón a haberse deducido extemporáneamente.</w:t>
      </w:r>
    </w:p>
    <w:p w:rsidR="00256EE9" w:rsidRDefault="00256EE9" w:rsidP="00256EE9">
      <w:pPr>
        <w:pStyle w:val="TextoNormal"/>
      </w:pPr>
      <w:r>
        <w:t>Basta la exposición anterior para afirmar que nada lícitamente puede pretenderse de este Tribunal, porque la carencia manifiesta de contenido constitucional de la demanda surge con toda evidencia [art.  50.2 b ) de la LOTC], al someterse a censura a una serie de fallos en cuya emisión no cabe apreciar transgresión alguna sensible y evaluable en la presente vía, ya que el denunciado no acogimiento de los argumentos de la recurrente adviene como consecuencia necesaria de la irrecurribilidad ante lo contencioso de actos de trámite, del mismo modo que la inadmisión del recurso de revisión está determinada por no haberse respetado el plazo que la Ley señala.</w:t>
      </w:r>
    </w:p>
    <w:p w:rsidR="00256EE9" w:rsidRDefault="00256EE9" w:rsidP="00256EE9">
      <w:pPr>
        <w:pStyle w:val="TextoNormal"/>
      </w:pPr>
      <w:r>
        <w:t>Las actuales alegaciones de incompetencia del órgano administrativo que dictó los actos impugnados ante lo contencioso, y la ausencia de práctica de determinadas notificaciones al interesado, en modo alguno pueden ser trascendentes respecto del planteamiento presente, al margen de otras consideraciones de fácil enunciación, porque, como ya quedó apuntado, la solución aceptada por los órganos jurisdiccionales como más correcta fue la de calificar el acto como no recurrible ante lo contencioso, lo que permitió a su vez abstraerse de los planteamientos de la parte enderezados a una estimación del recurso, con la consiguiente anulación de los actos, por otras razones o motivos tanto formales como de fondo.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lastRenderedPageBreak/>
        <w:t>La Sección acuerda la inadmisibilidad de este recurso de amparo.</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00" w:name="AUTO_1985_139"/>
      <w:r>
        <w:lastRenderedPageBreak/>
        <w:t>AUTO 139/1985, de 27 de febrero de 1985</w:t>
      </w:r>
    </w:p>
    <w:bookmarkEnd w:id="200"/>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ECLI:ES:TC:1985:139A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845/1984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Tribunal Constitucional el 3 de diciembre de 1984, don Ramón Castellar Morales interpuso recurso de amparo constitucional en nombre y representación del Consejo Ejecutivo de la Generalidad de Cataluña contra la Sentencia de la Sala Tercera del Tribunal Supremo de 1 de octubre de 1984 recaída en el recurso de apelación núm. 63.966/1984 interpuesto por el Colegio Oficial de Ingenieros Industriales de Madrid contra Sentencia de la Sala Segunda de lo Contencioso-Administrativo de la Audiencia Territorial de Barcelona de 16 de mayo de 1984, sobre convocatoria de pruebas para la provisión de plazas en la Escuela Oficial de Idiomas y en la Escuela de Artes Aplicadas y Oficios Artísticos. </w:t>
      </w:r>
    </w:p>
    <w:p w:rsidR="00256EE9" w:rsidRDefault="00256EE9" w:rsidP="00256EE9">
      <w:pPr>
        <w:pStyle w:val="TextoNormal"/>
      </w:pPr>
      <w:r>
        <w:t>Se pide en la demanda que se declare la nulidad de la resolución judicial impugnada, reconociéndose que las Ordenes de la Consejería de Enseñanza de la Generalidad de Cataluña de 1 de julio de 1983 y de 5 de agosto del mismo año no violan el derecho a la igualdad.</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siguientes hechos: </w:t>
      </w:r>
    </w:p>
    <w:p w:rsidR="00256EE9" w:rsidRDefault="00256EE9" w:rsidP="00256EE9">
      <w:pPr>
        <w:pStyle w:val="TextoNormal"/>
      </w:pPr>
      <w:r>
        <w:t xml:space="preserve">a) Mediante Ordenes de 1 de julio y 5 de agosto de 1983 de la Consejería de Enseñanza de la Generalidad de Cataluña, se aprobaron las bases y se convocaron pruebas para la provisión de plazas de Catedráticos Numerarios y Profesores Agregados Numerarios de la Escuela Oficial de Idiomas de Barcelona y para el ingreso en el Cuerpo de Profesores de entrada y profesores de término de las Escuelas de Artes Aplicadas y Oficios Artísticos. Se exigía en dichas pruebas, el conocimiento de la lengua catalana. </w:t>
      </w:r>
    </w:p>
    <w:p w:rsidR="00256EE9" w:rsidRDefault="00256EE9" w:rsidP="00256EE9">
      <w:pPr>
        <w:pStyle w:val="TextoNormal"/>
      </w:pPr>
      <w:r>
        <w:t xml:space="preserve">b) El Colegio Oficial de Ingenieros Industriales de Madrid interpuso recurso de reposición contra las referidas Ordenes. Tras su desestimación en vía administrativa se interpuso recurso contencioso-administrativo ante la Sala Segunda de lo Contencio-Administrativo de la Audiencia Territorial de Barcelona, por la vía de la Ley 62/1978 de protección de los derechos fundamentales y libertades públicas. En el recurso contencioso se personó y fue parte la Generalidad de Cataluña. El recurso fue desestimado por Sentencia de 16 de mayo de 1984. </w:t>
      </w:r>
    </w:p>
    <w:p w:rsidR="00256EE9" w:rsidRDefault="00256EE9" w:rsidP="00256EE9">
      <w:pPr>
        <w:pStyle w:val="TextoNormal"/>
      </w:pPr>
      <w:r>
        <w:t xml:space="preserve">c) El referido Colegio Oficial de Ingenieros Industriales interpuso recurso de apelación ante la Sala Tercera del Tribunal Supremo la que, por Sentencia de 1 de octubre de 1984, estimó el recurso por entender que las convocatorias atentaban al principio de igualdad </w:t>
      </w:r>
      <w:r>
        <w:lastRenderedPageBreak/>
        <w:t xml:space="preserve">ante la Ley que garantiza el art. 14 de la Constitución, al implicar una discriminación por razón de la lengua. </w:t>
      </w:r>
    </w:p>
    <w:p w:rsidR="00256EE9" w:rsidRDefault="00256EE9" w:rsidP="00256EE9">
      <w:pPr>
        <w:pStyle w:val="TextoNormal"/>
      </w:pPr>
      <w:r>
        <w:t>d) Ante estos hechos, la Generalidad recurre a este Tribunal por entender que la Sentencia del Tribunal Supremo supone una vulneración de los arts. 14 y 23.2 de la Constitución Española.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de la demanda son los siguientes: </w:t>
      </w:r>
    </w:p>
    <w:p w:rsidR="00256EE9" w:rsidRDefault="00256EE9" w:rsidP="00256EE9">
      <w:pPr>
        <w:pStyle w:val="TextoNormal"/>
      </w:pPr>
      <w:r>
        <w:t xml:space="preserve">a) La legitimación de la Generalidad de Cataluña deriva de lo dispuesto en los arts. 4.2 y 5 de la Ley 7/1983, de 18 de abril, del Parlamento de Cataluña sobre normalización lingüística y de los arts. 3 y 9.3 del Estatuto de Autonomía de Cataluña, así como del hecho de haber sido parte la Generalidad en la vía judicial previa. </w:t>
      </w:r>
    </w:p>
    <w:p w:rsidR="00256EE9" w:rsidRDefault="00256EE9" w:rsidP="00256EE9">
      <w:pPr>
        <w:pStyle w:val="TextoNormal"/>
      </w:pPr>
      <w:r>
        <w:t xml:space="preserve">b) La Sentencia impugnada vulnera el art. 14 de la Constitución, así como el 23.2 de la misma. La medida adoptada por la Generalidad tenía una finalidad constitucional y estatutariamente legítima cual es la normalización lingüística plena de la lengua catalana, finalidad ésta que legitima su adopción. </w:t>
      </w:r>
    </w:p>
    <w:p w:rsidR="00256EE9" w:rsidRDefault="00256EE9" w:rsidP="00256EE9">
      <w:pPr>
        <w:pStyle w:val="TextoNormal"/>
      </w:pPr>
      <w:r>
        <w:t>Así lo ha reconocido la Audiencia Territorial de La Coruña, en Sentencia de 31 de enero de 1984, en un recurso referente a pruebas en las que se exigía el conocimiento del gallego.</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del dia 23 de enero, la Sección Tercera de la Sala Segunda puso de manifiesto a la recurrente y al Ministerio Fiscal la posible existencia en la demanda de amparo de la causa de inadmisibilidad a que se refiere el art. 50.1 b), en relación con el 46.1 b), ambos de la LOTC, concediéndoles un plazo común de diez días para que formulasen sus alegaciones al respecto.</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sus alegaciones, el Ministerio Fiscal solicitó del Tribunal la inadmisión del recurso, de conformidad con los arts. 86.1 y 50.1 b), en relación éste con el art. 46.1 b), todos de la LOTC, y sobre la base de las consideraciones siguientes: </w:t>
      </w:r>
    </w:p>
    <w:p w:rsidR="00256EE9" w:rsidRDefault="00256EE9" w:rsidP="00256EE9">
      <w:pPr>
        <w:pStyle w:val="TextoNormal"/>
      </w:pPr>
      <w:r>
        <w:t xml:space="preserve">a) La demanda de amparo incide en la causa propuesta por el Tribunal y prevista en el art. 50.1 b) en relación con el 46.1 b), ambos de la LOTC, ya que el Consejo Ejecutivo de la Generalidad de Cataluña carece de legitimación para accionar sobre el derecho reconocido en el art. 14 de la Constitución. Tal falta de legitimación no puede suplirse por invocación de la recurrente al hecho de haber sido parte en el previo proceso judicial, ya que este requisito, por sí solo, es insuficiente para determinar la legitimación cuando, como en este caso, pretendiéndose defender un derecho ajeno, no se demuestra que el ente accionante haya recibido agravio directo por la Sentencia recurrida. </w:t>
      </w:r>
    </w:p>
    <w:p w:rsidR="00256EE9" w:rsidRDefault="00256EE9" w:rsidP="00256EE9">
      <w:pPr>
        <w:pStyle w:val="TextoNormal"/>
      </w:pPr>
      <w:r>
        <w:t>b) Por lo demás, cabría decir que en la demanda no se plantea un verdadero recurso de amparo, toda vez que la invocación del principio de igualdad no se liga a su desconocimiento respecto de una persona concreta o de un colectivo determinado, sino sólo para denunciar lo que se estima una interpretación errónea del Tribunal Supremo. Por ello, no es constatable discriminación singular alguna, careciendo así de objeto la legitimación pretendida al no estar implicado en los hechos ningún derecho fundamental.</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La representación actora formuló sus alegaciones reiterando la súplica de su demanda y fundamentando la propia legitimación, resumidamente, en los términos siguientes: </w:t>
      </w:r>
    </w:p>
    <w:p w:rsidR="00256EE9" w:rsidRDefault="00256EE9" w:rsidP="00256EE9">
      <w:pPr>
        <w:pStyle w:val="TextoNormal"/>
      </w:pPr>
      <w:r>
        <w:t xml:space="preserve">a) Reitera la recurrente lo dispuesto en los arts. 4.2 y 5 de la Ley 7/1983, de 18 de abril, del Parlamento de Cataluña, sobre normalización lingüística, así como en los arts. 3 y 9.3 </w:t>
      </w:r>
      <w:r>
        <w:lastRenderedPageBreak/>
        <w:t xml:space="preserve">del Estatuto de Autonomía de Cataluña. De acuerdo con el citado art. 4.2 el Consejo Ejecutivo de la Generalidad de Cataluña quedaría legitimado activamente para actuar junto a los ciudadanos o en sustitución de los mismos en lo que concierne al uso de la lengua. Se extiende a continuación la representación actora en diversas consideraciones acerca de la naturaleza jurídica de la legitimación procesal y a propósito, también, de la regulación de este instituto, para los procesos constitucionales, en el art. 162.1 b) de la Constitución y en el art. 46.1 b) de la LOTC. Este último precepto no incorpora el concepto «interés legítimo» que aparece en la norma constitucional citada, si bien de ello no puede seguirse la negación de que la Constitución Española reconoce la legitimación por sustitución para pedir en juicio por quien sea titular de un interés legítimo, aunque no del derecho fundamental violado, la anulación del acto o disposición del Poder Público causante de tal lesión. Siendo esto así, en el recurso de amparo frente a resoluciones judiciales han de reconocerse tres distintos supuestos de legitimación activa correspondiente, el primero, a la de la persona natural o jurídica directamente afectada en su derecho fundamental; atinente, el segundo, a la que ostente quien invoque un interés legítimo aun sin ser titular del derecho violado y correspondiente, el último, tanto al Defensor del Pueblo como al Ministerio Fiscal. Ello repararía el que nuestro sistema, sin llegar al extremo de admitir la legitimación popular en esta vía, mantiene los criterios más amplios de legitimación individual, sin perjuicio de la legitimación pública del Estado a través del Defensor del Pueblo y del Ministerio Fiscal. Se trata, por lo demás, de algo ya reconocido en los sistemas más progresivos en el Derecho convencional internacional, según cita del propio recurrente. </w:t>
      </w:r>
    </w:p>
    <w:p w:rsidR="00256EE9" w:rsidRDefault="00256EE9" w:rsidP="00256EE9">
      <w:pPr>
        <w:pStyle w:val="TextoNormal"/>
      </w:pPr>
      <w:r>
        <w:t xml:space="preserve">b) Sobre la base de lo anterior, y teniendo en cuenta que el Tribunal Constitucional ha reconocido ya la legitimación genérica de los entes públicos en el recurso de amparo (Sentencia de la Sala Primera, de 14 de marzo de 1983), en el presente caso no habría sino que admitir la legitimación que ostenta el Consejo Ejecutivo de la Generalidad de Cataluña y ello no sólo como ya se dijo, porque fue parte en el antecedente proceso judicial, sino también, de acuerdo con lo que se acaba de señalar, porque dicho Consejo Ejecutivo posee un interés legítimo en la reparación de la lesión sufrida, interés corroborado, por lo demás, en los citados preceptos de la Ley de Normalización Lingüística y del Estatuto de Autonomía de Cataluña. </w:t>
      </w:r>
    </w:p>
    <w:p w:rsidR="00256EE9" w:rsidRDefault="00256EE9" w:rsidP="00256EE9">
      <w:pPr>
        <w:pStyle w:val="TextoNormal"/>
      </w:pPr>
      <w:r>
        <w:t>En virtud de lo anterior, solicita la representación actora la admisión de la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art.  162.1 b) de la Constitución dispone que estará legitimada para interponer el recurso de amparo constitucional «toda persona natural o jurídica que invoque un interés legítimo, así como el Defensor del Pueblo y el Ministerio Fiscal».  Por otra parte, el art.  46.1 b) de la LOTC concreta esta previsión precisando que la legitimación para recurrir en amparo por las vías dispuestas en los arts. 43 y 44 de la misma Ley Orgánica la ostentarán «quienes hayan sido parte en el proceso judicial correspondiente, el Defensor del Pueblo y el Ministerio Fiscal».  Al margen ahora esta última legitimación institucional, el requisito de haber sido parte en el proceso antecedente no puede entenderse -como se dijo ya en el Auto 102/80, de 20 de noviembre (fundamento jurídico 1), de la Sala Primera y según reconoce el propio recurrente en su escrito de alegaciones- al modo de una condición suficiente por sí sola para, al margen de toda otra consideración substantiva, poder interponer con eficacia el recurso de amparo.  Lejos de esto, hará falta que quien aparezca como demandante se halle en una específica relación con el objeto de la pretensión deducida, rela</w:t>
      </w:r>
      <w:r>
        <w:lastRenderedPageBreak/>
        <w:t>ción que provendrá, las más de las veces, de la titularidad propia del derecho o libertad presuntamente vulnerado, pero que podrá también derivarse de un mero «interés legítimo» en la preservación de derechos o libertades de otro.  Sólo de este modo se dará cumplimiento a lo prevenido en el citado art. 162.1 b) de la Norma Fundamental, adecuándose también a lo que demanda la propia naturaleza del amparo constitucional que no abre, como se ha advertido repetidamente, una vía impugnatoria abstracta, sino un cauce para obtener la reparación de las concretas violaciones de que hayan podido ser objeto las situaciones jurídicas subjetivas cuya tutela tiene atribuida.</w:t>
      </w:r>
    </w:p>
    <w:p w:rsidR="00256EE9" w:rsidRDefault="00256EE9" w:rsidP="00256EE9">
      <w:pPr>
        <w:pStyle w:val="TextoNormal"/>
      </w:pPr>
      <w:r>
        <w:t>A partir de esta consideración preliminar ha de examinarse ahora el cumplimiento en la demanda interpuesta por el Consejo Ejecutivo de la Generalidad de Cataluña del señalado requisito impuesto por el art. 46.1 b) de la LOTC, requisito cuyo posible defecto se puso en conocimiento de la parte actora y del Ministerio Fiscal por providencia de 23 de enero pasado.  Con carácter preliminar, sin embargo, importa dar respuesta a la alegación del recurrente, apuntada ya en su demanda, según la cual la legitimación en este caso del Consejo Ejecutivo de la Generalidad de Cataluña derivaría ya, sin perjuicio de otros fundamentos, de lo dispuesto en el art. 4.2 de la Ley 7/1983, de 18 de abril, del Parlamento de Cataluña sobre «Normalización Lingüística», toda vez que, según se dice en el escrito de alegaciones de esta parte, «el expresado art.  4.2...  establece a favor del Consejo Ejecutivo de la Generalidad de Cataluña una amplia legitimación activa para actuar conjuntamente o en sustitución de los ciudadanos en lo que concierne al uso de la lengua». Este alegato, sin embargo, no puede aceptarse ahora en modo alguno como basamento para la legitimación pretendida, y ello sin entrar a examinar -por no ser pertinente en este proceso- la naturaleza misma de la disposición invocada.  Según su Ley Orgánica (art.  1.1), el Tribunal Constitucional se halla sometido sólo a la Constitución y a esta misma Ley, con la consecuencia, en este caso, de que no puede ni debe este Tribunal acoger legitimaciones procesales que no provengan directamente de la Constitución o, con los límites en ésta dispuestos, de su misma Ley Orgánica.</w:t>
      </w:r>
    </w:p>
    <w:p w:rsidR="00256EE9" w:rsidRDefault="00256EE9" w:rsidP="00256EE9">
      <w:pPr>
        <w:pStyle w:val="TextoNormal"/>
      </w:pPr>
      <w:r>
        <w:t>Para el recurso de amparo, la única regulación posible y atendible es, así, la recogida en el art.  162.1 b) de la Norma Fundamental, acogida y especificada en el art.  46 de la LOTC, normativa ésta cerrada y autosuficiente y que, como es claro, no podría resultar innovada por cualesquiera otras disposiciones ni tampoco, por lo mismo, por la Ley del Parlamento de Cataluña que el recurrente invoca.  Si éste se halla legitimado, por lo tanto, lo estará sólo en virtud de reunir las condiciones requeridas por el repetido art. 46.1 b) de la LOTC, que son las que procede examinar ahora.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los términos de la demanda y de las alegaciones del recurrente, su legitimación no puede ser reconocida, en primer lugar, porque, de hacerlo, se seguirían unas consecuencias inadmisibles, por inconsistentes con la naturaleza del recurso de amparo constitucional.  El Consejo Ejecutivo de la Generalidad de Cataluña pretende sostener aquí, en definitiva, un acto propio, ya defendido por este órgano en la vía previa contencioso-administrativa.  Tal defensa se quiere ligar ahora a una presunta quiebra del principio de igualdad originada a resultas de la invalidación de dicho acto en la citada vía contenciosa, discriminación que, a decir del actor, justificaría su queja actual pretendiendo la reparación de las lesiones así sufridas por otros.  Nada hay que decir ahora acerca de la genérica posibilidad de impetrar en el amparo constitucional la reparación de las violaciones de derechos ajenos (véase el fundamento jurídico 1 de la Sentencia 19/1983, de 14 de marzo, de la Sala Primera), siempre que se ostente al efecto «un interés legítimo», según se dijo ya y conforme se precisará, para este caso, en el fundamento siguiente.  Esta posibilidad, </w:t>
      </w:r>
      <w:r>
        <w:lastRenderedPageBreak/>
        <w:t>sin embargo, no puede extenderse, sin desfigurarse hasta la indiscriminada apertura del recurso de amparo para que, a su través, puedan los Poderes Públicos accionar frente a resoluciones judiciales que, invalidando sus actos, pudieran haber afectado también de cualquier modo, aunque ya secundariamente, a los derechos fundamentales de los ciudadanos.  Tal presunta afectación no será difícil apreciarla siempre que la resolución judicial anterior hubiese hecho aplicación del principio de igualdad, por la misma naturaleza relacional de la regla contenida en el art.  14 de la Constitución, pero de ello no se sigue que, con esta sola conexión, quede abierto el cauce del recurso de amparo para el ente público de que se trate.  Si se admitiera en este punto la argumentación actora, habría también que aceptar la irrazonable consecuencia de que todos los Poderes Públicos contarían con una genérica facultad impugnatoria de los actos igualmente públicos, que conculcasen derechos fundamentales de los ciudadanos, facultad ésta que se presentaría como un atípico medio de defensa ulterior de los propios actos cuando, como aquí ocurre, fuese el ente que recurre el autor, también, de la resolución invalidada por el acto judicial impugnado. No es necesario insistir en lo inadmisible de esta conclusión, que altera manifiestamente el sentido de este proceso constitucional y que priva también de todo fundamento a la legitimación institucional reconocida por la Constitución al Defensor del Pueblo y al Ministerio Fiscal.</w:t>
      </w:r>
    </w:p>
    <w:p w:rsidR="00256EE9" w:rsidRDefault="00256EE9" w:rsidP="00256EE9">
      <w:pPr>
        <w:pStyle w:val="TextoNormal"/>
      </w:pPr>
    </w:p>
    <w:p w:rsidR="00256EE9" w:rsidRDefault="00256EE9" w:rsidP="00256EE9">
      <w:pPr>
        <w:pStyle w:val="TextoNormal"/>
      </w:pPr>
      <w:r w:rsidRPr="00256EE9">
        <w:rPr>
          <w:rStyle w:val="NumeroAFNegritaCaracter"/>
        </w:rPr>
        <w:t>3</w:t>
      </w:r>
      <w:r>
        <w:t>. Considerada la cuestión desde otro ángulo -a partir del concepto mismo de «interés legítimo»- la solución no puede dejar de ser la misma.</w:t>
      </w:r>
    </w:p>
    <w:p w:rsidR="00256EE9" w:rsidRDefault="00256EE9" w:rsidP="00256EE9">
      <w:pPr>
        <w:pStyle w:val="TextoNormal"/>
      </w:pPr>
      <w:r>
        <w:t>En su demanda y también en sus alegaciones la representación actora ha reiterado la afirmación de que el Consejo Ejecutivo de la Generalidad de Cataluña ostenta aquel interés lo que, parece, se seguiría, a su entender, de las normas mismas, estatutarias y legislativas, que atribuyen a dicho órgano competencia y legitimación procesal, respectivamente, en el ámbito material de los derechos lingÜísticos de los ciudadanos.  Ahora bien, sin perjuicio de lo ya advertido en los fundamentos anteriores, es lo cierto que la noción constitucional aludida no puede potenciarse hasta tal punto que, extralimitándola, se le prive de toda consistencia propia.  «Interés legítimo» es, ciertamente, concepto diferente y más amplio que el de «interés directo», presente, por ejemplo, en la Ley de la Jurisdicción Contencioso-Administrativa (así se dijo en el fundamento jurídico 3 de la Sentencia 60/1982, de 11 de octubre de la Sala Segunda).  Pero, aún así, la noción que emplea nuestra Norma Fundamental en su art. 162.1 b) no puede dejar de entenderse como alusiva a un interés en sentido propio, cualificado o específico, que aquí notoriamente no se advierte.  El órgano, que es el Consejo Ejecutivo de la Generalidad, no tiene tal interés en la preservación de derechos que dice buscar o, si se quiere, no tiene aquí más intereses (esta vez en un sentido genérico e irrelevante para el problema que se considera) que los que ostenta todo ente u órgano de naturaleza «política» que procura fines generales y que ha de cumplir y respetar la legalidad, en su sentido más amplio, y hacerla cumplir en su ámbito de atribuciones.  Es del todo claro, sin embargo, que tales «intereses», así entendido, no son fundamento de legitimaciones procesales específicas en cada caso, sino, eventualmente, de competencias del propio órgano o ente en el ámbito material, territorial, etc. que corresponda.  Y resulta igualmente evidente que esta posición institucional del sujeto público no le legitima ad causam en el presente recurso.</w:t>
      </w:r>
    </w:p>
    <w:p w:rsidR="00256EE9" w:rsidRDefault="00256EE9" w:rsidP="00256EE9">
      <w:pPr>
        <w:pStyle w:val="TextoNormal"/>
      </w:pPr>
      <w:r>
        <w:t xml:space="preserve">Cabe presumir, por último, que el Consejo Ejecutivo de la Generalidad sí posea «interés» en el mantenimiento del acto invalidado en la vía contencioso-administrativa, pero tal presunción es aquí del todo irrelevante, si se repara en que el recurso de amparo no es una vía para la defensa por los Poderes Públicos de sus actos y de las potestades en que éstos </w:t>
      </w:r>
      <w:r>
        <w:lastRenderedPageBreak/>
        <w:t>se basen sino, justamente, un instrumento para la correcta limitación de tales potestades y la eventual depuración de aquellos actos en defensa de la libertad de los ciudadanos.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todo lo expuesto, la Sección ha acordado la inadmisión del presente recurso de amparo.</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01" w:name="AUTO_1985_140"/>
      <w:r>
        <w:lastRenderedPageBreak/>
        <w:t>AUTO 140/1985, de 27 de febrero de 1985</w:t>
      </w:r>
    </w:p>
    <w:bookmarkEnd w:id="201"/>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ECLI:ES:TC:1985:140A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855/1984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Procurador don Pablo Oterino Menéndez, en nombre y representación de don Belarmino Mayo Fernández, presentó ante este Tribunal demanda de amparo constitucional contra la Sentencia definitiva de fecha 11 de julio de 1984, dictada por el Juzgado de Instrucción núm. 1 de Oviedo, en las diligencias preparatorias penales núm. 104/1981, seguidas contra dicho recurrente por delito contra la seguridad del tráfico: resolución que fue confirmada por la Sección Primera de la Ilma. Audiencia Provincial, el día 9 de noviembre de 1984. En dicha demanda el señor Mayo Fernández interesaba por medio de un otrosí se acuerde la suspensión de los efectos de la Sentencia firme impugnada a fin de no impedir la efectividad de la pretensión de este proceso constitucional, todo ello al amparo de lo dispuesto en el art. 56 de la Ley Orgánica de este Tribunal.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23 de enero pasado la Sección acordó conceder un plazo de tres días al recurrente y al Ministerio Fiscal para alegaciones acerca de la suspensión solicitada. </w:t>
      </w:r>
    </w:p>
    <w:p w:rsidR="00256EE9" w:rsidRDefault="00256EE9" w:rsidP="00256EE9">
      <w:pPr>
        <w:pStyle w:val="TextoNormal"/>
      </w:pPr>
      <w:r>
        <w:t xml:space="preserve">Dentro del plazo concedido, el recurrente presentó escrito en el que reitera su petición de suspensión de la ejecutoria, ya que la privación del permiso de conducir a que fue condenado, le imposibilita para el ejercicio de su profesión de taxista, pese al carácter eventual que supone la decisión judicial adoptada con anterioridad a la resolución definitiva de este Tribunal, causándole un perjuicio irreversible e irreparable, sin que, por otra parte, de accederse a su solicitud, se atisbe lesión alguna a los derechos de terceros. </w:t>
      </w:r>
    </w:p>
    <w:p w:rsidR="00256EE9" w:rsidRDefault="00256EE9" w:rsidP="00256EE9">
      <w:pPr>
        <w:pStyle w:val="TextoNormal"/>
      </w:pPr>
      <w:r>
        <w:t>El Fiscal General del Estado se adhiere a la petición de suspensión del recurrente, toda vez que la privación del permiso de conducir, de cumplirse, dejaría al amparo sin finalidad, por la irreversibilidad de su cumplimiento. La medida de suspensión no parece que origine una perturbación grave en los intereses generales, ya que si hubiera de ejecutarse el fallo, la suspensión ahora decretada sólo supondría un retraso más bien ligero de su cumplimiento. Por ello entiende que hay razones basadas en la propia Ley Orgánica del Tribunal que abonan la suspensión solicitada.</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Desde el momento que este recurso ha sido admitido a trámite y no hay perturbación grave de los intereses generales o de los derechos fundamentales o libertades públicas de terceros que puedan derivarse de la suspensión de la ejecución, que es a lo que el art.  56 de la LOTC condiciona, en su caso, la suspensión, procede que adoptemos la indicada medida preventiva, pues en otro caso, podría perjudicarse la efectividad del amparo en la hipótesis -que no juzgamos ahora- que la demanda fuera acogida; y esta suspensión la acordamos sin afianzamiento, pues si el recurso no fuera estimado, todo el contenido sancionador tendría plena ejecución sin que ello añadiera algo el afianzamiento.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Sala decide suspender la ejecución de la Sentencia pronunciada por el Juez de Instrucción núm. 1 de Oviedo, en la causa 104/1981, en la que ha sido condenado Belarmino Mayo Fernández, como autor responsable de un delito contra la</w:t>
      </w:r>
    </w:p>
    <w:p w:rsidR="00256EE9" w:rsidRDefault="00256EE9" w:rsidP="00256EE9">
      <w:pPr>
        <w:pStyle w:val="TextoNormal"/>
      </w:pPr>
      <w:r>
        <w:t>seguridad del tráfico a la pena de 30.000 pesetas de multa con arresto sustitutorio, caso de impago, de quince días y privación por un año del permiso de conducir, así como al pago de las costas.</w:t>
      </w:r>
    </w:p>
    <w:p w:rsidR="00256EE9" w:rsidRDefault="00256EE9" w:rsidP="00256EE9">
      <w:pPr>
        <w:pStyle w:val="TextoNormal"/>
      </w:pPr>
    </w:p>
    <w:p w:rsidR="00256EE9" w:rsidRDefault="00256EE9" w:rsidP="00256EE9">
      <w:pPr>
        <w:pStyle w:val="TextoNormal"/>
      </w:pPr>
      <w:r>
        <w:t>Comuníquese esta decisión al indicado Juzgado, por medio de testimonio de esta resolución, a los efectos procedentes.</w:t>
      </w: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02" w:name="AUTO_1985_141"/>
      <w:r>
        <w:lastRenderedPageBreak/>
        <w:t>AUTO 141/1985, de 27 de febrero de 1985</w:t>
      </w:r>
    </w:p>
    <w:bookmarkEnd w:id="202"/>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ECLI:ES:TC:1985:141A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859/1984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Procuradora doña Rosina Montes Agustí, en nombre y representación de «Euzco Langilleen Alkartasuna - Solidaridad de Trabajadores Vascos» (ELA-STV), presentó demanda de amparo constitucional contra la Sentencia del Tribunal Central de Trabajo de 4 de octubre de 1984 que desestimó el recurso de suplicación interpuesto por la actora y varios más contra la Sentencia de Magistratura de Trabajo núm. 14 de Madrid de 9 de mayo de 1984, por la que se estimaba demanda de conflicto colectivo promovida por la Asociación Española de Banca Privada (AEB). La demanda se basa en los siguientes hechos: AEB formalizó conflicto colectivo contra ELA-STV y demás federaciones sindicales con representatividad en el sector, con objeto de que se reconociera que las únicas fiestas retribuidas y no recuperables a que los empleados de Banca Privada tienen derecho son las que resultan de la aplicación del art. 37.2 del Estatuto de los Trabajadores, y que las denominadas «medias fiestas por reducciones de jornada» han de entenderse reducidas a las señaladas en el art. 39.7 del Convenio de la Banca Privada. b) Celebrados sin avenencia los intentos de conciliación, se remitieron las actuaciones a la Magistratura de Trabajo, dictándose Sentencia en 9 de mayo de 1984, estimando la pretensión de la asociación empresarial. c) La Confederación demandante de amparo interpuso recurso especial de suplicación, fundado en infracción de determinados preceptos del Convenio Colectivo y del principio de respeto de las condiciones más beneficiosas, citando en apoyo de su postura diversas Sentencias del Tribunal Central de Trabajo. Este Tribunal dictó Sentencia desestimatoria en 4 de octubre de 1984. Estima la demandante de amparo que esta última resolución no da respuesta a las cuestiones formuladas en el recurso pues omite toda referencia a los argumentos planteados en él, lo que vulnera la obligación de los Tribunales de resolver las cuestiones que legítimamente se les formulen, infracción que supone la del art. 24.1 de la Constitución por originar indefensión a la parte. Denuncia igualmente la vulneración del art. 14 de la Constitución, pues el Tribunal Central se aparta en su Sentencia de pronunciamientos anteriores sobre supuestos idénticos sin justificar debidamente la modificación de criterio. Solicita se declare la nulidad de la Sentencia del Tribunal Central de Trabajo.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en providencia de 23 de enero pasado, puso de manifiesto la posible existencia de las causas de inadmisión reguladas por los arts. 50.1 b), en relación con el 44.1 c) de la Ley Orgánica del Tribunal Constitucional; la del 50.1 b), en relación con el </w:t>
      </w:r>
      <w:r>
        <w:lastRenderedPageBreak/>
        <w:t>49.2 a) y la del 50.2 b), y concedió un plazo común de diez días a la representación de la recurrente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su escrito de alegaciones, la representación de la Confederación demandante manifiesta que la violación del derecho constitucional, en lo que al art. 24.1 se refiere, se ha producido en la Sentencia del Tribunal Central de Trabajo, por lo que no cabía invocación de derecho constitucional en la vía judicial. Aporta copia de poder notarial para la subsanación del defecto señalado en el art. 49.2 a) de la LOTC. Insiste en denunciar la infracción de los arts. 24.1 y 14 de la Constitución, producida en la Sentencia del Tribunal Central de Trabajo y suplica la admisión del recurso de amparo y cuanto en derecho resulte procedente. </w:t>
      </w:r>
    </w:p>
    <w:p w:rsidR="00256EE9" w:rsidRDefault="00256EE9" w:rsidP="00256EE9">
      <w:pPr>
        <w:pStyle w:val="TextoNormal"/>
      </w:pPr>
      <w:r>
        <w:t xml:space="preserve">El Fiscal General del Estado estima que concurren en la demanda las causas de inadmisión señaladas por la providencia de 23 de enero. En cuanto a la violación de los derechos consagrados en los arts. 24.1 y 14 de la C.E. debiera haberse efectuado en el recurso especial de suplicación, pues de existir trasgresión, tuvo que ocurrir cuando se dictó Sentencia por la Magistratura de Trabajo núm. 14 de Madrid, que estimó la demanda. Respecto a la vulneración del derecho a la tutela judicial, el Tribunal Central ha razonado los puntos sometidos a litigio y ha utilizado argumentos para resolver la materia planteada, lo que puede suponer una discrepancia con los criterios del recurrente, pero no una elusión del tema controvertido ni actuación arbitraria. Hubo por tanto un acceso a la jurisdicción, a un proceso con las debidas garantías y se dictó una resolución fundada en Derecho. </w:t>
      </w:r>
    </w:p>
    <w:p w:rsidR="00256EE9" w:rsidRDefault="00256EE9" w:rsidP="00256EE9">
      <w:pPr>
        <w:pStyle w:val="TextoNormal"/>
      </w:pPr>
      <w:r>
        <w:t>Se invoca también, como violado, el derecho a la igualdad, no ante la Ley, sino en la aplicación de la Ley, al haber cambiado de criterio los órganos judiciales. No es sin embargo, la primera vez que el Tribunal Central de Trabajo varía el criterio seguido por anteriores resoluciones, ni se inicia con esta Sentencia una nueva interpretación respecto a la doctrina consagrada del Tribunal Central de Trabajo, sino que es una más de las ya dictadas por éste conforme a sus nuevos razonamientos. De otra parte, la Sentencia debatida fundamenta el sentido de la decisión que luego toma, y el ámbito del conflicto que se refiere es distinto de aquellos que constituyen el objeto de las resoluciones invocadas como término de comparación. Solicita el Ministerio Fiscal se declare la inadmisibilidad del recurso, por concurrir las causas previstas en los arts. 50.1 b), en relación con el 44.1 c); 50.1 b), en relación con el 49.2 a), y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amplia fórmula subsanatoria que el art. 85.2 de la LOTC establece y el carácter subsanable de la no presentación del documento que acredite la representación, permite, en este momento, decir que la causa advertida en nuestra providencia del 23 de enero último, a tenor de lo que disponen los arts. 49.2 a) y 50.1 b) también de la LOTC, ha quedado sanada y, por esto, ningún obstáculo concurre, desde este aspecto de la falta de documentación de la representación, a la admisión del recurso.  Pero esto no quiere decir, sin embargo, que el recurso sea admisible, pues planteándose, ex novo, en el recurso de amparo que los derechos de los arts.  14 (en cuanto a la igualdad en la aplicación de la Ley) y 24.1 (en cuanto al derecho a la tutela judicial efectiva), habían sido violados, no hay en los debates judiciales pretensión alguna cualificada por la mención de derechos constitucionales vulnerados.  Sólo violaciones referentes al onus probandi, o a las excepciones de litispendencia y de cosa juzgada o a preceptos del Convenio Colectivo o al principio de la </w:t>
      </w:r>
      <w:r>
        <w:lastRenderedPageBreak/>
        <w:t>condición personal más beneficiosa, fueron las que definieron el marco de discusión en la suplicación, sin construirse sobre los indicados preceptos constitucionales motivo alguno de suplicación.</w:t>
      </w:r>
    </w:p>
    <w:p w:rsidR="00256EE9" w:rsidRDefault="00256EE9" w:rsidP="00256EE9">
      <w:pPr>
        <w:pStyle w:val="TextoNormal"/>
      </w:pPr>
    </w:p>
    <w:p w:rsidR="00256EE9" w:rsidRDefault="00256EE9" w:rsidP="00256EE9">
      <w:pPr>
        <w:pStyle w:val="TextoNormal"/>
      </w:pPr>
      <w:r w:rsidRPr="00256EE9">
        <w:rPr>
          <w:rStyle w:val="NumeroAFNegritaCaracter"/>
        </w:rPr>
        <w:t>2</w:t>
      </w:r>
      <w:r>
        <w:t>. Para salvar la inadecuación entre lo debatido en el proceso judicial y lo que se puede traer a debate en el presente proceso y eludir la inevitable aplicación del art. 44.1 c) de la LOTC, que por la vía del art. 50.1 b) también de esta Ley, es causa de inadmisión, argumenta el Sindicato recurrente que al menos la violación del derecho a la tutela judicial efectiva se ha producido en la Sentencia del Tribunal Central de Trabajo, argumentación que no extiende claramente al otro alegato. No hay inconveniente en aceptar que en cuanto se acusa aquí o una insuficiente motivación o un defecto de congruencia, pues no resulta preciso cuál de estos defectos se acusa a la Sentencia, la violación no ha tenido otras instancias judiciales para ser denunciadas.  Entendido en estos términos, es el momento de estudiar, desde el ángulo del art.  50.2 b) de la LOTC, si la invocada violación del derecho a la tutela judicial tiene alguna apariencia que justifique la admisión o si, por el contrario, no pasa de ser una alegación retórica enderezada a replantear en sede constitucional un problema de la exclusividad de la jurisdicción laboral.  Pues bien, las Sentencias, han de ser motivadas y congruentes, en el sentido de que han de expresar los hechos y la fundamentación jurídica (motivación) y dar una solución a las pretensiones ejercitadas y dentro de los términos de las mismas (congruencia). La Sentencia del Tribunal Central no puede ser acusada, en modo alguno, de inmotivada, pues contiene el desarrollo del juicio mental realizado por el Tribunal para llegar a la conclusión que es el fallo y da respuesta a cada uno de los motivos del recurso de suplicación.  Otra cuestión, distinta y ajena al derecho a la tutela judicial, es que el razonamiento de la Sentencia convenza o no a la parte o que ésta considere que alguno de sus argumentos no han obtenido precisa respuesta, pues ni esto afecta a la motivación, en la que es el Tribunal el que la construye valorando la relevancia o irrelevancia de los argumentos de parte, ni la congruencia medida por la adecuación entre pretensión y decisión, padece.  El recurso es, por tanto, inadmisible por manifiesta falta de contenido constitucional.</w:t>
      </w:r>
    </w:p>
    <w:p w:rsidR="00256EE9" w:rsidRDefault="00256EE9" w:rsidP="00256EE9">
      <w:pPr>
        <w:pStyle w:val="TextoNormal"/>
      </w:pPr>
    </w:p>
    <w:p w:rsidR="00256EE9" w:rsidRDefault="00256EE9" w:rsidP="00256EE9">
      <w:pPr>
        <w:pStyle w:val="TextoNormal"/>
      </w:pPr>
      <w:r w:rsidRPr="00256EE9">
        <w:rPr>
          <w:rStyle w:val="NumeroAFNegritaCaracter"/>
        </w:rPr>
        <w:t>3</w:t>
      </w:r>
      <w:r>
        <w:t>. No es sólo la causa de inadmisión del art.  50.1 b) en relación con el art. 44.1 c) de la LOTC, la que cabe aducir, respecto a la invocación del derecho a la igualdad, pues a ella se une la del art. 50.2 b).  Por de pronto, ni puede verse la invocación a la igualdad sin tener en cuenta la sujeción a la Ley (art. 9.1 de la Constitución) ni en el caso se acusa un apartamiento aislado y arbitrario de un criterio jurisprudencial consolidado, pues, por el contrario, la Sentencia se inserta en una interpretación jurisprudencial del Convenio Colectivo de la Banca a partir de 1982, que aunque modifica un criterio anterior, se mantiene con reiteración por entender que ésta es la correcta a la vista del Convenio y del art.  37.2 del Estatuto de los Trabajadores.</w:t>
      </w:r>
    </w:p>
    <w:p w:rsidR="00256EE9" w:rsidRDefault="00256EE9" w:rsidP="00256EE9">
      <w:pPr>
        <w:pStyle w:val="TextoNormal"/>
      </w:pPr>
      <w:r>
        <w:t>Mediante una argumentación igual a la de otras precedentes, en la misma línea, se considera por el Tribunal Central la regulación de la jornada laboral contenida en el art.  39 del Convenio como canceladora de las condiciones más beneficiosas anteriores e impone la aplicación del Convenio y del Estatuto de los Trabajadores.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interpuesto por la Confederación Sindical «Euzco Languilleen Alkartasuna - Solidaridad de Trabajadores Vascos» (ELA-STV).</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03" w:name="AUTO_1985_142"/>
      <w:r>
        <w:lastRenderedPageBreak/>
        <w:t>AUTO 142/1985, de 27 de febrero de 1985</w:t>
      </w:r>
    </w:p>
    <w:bookmarkEnd w:id="203"/>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ECLI:ES:TC:1985:142A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861/1984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Antonio García Fernández, don Joaquín Barreiro Manzano, doña Elena Villar Casarejos, don José Pereira de Castro, don Alfonso Fernández Pazos, don Fernando Barreiro Barciela, don Manuel Garrote Moldes y don Antonio García Pérez representados por Procurador y con asistencia de Abogado interpusieron el presente recurso de amparo mediante demanda presentada el 7 de diciembre pasado en el Registro de este Tribunal. En dicha demanda se expone que los demandantes fueron trabajadores por cuenta ajena, al servicio del Notario de la ciudad de Vigo don José Vicente Martínez Borso hasta el día 20 de marzo de 1980 fecha en la cual cesó esta prestación por traslado del referido Notario a Barcelona. A partir de ese momento, afirman haber realizado diversas gestiones para alcanzar la declaración, por la Autoridad competente, de su situación legal de desempleo. </w:t>
      </w:r>
    </w:p>
    <w:p w:rsidR="00256EE9" w:rsidRDefault="00256EE9" w:rsidP="00256EE9">
      <w:pPr>
        <w:pStyle w:val="TextoNormal"/>
      </w:pPr>
      <w:r>
        <w:t xml:space="preserve">Así se dirigieron, en un primer momento, a la Delegación Provincial de Trabajo de Vigo, instando la apertura de expediente de regulación de empleo y la consiguiente declaración de su situación legal de desempleo. Al declarar la Delegación Provincial improcedente tal petición, con base en que los solicitantes no se hallaron en relación laboral, al ser «empleados de fedatario público», los interesados, además de recurrir en alzada este acuerdo ante la Dirección General de Trabajo, dedujeron de nuevo su petición ante el Instituto Nacional de la Seguridad Social. Ante la nueva desestimación por parte de este organismo, interpusieron demanda contra el Instituto Nacional de Empleo ante la Magistratura de Trabajo núm. 1 de la ciudad de Vigo. La demanda y el proceso subsiguiente fueron resueltos en Sentencia de la Magistratura de Trabajo, en fecha que los recurrentes no indican. En su Sentencia, la Magistratura estimó que los actores perdieron su puesto de trabajo a resultas de un evento no previsto, como tal, en el ordenamiento a efectos de la subsiguiente declaración de situación de desempleo, como condición previa para la obtención de la prestación correspondiente. Ello no obstante, el Magistrado entendió que nada hubiera impedido a la Administración laboral (no al Instituto Nacional de Empleo, a quien erróneamente acudieron los interesados y frente a quien dirigieron su acción en vía laboral) integrar tal laguna mediante el recurso a la analogía con los casos de muerte, jubilación o incapacidad del empresario, abriendo al efecto el oportuno expediente y concluyendo, en su caso, en la declaración de la situación legal de desempleo. Sin embargo, se añade también en la Sentencia, los demandantes debieron de actuar de otro modo, no acudiendo directamente al proceso laboral, sino atacando antes en vía administrativa -y después, en su </w:t>
      </w:r>
      <w:r>
        <w:lastRenderedPageBreak/>
        <w:t xml:space="preserve">caso, en recurso contencioso-administrativo- la resolución de la Dirección General de Trabajo que no acogió su solicitud en tal sentido. </w:t>
      </w:r>
    </w:p>
    <w:p w:rsidR="00256EE9" w:rsidRDefault="00256EE9" w:rsidP="00256EE9">
      <w:pPr>
        <w:pStyle w:val="TextoNormal"/>
      </w:pPr>
      <w:r>
        <w:t xml:space="preserve">Al entender los hoy recurrentes demandantes de amparo insatisfecha su pretensión recurrieron, en fecha que no señalan, contra la Sentencia de la Magistratura de Trabajo ante el Tribunal Supremo. Su recurso fue resuelto por Sentencia de 8 de octubre de 1984 (el acto impugnado en amparo) en la que se confirmó la resolución recurrida, señalándose la misma falta de reacción contra los actos de la Autoridad laboral en vía administrativa y contencioso-administrativa. </w:t>
      </w:r>
    </w:p>
    <w:p w:rsidR="00256EE9" w:rsidRDefault="00256EE9" w:rsidP="00256EE9">
      <w:pPr>
        <w:pStyle w:val="TextoNormal"/>
      </w:pPr>
      <w:r>
        <w:t xml:space="preserve">Sin embargo, los demandantes de amparo sí afirman haber acudido a esta vía cuya carencia constataron las Sentencias anteriores, por más que reconocen expresamente lo incorrecto de su obrar procesal, pues, a lo que parece, simultanearon ambos procedimientos, con la consecuencia de que el recurso contencioso-administrativo frente al acto de la Dirección General de Empleo fue resuelto una vez agotada ya la vía jurisdiccional laboral. </w:t>
      </w:r>
    </w:p>
    <w:p w:rsidR="00256EE9" w:rsidRDefault="00256EE9" w:rsidP="00256EE9">
      <w:pPr>
        <w:pStyle w:val="TextoNormal"/>
      </w:pPr>
      <w:r>
        <w:t>La Sentencia de la Audiencia Territorial de La Coruña que puso término a este recurso (en fecha igualmente omitida) reconoció, sí, la condición de trabajadores por cuenta ajena de los recurrentes, constatando su situación de desempleo, pero, al tiempo, confirmó la rectitud del actuar de la Autoridad laboral, toda vez que ésta no podía declarar dicha situación sino a resultas de la suspensión de los contratos de trabajo tras del oportuno expediente, lo que no procedía en el presente caso, al no tratarse de suspensión sino de extinción definitiva de la relación laboral. En todo caso la Audiencia indicó a los recurrentes que la Autoridad competente para reconocer el derecho a la prestación por desempleo que reclamaba era sólo el Instituto Nacional de Empleo.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fundamentación en Derecho de la demanda puede resumirse como sigue: consideran los recurrentes -tras delatar la, a su juicio, contradicción entre los fallos obtenidos de la jurisdicción laboral y de la contencioso-administrativa- que ha quedado violado su derecho fundamental reconocido en el art. 14 de la Constitución por la Sentencia del Tribunal Supremo recurrida. Tal lesión la entienden producida primero -dicen- por la inseguridad jurídica que les habría deparado la referida contradicción entre resoluciones jurisdiccionales, y en segundo lugar porque existirían «otras» resoluciones de los Tribunales en las que, decidiendo sobre casos similares, se habría reconocido el derecho por ellos reclamado. Citan, en este último sentido, la Sentencia de la Audiencia Territorial de Albacete (autos 143/1982) en la cual se habría obtenido, a juicio, una decisión estimatoria sobre supuestos análogos al propio. </w:t>
      </w:r>
    </w:p>
    <w:p w:rsidR="00256EE9" w:rsidRDefault="00256EE9" w:rsidP="00256EE9">
      <w:pPr>
        <w:pStyle w:val="TextoNormal"/>
      </w:pPr>
      <w:r>
        <w:t xml:space="preserve">Consideran igualmente violado el art. 41 de la Constitución. </w:t>
      </w:r>
    </w:p>
    <w:p w:rsidR="00256EE9" w:rsidRDefault="00256EE9" w:rsidP="00256EE9">
      <w:pPr>
        <w:pStyle w:val="TextoNormal"/>
      </w:pPr>
      <w:r>
        <w:t>Finalmente, solicitan los recurrentes de este Tribunal la anulación de la Sentencia citada de la Sala Sexta del Tribunal Supremo, de 8 de octubre de 1984, así como la declaración de su derecho a ser considerados en situación legal de desempleo, con el consiguiente derecho a obtener la prestación económica al efecto prevista. Se añade la solicitud de que por el Tribunal se declare que su situación legal fue la de «trabajadores por cuenta ajena».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16 de enero pasado se acordó oír a la parte demandante y al Ministerio Fiscal acerca de la posible concurrencia de las siguientes causas de inadmisión del recurso: 1.ª La del art. 49.1 en relación con el 50.1 b) ambos de la Ley Orgánica de este Tribunal, por falta de precisión del amparo que se solicita y de claridad en la exposición de hechos que lo fundamentan. 2.ª La del art. 50.2 b) de la misma Ley Orgánica en cuanto pudiera entenderse dirigido el recurso contra actos o derechos no susceptibles de amparo. 3.ª La del art. 50.1 b) en relación con el 49.2 b) de la indicada Ley Orgánica, en cuanto no </w:t>
      </w:r>
      <w:r>
        <w:lastRenderedPageBreak/>
        <w:t>se aporta copia, traslado o certificación de la resolución impugnada. 4.ª La del art. 50.1 b) en relación con el 44.1 c), por no constar que se haya invocado formalmente en el proceso el derecho constitucional vulnerado. 5.ª La del art. 50.2 b) de la misma Ley Orgánica por cuanto la demanda pudiera carecer manifiestamente de contenido que justifique una decisión por parte del Tribunal Constitucional.</w:t>
      </w:r>
    </w:p>
    <w:p w:rsidR="00256EE9" w:rsidRDefault="00256EE9" w:rsidP="00256EE9">
      <w:pPr>
        <w:pStyle w:val="TextoNormal"/>
      </w:pPr>
    </w:p>
    <w:p w:rsidR="00256EE9" w:rsidRDefault="00256EE9" w:rsidP="00256EE9">
      <w:pPr>
        <w:pStyle w:val="TextoNormal"/>
      </w:pPr>
      <w:r w:rsidRPr="00256EE9">
        <w:rPr>
          <w:rStyle w:val="NumeroAFNegritaCaracter"/>
        </w:rPr>
        <w:t>4</w:t>
      </w:r>
      <w:r>
        <w:t>. En el escrito correspondiente al trámite referido la representación de los demandantes formula, por ese mismo orden de exposición las siguientes alegaciones: 1.ª Que el amparo solicitado viene contenido en la súplica de la demanda al solicitarse que «los recurrentes tienen derecho a ser declarados en situación legal de desempleo...» Ello con base en el hecho de que, en iguales circunstancias otros trabajadores de Notarías fueron declarados trabajadores por cuenta ajena, con derecho a la percepción del Seguro de Desempleo. 2.ª Que habiéndose dictado Sentencias por las que se declaró que los que prestaban servicios en las Notarías eran trabajadores por cuenta ajena, al declararse lo contrario por la Magistratura y el Tribunal Supremo, se viola el principio constitucional de la igualdad jurídica y del mismo tratamiento, en idénticas circunstancias. 3.ª Que con la demanda se acompañó copia de la Sentencia de la Magistratura -de la cual se trae causa- y de la del Tribunal Supremo. 4.ª Que no pudo realizarse la alegación referida en el correlativo [art. 44.1 c)] hasta que fue firme la Sentencia del Tribunal Supremo que se impugna, pues al ser la última instancia no existe -con anterioridad- tal posibilidad. 5.ª Que se atiene al contenido de la demanda.</w:t>
      </w:r>
    </w:p>
    <w:p w:rsidR="00256EE9" w:rsidRDefault="00256EE9" w:rsidP="00256EE9">
      <w:pPr>
        <w:pStyle w:val="TextoNormal"/>
      </w:pPr>
    </w:p>
    <w:p w:rsidR="00256EE9" w:rsidRDefault="00256EE9" w:rsidP="00256EE9">
      <w:pPr>
        <w:pStyle w:val="TextoNormal"/>
      </w:pPr>
      <w:r w:rsidRPr="00256EE9">
        <w:rPr>
          <w:rStyle w:val="NumeroAFNegritaCaracter"/>
        </w:rPr>
        <w:t>5</w:t>
      </w:r>
      <w:r>
        <w:t>. En el mismo trámite el Ministerio Fiscal ha expuesto que concurren las causas de inadmisión puestas de manifiesto, si bien, respecto de la segunda, puntualiza que quedaría como admisible la invocación del art. 14 de la Constitución.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Aun haciendo abstracción de la posible carencia manifiesta de contenido constitucional de la demanda [art. 50.2 b) de la LOTC], por la misma dificultad apreciable en la inteligencia y comprensión de la misma, a lo que coadyuva el no acompañarse copias de las resoluciones impugnadas -bien sea sólo de la Sentencia de la Sala Sexta del Tribunal Supremo, bien se quiera recurrir también contra la de Magistratura de Trabajo-, se incide de este modo en la causa de inadmisión prevista en el art. 50.1 b) en relación con el 49.2 b) de la misma Ley.</w:t>
      </w:r>
    </w:p>
    <w:p w:rsidR="00256EE9" w:rsidRDefault="00256EE9" w:rsidP="00256EE9">
      <w:pPr>
        <w:pStyle w:val="TextoNormal"/>
      </w:pPr>
    </w:p>
    <w:p w:rsidR="00256EE9" w:rsidRDefault="00256EE9" w:rsidP="00256EE9">
      <w:pPr>
        <w:pStyle w:val="TextoNormal"/>
      </w:pPr>
      <w:r w:rsidRPr="00256EE9">
        <w:rPr>
          <w:rStyle w:val="NumeroAFNegritaCaracter"/>
        </w:rPr>
        <w:t>2</w:t>
      </w:r>
      <w:r>
        <w:t>. Al mismo resultado conduce la reconocida falta de invocación del derecho presuntamente vulnerado, requisito exigido en el art. 50.1 b), en relación con el 44.1 c) de la propia Ley, y ello en razón a que tal denuncia hubo de producirse al recurrir ante la Sala Sexta del Tribunal Supremo, desde el punto en que -en su caso- aquella violación o quebranto se operó ya al dictarse la Sentencia por la Magistratura de Trabajo.</w:t>
      </w:r>
    </w:p>
    <w:p w:rsidR="00256EE9" w:rsidRDefault="00256EE9" w:rsidP="00256EE9">
      <w:pPr>
        <w:pStyle w:val="TextoNormal"/>
      </w:pPr>
    </w:p>
    <w:p w:rsidR="00256EE9" w:rsidRDefault="00256EE9" w:rsidP="00256EE9">
      <w:pPr>
        <w:pStyle w:val="TextoNormal"/>
      </w:pPr>
      <w:r w:rsidRPr="00256EE9">
        <w:rPr>
          <w:rStyle w:val="NumeroAFNegritaCaracter"/>
        </w:rPr>
        <w:t>3</w:t>
      </w:r>
      <w:r>
        <w:t>. Los derechos que puedan dimanar del esgrimido art. 41 de la C.E.  no están protegidos por esta vía del amparo, ajustándonos a las previsiones del art.  50.2 a)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inadmisión de este recurso de amparo.</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04" w:name="AUTO_1985_143"/>
      <w:r>
        <w:lastRenderedPageBreak/>
        <w:t>AUTO 143/1985, de 27 de febrero de 1985</w:t>
      </w:r>
    </w:p>
    <w:bookmarkEnd w:id="204"/>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ECLI:ES:TC:1985:143A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862/1984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Federación Estatal de Banca y Ahorro de Comisiones Obreras, representada por la Procuradora doña Isabel Cañedo Vega, formuló demanda de amparo contra la Sentencia del Tribunal Central de Trabajo de 4 de octubre de 1984 que desestimó recurso de suplicación contra la Sentencia de la Magistratura de Trabajo núm. 14 de Madrid estimatoria de conflicto colectivo promovido por la Asociación Española de la Banca Privada (AEB). </w:t>
      </w:r>
    </w:p>
    <w:p w:rsidR="00256EE9" w:rsidRDefault="00256EE9" w:rsidP="00256EE9">
      <w:pPr>
        <w:pStyle w:val="TextoNormal"/>
      </w:pPr>
      <w:r>
        <w:t xml:space="preserve">La demanda se basa en los siguientes hechos: AEB formalizó en 20 de diciembre de 1983 un conflicto colectivo contra las Centrales Sindicales con representatividad en el sector, con el objeto de que se reconociera que las únicas fiestas retribuidas y no recuperables a que los empleados de Banca tienen derecho son aquéllas que resulten de la aplicación del art. 37.2 del Estatuto de los Trabajadores y que las denominadas medias fiestas o reducciones de jornada que se disfrutaron en otros momentos, han de entenderse reducidas y limitadas exclusivamente a las que como tales señala el art. 39.7 del Convenio Colectivo de Banca Privada. b) Celebrados sin avenencia los respectivos intentos de conciliación, se remitieron las actuaciones a la Magistratura de Trabajo, dictándose Sentencia por la núm. 14 de Madrid, en 9 de mayo de 1984, estimando la pretensión de la asociación empresarial. </w:t>
      </w:r>
    </w:p>
    <w:p w:rsidR="00256EE9" w:rsidRDefault="00256EE9" w:rsidP="00256EE9">
      <w:pPr>
        <w:pStyle w:val="TextoNormal"/>
      </w:pPr>
      <w:r>
        <w:t xml:space="preserve">c) Contra esta Sentencia, interpusieron los recurrentes de amparo recurso especial de suplicación. En el mismo, concretamente CC.OO. solicitó la aceptación de la excepción de cosa juzgada pues el mismo conflicto había sido ya resuelto por los Tribunales en relación con Bancos y localidades concretas, y el reconocimiento del derecho al disfrute de las festividades y jornadas reducidas como condición más beneficiosa. El Tribunal Central de Trabajo dictó Sentencia desestimatoria en 4 de octubre de 1984. La Federación recurrente señala que la Sentencia impugnada contiene doctrina idéntica a la establecida por el Tribunal Central de Trabajo a partir de junio de 1983, pero contraria a la sentada con anterioridad a dicha fecha, sin que se encuentre fundamentado el giro interpretativo. </w:t>
      </w:r>
    </w:p>
    <w:p w:rsidR="00256EE9" w:rsidRDefault="00256EE9" w:rsidP="00256EE9">
      <w:pPr>
        <w:pStyle w:val="TextoNormal"/>
      </w:pPr>
      <w:r>
        <w:t xml:space="preserve">La demanda considera vulnerado el art. 24.1 de la Constitución porque el rechazo de la excepción de cosa juzgada supone que aquellos colectivos que en su día obtuvieron Sentencia favorable, van a verse afectados por la actual Sentencia. Solicita se declare la nulidad de la Sentencia del Tribunal Central para que se dicte otra con absoluta libertad de criterio en orden a la interpretación del art. 39.7 del Convenio Colectivo de Banca Privada, y se declare dicha nulidad porque impide el pleno ejercicio del derecho a la tutela judicial </w:t>
      </w:r>
      <w:r>
        <w:lastRenderedPageBreak/>
        <w:t>de determinados colectivos que tuvieron Sentencias firmes reconociéndoles derechos que la recurrida suprime.</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en providencia de 23 de enero pasado, acordó conceder un plazo de diez días a la recurrente y al Ministerio Fiscal para que pudieran presentar las alegaciones oportunas en orden a la posible existencia de las causas de inadmisión reguladas por los arts. 50.1 b), en relación al 44.1 c) de la Ley Orgánica de este Tribunal, y la del 50.2 b)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parte recurrente presentó escrito de alegaciones en su momento haciendo constar que la violación del derecho constitucional se produce por la Sentencia del Tribunal Central de Trabajo de 4 de octubre de 1984, por lo que la invocación formal sólo cabe hacerla en el recurso de amparo que se formuló en su día. La Sentencia referida viola los arts. 14 y 24 de la Constitución. La violación del art. 14 deviene de la disparidad de criterios interpretativos que sobre el art. 39.7 del Convenio Colectivo de Banca ha efectuado el Tribunal Central de Trabajo, que son uniformes hasta la Sentencia de 28 de junio de 1983 y contrarios a ese criterio a partir de la citada Sentencia, sin que existan argumentos en orden a las razones que le llevaron a modificar el criterio. La violación del art. 24 de la C.E. se produce porque el fallo de la Sentencia impugnada afecta a colectivos inferiores (provinciales, locales, bancos concretos) que tuvieron Sentencias firmes anteriores y que están incluidos no obstante en el ámbito de aplicación y efectos de la Sentencia de 4 de octubre de 1984. </w:t>
      </w:r>
    </w:p>
    <w:p w:rsidR="00256EE9" w:rsidRDefault="00256EE9" w:rsidP="00256EE9">
      <w:pPr>
        <w:pStyle w:val="TextoNormal"/>
      </w:pPr>
      <w:r>
        <w:t xml:space="preserve">En orden a la inadmisibilidad deducida del art. 50.2 b) de la LOTC, se remite a los argumentos del propio Tribunal Constitucional en el punto séptimo de la fundamentación jurídica de la Sentencia 2/1983, de 24 de enero, dado que frente a supuestos de hecho que convergen en la interpretación del art. 39.7 del Convenio de Banca Privada, se han producido consecuencias jurídicas distintas no fundamentadas, con lo que se viola el art. 14 de la C.E. Respecto al art. 24.1 de la C.E. la Sentencia priva de tutela efectiva y causa indefensión precisamente a esos colectivos inferiores contenidos en un ámbito que habían obtenido Sentencias favorables, ya que las Empresas bien pueden aplicar esta última Sentencia, que afecta a la totalidad del sector bancario, desoyendo la firmeza de las anteriores. </w:t>
      </w:r>
    </w:p>
    <w:p w:rsidR="00256EE9" w:rsidRDefault="00256EE9" w:rsidP="00256EE9">
      <w:pPr>
        <w:pStyle w:val="TextoNormal"/>
      </w:pPr>
      <w:r>
        <w:t xml:space="preserve">El Fiscal General del Estado, evacuando el trámite conferido, pone de manifiesto que la supuesta vulneración de los derechos consagrados en los arts. 24.1 y 14 de la C.E. es alegada por primera vez por el recurrente en el recurso de amparo, siendo así que de producirse la transgresión, tuvo que ocurrir cuando se dictó Sentencia por la Magistratura de Trabajo núm. 14 de Madrid, ya que el Tribunal Central de Trabajo no introdujo ninguna novedad, pues confirmó aquella resolución. La invocación de la violación debió hacerse en el recurso especial de suplicación. Se dice en la demanda que se viola el art. 24.1 de la C.E. por tratarse en el presente caso de un conflicto que alcanza a todos los trabajadores de la Banca Privada, por lo que la Sentencia impugnada contradice las que el Tribunal Central de Trabajo ha dictado para bancos concretos y determinados. Sin embargo, la Sentencia de 4 de octubre de 1984 sostiene que el actual conflicto y los que se mencionan de otros procesos, «se han sustanciado entre diferentes partes y en distinto ámbito... pudiendo coexistir independientemente los distintos pronunciamientos». La tutela a que se refiere el art. 24.1 de la Constitución es de carácter procesal, instrumental o formal y no alcanza a la decisión adoptada sobre el fondo del proceso. Respecto a la invocación de violación del derecho a la igualdad consagrado por el art. 14 de la C.E. dice el Fiscal que el Tribunal Central de Trabajo varía el criterio seguido por anteriores resoluciones en el punto ahora discutido a partir de la Sentencia de 28 de junio de 1983. La Sentencia impugnada es una </w:t>
      </w:r>
      <w:r>
        <w:lastRenderedPageBreak/>
        <w:t xml:space="preserve">más de las ya dictadas por este Tribunal conforme a sus nuevos razonamientos, fundadamente argumentados en la misma, y el ámbito del conflicto es distinto de aquéllos que constituyen el objeto de las resoluciones invocadas como término de comparación. </w:t>
      </w:r>
    </w:p>
    <w:p w:rsidR="00256EE9" w:rsidRDefault="00256EE9" w:rsidP="00256EE9">
      <w:pPr>
        <w:pStyle w:val="TextoNormal"/>
      </w:pPr>
      <w:r>
        <w:t>Interesa el Ministerio Fiscal se dicte Auto declarando la inadmisión del recurso de amparo por concurrir las causas previstas en los arts. 50.1 b), en relación con el 44.1 c); 50.1 b) en relación con el 49.2 a), y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Las cuestiones que se han suscitado en las instancias laborales -la instancia y luego la suplicación ante el Tribunal Central- en torno al art. 39 del Convenio Colectivo de la Banca Privada y, desde este Convenio, al art.  37.2 del Estatuto de los Trabajadores respecto a las fiestas retribuidas y no recuperables, no plantean tema alguno referente a derechos y libertades fundamentales susceptibles de amparo. Bien lo han comprendido así las partes demandantes cuando han eludido toda consideración al respecto y han situado el amparo en torno a dos temas a los que asignan una consideración constitucional cuales son los de la eficacia jurídico-material de la Sentencia recaída en el proceso laboral, respecto de situaciones creadas en virtud de otras Sentencias anteriores, lo que pretenden relacionar con el art. 24.1 de la Constitución, y los del cambio de criterio jurisprudencial en cuanto a las indicadas relaciones entre el art. 39 del Convenio y el art.  37.2 del Estatuto de los Trabajadores, que creen es contraria al principio de igualdad en la aplicación de la Ley.  Luego veremos que desde ninguno de estos dos aspectos tiene la demanda relevancia constitucional y que, por esto, está incursa en la causa de inadmisión del art.  50.2 b) de la LOTC, pues antes hemos de ver si el amparo cumple el requisito del art. 44.1 c).</w:t>
      </w:r>
    </w:p>
    <w:p w:rsidR="00256EE9" w:rsidRDefault="00256EE9" w:rsidP="00256EE9">
      <w:pPr>
        <w:pStyle w:val="TextoNormal"/>
      </w:pPr>
    </w:p>
    <w:p w:rsidR="00256EE9" w:rsidRDefault="00256EE9" w:rsidP="00256EE9">
      <w:pPr>
        <w:pStyle w:val="TextoNormal"/>
      </w:pPr>
      <w:r w:rsidRPr="00256EE9">
        <w:rPr>
          <w:rStyle w:val="NumeroAFNegritaCaracter"/>
        </w:rPr>
        <w:t>2</w:t>
      </w:r>
      <w:r>
        <w:t>. Para obviar el claro incumplimiento de este requisito la parte actora dice que el recurso se dirige contra la Sentencia del Tribunal Central y no contra la que pronunció la Magistratura de Trabajo, y que, por esto, no fue el recurso de suplicación el cauce que tuvo para plantear el problema constitucional.  Siendo, sin embargo, la del Tribunal Central de Trabajo confirmatoria de la que pronunció el Magistrado de Trabajo y estando en ésta una determinada aplicación de la Ley y un ámbito de decisión que no ha sido alterado por el Tribunal Central, lo que se acusa de que la eficacia trasciende del concreto proceso para incidir en otras situaciones juzgadas y que acoge una aplicación de la Ley que contraría a la igualdad, aquélla bajo la mención del art. 24.1 de la Constitución y esto mediante la invocación del art.  14 de la Constitución, estaba ya en la Sentencia de instancia y, por esto, a ello no añade la de suplicación, con su propia fundamentación no discrepante de la del Magistrado de Trabajo, otra cosa que la confirmación.  Como corresponde a lo que es el recurso de amparo y a la significación del art.  44.1 c), si la parte actora creía que había materia constitucional debió articularla a través del motivo correspondiente en el recurso de suplicación.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No es sola la causa de inadmisión del art.  50.1 b) en relación con el art. 44.1 c) de la LOTC la que concurre en este caso, pues a ella se une, como decíamos, la del art.  50.2 b).  Por de pronto, ni al ámbito del precedente puede vérsele de espaldas a la sujeción a la Ley (art.  9.1 de la Constitución) ni en el caso se acusa un apartamiento aislado y arbitrario de un criterio jurisprudencial consolidado, pues, por el contrario, si bien es cierto que con anterioridad a la vigencia del Convenio Colectivo de la Banca para 1982, la jurisprudencia </w:t>
      </w:r>
      <w:r>
        <w:lastRenderedPageBreak/>
        <w:t>del Tribunal Central -y de las Magistraturas- se orientó en el sentido favorable a mantener como condiciones más beneficiosas las jornadas festivas y las de horario reducido obtenidas por pacto o costumbre, y esta misma línea jurisprudencial es la que se mantiene en los comienzos del indicado Convenio, se introduce un cambio interpreta ivo que se fundamenta en que el Convenio de 1982 modifica la normativa reguladora de la materia y que puede verse en la Sentencia del Tribunal Central de Trabajo del 28 de junio de 1983, y que se mantiene en otras sucesivas y, desde luego, en la que es objeto de amparo, pues se ajusta a la línea interpretativa actualmente imperante.</w:t>
      </w:r>
    </w:p>
    <w:p w:rsidR="00256EE9" w:rsidRDefault="00256EE9" w:rsidP="00256EE9">
      <w:pPr>
        <w:pStyle w:val="TextoNormal"/>
      </w:pPr>
    </w:p>
    <w:p w:rsidR="00256EE9" w:rsidRDefault="00256EE9" w:rsidP="00256EE9">
      <w:pPr>
        <w:pStyle w:val="TextoNormal"/>
      </w:pPr>
      <w:r w:rsidRPr="00256EE9">
        <w:rPr>
          <w:rStyle w:val="NumeroAFNegritaCaracter"/>
        </w:rPr>
        <w:t>4</w:t>
      </w:r>
      <w:r>
        <w:t>. Desde la otra vertiente -la del art.  24.1- acusa el recurrente que la extensión de la Sentencia a todos los colectivos, incluidos los que en su día obtuvieron Sentencia favorable respecto al mantenimiento de un régimen laboral más favorable, es contraria al derecho a la tutela judicial de aquellos favorecidos por otros pronunciamientos firmes.  La cuestión no tiene dimensión constitucional, pues ni la Sentencia invalida los pronunciamientos anteriores ni éstos pudieron obstar al pronunciamiento impugnado, pues no concurrían los requisitos de la excepción de cosa juzgada, pues ni los sujetos eran los mismos ni lo es tampoco en sentido estricto el objeto.  Coexisten los distintos pronunciamientos, que podrán producir sus efectos a las partes que los obtuvieron y circunscritos al tema que en ellos se planteó.</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planteado por la Federación Estatal de Banca y Ahorro de Comisiones Obreras.</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05" w:name="AUTO_1985_144"/>
      <w:r>
        <w:lastRenderedPageBreak/>
        <w:t>AUTO 144/1985, de 27 de febrero de 1985</w:t>
      </w:r>
    </w:p>
    <w:bookmarkEnd w:id="205"/>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ECLI:ES:TC:1985:144A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874/1984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Registro General de este Tribunal el 11 de diciembre de 1984, don Adolfo Morales Vilanova, Procurador de los Tribunales, interpuso en nombre y representación de la empresa «La Farga Casanova, S. A.» «recurso de amparo constitucional contra las Sentencias de 5 de octubre de 1984 del Tribunal Central de Trabajo y de 16 de marzo de 1984 de la Magistratura de Trabajo de Gerona con apoyo en los siguientes hechos: a) En fecha 6 de diciembre de 1983, los miembros del Comité de Empresa de las factorías que la hoy recurrente tiene en Ripoll y Campdevanol incoaron conflicto colectivo ante el Departamento de Trabajo de la Generalidad de Cataluña, alegando que por parte de la Dirección no se cumple la modificación emanada de la Ley 4/1983, de 29 de junio, referente a la reducción de jornada a 40 horas semanales, siendo la actual de nuestra Empresa de 41,67 horas semanales» y solicitando la resolución del conflicto. </w:t>
      </w:r>
    </w:p>
    <w:p w:rsidR="00256EE9" w:rsidRDefault="00256EE9" w:rsidP="00256EE9">
      <w:pPr>
        <w:pStyle w:val="TextoNormal"/>
      </w:pPr>
      <w:r>
        <w:t>b) Celebrados sin avenencia los preceptivos actos de conciliación, el Servicio Territorial de la provincia de Gerona del Departamento de Trabajo de la Generalidad remitió a la jurisdicción ordinaria del orden laboral la documentación relativa al conflicto colectivo suscitado, en unión del correspondiente informe en el que se indicaba que los trabajadores al servicio de la demandada habían realizado un exceso de 15,06 horas sobre la jornada máxima laboral, exceso que «deberá ser abonado por la Empresa a los trabajadores como horas extraordinarias o compensado adecuadamente con tiempo de descanso». c) El 16 de marzo de 1984, la Magistratura de Trabajo de Gerona dictó Sentencia en la que declaraba «que a partir de la entrada en vigor de la Ley 4/1983, de 29 de junio pasado, la jornada máxima laboral para los trabajadores de ambos centros es de 40 horas semanales». Recurrida en suplicación la anterior resolución por la Empresa demandada, el Tribunal Central de Trabajo por la suya de 5 de octubre de 1984 revocó en parte la Sentencia de instancia, declarando «que la jornada de 1.850 horas realizada en el centro de Campdevanol y la de 1.841,40 efectuada en el centro de Ripoll se ha de acomodar a la nueva duración de 40 horas semanales».</w:t>
      </w:r>
    </w:p>
    <w:p w:rsidR="00256EE9" w:rsidRDefault="00256EE9" w:rsidP="00256EE9">
      <w:pPr>
        <w:pStyle w:val="TextoNormal"/>
      </w:pPr>
    </w:p>
    <w:p w:rsidR="00256EE9" w:rsidRDefault="00256EE9" w:rsidP="00256EE9">
      <w:pPr>
        <w:pStyle w:val="TextoNormal"/>
      </w:pPr>
      <w:r w:rsidRPr="00256EE9">
        <w:rPr>
          <w:rStyle w:val="NumeroAFNegritaCaracter"/>
        </w:rPr>
        <w:t>2</w:t>
      </w:r>
      <w:r>
        <w:t>. La demandante denuncia la vulneración por las Sentencias combatidas de los arts. 14 y 24.2 de la C.E. La aplicación por las resoluciones recurridas de las previsiones contenidas en la Ley 4/1983, en lugar de en el convenio colectivo, implica «la negación del pacto social (...), la violación del art. 82.3 de la E.T., ocasionándose con ello un tratamiento de</w:t>
      </w:r>
      <w:r>
        <w:lastRenderedPageBreak/>
        <w:t xml:space="preserve">sigual y discriminatorio entre las partes». Pero además y en segundo lugar, la postergación del convenio de Empresa y posterior aplicación de la indicada Ley son decisiones judiciales que implican dotar de retroactividad a esta norma legal, vulnerando el art. 3 del Código Civil y la disposición transitoria de la propia Ley 4/1983, lo que afecta a la seguridad en el tráfico jurídico y produce indefensión. </w:t>
      </w:r>
    </w:p>
    <w:p w:rsidR="00256EE9" w:rsidRDefault="00256EE9" w:rsidP="00256EE9">
      <w:pPr>
        <w:pStyle w:val="TextoNormal"/>
      </w:pPr>
      <w:r>
        <w:t>En el «suplico» de la demanda, se solicita la nulidad de las Sentencias impugnadas interesando de este Tribunal que declare el derecho de la recurrente «a que rija el convenio colectivo y calendario laboral, pactado entre Empresa y trabajadores en 20 de diciembre de 1982, desde 1 de enero a 29 de julio de 1983, a que se reconozca que en virtud de dicho convenio no se trabajaban ni se trabajaron los sábados en el año 1983, a que se reconozca que no se excedió el número máximo de horas de trabajo efectivo posible en el año 1983 con la entrada en vigor de la Ley 4/1983 desde 30 de julio de 1983, a que la puesta en práctica de la jornada de 40 horas semanales desde 30 de julio de 1983 no puede afectar a la ordenación global ni a la duración de la jornada de trabajo existentes en la Empresa a la entrada en vigor de la Ley 4/1983 ya que, en consecuencia, la recurrente no tiene obligación de variar o modificar los calendarios establecidos para el año 1983».</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23 de enero de 1985, la Sección acordó tener por interpuesto el presente recurso de amparo y conceder un plazo común de diez días al Ministerio Fiscal y a la solicitante de amparo a fin de que, dentro de dicho término, alegaren lo pertinente en relación con la posible existencia de los siguientes motivos de inadmisión: a) no haberse invocado formalmente en el proceso el derecho constitucional vulnerado [art. 44.1 c) en conexión con el 50.1 b), ambos de la Ley Orgánica del Tribunal Constitucional -LOTC-], y b) carecer la demanda manifiestamente de contenido que justifique una decisión por parte de este Tribunal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Evacuando el trámite, el Fiscal ante el Tribunal Constitucional, tras exponer los antecedentes de hechos, fundamentos de Derecho y pedimentos del presente recurso, manifiesta que, en efecto, la demanda de amparo no se ajusta al requisito previsto en el art. 44.1 c) de la LOTC, pues al impugnarse tanto la Sentencia de instancia como la dictada por el Tribunal Central de Trabajo, la recurrente debió invocar en el proceso el derecho constitucional vulnerado «tan pronto como, una vez conocida la violación, hubiere lugar para ello», lo que no se hizo en el momento apropiado, que fue el recurso de suplicación. De otro lado, señala el Ministerio Fiscal que la demandante alega una hipotética desigualdad y, sin embargo, sus argumentos se orientan a mostrar su discrepancia con los adoptados por los órganos judiciales, sin establecer términos comparativos concretos que permitan comprender el trato desigual que se denuncia, no pudiendo considerarse conculcado ni el derecho a la igualdad, ni el derecho a la tutela judicial efectiva. </w:t>
      </w:r>
    </w:p>
    <w:p w:rsidR="00256EE9" w:rsidRDefault="00256EE9" w:rsidP="00256EE9">
      <w:pPr>
        <w:pStyle w:val="TextoNormal"/>
      </w:pPr>
      <w:r>
        <w:t>Por lo expuesto, el Ministerio Fiscal interesa de este Tribunal dicte Auto declarando la inadmisión del recurso de amparo interpuesto por concurrir las causas comprendidas en los arts. 50.1 b) en relación con el 44.1 c), y 50.2 b), todos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su escrito de alegaciones, la recurrente comienza señalando que la violación denunciada se imputa directamente a la «decisión que pone fin al proceso, es decir, a la del Tribunal Central de Trabajo», por lo que es claro que no ha habido oportunidad procesal para invocar expresamente y de manera formal el derecho constitucional vulnerado, producido por la meritada decisión al omitir «todo razonamiento respecto de la pretensión </w:t>
      </w:r>
      <w:r>
        <w:lastRenderedPageBreak/>
        <w:t xml:space="preserve">básica y fundamental (...), sin examinar de forma patente, ni siquiera con referencias, el calendario laboral de Empresa». Es, en suma, la Sentencia del Tribunal Central de Trabajo que ha infringido el derecho a obtener una resolución fundada en Derecho consagrado por el art. 24.1 de la C.E. </w:t>
      </w:r>
    </w:p>
    <w:p w:rsidR="00256EE9" w:rsidRDefault="00256EE9" w:rsidP="00256EE9">
      <w:pPr>
        <w:pStyle w:val="TextoNormal"/>
      </w:pPr>
      <w:r>
        <w:t xml:space="preserve">En el decir de la recurrente, la Sentencia impugnada ha conculcado de manera efectiva el art. 24.1 de la C.E., al no pronunciarse sobre la cuestión clave del litigio, «que tiene como base y fundamento el número de días laborables resultantes del calendario laboral de la Empresa», habiendo igualmente producido una desigualdad de trato «ante la Ley» en razón de no haberse sujetado el Tribunal Central de Trabajo a los criterios por él sostenidos respecto «a la compensación de horas intersemanales». La Sentencia recurrida, arguye el demandante, ataca la validez e integridad de los pactos colectivos sobre jornadas y días laborales sin motivo justificado. </w:t>
      </w:r>
    </w:p>
    <w:p w:rsidR="00256EE9" w:rsidRDefault="00256EE9" w:rsidP="00256EE9">
      <w:pPr>
        <w:pStyle w:val="TextoNormal"/>
      </w:pPr>
      <w:r>
        <w:t>Por todo ello, la representación de la Empresa solicitante de amparo concluye suplicando a este Tribunal acuerde la admisión del recurso y dicte Sentencia «en los términos interesados en su escrito de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configuración constitucional del recurso de amparo como remedio último y subsidiario de protección de los derechos fundamentales a los que se refiere el art. 53.2 de la Constitución tiene cabal concreción en la exigencia establecida en el art.  44.1 c) de la Ley Orgánica del Tribunal Constitucional (LOTC) que condiciona la promoción de los recursos de amparo frente a actos u omisiones de órganos judiciales a la invocación formal en el proceso previo del derecho constitucional vulnerado, «tan pronto como, una vez conocida la violación, hubiere lugar para ello».  Advertida a la representación de la recurrente la eventual concurrencia en el presente caso del motivo de inadmisión consistente en no haberse cumplimentado la mencionada exigencia, manifiesta aquélla, en su escrito de alegaciones, no haber habido «oportunidad procesal» para ello, pues la violación de los derechos constitucionales estimados como infringidos es imputable de manera inmediata y directa a la resolución judicial que culminó en el proceso laboral, esto es, a la dictada por el Tribunal Central de Trabajo, que es la que causó, se dice y reitera, la lesión del derecho fundamental a obtener una resolución fundada en Derecho por haber omitido todo razonamiento sobre la pretensión ejercitada.  Estas manifestaciones de la parte demandante no han logrado despejar, sin embargo, la objeción que habíamos planteado por nuestra providencia de 23 de enero del corriente; antes al contrario, la han confirmado, viniendo a introducir de otro lado, una variación tanto de los fundamentos del recurso como de su propio objeto, tal y como aquéllos y éste quedaron definidos en el escrito de demanda.</w:t>
      </w:r>
    </w:p>
    <w:p w:rsidR="00256EE9" w:rsidRDefault="00256EE9" w:rsidP="00256EE9">
      <w:pPr>
        <w:pStyle w:val="TextoNormal"/>
      </w:pPr>
    </w:p>
    <w:p w:rsidR="00256EE9" w:rsidRDefault="00256EE9" w:rsidP="00256EE9">
      <w:pPr>
        <w:pStyle w:val="TextoNormal"/>
      </w:pPr>
      <w:r w:rsidRPr="00256EE9">
        <w:rPr>
          <w:rStyle w:val="NumeroAFNegritaCaracter"/>
        </w:rPr>
        <w:t>2</w:t>
      </w:r>
      <w:r>
        <w:t>. La demanda de amparo identifica en repetidas ocasiones como actos presuntamente infractores de los derechos de igualdad y de defensa las resoluciones recaídas en el proceso de instancia y en el recurso especial de suplicación, solicitándose en el «suplico», en una línea de coherencia procesal con las decisiones judiciales combatidas, la nulidad de ambas. «La resolución originaria que se impugna y cuya nulidad se interesa -se lee en el escrito de demanda- es la tomada por la Magistratura de Trabajo de Gerona con fecha 16 de marzo de 1984 (...)  y como consecuencia de tal nulidad se interesa, asimismo, la nulidad de la subsiguiente resolución del Tribunal Central de Trabajo (...)».  Contrariando palmariamente su inicial petición, la parte recurrente nos dice ahora que el objeto del re</w:t>
      </w:r>
      <w:r>
        <w:lastRenderedPageBreak/>
        <w:t>curso es la Sentencia pronunciada por el Tribunal Central de Trabajo, adoptando así un comportamiento procesal inaceptable, tanto más recusable cuanto es fácil advertir que su motivación básica no es otra que la de eludir de manera artificial el posible motivo de inadmisión que la Sección le había comunicado.</w:t>
      </w:r>
    </w:p>
    <w:p w:rsidR="00256EE9" w:rsidRDefault="00256EE9" w:rsidP="00256EE9">
      <w:pPr>
        <w:pStyle w:val="TextoNormal"/>
      </w:pPr>
      <w:r>
        <w:t>Las consideraciones precedentes bastarían para declarar la inadmisibilidad del recurso por concurrir la causa prevenida en el art.  44.1 c) en conexión con el art.  50.1 b), ambos de la LOTC.  Conviene señalar, con todo, la acumulación de la segunda causa de inadmisión consistente en carecer la demanda manifiestamente de contenido constitucional.</w:t>
      </w:r>
    </w:p>
    <w:p w:rsidR="00256EE9" w:rsidRDefault="00256EE9" w:rsidP="00256EE9">
      <w:pPr>
        <w:pStyle w:val="TextoNormal"/>
      </w:pPr>
    </w:p>
    <w:p w:rsidR="00256EE9" w:rsidRDefault="00256EE9" w:rsidP="00256EE9">
      <w:pPr>
        <w:pStyle w:val="TextoNormal"/>
      </w:pPr>
      <w:r w:rsidRPr="00256EE9">
        <w:rPr>
          <w:rStyle w:val="NumeroAFNegritaCaracter"/>
        </w:rPr>
        <w:t>3</w:t>
      </w:r>
      <w:r>
        <w:t>. En cuanto a la presunta vulneración del art.  14 de la Constitución es de señalar que la cuestión planteada en la presente demanda consiste, como bien razona la Sentencia de instancia, «en un supuesto de colisión entre la normativa legal y los pactos concertados», cuestión ésta que fue sustanciada declarando la prevalencia de la Ley 4/1983 en razón de los principios que, para los órganos judiciales, ordenan las relaciones entre la Ley y convenio, señaladamente el de jerarquía normativa.</w:t>
      </w:r>
    </w:p>
    <w:p w:rsidR="00256EE9" w:rsidRDefault="00256EE9" w:rsidP="00256EE9">
      <w:pPr>
        <w:pStyle w:val="TextoNormal"/>
      </w:pPr>
      <w:r>
        <w:t>Siendo el tema suscitado la selección de la norma aplicable de entre las simultáneamente concurrentes en la regulación de los contratos de trabajo, es evidente que el fondo del asunto está privado de contenido constitucional desde la perspectiva del principio de igualdad.  Las resoluciones impugnadas no han declarado la inaplicación del convenio de Empresa, rompiendo este acuerdo en beneficio de una parte y, por consiguiente, en perjuicio de otra, víctima de presunta desigualdad.  Conforme señaló el Auto de este Tribunal de 4 de abril de 1984 (Reg. núm. 854/1983) al conocer de una demanda con un contenido similar al de la presente, las Sentencias recurridas no otra cosa hicieron que declarar «la aplicación preferente de una norma estatal ante la que el acuerdo debe ceder, sin que pueda afirmarse en modo alguno que la aplicación de una disposición general de obligado cumplimiento que establece nuevas condiciones de trabajo vulnere el principio de igualdad, por mejorar, cumpliendo una de las funciones que la Ley tiene atribuida en las relaciones de trabajo, la posición de una de las partes».</w:t>
      </w:r>
    </w:p>
    <w:p w:rsidR="00256EE9" w:rsidRDefault="00256EE9" w:rsidP="00256EE9">
      <w:pPr>
        <w:pStyle w:val="TextoNormal"/>
      </w:pPr>
    </w:p>
    <w:p w:rsidR="00256EE9" w:rsidRDefault="00256EE9" w:rsidP="00256EE9">
      <w:pPr>
        <w:pStyle w:val="TextoNormal"/>
      </w:pPr>
      <w:r w:rsidRPr="00256EE9">
        <w:rPr>
          <w:rStyle w:val="NumeroAFNegritaCaracter"/>
        </w:rPr>
        <w:t>4</w:t>
      </w:r>
      <w:r>
        <w:t>. La Empresa recurrente también denuncia la violación del art.  24.1, fundamentándola en confusas y heterogéneas argumentaciones, todas las cuales, empero, plantean problemas de simple legalidad (alcance de la disposición transitoria de la Ley 4/1983) o cuestiones constitucionales (irretroactividad de las Leyes) ajenas a las que pueden traerse a la vía del amparo. Como ha venido señalando este Tribunal en multitud de ocasiones, el derecho de defensa consagrado en el art. 24.1 de la C.E. implica el respeto del esencial principio de contradicción de modo que los contendientes, en posición de igualdad, dispongan de las mismas oportunidades de alegar y probar cuanto estimaren conveniente con vistas al reconocimiento judicial de sus tesis.  Así configurado el derecho invocado como infringido, no es precisa mucha argumentación para concluir afirmando que las resoluciones impugnadas en nada han afectado el derecho de defensa, al que la recurrente le asigna un contenido que no le es propio, pues, en definitiva, está denunciando, bajo la cobertura del art. 24.1 de la C.E., presuntas infracciones de legalidad ordinaria así como pretendidos errores de los Tribunales al calcular la jornada máxima en cada uno de los centros de trabajo, propiedad de la demandante.  Lo que se pretende es convertir a este Tribunal en una nueva instancia a través de la cual se revisen las funciones que el art.  117.3 de la C.E.  atribuye en régimen de exclusividad a los órganos del Poder Judicial.</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Finalmente, la representación de la recurrente, en su escrito de alegaciones, denuncia la vulneración por la Sentencia que ahí dice combatir de la garantía procesal consagrada en el art.  24.1 de la C.E., consistente en obtener de los órganos judiciales una respuesta motivada a las pretensiones ejercitadas. A estos efectos, se arguye que la decisión adoptada por el Tribunal Central de Trabajo dejó sin resolver el fondo de la cuestión suscitada, cual fue «la vigencia, aplicación y desarrollo del calendario laboral de Empresa en el año 1983 y su relación con la competencia de la Ley 4/1983».</w:t>
      </w:r>
    </w:p>
    <w:p w:rsidR="00256EE9" w:rsidRDefault="00256EE9" w:rsidP="00256EE9">
      <w:pPr>
        <w:pStyle w:val="TextoNormal"/>
      </w:pPr>
      <w:r>
        <w:t>Dando de lado la sustancial variación que esta línea de argumentación comporta con respecto al inicial alegato jurídico, la tesis de la parte recurrente necesariamente ha de valorarse como el postrero intento de mantener la apariencia constitucional de un tema privado radicalmente de conexión con los derechos fundamentales.  La resolución recurrida ni ha alterado el debate procesal ni ha soslayado el fondo de la cuestión planteada, de suerte que cuando aquélla resuelve declarar que las jornadas laborales realizadas en los centros de trabajo que la recurrente tiene en Ripoll y Campdevanol han de «acomodarse a la nueva duración de 40 horas semanales» no otra cosa está haciendo que desestimar el cálculo de tales jornadas propuesto por la Empresa.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acuerda declarar la inadmisibilidad del recurso, y el archivo de las actuaciones.</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06" w:name="AUTO_1985_145"/>
      <w:r>
        <w:lastRenderedPageBreak/>
        <w:t>AUTO 145/1985, de 27 de febrero de 1985</w:t>
      </w:r>
    </w:p>
    <w:bookmarkEnd w:id="206"/>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ECLI:ES:TC:1985:145A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884/1984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Argimiro Vázquez Guillén, en nombre y representación de don Manuel Luis Sanmartín Durán y de don José Mouro Martínez, deduce demanda de amparo contra Auto de la Audiencia Provincial de La Coruña, fechado el 24 de noviembre de 1984, que confirmó el Auto de 13 de septiembre del mismo año, ratificado por otro de 30 de octubre, dictados ambos por el Juzgado de Instrucción núm. 2 de Santiago de Compostela, por el que se decretó el archivo de las diligencias previas 152/1983, iniciadas mediante querella presentada por los recurrentes por delito de falsedad contra doña María Manuela Abeledo Nieto y otras personas. </w:t>
      </w:r>
    </w:p>
    <w:p w:rsidR="00256EE9" w:rsidRDefault="00256EE9" w:rsidP="00256EE9">
      <w:pPr>
        <w:pStyle w:val="TextoNormal"/>
      </w:pPr>
      <w:r>
        <w:t xml:space="preserve">La demanda se funda en los siguientes hechos: </w:t>
      </w:r>
    </w:p>
    <w:p w:rsidR="00256EE9" w:rsidRDefault="00256EE9" w:rsidP="00256EE9">
      <w:pPr>
        <w:pStyle w:val="TextoNormal"/>
      </w:pPr>
      <w:r>
        <w:t xml:space="preserve">a) En juicio ordinario de menor cuantía, promovido por don Manuel Luis Sanmartín Durán que tenía por objeto, previa su identificación, la reivindicación de una finca rústica, se presentó un llamado prorrateo, efectuado en el año 1908, que influyó -según la demanda de amparo- de forma decisiva en la resolución del proceso, que se produjo Sentencia dictada el 14 de febrero de 1980 por el Juzgado de Primera Instancia núm. 2 de Santiago de Compostela. </w:t>
      </w:r>
    </w:p>
    <w:p w:rsidR="00256EE9" w:rsidRDefault="00256EE9" w:rsidP="00256EE9">
      <w:pPr>
        <w:pStyle w:val="TextoNormal"/>
      </w:pPr>
      <w:r>
        <w:t xml:space="preserve">b) Por escritura pública de 12 de mayo de 1980, don Manuel Luis Sanmartín permutó finca objeto del litigio con otra de don José Mouro Martínez, y con fundamento en este título y en otros anteriores, el citado señor Mouro promovió un nuevo juicio ordinario de menor cuantía. Esta demanda fué desestimada por el mismo Juzgado de Primera Instancia, por entender que existía cosa juzgada. En el escrito de contestación a dicha demanda, los demandados anunciaron la presentación del prorrateo aludido, alegándose la falsedad de este documento por la representación del señor Mouro que solicitó la emisión de informe por Perito calígrafo, que fue admitida por Auto de 8 de febrero de 1983. El resultado de la prueba pericial indicó que el documento había sido ya manipulado cuando se presentó en el primer proceso en el que se desestimó la demanda, y así, en el informe, en uno de sus apartados, se dice: «a continuación del cupo aparece una nota con tinta distinta, pero suscrita por el Perito». </w:t>
      </w:r>
    </w:p>
    <w:p w:rsidR="00256EE9" w:rsidRDefault="00256EE9" w:rsidP="00256EE9">
      <w:pPr>
        <w:pStyle w:val="TextoNormal"/>
      </w:pPr>
      <w:r>
        <w:t>c) A la vista del informe calígrafo se presentó por los ahora demandantes querella contra doña María Manuela Abeledo Nieto y otras personas, que fue admitida a trámite por Auto de 14 de julio de 1983. Y como quiera que se reconociera en la declaración de una de las querelladas que ella y su hermana, también querellada, tenían en su poder un documento privado de 1906, por el que su padre había comprado una finca cuyos lindes coin</w:t>
      </w:r>
      <w:r>
        <w:lastRenderedPageBreak/>
        <w:t xml:space="preserve">ciden con los que esta finca tenía según el repetido prorrateo antes de ser enmendado, fueron requeridas por los querellantes para que lo presentasen en las actuaciones penales que se seguían, como así efectuaron. Propuesta entonces prueba pericial caligráfica y emitido informe, del mismo resulta que este documento privado, que había sido aportado en el juicio ordinario de menor cuantía, ya citado, seguido por don Manuel Luis Sanmartín, presenta en su redacción tachados los nombres correspondientes a los lindes norte y sur y entre lineas aparecen en dichos linderos los nombres de otras personas, uno de los cuales se observa borrado posteriormente. Por todo lo cual, por la representación de los querellantes se extendió el ejercicio de la acción penal por falsedad a este documento. </w:t>
      </w:r>
    </w:p>
    <w:p w:rsidR="00256EE9" w:rsidRDefault="00256EE9" w:rsidP="00256EE9">
      <w:pPr>
        <w:pStyle w:val="TextoNormal"/>
      </w:pPr>
      <w:r>
        <w:t xml:space="preserve">d) El Juzgado de Instrucción núm. 2 de Santiago, en Auto de 13 de septiembre de 1984, acordó el archivo de las actuaciones, por no estimar el hecho constitutivo de infracción penal. Interpuesto contra el mismo recurso de reforma, fue denegado por Auto del propio Juzgado, de fecha 30 de octubre. </w:t>
      </w:r>
    </w:p>
    <w:p w:rsidR="00256EE9" w:rsidRDefault="00256EE9" w:rsidP="00256EE9">
      <w:pPr>
        <w:pStyle w:val="TextoNormal"/>
      </w:pPr>
      <w:r>
        <w:t xml:space="preserve">La Audiencia Provincial de La Coruña, en Auto de 10 de diciembre, estimó no haber lugar al recurso de apelación planteado contra las anteriores resoluciones, por cuanto siendo consecutiva la querella criminal a dos juicios declarativos y habiendo producido en ellos, los documentos que se pretenden falsos, los adecuados efectos civiles sin haber sido tachados tales la circunstancia de que las resoluciones recaídas les fueran adversas a los querellantes no les autoriza a acudir a la vía criminal para lograr que ahora sean declarados falsos. Y, además, aun en el supuesto de que las anomalías que se denuncian no se entendieran salvadas al final de los documentos, de lo actuado no se consigue decretar quién o quiénes realizaron las supuestas alteraciones, con lo que carece de elemento subjetivo o agente activo contra quien o quienes pudiera dirigirse el procedimiento. </w:t>
      </w:r>
    </w:p>
    <w:p w:rsidR="00256EE9" w:rsidRDefault="00256EE9" w:rsidP="00256EE9">
      <w:pPr>
        <w:pStyle w:val="TextoNormal"/>
      </w:pPr>
      <w:r>
        <w:t>Los demandantes entienden que el Auto de la Audiencia Provincial vulnera su derecho a obtener la tutela efectiva de Jueces y Tribunales, y, en consecuencia, suplican a este Tribunal que en su día dicte Sentencia declarando la nulidad del referido Auto, así como la de los Autos del Juzgado de Instrucción que venía a confirmar, reconociendo el derecho de los recurrentes a la tutela jurisdiccional mediante la presentación de las diligencias archivadas.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en su reunión del día 23 de enero del corriente año y en el asunto de referencia, ha acordado poner de manifiesto la posible existencia de las siguientes causas de inadmisibilidad: </w:t>
      </w:r>
    </w:p>
    <w:p w:rsidR="00256EE9" w:rsidRDefault="00256EE9" w:rsidP="00256EE9">
      <w:pPr>
        <w:pStyle w:val="TextoNormal"/>
      </w:pPr>
      <w:r>
        <w:t xml:space="preserve">1.ª La del art. 50.1 b) en relación con el 44.1 c), ambos de la Ley Orgánica de este Tribunal, por no justificarse que se haya invocado el derecho constitucional que se dice violado. </w:t>
      </w:r>
    </w:p>
    <w:p w:rsidR="00256EE9" w:rsidRDefault="00256EE9" w:rsidP="00256EE9">
      <w:pPr>
        <w:pStyle w:val="TextoNormal"/>
      </w:pPr>
      <w:r>
        <w:t xml:space="preserve">2.ª La del art. 50.1 b) en relación con el 49.2 b), ambos de la misma Ley Orgánica, en cuanto a los Autos del Juzgado de Instrucción núm. 2 de Santiago de 13 de septiembre y 30 de octubre de 1984. </w:t>
      </w:r>
    </w:p>
    <w:p w:rsidR="00256EE9" w:rsidRDefault="00256EE9" w:rsidP="00256EE9">
      <w:pPr>
        <w:pStyle w:val="TextoNormal"/>
      </w:pPr>
      <w:r>
        <w:t xml:space="preserve">3.ª La del art. 50.2 b) de la indicada Ley Orgánica, por cuanto la demanda pudiera carecer manifiestamente de contenido que justifique una decisión por parte del Tribunal Constitucional. </w:t>
      </w:r>
    </w:p>
    <w:p w:rsidR="00256EE9" w:rsidRDefault="00256EE9" w:rsidP="00256EE9">
      <w:pPr>
        <w:pStyle w:val="TextoNormal"/>
      </w:pPr>
      <w:r>
        <w:t>Por ello, en aplicación de lo dispuesto en el art. 50 de la Ley Orgánica antes citada, se otorga un plazo común de diez días a los solicitantes de amparo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solicitantes del amparo han evacuado el traslado conferido, insistiendo en su iniciales pretensiones. Según ellos, se ha dado entero cumplimiento a lo establecido en el </w:t>
      </w:r>
      <w:r>
        <w:lastRenderedPageBreak/>
        <w:t xml:space="preserve">apartado b) del núm. 1 del art. 50 en relación con el apartado c) del núm. 1 del art. 44 de la Ley Orgánica del Tribunal de 3 de octubre de 1979, por cuanto a la demanda se han acompañado los documentos preceptivos, ya que en cumplimiento del núm. 2 del art. 49 se ha acompañado el documento que acredita la representación del solicitante de amparo y certificación de la resolución recaída en Auto de fecha 24 de noviembre de 1984 de la Sección Segunda de la Audiencia Provincial de La Coruña dictado en diligencias previas 132/1983 del Juzgado de Primera Instancia núm. 2 de Santiago de Compostela; y además se ha dado cumplimiento a lo establecido en el apartado c) del núm. 1 del art. 44, habiéndose invocado formalmente en el proceso el derecho constitucional vulnerado, tan pronto una vez conocida la resolución hubo lugar a ello, lo que se comprueba por la alusión que se hace en el último considerando in fine a la Constitución en el precitado Auto dictado por la Sección Segunda de la Audiencia Provincial de La Coruña, de fecha 24 de noviembre de 1984; ello aparte de que no es necesario un determinado formulismo como declara la Sentencia de este Tribunal 50/1982, de 2 de diciembre, bastando hacer una somera referencia para que se dé cumplimiento a este requisito según concretan entre otras las Sentencias 45/1983, de 27 de enero; 94/1983, de 14 de noviembre, y 95/1983, de 14 de noviembre; y ello tanto más cuanto la vulneración del derecho se imputa a la resolución que puso fin al proceso y entonces no hay oportunidad procesal, lo que se colige del precepto repetidamente invocado cuando dice «hubiese lugar para ello», como indica en las Sentencias 50/1982, de 15 de julio, y 73/1982, de 2 de diciembre. </w:t>
      </w:r>
    </w:p>
    <w:p w:rsidR="00256EE9" w:rsidRDefault="00256EE9" w:rsidP="00256EE9">
      <w:pPr>
        <w:pStyle w:val="TextoNormal"/>
      </w:pPr>
      <w:r>
        <w:t xml:space="preserve">Se ha dado entero cumplimiento a lo establecido en el apartado b) del núm. 1 del art. 50 de la Ley Orgánica en relación con el apartado b) del núm. 2 del art. 49 de la misma, en cuanto a los Autos del Juzgado de Instrucción núm. 2 de Santiago, de 13 de septiembre de 1980 y 30 de octubre de 1984, por cuanto se entiende que solamente es necesario el acompañar a la demanda el testimonio del Auto dictado por la Sección Segunda de la Audiencia Provincial de La Coruña de 24 de noviembre de 1984, mas a todo evento se acompaña el traslado de los reseñados Autos del Juzgado de Instrucción núm. 2 de Santiago, por cuanto se trata de un defecto en todo caso subsanable como se ha puesto de relieve por este Tribunal en sus Sentencias, que cita el recurrente, de 6 de abril de 1981 (recurso de amparo 47/1980) y de 14 de noviembre de 1983 (recurso de amparo 70/1982). </w:t>
      </w:r>
    </w:p>
    <w:p w:rsidR="00256EE9" w:rsidRDefault="00256EE9" w:rsidP="00256EE9">
      <w:pPr>
        <w:pStyle w:val="TextoNormal"/>
      </w:pPr>
      <w:r>
        <w:t xml:space="preserve">El supuesto contemplado no se halla comprendido dentro del ámbito del apartado 2 del art. 50 de la Ley Orgánica. La demanda tiene contenido que justifica una decisión por parte del Tribunal Constitucional, puesto que el Auto de la Sección Segunda de la Audiencia Provincial de La Coruña vulnera el derecho que don Manuel Luis Sanmartín Durán y don José Mouro Martínez, tienen a obtener la tutela efectiva de los Jueces y Tribunales en el ejercicio de sus derechos e intereses legítimos y les produce indefensión, al decretarse el archivo de las diligencias previas 132/1983 del Juzgado de Instrucción núm. 2 de Santiago de Compostela, y ello porque partiendo el Auto de la Sección Segunda de la Audiencia Provincial de La Coruña de la existencia de alteraciones, es decir de la falsedad, si no se conocieren sus autores no podía decretarse el archivo de las actuaciones sino su sobreseimiento provisional de conformidad con el núm. 1 del art. 789 de la Ley de Enjuiciamiento Criminal; y además porque aunque no se conozcan los autores de la falsificación, sí se conoce quiénes presentaron los documentos falsificados en juicio con conocimiento de su falsedad, la prueba está que se opusieron a la prueba pericial propuesta, y ello en perjuicio de tercero, es decir de mis representados, lo que constituye el delito tipificado en el art. 307 del Código Penal. </w:t>
      </w:r>
    </w:p>
    <w:p w:rsidR="00256EE9" w:rsidRDefault="00256EE9" w:rsidP="00256EE9">
      <w:pPr>
        <w:pStyle w:val="TextoNormal"/>
      </w:pPr>
      <w:r>
        <w:t xml:space="preserve">Es evidente pues, la infracción del núm. 1 del art. 24 de la Constitución, a cuyo tenor todas las personas tienen derecho a obtener la tutela efectiva de los Jueces y Tribunales en </w:t>
      </w:r>
      <w:r>
        <w:lastRenderedPageBreak/>
        <w:t xml:space="preserve">el ejercicio de sus derechos e intereses legítimos sin que, en ningún caso, pueda producirse indefensión. Este Tribunal entre otras, en la Sentencia 108/1983, de 28 de noviembre, ha dado lugar al recurso de amparo en supuesto similar al presente. </w:t>
      </w:r>
    </w:p>
    <w:p w:rsidR="00256EE9" w:rsidRDefault="00256EE9" w:rsidP="00256EE9">
      <w:pPr>
        <w:pStyle w:val="TextoNormal"/>
      </w:pPr>
      <w:r>
        <w:t xml:space="preserve">El Fiscal ha evacuado el traslado conferido, pidiendo la inadmisión del recurso y señalando que, efectivamente, no aparece que el recurrente haya invocado en el recurso de apelación la supuesta violación del derecho a la tutela judicial efectiva, que ahora alega en el recurso constitucional de amparo, por lo que no ha cumplido el requisito que establece el art. 44.1 c) de la Ley Orgánica del Tribunal Constitucional y, en consecuencia, concurre la causa de inadmisión comprendida en el art. 50.1 b) del propio Texto legal, porque, como reiteradamente viene afirmando el Tribunal, «el momento oportuno para invocar los derechos y libertades presuntamente vulnerados en el previo proceso judicial es el inmediatamente subsiguiente a la pretendida violación»... (Auto de 20 de abril de 1983), y en el caso presente la violación del derecho, de producirse, lo fue en el Auto de archivo que dictó el Juzgado de Instrucción núm. 2 de Santiago de Compostela, por lo que la conculcación del derecho fundamental debió invocarse en el recurso de apelación interpuesto. </w:t>
      </w:r>
    </w:p>
    <w:p w:rsidR="00256EE9" w:rsidRDefault="00256EE9" w:rsidP="00256EE9">
      <w:pPr>
        <w:pStyle w:val="TextoNormal"/>
      </w:pPr>
      <w:r>
        <w:t xml:space="preserve">También concurre la ya citada causa de inadmisión comprendida en el art. 50.1 b) de la LOTC, porque no se acompaña al recurso de amparo constitucional copia del Auto de archivo dictado el 13 de septiembre de 1984 por el Juzgado de Instrucción núm. 2 de Santiago de Compostela en diligencias previas 132/1983, como exige el art. 49.2 b) de la LOTC, dado además el interés que puede tener esa resolución en el caso planteado, aunque tal omisión pudiera ser subsanable. </w:t>
      </w:r>
    </w:p>
    <w:p w:rsidR="00256EE9" w:rsidRDefault="00256EE9" w:rsidP="00256EE9">
      <w:pPr>
        <w:pStyle w:val="TextoNormal"/>
      </w:pPr>
      <w:r>
        <w:t xml:space="preserve">Se concreta el motivo de amparo constitucional en la aludida violación del derecho a la tutela judicial efectiva consagrado en el art. 24. 1 de la Constitución, por entender el recurrente que el Auto de la Audiencia Provincial de La Coruña, de 24 de noviembre de 1984, vulnera aquel derecho. </w:t>
      </w:r>
    </w:p>
    <w:p w:rsidR="00256EE9" w:rsidRDefault="00256EE9" w:rsidP="00256EE9">
      <w:pPr>
        <w:pStyle w:val="TextoNormal"/>
      </w:pPr>
      <w:r>
        <w:t xml:space="preserve">Insiste en que se ha acreditado la falsedad denunciada y que debe proseguirse la tramitación de las diligencias previas. Por ello no parece sino descubrir una discrepancia entre el criterio de los órganos judiciales y el del recurrente, a la vista de la prueba practicada, lo que obliga a recordar la doctrina seguida a este respecto por el Tribunal Constitucional cuando en su Auto de 8 de noviembre de 1983 afirma que «no puede decirse que exista lesión del derecho a obtener la tutela judicial efectiva cuando la resolución judicial impugnada está fundada en Derecho, y la única base de combatirla ante el Tribunal Constitucional sea la mera discrepancia por parte del recurrente de la decisión adoptada por el órgano judicial, pues no puede convertirse el Tribunal en órgano de control de la simple legalidad...», y, sabido es que, según el Auto de 2 de noviembre de 1983 ...«las cuestiones de legalidad, a diferencia de las de constitucionalidad, están al margen del recurso de amparo ... aunque se invoquen errores, equivocaciones o incorrecciones jurídicas, o en definitiva la injusticia de tales resoluciones»...; debiendo añadirse para completar el cuadro, la doctrina contenida en el Auto de 31 de julio de 1981, en el sentido de que «la valoración de la prueba ... es de la exclusiva competencia del Tribunal llamado a fallar sobre los hechos del proceso». </w:t>
      </w:r>
    </w:p>
    <w:p w:rsidR="00256EE9" w:rsidRDefault="00256EE9" w:rsidP="00256EE9">
      <w:pPr>
        <w:pStyle w:val="TextoNormal"/>
      </w:pPr>
      <w:r>
        <w:t xml:space="preserve">Resulta así que no se aprecia en la cuestión planteada vulneración del derecho reconocido por el art. 24.1 de la Constitución y que el recurso carece manifiestamente de contenido que justifique una decisión por parte del Tribunal Constitucional, por lo que concurre la causa de inadmisión prevista en el art. 50.2 b) de la LOTC. </w:t>
      </w:r>
    </w:p>
    <w:p w:rsidR="00256EE9" w:rsidRDefault="00256EE9" w:rsidP="00256EE9">
      <w:pPr>
        <w:pStyle w:val="TextoNormal"/>
      </w:pPr>
      <w:r>
        <w:t>Por otra parte, el supuesto que enjuicia la Sentencia 108/1983, de 29 de noviembre, citada por el recurrente en su demanda de amparo, no es semejante ni comparable con el caso ahora debatido, porque en aquella ocasión se entendió negado por los órganos judi</w:t>
      </w:r>
      <w:r>
        <w:lastRenderedPageBreak/>
        <w:t>ciales el acceso a un proceso para investigar sobre un nuevo hecho denunciado, mientras que en el presente asunto, los órganos jurisdiccionales han prestado la tutela investigando los supuestos fácticos a través de unas diligencias previas, aunque después, llegado el momento de valorar la prueba, se hayan apartado del criterio del recurrente y hayan optado por decretar el archivo en virtud de cualquiera de los motivos que la Ley de Enjuiciamiento Criminal pone a su disposición en el art. 789.1.1.ª</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necesaria invocación del derecho constitucional supuestamente vulnerado, que es requisito de la interposición del recurso de amparo constitucional, de acuerdo con lo que dispone el art. 44.1 c) de la Ley Orgánica de este Tribunal tiene por objeto, según este Tribunal ha dicho en numerosas ocasiones, por una parte, dar a los Tribunales ordinarios ante quienes la controversia, el litigio o el proceso penden, la oportunidad de apercibirse de la existencia de una posible lesión de los referidos derechos y, por lo mismo, la de darles la debida satisfacción, en su función de juzgar, haciendo innecesaria esta jurisdicción; y al mismo tiempo tiene por finalidad el transformar una cuestión que se mueve en un plano jurídico subconstitucional en conflicto o controversia de naturaleza constitucional mediante una pretensión enderezada hacia ello.  Por todo ello, si bien es cierto que este Tribunal ha dicho que para la invocación asentada por el art.  44.1 c) de su Ley Orgánica no es necesario una formulación especial, siempre que la voluntad de defender el derecho constitucional resulta recognoscible también es cierto que se ha señalado que tal voluntad debe producirse ante el órgano jurisdiccional a quo en forma inequívoca para que las finalidades mencionadas puedan ser conseguidas, cosa que no ocurre en el caso que nos ocupa, pues no hay ni rastro de ninguna invocación ni alegación de los actuales solicitantes del amparo que pueda pensarse que posee el alcance que hemos aludido y las palabras finales del considerando del Auto de la Audiencia de La Coruña no aluden a ninguna invocación de la parte, sino que se limitan a decir que el juzgador que dictó la resolución recurrida aplicó un precepto de la Ley de Enjuiciamiento Criminal, observando con ello las garantías que la Constitución otorga por igual a todos los españoles, expresión del considerando de la Audiencia que no puede suplir la invocación que era la parte quien tenía que realizar, lo que determina la inadmisibilidad del recurso por esta razón.</w:t>
      </w:r>
    </w:p>
    <w:p w:rsidR="00256EE9" w:rsidRDefault="00256EE9" w:rsidP="00256EE9">
      <w:pPr>
        <w:pStyle w:val="TextoNormal"/>
      </w:pPr>
    </w:p>
    <w:p w:rsidR="00256EE9" w:rsidRDefault="00256EE9" w:rsidP="00256EE9">
      <w:pPr>
        <w:pStyle w:val="TextoNormal"/>
      </w:pPr>
      <w:r w:rsidRPr="00256EE9">
        <w:rPr>
          <w:rStyle w:val="NumeroAFNegritaCaracter"/>
        </w:rPr>
        <w:t>2</w:t>
      </w:r>
      <w:r>
        <w:t>. A mayor abundamiento concurre también la causa de inadmisión del art.  50.2 b) de la Ley Orgánica de este Tribunal dado que la cuestión que se nos propone no presenta verdadero contenido constitucional, si bien es verdad que este Tribunal ha dicho que el derecho a la tutela jurisdiccional efectiva reclama en linea de principio el pronunciamiento de una Sentencia sobre el fondo del asunto propuesto a la consideración de los Tribunales de justicia, también es verdad que el Tribunal ha admitido que la resolución puede ser motivadamente de inadmisión o de archivo y término del procedimiento, cuando existe causa legal suficiente para ello y tal causa legal aparece establecida para obtener la protección de fines de valor constitucional en forma proporcionada y no discutible constitucionalmente.</w:t>
      </w:r>
    </w:p>
    <w:p w:rsidR="00256EE9" w:rsidRDefault="00256EE9" w:rsidP="00256EE9">
      <w:pPr>
        <w:pStyle w:val="TextoNormal"/>
      </w:pPr>
      <w:r>
        <w:t xml:space="preserve">Y los anteriores condicionamientos no puede desconocerse en un caso como el que nos ocupa en el que se hace aplicación del art. 789.1 de la Ley de Enjuiciamiento Criminal, precepto cuya constitucionalidad no se cuestiona y se decide que si bien en los documentos tachados de falsedad puede concurrir esta circunstancia de acuerdo con lo dispuesto en los arts. 302, 306 y 307 del Código Penal tras las actuaciones que han sido practicadas, no </w:t>
      </w:r>
      <w:r>
        <w:lastRenderedPageBreak/>
        <w:t>se consigue concretar quién o quiénes han realizado la falsedad, faltando por ello término subjetivo a qué referir un procedimiento de carácter penal.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ello, la Sección acuerda declarar inadmisible el presente recurso de amparo.</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07" w:name="AUTO_1985_146"/>
      <w:r>
        <w:lastRenderedPageBreak/>
        <w:t>AUTO 146/1985, de 27 de febrero de 1985</w:t>
      </w:r>
    </w:p>
    <w:bookmarkEnd w:id="207"/>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ECLI:ES:TC:1985:146A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31/1985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En virtud de la petición de extradición formulada por la Embajada de Italia, el Juzgado Central de Instrucción núm. 2 inició el expediente de extradición núm. 9/1983 contra don Angelo Amici, que dio lugar al rollo de Sala núm. 11/1983, dictándose Auto por la Sección Segunda de la Sala de lo Penal de la Audiencia Nacional, el 13 de octubre de 1984, en el que se resolvía acceder a la extradición solicitada para el cumplimiento de las Penas de cadena perpetua, multa de 2.000.000 de liras, interdicción civil, costas y abono de indemnizaciones, impuesta al señor Amici como culpable de los delitos de doble homicidio, destrucción de cadáver y porte ilegal de pistola, en la Sentencia de 25 de febrero de 1981, pronunciada por la Segunda Corte del Tribunal Penal de Apelación de Roma. </w:t>
      </w:r>
    </w:p>
    <w:p w:rsidR="00256EE9" w:rsidRDefault="00256EE9" w:rsidP="00256EE9">
      <w:pPr>
        <w:pStyle w:val="TextoNormal"/>
      </w:pPr>
      <w:r>
        <w:t xml:space="preserve">Interpuesto en tiempo y forma recurso de súplica, contra la referida resolución el Pleno de la Sala de lo Penal de la Audiencia Nacional, por Auto de 5 de diciembre de 1984, lo desestimó sustancialmente, en cuanto accedía a la extradición previamente concedida, acogiéndolo sólo en parte al establecer que la privación de libertad a la que fue condenado don Angelo Amici no podría exceder de diecisiete años y seis meses de duración, debido a que la pena de reclusión perpetua no tiene reconocimiento legal en España, donde la pena máxima existente es la de reclusión mayor de veinte a treinta años y a que, habiendo sucedido los hechos los días 21 y 24 de febrero de 1975, los mismos se encuentran afectados, y el reclamado beneficiado, por los indultos generales parciales concedidos en España por los Decretos de 25 de noviembre de 1975 y de 14 de marzo de 1977. Todo ello, en atención a la reserva hecha por España el art. 10 del Convenio Europeo de Extradición, que coincide con el art. 6.6 de la Ley española de extradición pasiva de 26 de diciembre de 1958 y a que el indulto es una causa extintiva total o parcial de la responsabilidad criminal, conforme el art. 112.4 del Código Penal español. </w:t>
      </w:r>
    </w:p>
    <w:p w:rsidR="00256EE9" w:rsidRDefault="00256EE9" w:rsidP="00256EE9">
      <w:pPr>
        <w:pStyle w:val="TextoNormal"/>
      </w:pPr>
      <w:r>
        <w:t>El referido Auto, en su considerando cuarto, rechazaba el motivo 3 de la súplica, en el que se decía que, habida cuenta del estado de disminución psíquica que los peritos habían dictaminado padecía el requerido, no podía ser entregado al Gobierno italiano sin recibir garantías legales suficientes de que aquel estado sería tenido en consideración a los efectos de ejecución de la Sentencia del Tribunal de Apelación de Roma. Al respecto, la Audiencia Nacional, razonó que el posible estado de disminución mental, sobrevenido después de la comisión de los hechos por los que fue condenado el señor Amici, no constituye causa obstativa para la extradición, siendo competencia del Tribunal italiano requirente fiscalizar la ejecución de la Sentencia condenatoria.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don Angelo Amici, representado por Procurador y asistido de Letrado, se interpuso demanda de amparo, registrada el 12 de enero de 1985, procedente del Juzgado de Guardia, por considerar infringidos los arts. 13.1 y 24.1 en relación con el art. 10.2, todos ellos de la C.E., manifestando que se le ha privado de la tutela efectiva de Jueces y Tribunales y se le ha colocado en situación de indefensión, ya que, siendo conocedor el Tribunal español de su estado psíquico, se le pretende enviar a Italia, para que cumpla una condena, sin hacer expresa limitación o advertencia, con la única esperanza hipotética de que la «progresiva legislación penal italiana tiene que tener previstos y regulados tales supuestos», según reza el Auto de 5 de diciembre de 1984; y, además, por no haberse solicitado garantías del Estado requirente, en el sentido a obtener el expreso reconocimiento y acatamiento de la limitación fijada a la pena a cumplir, pues de lo contrario se encontraría el extraditurus con una situación de indefensión y tendría que hacer valer, por sus medios, ante el Tribunal italiano la observancia y cumplimiento de la citada limitación. </w:t>
      </w:r>
    </w:p>
    <w:p w:rsidR="00256EE9" w:rsidRDefault="00256EE9" w:rsidP="00256EE9">
      <w:pPr>
        <w:pStyle w:val="TextoNormal"/>
      </w:pPr>
      <w:r>
        <w:t xml:space="preserve">Por todo ello, se solicita de este Tribunal Sentencia en la que se ampare el derecho del demandante a obtener la tutela efectiva de los Tribunales, en lo que se refiere a su estado psíquico y mental, aplicándose lo dispuesto en el art. 82 del Código Penal y, en cuanto a la exigencia de garantías del Estado italiano, que se acate y respete la limitación impuesta en relación al tiempo de cumplimiento de la pena de privación de libertad. </w:t>
      </w:r>
    </w:p>
    <w:p w:rsidR="00256EE9" w:rsidRDefault="00256EE9" w:rsidP="00256EE9">
      <w:pPr>
        <w:pStyle w:val="TextoNormal"/>
      </w:pPr>
      <w:r>
        <w:t>Por medio de otrosí se suplica se deje en suspenso la entrega del recurrente al Estado italiano.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23 de enero pasado se acordó oír al demandante y al Ministerio Fiscal acerca de la posible inadmisión del recurso por las dos siguientes causas: 1.ª) la regulada por el art. 50.2 a) de la Ley Orgánica de este Tribunal en cuanto a la invocación del art. 13.1 de la Constitución por no ser de los susceptibles de amparo; 2.ª) la regulada por el art. 50.2 b) de la misma Ley Orgánica por cuanto pudiera carecer la demanda de contenido que justifique una decisión de este Tribunal. </w:t>
      </w:r>
    </w:p>
    <w:p w:rsidR="00256EE9" w:rsidRDefault="00256EE9" w:rsidP="00256EE9">
      <w:pPr>
        <w:pStyle w:val="TextoNormal"/>
      </w:pPr>
      <w:r>
        <w:t xml:space="preserve">La representación del demandante ha alegado que hubo un defecto de redacción de la demanda de modo que donde dijo: «13.1 y 24.1 en relación con el art. 10.2 de la Constitución» debe decir «24.1 en relación con los arts. 13.1 y 10.2 de la Constitución Española», errata que se repite más adelante y que subsana en este trámite recabando una tutela efectiva de Jueces y Tribunales como resulta con claridad del contexto de la demanda; y tal pretensión tiene un contenido constitucional con lo que no concurre ninguna de las causas de inadmisión alegadas. </w:t>
      </w:r>
    </w:p>
    <w:p w:rsidR="00256EE9" w:rsidRDefault="00256EE9" w:rsidP="00256EE9">
      <w:pPr>
        <w:pStyle w:val="TextoNormal"/>
      </w:pPr>
      <w:r>
        <w:t>El Ministerio Fiscal ha expuesto que concurren las dos referidas causas de inadmisión; significando, con relación a la segunda, que la Audiencia ha llevado al extremo la salvaguardia de los derechos fundamentales del demandante de amparo, conforme a las normas de auxilio judicial internacional; y en cuanto a las garantías no prestadas por el Estado italiano, se trata de una cuestión nueva en cuyo enjuiciamiento impide entrar el artículo 44.1 a) de la Ley Orgánica de este Tribunal.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Puesta de manifiesto la posible concurrencia de la causa de inadmisibilidad del recurso de amparo establecida en el art.  50.2 a) de la LOTC, en el escrito de alegaciones de la parte recurrente se viene a rectificar su pretensión inicial en el sentido de que la vulne</w:t>
      </w:r>
      <w:r>
        <w:lastRenderedPageBreak/>
        <w:t>ración de derechos que denuncia está realmente circunscrita a los que consagra el art.  24.1 de la C.E. en orden a la tutela efectiva de los Tribunales, sin perjuicio de que se invoquen también los arts. 10.2 y 13.1, por la relación que guarden con aquél en su aplicación al caso que se plantea, rectificación que puede considerarse suficiente, habida cuenta que dicha interrelación ha sido ya admitida por este Tribunal, en recursos de la misma naturaleza de amparo, interpuestos consecuentemente a concesiones de extradición otorgadas por Tribunales españoles.</w:t>
      </w:r>
    </w:p>
    <w:p w:rsidR="00256EE9" w:rsidRDefault="00256EE9" w:rsidP="00256EE9">
      <w:pPr>
        <w:pStyle w:val="TextoNormal"/>
      </w:pPr>
    </w:p>
    <w:p w:rsidR="00256EE9" w:rsidRDefault="00256EE9" w:rsidP="00256EE9">
      <w:pPr>
        <w:pStyle w:val="TextoNormal"/>
      </w:pPr>
      <w:r w:rsidRPr="00256EE9">
        <w:rPr>
          <w:rStyle w:val="NumeroAFNegritaCaracter"/>
        </w:rPr>
        <w:t>2</w:t>
      </w:r>
      <w:r>
        <w:t>. La vulneración de los derechos a la tutela efectiva y que no se produzca indefensión el demandante la vincula a que no se han exigido garantías al Estado requirente en orden a que respete la limitación señalada en el Auto de la Audiencia Nacional de 5 de diciembre último, sobre la duración de la pena privativa de libertad que ha de cumplir, y a que se ha delegado en el Tribunal italiano la competencia en lo que se refiere a fiscalizar la ejecución de la Sentencia condenatoria, sin consideración a lo establecido en el art.  82 del Código Penal español, siendo que el demandante padece en la actualidad una enfermedad mental, merecedora de valoración en aquel ámbito o esfera punitiva.</w:t>
      </w:r>
    </w:p>
    <w:p w:rsidR="00256EE9" w:rsidRDefault="00256EE9" w:rsidP="00256EE9">
      <w:pPr>
        <w:pStyle w:val="TextoNormal"/>
      </w:pPr>
      <w:r>
        <w:t>Tales alegaciones carecen de consistencia bastante para fundamentar en ellas un recurso de amparo, pues lo que se pretende no es tanto un pronunciamiento de este Tribunal sobre producción al demandante de indefensión o que se le ha negado la tutela efectiva a lo largo del procedimiento de extradición y en los Autos que le pusieron fin, cuestión que no se suscita y que, desde luego, no se ha verificado al tratarse de un proceso en el que se han observado todas las garantías constitucionales, sino que se otorgue el amparo en atención a que la Administración de Justicia italiana puede no aceptar o respetar el acuerdo del Auto de la Audiencia Nacional referente a la limitación impuesta para el cumplimiento de la pena privativa de libertad, lo que a todas luces queda deferido a otras instancias o planos estatales, en los que ha de residenciarse la facultad de exigencia de respeto a acuerdos de la índole del contemplado, que en definitiva vienen a afectar al campo de las recíprocas relaciones internacionales.</w:t>
      </w:r>
    </w:p>
    <w:p w:rsidR="00256EE9" w:rsidRDefault="00256EE9" w:rsidP="00256EE9">
      <w:pPr>
        <w:pStyle w:val="TextoNormal"/>
      </w:pPr>
    </w:p>
    <w:p w:rsidR="00256EE9" w:rsidRDefault="00256EE9" w:rsidP="00256EE9">
      <w:pPr>
        <w:pStyle w:val="TextoNormal"/>
      </w:pPr>
      <w:r w:rsidRPr="00256EE9">
        <w:rPr>
          <w:rStyle w:val="NumeroAFNegritaCaracter"/>
        </w:rPr>
        <w:t>3</w:t>
      </w:r>
      <w:r>
        <w:t>. Finalmente, en cuanto al estado psíquico-anormal del recurrente, incluso aún posiblemente sobrevenido, haciendo abstracción de que en el proceso de extradición no consta que fuera una cuestión sometida a debate, con toda seguridad por carecer de trascendencia a los fines del mismo, sucede lo propio en cuanto a su consideración por parte de este Tribunal Constitucional, porque en definitiva no se trata de otra cosa -incluso con aceptación de la realidad de aquellos trastornos psíquicos y de su posible repercusión en el momento de ejecutarse la pena impuesta en la Sentencia- que de un episodio que las normativas penales atienden y resuelven, cual sucede tanto en el art.  82 del Código español, como en el 148 del de Italia, preceptos a aplicar en su caso por los respectivos Tribunales ordinarios, sin entidad bastante nada menos que para afectar derechos fundamentales, quebrantándolos.</w:t>
      </w:r>
    </w:p>
    <w:p w:rsidR="00256EE9" w:rsidRDefault="00256EE9" w:rsidP="00256EE9">
      <w:pPr>
        <w:pStyle w:val="TextoNormal"/>
      </w:pPr>
    </w:p>
    <w:p w:rsidR="00256EE9" w:rsidRDefault="00256EE9" w:rsidP="00256EE9">
      <w:pPr>
        <w:pStyle w:val="TextoNormal"/>
      </w:pPr>
      <w:r w:rsidRPr="00256EE9">
        <w:rPr>
          <w:rStyle w:val="NumeroAFNegritaCaracter"/>
        </w:rPr>
        <w:t>4</w:t>
      </w:r>
      <w:r>
        <w:t>. Se infiere de lo expuesto lo certero de la puesta de manifiesto en su día de la posible concurrencia de la causa o motivo de inadmisibilidad establecido en el art.  50.2 b) de la LOTC, esto es, de la manifiesta carencia de contenido constitucional de la demanda.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La Sección acuerda la inadmisibilidad de este recurso de amparo, sin precisión, por lo tanto, de pronunciamiento alguno acerca de la suspensión interesada.</w:t>
      </w:r>
    </w:p>
    <w:p w:rsidR="00256EE9" w:rsidRDefault="00256EE9" w:rsidP="00256EE9">
      <w:pPr>
        <w:pStyle w:val="TextoNormal"/>
      </w:pPr>
    </w:p>
    <w:p w:rsidR="00256EE9" w:rsidRDefault="00256EE9" w:rsidP="00256EE9">
      <w:pPr>
        <w:pStyle w:val="TextoNormal"/>
      </w:pPr>
      <w:r>
        <w:t>Madrid, a veintisiete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08" w:name="AUTO_1985_147"/>
      <w:r>
        <w:lastRenderedPageBreak/>
        <w:t>AUTO 147/1985, de 27 de febrero de 1985</w:t>
      </w:r>
    </w:p>
    <w:bookmarkEnd w:id="208"/>
    <w:p w:rsidR="00256EE9" w:rsidRDefault="00256EE9" w:rsidP="00256EE9">
      <w:pPr>
        <w:pStyle w:val="TtuloResolucin"/>
      </w:pPr>
      <w:r>
        <w:t>Sala Primera</w:t>
      </w:r>
    </w:p>
    <w:p w:rsidR="00256EE9" w:rsidRDefault="00256EE9" w:rsidP="00256EE9">
      <w:pPr>
        <w:pStyle w:val="TtuloResolucin"/>
      </w:pPr>
    </w:p>
    <w:p w:rsidR="00256EE9" w:rsidRDefault="00256EE9" w:rsidP="00256EE9">
      <w:pPr>
        <w:pStyle w:val="SntesisDescriptiva"/>
      </w:pPr>
      <w:r>
        <w:t>ECLI:ES:TC:1985:147A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don Manuel Díez de Velasco Vallejo, doña Gloria Begué Cantón, don Rafael Gómez-Ferrer Morant y don Ángel Escudero del Corral.</w:t>
      </w:r>
    </w:p>
    <w:p w:rsidR="00256EE9" w:rsidRDefault="00256EE9" w:rsidP="00256EE9">
      <w:pPr>
        <w:pStyle w:val="SntesisDescriptiva"/>
      </w:pPr>
    </w:p>
    <w:p w:rsidR="00256EE9" w:rsidRDefault="00256EE9" w:rsidP="00256EE9">
      <w:pPr>
        <w:pStyle w:val="TtuloResolucin"/>
      </w:pPr>
      <w:r>
        <w:t>*Este auto no incorpora doctrina constitucional.</w:t>
      </w:r>
    </w:p>
    <w:p w:rsidR="00256EE9" w:rsidRDefault="00256EE9">
      <w:pPr>
        <w:rPr>
          <w:rFonts w:ascii="Times New Roman" w:eastAsia="Times New Roman" w:hAnsi="Times New Roman" w:cs="Times New Roman"/>
          <w:b/>
          <w:sz w:val="24"/>
          <w:szCs w:val="24"/>
          <w:lang w:eastAsia="es-ES"/>
        </w:rPr>
      </w:pPr>
      <w:r>
        <w:br w:type="page"/>
      </w:r>
    </w:p>
    <w:p w:rsidR="00256EE9" w:rsidRDefault="00256EE9" w:rsidP="00256EE9">
      <w:pPr>
        <w:pStyle w:val="TtuloResolucin"/>
      </w:pPr>
      <w:bookmarkStart w:id="209" w:name="AUTO_1985_148"/>
      <w:r>
        <w:lastRenderedPageBreak/>
        <w:t>AUTO 148/1985, de 28 de febrero de 1985</w:t>
      </w:r>
    </w:p>
    <w:bookmarkEnd w:id="209"/>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ECLI:ES:TC:1985:148A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la acumulación de las cuestiones de inconstitucionalidad 492, 665 y 909/1984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la Sala de lo Contencioso-Administrativo de la Audiencia Territorial de Valencia, mediante actuaciones remitidas a este Tribunal el 26 de diciembre de 1984, se plantea cuestión de inconstitucionalidad respecto de los arts. 8, 9, 10, 11 y 12 de la Ley 24/1983, de 21 de diciembre, de Saneamiento de las Haciendas Locales. Aparece registrada con el núm. 900/1984. </w:t>
      </w:r>
    </w:p>
    <w:p w:rsidR="00256EE9" w:rsidRDefault="00256EE9" w:rsidP="00256EE9">
      <w:pPr>
        <w:pStyle w:val="TextoNormal"/>
      </w:pPr>
      <w:r>
        <w:t>Asimismo, y por la Sala de lo Contencioso-Administrativo de la Audiencia Territorial de Sevilla, se promovieron cuestiones de inconstitucionalidad registradas con los núms. 492 y 665/1984, respectivamente, en relación con los arts. 8 y 9 de la citada Ley 24/1983, de 21 de diciembre, de Saneamiento de las Haciendas Locales, la primera de ellas; y de los arts. 8, 9 y 13 de la misma Ley, la segunda.</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providencias dictadas por las Secciones Tercera, Cuarta y Segunda del Pleno de este Tribunal, respectivamente, se admitieron a trámite las referidas cuestiones de inconstitucionalidad 909, 492 y 665/1984, en 9 de enero del corriente, 11 de julio y 19 de septiembre de 1984, acordándose asimismo, y de conformidad con lo establecido en el art. 37.2 de la Ley Orgánica del Tribunal Constitucional (LOTC), dar traslado de las mismas al Congreso de los Diputados y al Senado, así como al Gobierno y Fiscal General del Estado, al objeto de que pudieran personarse en los referidos procedimientos y formular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Fiscal General del Estado mediante escrito de 27 de julio de 1984, se personó en la cuestión de inconstitucionalidad núm. 492/1984 y formuló alegaciones solicitando la declaración de la constitucionalidad de los preceptos impugnados. El Abogado del Estado por escrito de 3 de septiembre de 1984, se personó en la referida cuestión en nombre del Gobierno, solicitando la desestimación de la misma. </w:t>
      </w:r>
    </w:p>
    <w:p w:rsidR="00256EE9" w:rsidRDefault="00256EE9" w:rsidP="00256EE9">
      <w:pPr>
        <w:pStyle w:val="TextoNormal"/>
      </w:pPr>
      <w:r>
        <w:t xml:space="preserve">Por escrito de 8 de octubre de 1984 el Fiscal General se persona en la cuestión de inconstitucionalidad núm. 665/1984 y formula alegaciones en solicitud de que en su día se dicte Sentencia declarando la no inconstitucionalidad de los preceptos debatidos en dicha </w:t>
      </w:r>
      <w:r>
        <w:lastRenderedPageBreak/>
        <w:t xml:space="preserve">cuestión. El Abogado del Estado en representación del Gobierno, mediante escrito de alegaciones de 11 de octubre de 1984 solicita la desestimación de la cuestión planteada. </w:t>
      </w:r>
    </w:p>
    <w:p w:rsidR="00256EE9" w:rsidRDefault="00256EE9" w:rsidP="00256EE9">
      <w:pPr>
        <w:pStyle w:val="TextoNormal"/>
      </w:pPr>
      <w:r>
        <w:t>Mediante escrito de 21 de enero de 1985, el Fiscal General del Estado se persona y formula alegaciones en la cuestión de inconstitucionalidad núm. 909/1984 solicitando la desestimación de la referida cuestión y por otrosí manifiesta que estimando concurren las circunstancias previstas en el art. 83 de la LOTC, pudiera acordarse la acumulación de los presentes Autos a los de idéntica naturaleza núms. 492 y 665/1984, como así lo solicita del Tribunal. El Abogado del Estado, en escrito de 30 de enero del corriente, se persona en nombre del Gobierno y formula alegaciones en solicitud de que sea desestimada la cuestión planteada.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la Sección Tercera del Pleno de este Tribunal de 6 de febrero último, se acordó oír al Abogado del Estado para que formule las alegaciones que estime oportunas con respecto a la acumulación solicitada por el Fiscal General del Estado de esta cuestión a las tramitadas con los números 492 y 665/1984. </w:t>
      </w:r>
    </w:p>
    <w:p w:rsidR="00256EE9" w:rsidRDefault="00256EE9" w:rsidP="00256EE9">
      <w:pPr>
        <w:pStyle w:val="TextoNormal"/>
      </w:pPr>
      <w:r>
        <w:t>El Abogado del Estado evacuando el traslado conferido, en su escrito de 20 de febrero último, muestra su conformidad a la acumulación solicitada por el Fiscal General.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Las cuestiones de inconstitucionalidad planteadas, respectivamente, por las Salas de lo Contencioso-Administrativo de las Audiencias Territoriales de Sevilla y Valencia, en relación con determinados preceptos de la Ley 24/1983, de 21 de diciembre, de Saneamiento de las Haciendas Locales, presentan una identidad de objeto que justifica su acumulación, de conformidad a lo dispuesto en el art.  83 de la Ley Orgánica del Tribunal Constitucional, a fin de que se tramiten conjuntamente y se resuelven en una misma Sentencia.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el Pleno del Tribunal Constitucional acuerda: acumular la cuestión de inconstitucionalidad registrada con el núm. 909/1984, planteada por la Sala de lo Contencioso-Administrativo de la Audiencia Territorial de Valencia, y la</w:t>
      </w:r>
    </w:p>
    <w:p w:rsidR="00256EE9" w:rsidRDefault="00256EE9" w:rsidP="00256EE9">
      <w:pPr>
        <w:pStyle w:val="TextoNormal"/>
      </w:pPr>
      <w:r>
        <w:t>registrada con el núm. 665/1984, promovida por la Sala de lo Contencioso-Administrativo de la Audiencia Territorial de Sevilla, a la también promovida por esta última Sala y registrada con el núm. 492/1984.</w:t>
      </w:r>
    </w:p>
    <w:p w:rsidR="00256EE9" w:rsidRDefault="00256EE9" w:rsidP="00256EE9">
      <w:pPr>
        <w:pStyle w:val="TextoNormal"/>
      </w:pPr>
    </w:p>
    <w:p w:rsidR="00256EE9" w:rsidRDefault="00256EE9" w:rsidP="00256EE9">
      <w:pPr>
        <w:pStyle w:val="TextoNormal"/>
      </w:pPr>
      <w:r>
        <w:t>Madrid, a veintiocho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10" w:name="AUTO_1985_149"/>
      <w:r>
        <w:lastRenderedPageBreak/>
        <w:t>AUTO 149/1985, de 28 de febrero de 1985</w:t>
      </w:r>
    </w:p>
    <w:bookmarkEnd w:id="210"/>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ECLI:ES:TC:1985:149A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la acumulación de las cuestiones de inconstitucionalidad 865/1984 y 41/1985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Juzgado de Primera Instancia núm. 1 de los de Valladolid planteó ante este Tribunal, mediante Auto de 28 de diciembre de 1984 dictado en el rollo de apelación 25/1984 contra Sentencia del Juzgado de Distrito núm. 5, recaída en autos de desahucio por falta de pago, cuestión de inconstitucionalidad recibida el 16 de enero último y registrada con el núm. 41/1985, del art. 57.1 del Texto Refundido de la Ley del Impuesto de Transmisiones Patrimoniales y Actos Jurídicos Documentados aprobado por Real Decreto Legislativo 3050/1980, de 30 de diciembre, que recoge lo dispuesto en el art. 42 de la Ley 32/1980, de 21 de junio; cuestión que se plantea por posible infracción del art. 24 de la Constitución.</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mismo órgano jurisdiccional elevó cuestión de inconstitucionalidad en relación con idéntico precepto señalado en el número anterior y también por posible infracción del art. 24 de la Constitución, mediante Auto de 21 de noviembre de 1984, dictado en procedimiento de tercería de dominio núm. </w:t>
      </w:r>
    </w:p>
    <w:p w:rsidR="00256EE9" w:rsidRDefault="00256EE9" w:rsidP="00256EE9">
      <w:pPr>
        <w:pStyle w:val="TextoNormal"/>
      </w:pPr>
      <w:r>
        <w:t>940/1984-A. Dicha cuestión fue recibida en este Tribunal el 10 de diciembre último y aparece registrada con el núm. 865/1984.</w:t>
      </w:r>
    </w:p>
    <w:p w:rsidR="00256EE9" w:rsidRDefault="00256EE9" w:rsidP="00256EE9">
      <w:pPr>
        <w:pStyle w:val="TextoNormal"/>
      </w:pPr>
    </w:p>
    <w:p w:rsidR="00256EE9" w:rsidRDefault="00256EE9" w:rsidP="00256EE9">
      <w:pPr>
        <w:pStyle w:val="TextoNormal"/>
      </w:pPr>
      <w:r w:rsidRPr="00256EE9">
        <w:rPr>
          <w:rStyle w:val="NumeroAFNegritaCaracter"/>
        </w:rPr>
        <w:t>3</w:t>
      </w:r>
      <w:r>
        <w:t>. Por sendas providencias de la Sección Primera de 19 de diciembre último y de la Sección Tercera de 30 de enero del corriente fueron admitidas a trámite, respectivamente, las cuestiones 865/1984 y 41/1985, acordándose en ambos casos otorgar los traslados previstos en el art. 37.2 de la Ley Orgánica del Tribunal Constitucional y la publicación en el «Boletín Oficial del Estado» para general conocimiento.</w:t>
      </w:r>
    </w:p>
    <w:p w:rsidR="00256EE9" w:rsidRDefault="00256EE9" w:rsidP="00256EE9">
      <w:pPr>
        <w:pStyle w:val="TextoNormal"/>
      </w:pPr>
    </w:p>
    <w:p w:rsidR="00256EE9" w:rsidRDefault="00256EE9" w:rsidP="00256EE9">
      <w:pPr>
        <w:pStyle w:val="TextoNormal"/>
      </w:pPr>
      <w:r w:rsidRPr="00256EE9">
        <w:rPr>
          <w:rStyle w:val="NumeroAFNegritaCaracter"/>
        </w:rPr>
        <w:t>4</w:t>
      </w:r>
      <w:r>
        <w:t>. El Fiscal General del Estado y el Abogado del Estado se personaron y formularon alegaciones en la cuestión 865/1984, en escrito de 11 de enero y 14 de enero último, respectivamente, solicitando el Fiscal General que se rechace la cuestión por defectos procesales o en otro caso la desestimación de la misma, y el Abogado del Estado que en su día se dicte Sentencia desestimatoria.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xml:space="preserve">. En la cuestión registrada con el núm. 41/1985, solicita el Abogado del Estado, en su escrito de 15 de febrero último mediante el que se persona y formula alegaciones, que se dicte Sentencia en la que se declare la plena conformidad a la Constitución de la norma cuestionada, y por otrosí a dicho escrito que dándose en la presente cuestión y la que se tramita con el núm. 865/1984 las condiciones de acumulación a que se refiere el art. 83 de la LOTC, procede acordar por el Tribunal la misma. </w:t>
      </w:r>
    </w:p>
    <w:p w:rsidR="00256EE9" w:rsidRDefault="00256EE9" w:rsidP="00256EE9">
      <w:pPr>
        <w:pStyle w:val="TextoNormal"/>
      </w:pPr>
      <w:r>
        <w:t>El Fiscal General del Estado personado en escrito de 19 de febrero último pide que se rechace la cuestión 41/1985 por defecto procesal en su planteamiento o en su defecto se desestime por no ser opuesto el precepto cuestionado al art. 24.1 de la Constitución. Asimismo señala el Fiscal General en su escrito que existe identidad entre esta cuestión y la presentada por el mismo juzgado sobre idéntico precepto, que aconsejan un estudio o resolución unidos, según permite el art. 83 de la LOTC, lo que somete a la consideración del Tribunal.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Las dos cuestiones de inconstitucionalidad, referidas en los antecedentes aparecen promovidas por el mismo órgano jurisdiccional, el Juzgado de Primera Instancia núm. 1 de Valladolid, en relación con el art. 57.1 del Texto Refundido de la Ley del Impuesto de Transmisiones Patrimoniales y Actos Jurídicos Documentados, por posible infracción del art.  24 de la Constitución y tanto el Fiscal General del Estado como el Abogado del Estado, únicas partes personadas en los dos procesos se han pronunciado sobre su posible acumulación.  La conexión de objetos a que se refiere el art.  83 de la LOTC, que justifica la unidad de tramitación y decisión, se aprecia en las presentes cuestiones por lo que procede acordar su acumulación a fin de que ambas se sustancien en lo sucesivo conjuntamente.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el Pleno del Tribunal acuerda acumular la cuestión de inconstitucionalidad núm. 41/1985, planteada por el Juzgado de Primera Instancia núm. 1 de los de Valladolid a la registrada con el núm. 865/1984 que planteó el mismo órgano</w:t>
      </w:r>
    </w:p>
    <w:p w:rsidR="00256EE9" w:rsidRDefault="00256EE9" w:rsidP="00256EE9">
      <w:pPr>
        <w:pStyle w:val="TextoNormal"/>
      </w:pPr>
      <w:r>
        <w:t>jurisdiccional, lo que además de notificar a las partes se participará al Juzgado proponente.</w:t>
      </w:r>
    </w:p>
    <w:p w:rsidR="00256EE9" w:rsidRDefault="00256EE9" w:rsidP="00256EE9">
      <w:pPr>
        <w:pStyle w:val="TextoNormal"/>
      </w:pPr>
    </w:p>
    <w:p w:rsidR="00256EE9" w:rsidRDefault="00256EE9" w:rsidP="00256EE9">
      <w:pPr>
        <w:pStyle w:val="TextoNormal"/>
      </w:pPr>
      <w:r>
        <w:t>Madrid, a veintiocho de febrero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11" w:name="AUTO_1985_150"/>
      <w:r>
        <w:lastRenderedPageBreak/>
        <w:t>AUTO 150/1985, de 6 de marzo de 1985</w:t>
      </w:r>
    </w:p>
    <w:bookmarkEnd w:id="211"/>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ECLI:ES:TC:1985:150A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605/1984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tiene entrada en el Registro General de este Tribunal Constitucional el 1 de agosto de 1984, el Procurador de los Tribunales don Emilio Alvarez Zancada, en nombre y representación de don Miguel Calpe Ros, don Rafael Marina Marina, don Emilio Cabrito Unanue, don José Doblado Molina y don Esteban Sánchez Gallardo, interpone recurso de amparo constitucional contra Sentencia de 22 de junio de 1984 de la Sala Segunda de lo Contencioso-Administrativo de la Audiencia Territorial de Barcelona, apoyándose en los siguientes hechos: </w:t>
      </w:r>
    </w:p>
    <w:p w:rsidR="00256EE9" w:rsidRDefault="00256EE9" w:rsidP="00256EE9">
      <w:pPr>
        <w:pStyle w:val="TextoNormal"/>
      </w:pPr>
      <w:r>
        <w:t xml:space="preserve">a) Los recurrentes, trabajadores al servicio de la Empresa de la que es titular don Antonio Aixerch Gavin, fueron despedidos en julio de 1980. Formulada demanda ante la jurisdicción laboral, la Magistratura de Trabajo núm. 12 de Barcelona dictó Sentencia, el 20 de octubre de 1980, en la que se calificaba de improcedentes los despidos y se fijaban las indemnizaciones correspondientes así como el abono de los salarios de tramitación. </w:t>
      </w:r>
    </w:p>
    <w:p w:rsidR="00256EE9" w:rsidRDefault="00256EE9" w:rsidP="00256EE9">
      <w:pPr>
        <w:pStyle w:val="TextoNormal"/>
      </w:pPr>
      <w:r>
        <w:t xml:space="preserve">b) Instada la ejecución de la anterior resolución y declarada la insolvencia de la Empresa, los recurrentes solicitaron la subrogación del Fondo de Garantía Salarial (FGS) en el pago de las indemnizaciones y de los salarios de tramitación causados por la mencionada insolvencia. Con fecha 27 de septiembre de 1982, la Comisión Provincial de Barcelona del FGS dictó resolución reconociendo el derecho de los solicitantes a percibir parte de las cantidades reclamadas, declarando como Convenio Colectivo aplicable a los efectos de fijación de las mismas el provincial del Comercio del Metal de 23 de julio de 1981. </w:t>
      </w:r>
    </w:p>
    <w:p w:rsidR="00256EE9" w:rsidRDefault="00256EE9" w:rsidP="00256EE9">
      <w:pPr>
        <w:pStyle w:val="TextoNormal"/>
      </w:pPr>
      <w:r>
        <w:t>c) Deducido recurso de alzada contra la anterior decisión ante la Secretaría General del Fondo y transcurrido el plazo pertinente sin haber recaído resolución, los hoy demandantes de amparo interpusieron recurso contencioso-administrativo, que fue desestimado por Sentencia de 22 de junio de 1984 dictada por la Sala Segunda de lo Contencioso-Administrativo de la Audiencia Territorial de Barcelona, en la que se declaraba ser ajustadas a Derecho las resoluciones administrativas impugnadas.</w:t>
      </w:r>
    </w:p>
    <w:p w:rsidR="00256EE9" w:rsidRDefault="00256EE9" w:rsidP="00256EE9">
      <w:pPr>
        <w:pStyle w:val="TextoNormal"/>
      </w:pPr>
    </w:p>
    <w:p w:rsidR="00256EE9" w:rsidRDefault="00256EE9" w:rsidP="00256EE9">
      <w:pPr>
        <w:pStyle w:val="TextoNormal"/>
      </w:pPr>
      <w:r w:rsidRPr="00256EE9">
        <w:rPr>
          <w:rStyle w:val="NumeroAFNegritaCaracter"/>
        </w:rPr>
        <w:t>2</w:t>
      </w:r>
      <w:r>
        <w:t>. El escrito de demanda denuncia la vulneración de los arts. 14 y 24.1 de la Constitución. El principio de igualdad, reconocido en el primero, se habría infringido por haber sido fijadas las indemnizaciones pendientes de pago, objeto de subrogación por el FGS, por referencia al Convenio Colectivo del Comercio del Metal, siendo así que diferentes resoluciones dictadas por ese organismo, resolviendo reclamaciones sustanciadas por tra</w:t>
      </w:r>
      <w:r>
        <w:lastRenderedPageBreak/>
        <w:t>bajadores que estuvieron al servicio de la misma Empresa que los hoy recurrentes en amparo, declararon aplicable el Convenio Colectivo provincial para la Industria Siderometalúrgica de 24 de julio de 1982. A su vez, la violación del art. 24.1 de la Constitución habría sido originada por las siguientes afirmaciones sentadas por la resolución judicial impugnada, todas ellas causantes de indefensión: a) Que fueron los recurrentes los que solicitaron la aplicación del Convenio Colectivo del Comercio del Metal, siendo así que se aportó el Convenio Siderometalúrgico; b) que las expresiones sector «metal» y sector «siderometalúrgico» no son sinónimas a los efectos de la identificación de la actividad de la Empresa, y c) que el Estado «siempre satisface sesenta días de salarios de tramitación», pudiendo el FGS descontar tal período de las obligaciones que legalmente asume.</w:t>
      </w:r>
    </w:p>
    <w:p w:rsidR="00256EE9" w:rsidRDefault="00256EE9" w:rsidP="00256EE9">
      <w:pPr>
        <w:pStyle w:val="TextoNormal"/>
      </w:pPr>
    </w:p>
    <w:p w:rsidR="00256EE9" w:rsidRDefault="00256EE9" w:rsidP="00256EE9">
      <w:pPr>
        <w:pStyle w:val="TextoNormal"/>
      </w:pPr>
      <w:r w:rsidRPr="00256EE9">
        <w:rPr>
          <w:rStyle w:val="NumeroAFNegritaCaracter"/>
        </w:rPr>
        <w:t>3</w:t>
      </w:r>
      <w:r>
        <w:t>. La pretensión que se postula se contrae a solicitar de este Tribunal la nulidad de la Sentencia impugnada, reconociéndose a los recurrentes el derecho a que las indemnizaciones y salarios fijados por la Magistratura de Trabajo núm. 12 de Barcelona en los autos núm. 1276/1980 les sean satisfechas por el FGS de conformidad con lo establecido en el Convenio Colectivo para la Industria Siderometalúrgica, vigente en Barcelona en el momento de la insolvencia de la empresa «Aixerch Gavin» dictada por aquella Magistratura, y sin descuento alguno de los sesenta días que establecen los arts. 56 y concordantes del Estatuto de los Trabajadores.</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3 de octubre de 1984, la Sección Primera de la Sala Primera de este Tribunal Constitucional acuerda notificar a la representación de los recurrentes la posible existencia de los siguientes motivos de inadmisión: a) no acompañar a la demanda copia de la Resolución de 27 de septiembre de 1982, dictada por la Comisión Provincial de Barcelona del Fondo de Garantía Salarial, según lo establecido en el art. 50.1 b) de la Ley Orgánica del Tribunal Constitucional (LOTC) en relación con el art. 49.2 b) de la misma Ley; b) no haber agotado la vía judicial procedente, según determina el art. 50.1 b) en relación con el 43.1, ambos de la LOTC, por lo que se refiere a la alegada vulneración del principio de igualdad; y c) carecer la demanda manifiestamente de contenido constitucional que justifique una decisión por parte de este Tribunal, según determina el art. 50.2 b) de la mencionada Ley. Asimismo, la Sección acuerda conceder un plazo común de diez días a los recurrentes y al Ministerio Fiscal, a fin de que formulen las alegaciones que estimen pertinentes y, en su caso, procedan a la subsanación del defecto señalado en el apartado 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Ministerio Fiscal, en su escrito de 19 de octubre de 1984, manifiesta, en primer término, que, aunque la demanda, que no está precisamente sobrada de claridad, se dirige exclusivamente contra la Sentencia de la Audiencia de Barcelona que confirmó la resolución del Fondo Nacional de Garantía, hay que entenderla, sin embargo, dirigida también contra el acuerdo del Fondo, ya que fue éste, y no la Sentencia, el que ocasionó a los recurrentes el pretendido perjuicio. Por ello ha de entenderse que el recurso ha sido formulado tanto al amparo del art. 43 de la LOTC como del art. 44 de la misma Ley. </w:t>
      </w:r>
    </w:p>
    <w:p w:rsidR="00256EE9" w:rsidRDefault="00256EE9" w:rsidP="00256EE9">
      <w:pPr>
        <w:pStyle w:val="TextoNormal"/>
      </w:pPr>
      <w:r>
        <w:t xml:space="preserve">De las anteriores precisiones se deriva que era preciso acompañar copia del mencionado acuerdo, como exige el art. 49.2 b) de la LOTC, por lo que en la demanda concurre el citado motivo de inadmisión subsanable, de conformidad con lo previsto en el art. 50.1 b) de la LOTC. </w:t>
      </w:r>
    </w:p>
    <w:p w:rsidR="00256EE9" w:rsidRDefault="00256EE9" w:rsidP="00256EE9">
      <w:pPr>
        <w:pStyle w:val="TextoNormal"/>
      </w:pPr>
      <w:r>
        <w:lastRenderedPageBreak/>
        <w:t xml:space="preserve">Por lo que se refiere a la presunta vulneración del derecho a la igualdad, confusamente expuesta en el escrito de demanda, el Ministerio Fiscal manifiesta que cabría interpretar que la vía judicial fue agotada, dado que en el considerando segundo de la Sentencia de la Audiencia de Barcelona hay una referencia expresa a que en otras ocasiones se aplicó a trabajadores de la misma Empresa el Convenio Siderometalúrgico y no el del Comercio del Metal, pero que, en todo caso, es tema irrelevante al concurrir el motivo de fondo que da lugar a la causa de inadmisión prevista en el art. 50.2 b) de la LOTC. </w:t>
      </w:r>
    </w:p>
    <w:p w:rsidR="00256EE9" w:rsidRDefault="00256EE9" w:rsidP="00256EE9">
      <w:pPr>
        <w:pStyle w:val="TextoNormal"/>
      </w:pPr>
      <w:r>
        <w:t xml:space="preserve">A su juicio, no le es posible al Tribunal Constitucional entrar a conocer de las cuestiones suscitadas por los recurrentes por tratarse de cuestiones de legalidad y no ser dicho Tribunal en estos casos una instancia revisora de las resoluciones judiciales; en realidad -señala os recurrentes discrepan de la aplicación del Convenio y atribuyen a la Audiencia de Barcelona una aplicación defectuosa de las normas, por lo que pretenden la revisión de la resolución judicial. Pero lo cierto es que los recurrentes obtuvieron de la Audiencia la debida prestación judicial, pues accedieron a ella, razonaron lo que a su derecho convino y obtuvieron una resolución motivada, aunque les fuera adversa, por lo que no cabe alegar la vulneración del art. 24 de la Constitución. </w:t>
      </w:r>
    </w:p>
    <w:p w:rsidR="00256EE9" w:rsidRDefault="00256EE9" w:rsidP="00256EE9">
      <w:pPr>
        <w:pStyle w:val="TextoNormal"/>
      </w:pPr>
      <w:r>
        <w:t>En consecuencia, el Ministerio Fiscal interesa de este Tribunal la inadmisión del recurso.</w:t>
      </w:r>
    </w:p>
    <w:p w:rsidR="00256EE9" w:rsidRDefault="00256EE9" w:rsidP="00256EE9">
      <w:pPr>
        <w:pStyle w:val="TextoNormal"/>
      </w:pPr>
    </w:p>
    <w:p w:rsidR="00256EE9" w:rsidRDefault="00256EE9" w:rsidP="00256EE9">
      <w:pPr>
        <w:pStyle w:val="TextoNormal"/>
      </w:pPr>
      <w:r w:rsidRPr="00256EE9">
        <w:rPr>
          <w:rStyle w:val="NumeroAFNegritaCaracter"/>
        </w:rPr>
        <w:t>6</w:t>
      </w:r>
      <w:r>
        <w:t>. La representación de los recurrentes, en escrito de 22 de octubre de 1984, formula las siguientes alegaciones: a) no acompañó la copia de la resolución del Fondo de Garantía Salarial por entender que, de conformidad con el art. 49.2 b) de la LOTC, bastaba con la copia de la Sentencia de la Sala Segunda de lo Contencioso-Administrativo de la Audiencia Territorial, pero, no obstante, procede a subsanar el mencionado defecto; b) por lo que respecta a la falta de agotamiento de la vía judicial procedente, no cabía recurso alguno frente a la resolución impugnada, pues el único posible habría sido el de revisión y por los motivos tasados que establece el art. 102 de la Ley de la Jurisdicción Contencioso-Administrativa, los cuales no se dan en el presente caso; c) en cuanto a la carencia de contenido constitucional por parte de la demanda, entiende que el principio de igualdad ha sido vulnerado en atención, muy especialmente, a los supuestos análogos a los que se hizo referencia en el escrito de demanda y cuya prueba documental aporta en estos momentos, y que la falta de tutela judicial efectiva y la indefensión se han producido al diferenciar en la Sentencia los términos «metal» y «siderometalúrgico» cuando en realidad son idénticos, afirmar sin justificación que la Administración ha satisfecho ciertas cantidades, y afirmar inexactamente que sus representados habían aportado el Convenio del Comercio del Metal. No obstante -concluye-, de los derechos aducidos esta parte entiende que ha sido vulnerado con mayor fuerza el de igualdad, por lo que se inclina por este último como fundamento de la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Los solicitantes de amparo formulan su recurso contra la Sentencia de la Sala Segunda de lo Contencioso-Administrativo de la Audiencia Territorial de Barcelona, a la que imputan la vulneración de derechos fundamentales, contenidos en los arts.  14 y 24.1 de la Constitución.  Esta decisión judicial, sin embargo, no hizo otra cosa que desestimar el recurso contencioso-administrativo promovido por los actores contra la resolución de la Comisión Provincial de Barcelona del FGS y contra la desestimación presunta, por silen</w:t>
      </w:r>
      <w:r>
        <w:lastRenderedPageBreak/>
        <w:t>cio administrativo, del recurso de alzada deducido ante la Secretaría General de ese organismo, por entender que las mismas eran ajustadas a Derecho. Por lo tanto, la alegada infracción del derecho a la igualdad (art. 14), de haberse producido habría de imputarse de modo directo e inmediato a las decisiones administrativas y, derivadamente y en razón de no haber corregido dicha infracción, a la resolución judicial.  En base a lo expuesto, la presente demanda ha de entenderse formalizada por un doble cauce: por el del art.  43 de la LOTC en lo que atañe a la pretendida vulneración del art.  14 de la Constitución, y por el del art.  44 de la misma Ley en lo que se refiere a la presunta contravención del art. 24.1 de aquélla, única de las violaciones denunciadas que en rigor puede provenir de la actuación del órgano judicial.</w:t>
      </w:r>
    </w:p>
    <w:p w:rsidR="00256EE9" w:rsidRDefault="00256EE9" w:rsidP="00256EE9">
      <w:pPr>
        <w:pStyle w:val="TextoNormal"/>
      </w:pPr>
    </w:p>
    <w:p w:rsidR="00256EE9" w:rsidRDefault="00256EE9" w:rsidP="00256EE9">
      <w:pPr>
        <w:pStyle w:val="TextoNormal"/>
      </w:pPr>
      <w:r w:rsidRPr="00256EE9">
        <w:rPr>
          <w:rStyle w:val="NumeroAFNegritaCaracter"/>
        </w:rPr>
        <w:t>2</w:t>
      </w:r>
      <w:r>
        <w:t>. Subsanado el motivo de inadmisión consistente en no haber acompañado copia, traslado o certificación de la resolución administrativa impugnada, es preciso examinar las restantes causas de inadmisión enunciadas en nuestra providencia de 3 de octubre último.</w:t>
      </w:r>
    </w:p>
    <w:p w:rsidR="00256EE9" w:rsidRDefault="00256EE9" w:rsidP="00256EE9">
      <w:pPr>
        <w:pStyle w:val="TextoNormal"/>
      </w:pPr>
      <w:r>
        <w:t>Por lo que se refiere a la falta de agotamiento de la vía judicial procedente, es manifiesta para los recurrentes la inexistencia de tal causa, pues contra la Sentencia dictada por la Audiencia Territorial de Barcelona no cabía recurso alguno, incluido el de revisión.</w:t>
      </w:r>
    </w:p>
    <w:p w:rsidR="00256EE9" w:rsidRDefault="00256EE9" w:rsidP="00256EE9">
      <w:pPr>
        <w:pStyle w:val="TextoNormal"/>
      </w:pPr>
      <w:r>
        <w:t>No es, sin embargo, el agotamiento formal de la vía judicial previa -único extremo al que hacen referencia los recurrenteslo que la mencionada providencia cuestionaba, sino la existencia de un pronunciamiento previo de los órganos de la jurisdicción ordinaria sobre la alegada vulneración del art.  14 de la Norma Fundamental por parte de la Administración, pues es éste el sentido del requisito establecido en el art. 43.1 de la LOTC. Y desde esta perspectiva cabe aceptar el criterio del Ministerio Fiscal, estimando agotada la vía judicial procedente pese a la falta de claridad expositiva de la demanda, pues, con independencia de que la cuestión fuere formalmente suscitada por los recurrentes, la Sentencia alude, aunque de modo lateral, al hecho de que en otros casos de trabajadores de la misma Empresa se aportó el Convenio Siderometalúrgico (el de 1981 y no el de 1982)».</w:t>
      </w:r>
    </w:p>
    <w:p w:rsidR="00256EE9" w:rsidRDefault="00256EE9" w:rsidP="00256EE9">
      <w:pPr>
        <w:pStyle w:val="TextoNormal"/>
      </w:pPr>
    </w:p>
    <w:p w:rsidR="00256EE9" w:rsidRDefault="00256EE9" w:rsidP="00256EE9">
      <w:pPr>
        <w:pStyle w:val="TextoNormal"/>
      </w:pPr>
      <w:r w:rsidRPr="00256EE9">
        <w:rPr>
          <w:rStyle w:val="NumeroAFNegritaCaracter"/>
        </w:rPr>
        <w:t>3</w:t>
      </w:r>
      <w:r>
        <w:t>. Los recurrentes en amparo imputan también a la Sentencia impugnada la vulneración del art.  24.1 de la Constitución.</w:t>
      </w:r>
    </w:p>
    <w:p w:rsidR="00256EE9" w:rsidRDefault="00256EE9" w:rsidP="00256EE9">
      <w:pPr>
        <w:pStyle w:val="TextoNormal"/>
      </w:pPr>
      <w:r>
        <w:t>Aducen, en primer término, que la afirmación contenida en el segundo considerando de dicha Sentencia, según la cual fueron los interesados los que aportaron al expediente administrativo el Convenio Colectivo del Comercio del Metal con arreglo al cual se fijaron las cantidades reclamadas de las que había de responder el FGS, no se corresponde con la realidad, pues el Convenio realmente aportado fue el Siderometalúrgico, cuya aplicación era precisamente la pretendida.</w:t>
      </w:r>
    </w:p>
    <w:p w:rsidR="00256EE9" w:rsidRDefault="00256EE9" w:rsidP="00256EE9">
      <w:pPr>
        <w:pStyle w:val="TextoNormal"/>
      </w:pPr>
      <w:r>
        <w:t>La argumentación de los recurrentes se apoya en una lectura parcial del citado considerando, pues el órgano judicial se limita a recoger el resultando 1 de la resolución recurrida y, por otra parte, tal extremo no es valorado ni tenido en cuenta en la fundamentación jurídica que sirve de base a la desestimación de la pretensión, por lo que dicha cuestión resulta irrelevante desde el punto de vista del derecho a la defensa, reconocido en el mencionado precepto constitucional.</w:t>
      </w:r>
    </w:p>
    <w:p w:rsidR="00256EE9" w:rsidRDefault="00256EE9" w:rsidP="00256EE9">
      <w:pPr>
        <w:pStyle w:val="TextoNormal"/>
      </w:pPr>
      <w:r>
        <w:t xml:space="preserve">Del mismo modo, este Tribunal Constitucional no puede entrar en la segunda cuestión planteada: la valoración que del Acta de la Inspección de Trabajo incorporada a los Autos hizo la Audiencia Territorial, la cual, a juicio de los recurrentes, se apoya en una interpretación equivocada de los términos metal y siderometalúrgico, que se consideran referidos a distintos sectores, siendo así que ambos términos son equivalentes. La valoración de la prueba pertenece a la esfera competencial reservada a los órganos integrados en el Poder </w:t>
      </w:r>
      <w:r>
        <w:lastRenderedPageBreak/>
        <w:t>Judicial, y el Tribunal Constitucional, como viene manifestando reiteradamente, carece de facultades para apreciar, subrogándose en las funciones de los Tribunales ordinarios, el material probatorio ante ellos aportado.</w:t>
      </w:r>
    </w:p>
    <w:p w:rsidR="00256EE9" w:rsidRDefault="00256EE9" w:rsidP="00256EE9">
      <w:pPr>
        <w:pStyle w:val="TextoNormal"/>
      </w:pPr>
      <w:r>
        <w:t>Finalmente, tampoco cabe pronunciamiento alguno sobre los salarios que, con cargo al FGS, tienen derecho a percibir los recurrentes.  Estos tuvieron ocasión de hacer las alegaciones oportunas en el curso del proceso y a este Tribunal Constitucional no le corresponde enjuiciar ni la forma en que el órgano judicial competente ha valorado la prueba ni la interpretación y aplicación que del art.  56.5 del Estatuto de los Trabajadores se hace en la Sentencia impugnada.</w:t>
      </w:r>
    </w:p>
    <w:p w:rsidR="00256EE9" w:rsidRDefault="00256EE9" w:rsidP="00256EE9">
      <w:pPr>
        <w:pStyle w:val="TextoNormal"/>
      </w:pPr>
    </w:p>
    <w:p w:rsidR="00256EE9" w:rsidRDefault="00256EE9" w:rsidP="00256EE9">
      <w:pPr>
        <w:pStyle w:val="TextoNormal"/>
      </w:pPr>
      <w:r w:rsidRPr="00256EE9">
        <w:rPr>
          <w:rStyle w:val="NumeroAFNegritaCaracter"/>
        </w:rPr>
        <w:t>4</w:t>
      </w:r>
      <w:r>
        <w:t>. En cuanto a la pretendida vulneración del art.  14 de la Constitución, los recurrentes manifiestan en su escrito de alegaciones que, de los dos derechos que estiman infringidos por las resoluciones impugnadas, ha sido el de igualdad el vulnerado «con mayor fuerza».  Tal apreciación, sin embargo, carece de consistencia.</w:t>
      </w:r>
    </w:p>
    <w:p w:rsidR="00256EE9" w:rsidRDefault="00256EE9" w:rsidP="00256EE9">
      <w:pPr>
        <w:pStyle w:val="TextoNormal"/>
      </w:pPr>
      <w:r>
        <w:t>Como con reiterada insistencia viene señalando la jurisprudencia constitucional, la invocación del principio de igualdad requiere ofrecer a la consideración de este Tribunal un término de comparación respecto del cual quepa predicar la pretendida desigualdad.  Ahora bien, en su escrito de demanda los recurrentes en amparo se limitan a señalar que en cinco expedientes relacionados con la Empresa de la que es titular don Antonio Aixerch Gavin, el órgano administrativo correspondiente aplicó «el Convenio Siderometalúrgico de la provincia de Barcelona, si bien ello con relación a la fecha de la insolvencia y, por consiguiente, de años distintos en su caso».</w:t>
      </w:r>
    </w:p>
    <w:p w:rsidR="00256EE9" w:rsidRDefault="00256EE9" w:rsidP="00256EE9">
      <w:pPr>
        <w:pStyle w:val="TextoNormal"/>
      </w:pPr>
      <w:r>
        <w:t>Posteriormente, en el escrito de alegaciones acompañan dos resoluciones relativas a algunos de los expedientes citados, pero tales resoluciones carecen de significación desde el punto de vista de la discriminación alegada.  En efecto, las resoluciones aportadas fueron dictadas por la Comisión Provincial de Barcelona del FGS el 23 de junio de 1983 y el 28 de enero de ese mismo año, y, siendo la resolución impugnada de fecha 27 de septiembre de 1982, no pueden servir aquéllas de elementos comparativos de presuntas desigualdades.  Elementales razones de lógica jurídica excluyen el que la resolución objeto del presente recurso pueda producir discriminación respecto de resoluciones aún no dictadas; antes al contrario, habrían sido éstas y no aquéllas las que podrían haber ocasionado desigualdad.</w:t>
      </w:r>
    </w:p>
    <w:p w:rsidR="00256EE9" w:rsidRDefault="00256EE9" w:rsidP="00256EE9">
      <w:pPr>
        <w:pStyle w:val="TextoNormal"/>
      </w:pPr>
    </w:p>
    <w:p w:rsidR="00256EE9" w:rsidRDefault="00256EE9" w:rsidP="00256EE9">
      <w:pPr>
        <w:pStyle w:val="TextoNormal"/>
      </w:pPr>
      <w:r w:rsidRPr="00256EE9">
        <w:rPr>
          <w:rStyle w:val="NumeroAFNegritaCaracter"/>
        </w:rPr>
        <w:t>5</w:t>
      </w:r>
      <w:r>
        <w:t>. En virtud de lo anteriormente expuesto, es preciso concluir que en la resolución judicial impugnada no aparecen vulnerados los arts.  14 y 24.1 de la Constitución y, por lo tanto, la demanda de amparo carece manifiestamente de contenido desde el punto de vista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inadmisión del recurso de amparo interpuesto por el Procurador de los Tribunales don Emilio Alvarez Zancada, en nombre y representación de don Miguel Calpe Ros, don Rafael Marina Marina, don Emilio Cabrito Unanue,</w:t>
      </w:r>
    </w:p>
    <w:p w:rsidR="00256EE9" w:rsidRDefault="00256EE9" w:rsidP="00256EE9">
      <w:pPr>
        <w:pStyle w:val="TextoNormal"/>
      </w:pPr>
      <w:r>
        <w:t>don José Doblado Molina y don Esteban Sánchez Gallardo, y el archivo de las actuaciones.</w:t>
      </w:r>
    </w:p>
    <w:p w:rsidR="00256EE9" w:rsidRDefault="00256EE9" w:rsidP="00256EE9">
      <w:pPr>
        <w:pStyle w:val="TextoNormal"/>
      </w:pPr>
    </w:p>
    <w:p w:rsidR="00256EE9" w:rsidRDefault="00256EE9" w:rsidP="00256EE9">
      <w:pPr>
        <w:pStyle w:val="TextoNormal"/>
      </w:pPr>
      <w:r>
        <w:lastRenderedPageBreak/>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12" w:name="AUTO_1985_151"/>
      <w:r>
        <w:lastRenderedPageBreak/>
        <w:t>AUTO 151/1985, de 6 de marzo de 1985</w:t>
      </w:r>
    </w:p>
    <w:bookmarkEnd w:id="212"/>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ECLI:ES:TC:1985:151A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Ratificando errata material en el Auto 15/1985, dictado en el recurso de amparo 716/1984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de 17 de octubre de 1984, el Procurador de los Tribunales don Felipe Ramos Arroyo, en nombre y representación de don Miguel Jiménez Chaparro, interpone recurso de amparo, registrado bajo el núm. 716/1984, contra el Auto de la Sección Séptima de la Audiencia Provincial de Madrid de 30 de junio de 1984. </w:t>
      </w:r>
    </w:p>
    <w:p w:rsidR="00256EE9" w:rsidRDefault="00256EE9" w:rsidP="00256EE9">
      <w:pPr>
        <w:pStyle w:val="TextoNormal"/>
      </w:pPr>
      <w:r>
        <w:t>Con fecha 10 de enero de 1985, la Sección Primera de la Sala Primera de este Tribunal Constitucional dicta Auto declarando la inadmisión del mencionado recurso.</w:t>
      </w:r>
    </w:p>
    <w:p w:rsidR="00256EE9" w:rsidRDefault="00256EE9" w:rsidP="00256EE9">
      <w:pPr>
        <w:pStyle w:val="TextoNormal"/>
      </w:pPr>
    </w:p>
    <w:p w:rsidR="00256EE9" w:rsidRDefault="00256EE9" w:rsidP="00256EE9">
      <w:pPr>
        <w:pStyle w:val="TextoNormal"/>
      </w:pPr>
      <w:r w:rsidRPr="00256EE9">
        <w:rPr>
          <w:rStyle w:val="NumeroAFNegritaCaracter"/>
        </w:rPr>
        <w:t>2</w:t>
      </w:r>
      <w:r>
        <w:t>. El 18 de enero del presente año, don Felipe Ramos Arroyo, Procurador de los Tribunales y del recurrente don Manuel Jiménez Chaparro, presenta un escrito en el que afirma que el Auto que le ha sido notificado no puede referirse a su representado ni aún tratándose de mero error de nombre, ya que en el recurso de amparo por él formulado no existe causa alguna de inadmisión por lo que se refiere a la falta de invocación de los arts. 24.1 y 2 de la Constitución, pues dicha invocación se realizó en el recurso de súplica de 25 de junio de 1980 (sic) y, por otra parte, en el Auto se alude a un informe del Ministerio Fiscal que no aparece en los autos de su recurso, ni se le ha dado traslado del mismo en ningún momento.</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23 de enero de 1985, esta Sección acuerda tener por recibido el precedente escrito y conceder al citado Procurador un plazo de tres días para que concrete si el nombre de su representado es el de Manuel Jiménez Chaparro, tal como figura en dicho escrito, o el de Miguel Jiménez Chaparro, que figura en el de interposición del recurso de amparo presentado con fecha 17 de octubre de 1984.</w:t>
      </w:r>
    </w:p>
    <w:p w:rsidR="00256EE9" w:rsidRDefault="00256EE9" w:rsidP="00256EE9">
      <w:pPr>
        <w:pStyle w:val="TextoNormal"/>
      </w:pPr>
    </w:p>
    <w:p w:rsidR="00256EE9" w:rsidRDefault="00256EE9" w:rsidP="00256EE9">
      <w:pPr>
        <w:pStyle w:val="TextoNormal"/>
      </w:pPr>
      <w:r w:rsidRPr="00256EE9">
        <w:rPr>
          <w:rStyle w:val="NumeroAFNegritaCaracter"/>
        </w:rPr>
        <w:t>4</w:t>
      </w:r>
      <w:r>
        <w:t>. Por escrito registrado el 2 de febrero de 1985, don Felipe Ramos Arroyo aclara que el nombre de su representado es Manuel, tal como figura en el poder y en el testimonio del escrito de recurso de súplica y Auto de 22 de septiembre de 1984.</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Del encabezamiento del Auto de esta Sección notificado al Procurador de los Tribunales don Felipe Ramos Arroyo, al que éste se refiere en su escrito de 18 de enero pasado, y de los antecedentes en él contenidos resulta claramente identificable el recurso de amparo al que pone fin el mencionado Auto y que no es otro que el registrado bajo el núm.</w:t>
      </w:r>
    </w:p>
    <w:p w:rsidR="00256EE9" w:rsidRDefault="00256EE9" w:rsidP="00256EE9">
      <w:pPr>
        <w:pStyle w:val="TextoNormal"/>
      </w:pPr>
      <w:r>
        <w:t>716/1984, interpuesto por el antedicho Procurador en nombre y representación de don Miguel Jiménez Chaparro, siendo la sustitución del apellido Jiménez, que figura en la demanda de amparo, por el de Sánchez un mero error en la transcripción mecanográfica, análogo al que, según el mismo Procurador aclara, se produjo en el escrito de demanda de amparo respecto al nombre del recurrente, que no es Miguel sino Manuel, tal como figura en los documentos que acompañan al escrito de demanda.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Teniendo en cuenta las consideraciones anteriores la Sección acuerda rectificar el Auto de 10 de enero de 1985 que inadmite el recurso 716/1984, sustituyendo el nombre de Miguel Sánchez por el de Manuel Jiménez.</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13" w:name="AUTO_1985_152"/>
      <w:r>
        <w:lastRenderedPageBreak/>
        <w:t>AUTO 152/1985, de 6 de marzo de 1985</w:t>
      </w:r>
    </w:p>
    <w:bookmarkEnd w:id="213"/>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ECLI:ES:TC:1985:152A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826/1984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pasado dia 29 de noviembre quedó registrado en este Tribunal un escrito mediante el cual don Argimiro Vázquez Guillén, Procurador de los Tribunales, interpuso recurso de amparo constitucional en nombre de su poderdante, doña Isabel-Eliane Peón Fernández, contra la Sentencia del Tribunal Central de Trabajo de 8 de octubre de 1984, que revocó la de 2 de julio del mismo año, dictada por la Magistratura de Trabajo núm. 3 de La Coruña. </w:t>
      </w:r>
    </w:p>
    <w:p w:rsidR="00256EE9" w:rsidRDefault="00256EE9" w:rsidP="00256EE9">
      <w:pPr>
        <w:pStyle w:val="TextoNormal"/>
      </w:pPr>
      <w:r>
        <w:t xml:space="preserve">La demanda se fundaba en las siguientes consideraciones de hecho: </w:t>
      </w:r>
    </w:p>
    <w:p w:rsidR="00256EE9" w:rsidRDefault="00256EE9" w:rsidP="00256EE9">
      <w:pPr>
        <w:pStyle w:val="TextoNormal"/>
      </w:pPr>
      <w:r>
        <w:t xml:space="preserve">a) La actora, una vez finalizado su contrato temporal como Ayudante Técnico Sanitario en la Ciudad Sanitaria de la Seguridad Social de La Coruña el 26 de enero de 1984, formuló solicitud de prestación por desempleo con fecha 8 de febrero siguiente, instancia que fue rechazada por Acuerdo de 14 de marzo del mismo año con el fundamento de que, desde el 24 de julio de 1983 (fecha en que finalizó la última situación de desempleo de la interesada), el período ocupacional subsiguiente no había superado los seis meses. </w:t>
      </w:r>
    </w:p>
    <w:p w:rsidR="00256EE9" w:rsidRDefault="00256EE9" w:rsidP="00256EE9">
      <w:pPr>
        <w:pStyle w:val="TextoNormal"/>
      </w:pPr>
      <w:r>
        <w:t xml:space="preserve">b) Contra tal resolución denegatoria dedujo la actora demanda ante la Magistratura de Trabajo núm. 3 de La Coruña, obteniendo Sentencia estimatoria de su pretensión el 2 de julio de 1984, fallo en el que se declaró el derecho de la demandante a obtener del Instituto Nacional de Empleo la prestación instada el 8 de febrero anterior. La fundamentación de la Sentencia se hizo teniendo en cuenta que, si bien el período de cotización posterior al cese de la anterior situación de desempleo no superó los cuatro meses, debían de computarse también, a los mismos efectos, los períodos de cotización anteriores de la actora, cotizaciones éstas que se produjeron con ocasión de las diferentes interrupciones de la prestación inicial de desempleo de que disfrutó, al ejercer aquélla diversos trabajos con carácter temporal. </w:t>
      </w:r>
    </w:p>
    <w:p w:rsidR="00256EE9" w:rsidRDefault="00256EE9" w:rsidP="00256EE9">
      <w:pPr>
        <w:pStyle w:val="TextoNormal"/>
      </w:pPr>
      <w:r>
        <w:t xml:space="preserve">c) Interpuesto recurso de suplicación por la parte vencida ante el Tribunal Central de Trabajo, el mismo fue resuelto por Sentencia de 8 de octubre de 1984, en la que, estimándose el recurso, se revocó la anterior resolución de la Magistratura de Trabajo de La Coruña. Entendió el Tribunal Central que la inicial petición de prestación por desempleo no era continuación de la anterior -ya obtenida y disfrutada por la actora-, sino una solicitud independiente, no procediendo para el cómputo de los períodos de cotización necesarios al tener en cuenta unas cotizaciones que fueron previas, en todo caso, al término del disfrute de la prestación por desempleo, el 24 de julio de 1983. Tal cómputo de los períodos de cotización que reclamaba la demandante (de los períodos, por lo tanto, en los que, por sus </w:t>
      </w:r>
      <w:r>
        <w:lastRenderedPageBreak/>
        <w:t xml:space="preserve">trabajos temporales, se interrumpió, reanudándose después, la prestación por desempleo) resultaría improcedente desde la legalidad aplicable a la pretensión, normativa constituida, básicamente, por el art. 19.2 de la Ley Básica de Empleo (Ley 51/1980, de 8 de octubre) y por el art. 14 de su Reglamento, de 24 de abril de 1981. Siendo éstos los preceptos que habían de regular su solicitud, ésta carecería de fundamento, toda vez que el cómputo de los períodos cotizados con anterioridad al término de la última prestación por desempleo no sería posible con arreglo al citado art. 19.2 de la Ley (interpretación ésta confirmada, se dice en la Sentencia, por el art. 8.2 de la nueva Ley 31/1984, de 2 de agosto, en relación con el apartado 2 d) de la exposición de motivos de la misma Ley, toda vez que en estos textos se reconoce, sí, el tipo de cómputo reclamado por la demandante, pero aclarando expresamente la Ley que la legalidad anterior -la aplicable al caso presente- desconocía tal posibilidad). </w:t>
      </w:r>
    </w:p>
    <w:p w:rsidR="00256EE9" w:rsidRDefault="00256EE9" w:rsidP="00256EE9">
      <w:pPr>
        <w:pStyle w:val="TextoNormal"/>
      </w:pPr>
      <w:r>
        <w:t xml:space="preserve">La fundamentación en Derecho de la demanda de amparo puede resumirse como sigue: </w:t>
      </w:r>
    </w:p>
    <w:p w:rsidR="00256EE9" w:rsidRDefault="00256EE9" w:rsidP="00256EE9">
      <w:pPr>
        <w:pStyle w:val="TextoNormal"/>
      </w:pPr>
      <w:r>
        <w:t xml:space="preserve">a) Reprocha la demandante a la Sentencia del Tribunal Central una incorrecta aplicación del Derecho, pues entiende que la disposición transitoria primera de la Ley 31/1984, de 2 de agosto («...la duración de la prestación por desempleo o del subsidio que se estuviera percibiendo el 1 de enero de 1984 o que se reconozca a partir de dicha fecha se regirán por lo dispuesto en esta Ley»), confirmaba su pretensión a que la solicitud de prestación por desempleo que formuló el 8 de febrero del mismo año fuese satisfecho teniendo en cuenta la legalidad que más tarde sobrevino, es decir, lo previsto en el citado art. 8.2 del nuevo texto legal, en el que ya sí se admitía el cálculo por ella propuesto. </w:t>
      </w:r>
    </w:p>
    <w:p w:rsidR="00256EE9" w:rsidRDefault="00256EE9" w:rsidP="00256EE9">
      <w:pPr>
        <w:pStyle w:val="TextoNormal"/>
      </w:pPr>
      <w:r>
        <w:t xml:space="preserve">b) La alegación constitucional que realiza tras esta queja es la de que tal defectuosa aplicación del Derecho le habría deparado discriminación (infracción -dicedel art. 14 de la Constitución). </w:t>
      </w:r>
    </w:p>
    <w:p w:rsidR="00256EE9" w:rsidRDefault="00256EE9" w:rsidP="00256EE9">
      <w:pPr>
        <w:pStyle w:val="TextoNormal"/>
      </w:pPr>
      <w:r>
        <w:t>En el petitum se solicita del Tribunal la anulación de la Sentencia del Tribunal Central y el reconocimiento del derecho de la demandante a que se le aplique el art. 8.2 de la Ley 31/1984, teniéndose en cuenta todas las cotizaciones efectivamente realizadas para la concesión de la prestación de desempleo.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de este Tribunal, en su reunión del día 16 de enero pasado acordó poner de manifiesto la posible causa de inadmisibilidad prevista en el art. 50.2 b) de la Ley Orgánica del Tribunal por cuanto la demanda pudiera carecer de contenido que justifique una decisión del mismo; y en su virtud otorgó un plazo de diez días al solicitante del amparo y al Fiscal a fin de que pudieran alegar lo que a su derecho conviniere. </w:t>
      </w:r>
    </w:p>
    <w:p w:rsidR="00256EE9" w:rsidRDefault="00256EE9" w:rsidP="00256EE9">
      <w:pPr>
        <w:pStyle w:val="TextoNormal"/>
      </w:pPr>
      <w:r>
        <w:t xml:space="preserve">Dentro del mencionado plazo, la solicitante del amparo ha insistido en sus iniciales pretensiones alegando que el presente caso es evidente la necesidad del amparo constitucional, y en consecuencia la posibilidad de admisión de la demanda que lo solicita, ya que al no haberse reconocido el derecho a la recurrente a las prestaciones de desempleo, se ha infringido claramente el principio de igualdad consagrado en el art. 14 de la Constitución, que es precisamente el principio que se ha querido salvaguardar y preservar también por la Ley 31/1984, de 2 de agosto, que en el apartado 10 de exposición de motivos expresamente lo reconoce, al señalar que las disposiciones transitorias de tal Ley tratan de evitar en lo posible los agravios comparativos que para los desempleados produciría la aplicación de esta Ley, o lo que es lo mismo, no se aplicaría este principio de igualdad en el presente caso de no concedérsele las prestaciones de desempleo a la recurrente cuando a otros desempleados en idénticas circunstancias de hecho y derecho sí se le conceden. </w:t>
      </w:r>
    </w:p>
    <w:p w:rsidR="00256EE9" w:rsidRDefault="00256EE9" w:rsidP="00256EE9">
      <w:pPr>
        <w:pStyle w:val="TextoNormal"/>
      </w:pPr>
      <w:r>
        <w:t xml:space="preserve">El Fiscal, por su parte, ha pedido la inadmisión del recurso, señalando que formulado recurso de amparo contra la anterior Sentencia del Tribunal Central de Trabajo y alegando </w:t>
      </w:r>
      <w:r>
        <w:lastRenderedPageBreak/>
        <w:t xml:space="preserve">por la actora, doña Isabel Peón Fernández, la supuesta violación del derecho de igualdad consagrado por el art. 14 de la Constitución, no se establece, sin embargo, por la recurrente, ningún término de comparación respecto de otras posibles resoluciones judiciales que hubieran tratado de distinta manera, supuestos idénticos al enjuiciado, lo que podría entrañar una desigualdad en la aplicación de la Ley; ni tampoco se indica término comparativo respecto de otras personas o desempleados concretos, pues únicamente se alude por la recurrente para destacar la desigualdad, a la Ley 31/1984, de 2 de agosto, que en el apartado 10 de su exposición de motivos dice: «Por último, hay que señalar las disposiciones transitorias de la Ley que regulan y tratan de evitar en lo posible los agravios comparativos que para los desempleados produciría la aplicación de esta Ley»; entendiendo la recurrente que la disposición transitoria de esa Ley salvaguarda su derecho y no se ha tenido en cuenta por el Tribunal Central de Trabajo. </w:t>
      </w:r>
    </w:p>
    <w:p w:rsidR="00256EE9" w:rsidRDefault="00256EE9" w:rsidP="00256EE9">
      <w:pPr>
        <w:pStyle w:val="TextoNormal"/>
      </w:pPr>
      <w:r>
        <w:t>En verdad, lo que se suscita en la demanda de amparo, es un problema de legalidad porque el término de comparación concreto, necesario para poder estimar lesionado el principio de igualdad, resulta inexistente (Auto del T. C., 21 de marzo de 1984) y en definitiva lo que se viene a advertir es que la recurrente discrepa de la interpretación que el Tribunal Central de Trabajo ha hecho respecto a la Ley 31/1984, de 2 de agosto, y disposiciones concordantes, cuya discrepancia en modo alguno puede justificar el recurso de amparo ya que, como dice el Auto de este Tribunal de 30 de octubre de 1984, «la discrepancia del demandante con el razonamiento de las resoluciones impugnadas se centra sobre la interpretación de la legalidad aplicada»... y ...«las decisiones adoptadas, desfavorables a los intereses del actor, podrán ser o no acertadas, pero no vulneran el principio de igualdad pues corresponde a la jurisdicción ordinaria decidir acerca de la aplicación de la norma».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derecho fundamental invocado ante el Tribunal es el declarado en el art. 14 de la Constitución, alegando la actora haber sufrido discriminación por el fallo de la Sentencia de 8 de octubre de 1984, del Tribunal Central de Trabajo.  Ahora bien, esta queja, basada en una supuesta desigualdad ante la Ley, carece de concreción alguna en el escrito de demanda, ya que no se aporta por la recurrente ningún término de comparación con el que contrastar la situación propia, ni se indica, específicamente, en cuál o cuáles decisiones el Tribunal sentenciador falló de modo diverso, resolviendo casos análogos al planteado por la actora. Esta carencia de la demanda -en cuya virtud la invocación del art.  14 se muestra como alegato retórico- impide reconocer verosimilitud inicial a su queja y permite apreciar ya la causa de inadmisibilidad a que se refiere el citado art.  50.2 b) de la LOTC, de acuerdo con reiterada doctrina de este Tribunal.</w:t>
      </w:r>
    </w:p>
    <w:p w:rsidR="00256EE9" w:rsidRDefault="00256EE9" w:rsidP="00256EE9">
      <w:pPr>
        <w:pStyle w:val="TextoNormal"/>
      </w:pPr>
    </w:p>
    <w:p w:rsidR="00256EE9" w:rsidRDefault="00256EE9" w:rsidP="00256EE9">
      <w:pPr>
        <w:pStyle w:val="TextoNormal"/>
      </w:pPr>
      <w:r w:rsidRPr="00256EE9">
        <w:rPr>
          <w:rStyle w:val="NumeroAFNegritaCaracter"/>
        </w:rPr>
        <w:t>2</w:t>
      </w:r>
      <w:r>
        <w:t>. Ocurre, en efecto, que el problema que se pretende traer hasta este Tribunal es, en rigor, el de la correcta o incorrecta aplicación de la legalidad por el Juez a quo, cuestión ésta a cuyo servicio no está el amparo constitucional, a salvo los supuestos en los que de tal aplicación errónea haya podido derivarse lesión en uno de los derechos fundamentales garantizados mediante el recurso de amparo. No se ha producido esto en el caso presente, porque el Tribunal Central de Trabajo se limitó a dar aplicación, en su Sentencia, a la normativa reguladora de la pretensión de la actora en el momento en que la misma se dedujo ante el Instituto Nacional de Empleo.</w:t>
      </w:r>
    </w:p>
    <w:p w:rsidR="00256EE9" w:rsidRDefault="00256EE9" w:rsidP="00256EE9">
      <w:pPr>
        <w:pStyle w:val="TextoNormal"/>
      </w:pPr>
      <w:r>
        <w:lastRenderedPageBreak/>
        <w:t>Así, de acuerdo con la disposición transitoria primera de la Ley 31/1984, de 2 de agosto, «la presente Ley se aplicará a la prestación de desempleo o al subsidio que nazca después de su entrada en vigor, regulándose por la legislación procedente las situaciones legales de desempleo producidas con anterioridad», regla general ésta que no tiene, en la misma disposición transitoria, sino la excepción siguiente: «No obstante, la duración de la prestación de desempleo o del subsidio que se estuviera percibiendo el 1 de enero de 1984 o que se reconozca a partir de dicha fecha se regirán por lo dispuesto en esta Ley».</w:t>
      </w:r>
    </w:p>
    <w:p w:rsidR="00256EE9" w:rsidRDefault="00256EE9" w:rsidP="00256EE9">
      <w:pPr>
        <w:pStyle w:val="TextoNormal"/>
      </w:pPr>
      <w:r>
        <w:t>En estos términos, la queja de la demandante -sobre suscitar una cuestión de estricta legalidad ordinaria- carece de consistencia.</w:t>
      </w:r>
    </w:p>
    <w:p w:rsidR="00256EE9" w:rsidRDefault="00256EE9" w:rsidP="00256EE9">
      <w:pPr>
        <w:pStyle w:val="TextoNormal"/>
      </w:pPr>
      <w:r>
        <w:t>Su situación de desempleo, como quedó probado en el juicio de instancia, se produjo el 26 de enero de 1984 y fue el día 8 del mes siguiente cuando formuló su solicitud de prestación.  De acuerdo con el Derecho aplicable en ese momento (art. 19.2 de la Ley Básica de Empleo, y art. 14 de su Reglamento, ya citados), el cómputo del período de cotización se hacía descartando las cotizaciones hechas durante el período en que se percibió una anterior prestación por desempleo, lo que, como advierte en su considerando la Sentencia del Tribunal Central, resulta corroborado por la propia exposición de motivos de la Ley 31/1984 [apartado 4 d)], en la que, para destacar la trascendencia del art. 8.2 de la misma Ley, se subraya su contenido innovador respecto de las reglas de cómputo anteriores.</w:t>
      </w:r>
    </w:p>
    <w:p w:rsidR="00256EE9" w:rsidRDefault="00256EE9" w:rsidP="00256EE9">
      <w:pPr>
        <w:pStyle w:val="TextoNormal"/>
      </w:pPr>
    </w:p>
    <w:p w:rsidR="00256EE9" w:rsidRDefault="00256EE9" w:rsidP="00256EE9">
      <w:pPr>
        <w:pStyle w:val="TextoNormal"/>
      </w:pPr>
      <w:r w:rsidRPr="00256EE9">
        <w:rPr>
          <w:rStyle w:val="NumeroAFNegritaCaracter"/>
        </w:rPr>
        <w:t>3</w:t>
      </w:r>
      <w:r>
        <w:t>. No cabe, como hace la recurrente, reprochar a la Sentencia del Tribunal Central el haber desconocido la norma que, en la citada disposición transitoria, impone la parcial retroactividad (la aplicación inmediata, mejor) de los preceptos de la Ley 31/1984 a efectos de la duración de las pensiones disfrutadas o concedidas con anterioridad a su entrada en vigor.  El problema del que conoció el Tribunal a quo fue el de la estimación misma del alegado derecho a la pensión y no el de la duración de una pensión ya concedida (art.  14 de la Ley 31/1984).</w:t>
      </w:r>
    </w:p>
    <w:p w:rsidR="00256EE9" w:rsidRDefault="00256EE9" w:rsidP="00256EE9">
      <w:pPr>
        <w:pStyle w:val="TextoNormal"/>
      </w:pPr>
    </w:p>
    <w:p w:rsidR="00256EE9" w:rsidRDefault="00256EE9" w:rsidP="00256EE9">
      <w:pPr>
        <w:pStyle w:val="TextoNormal"/>
      </w:pPr>
      <w:r w:rsidRPr="00256EE9">
        <w:rPr>
          <w:rStyle w:val="NumeroAFNegritaCaracter"/>
        </w:rPr>
        <w:t>4</w:t>
      </w:r>
      <w:r>
        <w:t>. Sobre esta base, la argumentación de la recurrente no puede ser acogida a efectos de admitir su recurso.  Su invocación del art.  14 de la C. E.  sólo tendría sentido si lo que se pretendiese traer hasta el Tribunal fuese una queja por presunta desigualdad en la Ley, no -como efectivamente se hace en la demanda- por la supuesta desigual aplicación de la Ley. Aquella hipotética lesión, por lo demás, tampoco sería fácilmente argumentable: la diferenciación normativa entre sujetos del ordenamiento a causa de la sucesión de normas en el tiempo no puede presentarse, prima facie, como atentatoria del principio reconocido en el art.  14 de la Norma fundamental, tratándose, más bien, de una consecuencia obligada a partir de los criterios cronológicos reguladores de la aplicabilidad de la norma. Aquí, por lo tanto, «no es el transcurso del tiempo el que origina la diferencia de régimen, sino una sucesión de normas que responden a principios y condiciones diversas» (Sentencia de la Sala Segunda de 12 de diciembre de 1984, fundamento jurídico 2).</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presente recurso de amparo.</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lastRenderedPageBreak/>
        <w:br w:type="page"/>
      </w:r>
    </w:p>
    <w:p w:rsidR="00256EE9" w:rsidRDefault="00256EE9" w:rsidP="00256EE9">
      <w:pPr>
        <w:pStyle w:val="TtuloResolucin"/>
      </w:pPr>
      <w:bookmarkStart w:id="214" w:name="AUTO_1985_153"/>
      <w:r>
        <w:lastRenderedPageBreak/>
        <w:t>AUTO 153/1985, de 6 de marzo de 1985</w:t>
      </w:r>
    </w:p>
    <w:bookmarkEnd w:id="214"/>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ECLI:ES:TC:1985:153A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829/1984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fecha 29 de noviembre de 1984, tiene entrada en este Tribunal Constitucional recurso de amparo, presentado ante el Juzgado de Guardia el día 26 anterior, interpuesto por el Procurador de los Tribunales don Ignacio Corujo Pita, en nombre y representación de don Vicente Romero González, contra Sentencia dictada por la Sala Segunda del Tribunal Supremo el 29 de octubre de 1984, que confirma en casación la dictada por la Sección Quinta de la Audiencia Provincial de Barcelona, condenatoria por delito de robo.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de amparo se basa, en sustancia. en los hechos siguientes: </w:t>
      </w:r>
    </w:p>
    <w:p w:rsidR="00256EE9" w:rsidRDefault="00256EE9" w:rsidP="00256EE9">
      <w:pPr>
        <w:pStyle w:val="TextoNormal"/>
      </w:pPr>
      <w:r>
        <w:t xml:space="preserve">A) Con fecha 26 de abril de 1982, la Sección Quinta de la Audiencia Provincial de Barcelona dictó Sentencia por la que condenó al hoy solicitante de amparo, como autor responsable de un delito de robo con violencia en las personas, con la concurrencia de la circunstancia agravante de reincidencia, a la pena de cinco años, cuatro meses y dos días de presidio menor y accesorias, siendo absuelto del delito de coacciones del que había sido acusado por el Ministerio Fiscal. </w:t>
      </w:r>
    </w:p>
    <w:p w:rsidR="00256EE9" w:rsidRDefault="00256EE9" w:rsidP="00256EE9">
      <w:pPr>
        <w:pStyle w:val="TextoNormal"/>
      </w:pPr>
      <w:r>
        <w:t>B) Frente a la anterior Sentencia interpuso el señor Romero González recurso de casación por infracción de Ley, en el que, con fecha 29 de octubre de 1984, la Sala Segunda del Tribunal Supremo dictó Sentencia, notificada el día 2 de noviembre siguiente, por la que se declaró no haber lugar a la casación interpuesta.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presente demanda de amparo se dirige frente a las referidas Sentencias, y se fundamenta en una presunta violación del derecho a una tutela jurisdiccional efectiva, reconocido por el art. 24.1 de la Constitución. Dicha violación se habría producido, según se alega en el escrito de amparo, al declararse en el resultando de hechos probados de ambas Sentencias que, una vez realizado el robo, los condenados fueros sorprendidos por miembros de la policía municipal, que procedieron a su detención y recuperaron las cantidades sustraídas, sin que esta circunstancia fuera examinada en los considerandos jurídicos de las mencionadas Sentencias, ni se estimase en el fallo, como obligada consecuencia, que el delito se había cometido en grado de frustración. </w:t>
      </w:r>
    </w:p>
    <w:p w:rsidR="00256EE9" w:rsidRDefault="00256EE9" w:rsidP="00256EE9">
      <w:pPr>
        <w:pStyle w:val="TextoNormal"/>
      </w:pPr>
      <w:r>
        <w:t>Sobre esta base, el recurrente solicita de este Tribunal Constitucional que declare la nulidad de las Sentencias que se impugnan en vía de amparo, ordenando retrotraer las actuaciones al momento de terminación del acto de la vista del juicio oral en la Audiencia Pro</w:t>
      </w:r>
      <w:r>
        <w:lastRenderedPageBreak/>
        <w:t>vincial, para que se dicte nueva Sentencia, en la que se consideren jurídicamente cuantos hechos hayan sido declarados probados. Por otrosí se solicita, asimismo, la suspensión de la ejecución del fallo condenatorio pronunciado contra el solicitante de amparo, de conformidad con lo previsto en el art. 56.1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19 de diciembre de 1984, la Sección Primera de la Sala Primera de este Tribunal Constitucional, a tenor de lo dispuesto en el art. 50 de la LOTC, acuerda conceder un plazo común de diez días al Ministerio Fiscal y al solicitante de amparo a fin de que dentro de dicho término aleguen lo que estimen pertinente en relación con el presunto motivo de inadmisión consistente en carecer la demanda manifiestamente de contenido que justifique una decisión por parte del Tribunal [art. 50.2 b) de la LOTC]. </w:t>
      </w:r>
    </w:p>
    <w:p w:rsidR="00256EE9" w:rsidRDefault="00256EE9" w:rsidP="00256EE9">
      <w:pPr>
        <w:pStyle w:val="TextoNormal"/>
      </w:pPr>
      <w:r>
        <w:t>Asimismo, acuerda comunicar a la representación del recurrente que, una vez adoptada la decisión sobre la inadmisión o admisión del recurso, se pronunciará sobre la suspensión solicitada.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Ministerio Fiscal, en su escrito de 7 de enero de 1985, insta la inadmisión del recurso por estimar que el recurrente plantea ante este Tribunal una cuestión que es ajena a su competencia, por tratarse de un juicio de mera legalidad, y que, por otra parte, dicha cuestión pudo y debió ser planteada previamente ante los órganos judiciales competentes, por lo que, al no hacerlo así el recurrente, la demanda de amparo incumple además el requisito que exige el agotamiento de la vía judicial procedente. </w:t>
      </w:r>
    </w:p>
    <w:p w:rsidR="00256EE9" w:rsidRDefault="00256EE9" w:rsidP="00256EE9">
      <w:pPr>
        <w:pStyle w:val="TextoNormal"/>
      </w:pPr>
      <w:r>
        <w:t>La representación del recurrente ha dejado transcurrir el plazo señalado sin aducir alegación alguna sobre el motivo de inadmisión puesto de manifiesto en la providencia de 19 de diciembre pasado.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representación del recurrente aduce en su escrito de demanda que las Sentencias impugnadas vulneran el art. 24.1 de la Constitución, pues su representado debió ser condenado por un delito de robo en grado de frustración, dado que en los hechos probados se reconoce que la policía recuperó las cantidades sustraídas.</w:t>
      </w:r>
    </w:p>
    <w:p w:rsidR="00256EE9" w:rsidRDefault="00256EE9" w:rsidP="00256EE9">
      <w:pPr>
        <w:pStyle w:val="TextoNormal"/>
      </w:pPr>
      <w:r>
        <w:t>La cuestión que se plantea es, pues, la discrepancia del recurrente respecto a la valoración de este hecho realizada por los órganos judiciales en orden a la tipificación del delito.  Pero el Tribunal Constitucional, como reiteradamente viene señalando, no es una tercera instancia revisora y no le corresponde enjuiciar la valoración de los hechos ni la interpretación de las normas legales aplicables que, en el ejercicio de la potestad jurisdiccional que les reconoce el art.  117.3 de la Constitución, realizan los Tribunales ordinarios.  El recurrente tuvo acceso al proceso, pudo utilizar los medios de defensa que estimó pertinentes y obtuvo en las respectivas instancias las correspondientes resoluciones judiciales jurídicamente fundadas, lo que constituye el contenido del derecho a la tutela judicial efectiva por él aducido.</w:t>
      </w:r>
    </w:p>
    <w:p w:rsidR="00256EE9" w:rsidRDefault="00256EE9" w:rsidP="00256EE9">
      <w:pPr>
        <w:pStyle w:val="TextoNormal"/>
      </w:pPr>
      <w:r>
        <w:t>La alegada vulneración del art. 24.1 de la Constitución está, pues, desprovista de fundamento y, en consecuencia, la demanda carece manifiestamente de contenido constitucional, por lo que, de conformidad con el artículo 50.2 b) de la LOTC, procede la inadmisión del recurso.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las consideraciones anteriores, la Sección acuerda la inadmisión del recurso de amparo interpuesto por el Procurador de los Tribunales don Ignacio Corujo Pita, en nombre y representación de don Vicente Romero González, y el archivo de las</w:t>
      </w:r>
    </w:p>
    <w:p w:rsidR="00256EE9" w:rsidRDefault="00256EE9" w:rsidP="00256EE9">
      <w:pPr>
        <w:pStyle w:val="TextoNormal"/>
      </w:pPr>
      <w:r>
        <w:t>actuaciones.</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15" w:name="AUTO_1985_154"/>
      <w:r>
        <w:lastRenderedPageBreak/>
        <w:t>AUTO 154/1985, de 6 de marzo de 1985</w:t>
      </w:r>
    </w:p>
    <w:bookmarkEnd w:id="215"/>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ECLI:ES:TC:1985:154A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haber lugar al desistimiento del actor en el recurso de amparo 834/1984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Antonio Montero Alvarez, Teniente profesional y Capitán honorario del Ejército del Aire, formuló solicitud de amparo, mediante escrito remitido por correo y que tuvo entrada en este Tribunal el día 30 de noviembre de 1984, contra Sentencia de la Sala de lo Contencioso-Administrativo de la Audiencia Territorial de Oviedo de 9 de noviembre de 1984. </w:t>
      </w:r>
    </w:p>
    <w:p w:rsidR="00256EE9" w:rsidRDefault="00256EE9" w:rsidP="00256EE9">
      <w:pPr>
        <w:pStyle w:val="TextoNormal"/>
      </w:pPr>
      <w:r>
        <w:t xml:space="preserve">Los hechos en que se funda su pretensión de amparo que se desprenden de la documentación acompañada son los siguientes: </w:t>
      </w:r>
    </w:p>
    <w:p w:rsidR="00256EE9" w:rsidRDefault="00256EE9" w:rsidP="00256EE9">
      <w:pPr>
        <w:pStyle w:val="TextoNormal"/>
      </w:pPr>
      <w:r>
        <w:t xml:space="preserve">a) El recurrente había ingresado en el Cuerpo de Mutilados como Caballero Mutilado Permanente con una pensión del 30 por 100 del sueldo correspondiente a su empleo. </w:t>
      </w:r>
    </w:p>
    <w:p w:rsidR="00256EE9" w:rsidRDefault="00256EE9" w:rsidP="00256EE9">
      <w:pPr>
        <w:pStyle w:val="TextoNormal"/>
      </w:pPr>
      <w:r>
        <w:t xml:space="preserve">b) Al observar que a partir de un determinado momento se le abonaba una cantidad inferior (el 18,4 por 100 del sueldo de su empleo), presentó en la Jefatura Provincial de Mutilados una instancia solicitando le fuese abonado lo que en derecho consideraba le pertenecía (el 30 por 100). </w:t>
      </w:r>
    </w:p>
    <w:p w:rsidR="00256EE9" w:rsidRDefault="00256EE9" w:rsidP="00256EE9">
      <w:pPr>
        <w:pStyle w:val="TextoNormal"/>
      </w:pPr>
      <w:r>
        <w:t xml:space="preserve">c) La Dirección de Mutilados de Guerra por la Patria, desestimó su petición por Resolución de 16 de mayo de 1983. </w:t>
      </w:r>
    </w:p>
    <w:p w:rsidR="00256EE9" w:rsidRDefault="00256EE9" w:rsidP="00256EE9">
      <w:pPr>
        <w:pStyle w:val="TextoNormal"/>
      </w:pPr>
      <w:r>
        <w:t xml:space="preserve">d) Presentada nueva instancia, que fue calificada como recurso de alzada, éste fue desestimado por Resolución del Ministerio de Defensa de 26 de septiembre de 1983. </w:t>
      </w:r>
    </w:p>
    <w:p w:rsidR="00256EE9" w:rsidRDefault="00256EE9" w:rsidP="00256EE9">
      <w:pPr>
        <w:pStyle w:val="TextoNormal"/>
      </w:pPr>
      <w:r>
        <w:t xml:space="preserve">e) Interpuesto recurso contencioso-administrativo, fue también desestimado por Sentencia de la Sala de lo Contencioso-Administrativo de la Audiencia Territorial de Oviedo de 9 de noviembre de 1984, que confirmó las resoluciones administrativas impugnadas. </w:t>
      </w:r>
    </w:p>
    <w:p w:rsidR="00256EE9" w:rsidRDefault="00256EE9" w:rsidP="00256EE9">
      <w:pPr>
        <w:pStyle w:val="TextoNormal"/>
      </w:pPr>
      <w:r>
        <w:t>El solicitante de amparo impugna los razonamientos contenidos en la Sentencia excluyendo la posibilidad de que un Decreto-ley o incluso una Ley pueda conceder plenos poderes al Gobierno para modificar las Leyes, aunque lo hiciera mediante las Leyes de Presupuestos -a las que califica como «meros acuerdos económicos del poder ejecutivo sometidos a la aprobación de la Cámara»-, y negando valor al argumento de que no se lesionan derechos adquiridos. Entiende que «se vulnera con ello el principio de seguridad recogido en el art. 17 de la Constitución y, con mayor amplitud aún, en el 9.3 de la misma». Y solicita «que se declare la nulidad del Real Decreto-ley de 30 de marzo de 1977 con base en los razonamientos expuestos en esta demanda».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xml:space="preserve">. Por providencia de 30 de enero pasado se acordó oír al solicitante de amparo y al Ministerio Fiscal acerca de la posible inadmisión del recurso por las siguientes causas: 1.ª) la regulada por el art. 81 de la Ley Orgánica de este Tribunal, porque el recurrente ha comparecido por sí, sin Procurador ni asistido de Abogado; 2.ª) la regulada por el art. 50.2 b) de la misma Ley Orgánica por cuanto pudiera su pretensión de amparo carecer de contenido que justifique una decisión de este Tribunal. </w:t>
      </w:r>
    </w:p>
    <w:p w:rsidR="00256EE9" w:rsidRDefault="00256EE9" w:rsidP="00256EE9">
      <w:pPr>
        <w:pStyle w:val="TextoNormal"/>
      </w:pPr>
      <w:r>
        <w:t xml:space="preserve">El recurrente ha presentado escrito renunciando a continuar el recurso. </w:t>
      </w:r>
    </w:p>
    <w:p w:rsidR="00256EE9" w:rsidRDefault="00256EE9" w:rsidP="00256EE9">
      <w:pPr>
        <w:pStyle w:val="TextoNormal"/>
      </w:pPr>
      <w:r>
        <w:t>El Ministerio Fiscal ha alegado que concurren las causas de inadmisión puestas de manifiesto.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recurrente, por sí, en los mismos términos en que formuló su solicitud de amparo, manifiesta su renuncia a la continuación de este proceso, que se halla pendiente de resolver acerca de su admisión. Con ello -y habiéndose opuesto el Ministerio Fiscal a la admisión del recurso- es claro que ha de tenerse por desistido al recurrente y por concluido el proceso, adoptándose, a este fin, la resolución que dispone el art.  86.1 de la Ley Orgánica de este Tribunal, puesto que falta una voluntad de mantener el recurso.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terminado el presente proceso por desistimiento del recurrente.</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16" w:name="AUTO_1985_155"/>
      <w:r>
        <w:lastRenderedPageBreak/>
        <w:t>AUTO 155/1985, de 6 de marzo de 1985</w:t>
      </w:r>
    </w:p>
    <w:bookmarkEnd w:id="216"/>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ECLI:ES:TC:1985:155A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837/1984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Ignacio Aguilar Fernández interpone, en nombre y representación de don Abel Escolano Pérez, recurso de amparo contra la Sentencia núm. 163 de la Sala de lo Contencioso-Administrativo de la Audiencia Territorial de Zaragoza, de 9 de julio de 1984, confirmada por la Sentencia de la Sala Tercera del Tribunal Supremo de 28 de septiembre de 1984, por entender que dichas resoluciones judiciales han vulnerado el derecho fundamental al Juez ordinario predeterminado por la Ley, que garantiza el art. 24 de la C. E. </w:t>
      </w:r>
    </w:p>
    <w:p w:rsidR="00256EE9" w:rsidRDefault="00256EE9" w:rsidP="00256EE9">
      <w:pPr>
        <w:pStyle w:val="TextoNormal"/>
      </w:pPr>
      <w:r>
        <w:t xml:space="preserve">Solicita la nulidad de la Sentencia de la Sala de lo Contencioso-Administrativo de la Audiencia Territorial de Zaragoza y, consecuentemente, la de la Sala Tercera del Tribunal Supremo que confirmó la anterior, reconociéndose expresamente el derecho del recurrente a la admisibilidad del recurso por ser competente la jurisdicción contencioso-administrativa y, en su caso, se eleve la cuestión al Pleno al efecto de declarar la inconstitucionalidad de determinados preceptos de la Ley 55/1978, de 4 de diciembre, y del Decreto 2038/1975, de 17 de julio. </w:t>
      </w:r>
    </w:p>
    <w:p w:rsidR="00256EE9" w:rsidRDefault="00256EE9" w:rsidP="00256EE9">
      <w:pPr>
        <w:pStyle w:val="TextoNormal"/>
      </w:pPr>
      <w:r>
        <w:t>Por otrosí solicita la práctica de determinada prueba documental.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determinantes de la presente demanda son los siguientes: </w:t>
      </w:r>
    </w:p>
    <w:p w:rsidR="00256EE9" w:rsidRDefault="00256EE9" w:rsidP="00256EE9">
      <w:pPr>
        <w:pStyle w:val="TextoNormal"/>
      </w:pPr>
      <w:r>
        <w:t xml:space="preserve">a) El ahora demandante, funcionario de la Policía Nacional, fue sancionado por el Capitán Jefe de la Primera Compañía de la Bandera Provincial de Zaragoza con un correctivo de cuatro días de arresto domiciliario, como autor de una falta leve prevista en el art. 443 del Código de Justicia Militar. </w:t>
      </w:r>
    </w:p>
    <w:p w:rsidR="00256EE9" w:rsidRDefault="00256EE9" w:rsidP="00256EE9">
      <w:pPr>
        <w:pStyle w:val="TextoNormal"/>
      </w:pPr>
      <w:r>
        <w:t xml:space="preserve">b) Interpuesto por el sancionado recurso contencioso-administrativo ante la Sala correspondiente de la Audiencia Territorial de Zaragoza, al amparo del procedimiento especial de la Ley 62/1978, de 26 de diciembre, se dictó Sentencia por la que, en aplicación del art. 82 a) de la Ley Reguladora de la Jurisdicción Contencioso-Administrativa (L. J.), se declaró la inadmisibilidad del recurso, «debiendo hacer valer -en su caso- la pretensión deducida ante la jurisdicción militar». Apelada la anterior resolución, fue confirmada por el Tribunal Supremo, por ser ajustada a Derecho. </w:t>
      </w:r>
    </w:p>
    <w:p w:rsidR="00256EE9" w:rsidRDefault="00256EE9" w:rsidP="00256EE9">
      <w:pPr>
        <w:pStyle w:val="TextoNormal"/>
      </w:pPr>
      <w:r>
        <w:t xml:space="preserve">c) Estima el recurrente que al declarar la resolución judicial, confirmada en apelación, la inadmisibilidad de la pretensión por aplicación del art. 82 c) de la L. J., ha incurrido en una vulneración del derecho a la tutela judicial garantizada por el art. 24 de la C. E. y una </w:t>
      </w:r>
      <w:r>
        <w:lastRenderedPageBreak/>
        <w:t xml:space="preserve">vulneración del derecho al Juez ordinario predeterminado por la Ley (art. 24.2), por ser competente para conocer del procedimiento incoado la jurisdicción ordinaria y no la castrense. </w:t>
      </w:r>
    </w:p>
    <w:p w:rsidR="00256EE9" w:rsidRDefault="00256EE9" w:rsidP="00256EE9">
      <w:pPr>
        <w:pStyle w:val="TextoNormal"/>
      </w:pPr>
      <w:r>
        <w:t>d) Argumenta extensamente el recurrente sobre el carácter civil de la Polícia Nacional, señalando entre otras cosas, que «el art. 12 de la Ley 55/1978, no puede presumir de constitucionalidad absoluta en tanto no haya un pronunciamiento expreso del Tribunal competente, de suerte que para el recurrente la inconstitucionalidad y derogación de los preceptos que combate es premisa previa del amparo que solicita», afirmando, en definitiva, que se está en presencia de una sanción disciplinaria impuesta por un órgano de la Administración Civil del Estado cuyo procedimiento está sujeto al Derecho Administrativo y recurrible, por tanto, ante la jurisdicción contencioso-administrativa, en virtud del control que ejercen los Tribunales ordinarios de la actuación administrativa.</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19 de diciembre de 1984, la Sección acordó tener por interpuesto el presente recurso y conceder un plazo común de diez días al Ministerio Fiscal y al solicitante de amparo con el fin de que pudieran alegar lo que estimen pertinente en relación con la posible existencia de los motivos de inadmisión consistentes en: a) no haberse invocado formalmente en el proceso el derecho constitucional vulnerado, y b) carecer la demanda manifiestamente de contenido que justifique una decisión por parte de este Tribunal Constitucional (T. C.) según los arts. 44.1 c), en relación con el 50.1 b), y 50.2 b) de la LOTC, respectivamente. En cuanto a la prueba se acordará en el momento procesal oportuno.</w:t>
      </w:r>
    </w:p>
    <w:p w:rsidR="00256EE9" w:rsidRDefault="00256EE9" w:rsidP="00256EE9">
      <w:pPr>
        <w:pStyle w:val="TextoNormal"/>
      </w:pPr>
    </w:p>
    <w:p w:rsidR="00256EE9" w:rsidRDefault="00256EE9" w:rsidP="00256EE9">
      <w:pPr>
        <w:pStyle w:val="TextoNormal"/>
      </w:pPr>
      <w:r w:rsidRPr="00256EE9">
        <w:rPr>
          <w:rStyle w:val="NumeroAFNegritaCaracter"/>
        </w:rPr>
        <w:t>4</w:t>
      </w:r>
      <w:r>
        <w:t>. En el plazo concedido, el Ministerio Fiscal formula sus alegaciones solicitando la inadmisión del recurso por los motivos expresados en la providencia anterior. Señala, en este sentido, que el propio T. C. ha tenido ocasión de resolver un supuesto idéntico al presente, y que al basarse toda la fundamentación del recurso en la consideración errónea del carácter civil de la Policía Nacional, no puede prosperar el resto de la argumentación.</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Reitera el demandante su criterio de que se ha vulnerado el artículo 24.2 de la C. E. al aplicar el órgano judicial el art. 82 a) de la L. J., en cuanto se priva al interesado del Juez ordinario predeterminado por la Ley, lo que se conecta, además, con la imposibilidad de interponer un recurso ante la jurisdicción militar que pueda garantizar eficazmente los derechos e intereses legítimos del afectado. </w:t>
      </w:r>
    </w:p>
    <w:p w:rsidR="00256EE9" w:rsidRDefault="00256EE9" w:rsidP="00256EE9">
      <w:pPr>
        <w:pStyle w:val="TextoNormal"/>
      </w:pPr>
      <w:r>
        <w:t>En cuanto a la invocación en el proceso previo del derecho constitucional vulnerado, afirma el demandante que tanto en la demanda como en el escrito de interposición de la apelación hizo referencia expresa al art. 24.2 de la C. 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Para el demandante en el presente procedimiento constituye premisa previa de la que debe extraerse como consecuencia obligada la existencia de la vulneración constitucional que denuncia, la declaración de inconstitucionalidad y consiguiente expulsión del ordenamiento vigente del art.  12 de la Ley 55/1978, de 4 de diciembre, y del art.  512 del Reglamento Orgánico de la Policía Gubernativa, aprobado por Decreto 2038/1975, de 17 de julio, por lo que solicita no sólo la nulidad de las resoluciones judiciales impugnadas, sino </w:t>
      </w:r>
      <w:r>
        <w:lastRenderedPageBreak/>
        <w:t>al propio tiempo la aplicación del art.  552 de la LOTC, por cuanto dichos preceptos infringen el derecho al Juez ordinario predeterminado por la Ley que recoge el art. 24.2 de la C.E.</w:t>
      </w:r>
    </w:p>
    <w:p w:rsidR="00256EE9" w:rsidRDefault="00256EE9" w:rsidP="00256EE9">
      <w:pPr>
        <w:pStyle w:val="TextoNormal"/>
      </w:pPr>
      <w:r>
        <w:t>Tal petición dimana de la declaración de inadmisibilidad del recurso contencioso-administrativo, deducido por el ahora demandante, que efectuó la Sala de lo Contencioso-Administrativo de la Audiencia Territorial de Zaragoza, pronunciamiento confirmado por el Tribunal Supremo, cuyas resoluciones se impugnan invocando en general la falta de tutela judicial efectiva y más precisamente la vulneración del derecho fundamental al Juez ordinario predeterminado por la Ley.</w:t>
      </w:r>
    </w:p>
    <w:p w:rsidR="00256EE9" w:rsidRDefault="00256EE9" w:rsidP="00256EE9">
      <w:pPr>
        <w:pStyle w:val="TextoNormal"/>
      </w:pPr>
      <w:r>
        <w:t>Procede en consecuencia examinar si tales resoluciones han incurrido en la indicada infracción o si, por el contrario, concurre alguno de los motivos de inadmisión puestos de manifiesto en nuestra providencia de 19 de diciembre de 1984 y, en primer lugar, la consistente en la carencia manifiesta en la demanda de contenido que justifique una decisión -en forma de Sentencia- por parte de este T.C.</w:t>
      </w:r>
    </w:p>
    <w:p w:rsidR="00256EE9" w:rsidRDefault="00256EE9" w:rsidP="00256EE9">
      <w:pPr>
        <w:pStyle w:val="TextoNormal"/>
      </w:pPr>
    </w:p>
    <w:p w:rsidR="00256EE9" w:rsidRDefault="00256EE9" w:rsidP="00256EE9">
      <w:pPr>
        <w:pStyle w:val="TextoNormal"/>
      </w:pPr>
      <w:r w:rsidRPr="00256EE9">
        <w:rPr>
          <w:rStyle w:val="NumeroAFNegritaCaracter"/>
        </w:rPr>
        <w:t>2</w:t>
      </w:r>
      <w:r>
        <w:t>. La existencia de un doble pronunciamiento judicial, ampliamente motivado, desvirtúa, desde luego, la pretendida falta de tutela efectiva por parte de los órganos jurisdiccionales ante los que se intentó la acción frente a la imposición de la sanción, puesto que como insistentemente ha puesto de relieve este T. C., el derecho a la tutela judicial efectiva, que tiene un contenido complejo, implica normalmente el derecho a obtener una resolución fundada en Derecho, sea favorable o adversa al interesado, pero tal resolución podrá ser de inadmisión siempre que concurra causa legal para ello (Sentencia de 13 de octubre de 1982), o que por un motivo fundado y debidamente razonado se declare inadmisible la pretensión (Sentencia de 26 de octubre de 1983).</w:t>
      </w:r>
    </w:p>
    <w:p w:rsidR="00256EE9" w:rsidRDefault="00256EE9" w:rsidP="00256EE9">
      <w:pPr>
        <w:pStyle w:val="TextoNormal"/>
      </w:pPr>
    </w:p>
    <w:p w:rsidR="00256EE9" w:rsidRDefault="00256EE9" w:rsidP="00256EE9">
      <w:pPr>
        <w:pStyle w:val="TextoNormal"/>
      </w:pPr>
      <w:r w:rsidRPr="00256EE9">
        <w:rPr>
          <w:rStyle w:val="NumeroAFNegritaCaracter"/>
        </w:rPr>
        <w:t>3</w:t>
      </w:r>
      <w:r>
        <w:t>. En el presente recurso, la Sentencia del Tribunal a quo razona la aplicabilidad al caso del art. 82 a) de la L. J.  -razonamientos complementados por el Tribunal de apelación dejando expresa constancia de que, si bien la Policía Nacional no está integrada en las Fuerzas Armadas, constituye un Cuerpo de estructura y organización militar al que le son de aplicación los preceptos de la jurisdicción castrense en materia disciplinar, con cita expresa de las Sentencias de este T. C. de 15 de junio de 1981, 12 de mayo de 1982 y 24 de mayo de 1983, todo lo cual aleja cualquier posible imputación de atentado al derecho de tutela judicial efectiva.</w:t>
      </w:r>
    </w:p>
    <w:p w:rsidR="00256EE9" w:rsidRDefault="00256EE9" w:rsidP="00256EE9">
      <w:pPr>
        <w:pStyle w:val="TextoNormal"/>
      </w:pPr>
    </w:p>
    <w:p w:rsidR="00256EE9" w:rsidRDefault="00256EE9" w:rsidP="00256EE9">
      <w:pPr>
        <w:pStyle w:val="TextoNormal"/>
      </w:pPr>
      <w:r w:rsidRPr="00256EE9">
        <w:rPr>
          <w:rStyle w:val="NumeroAFNegritaCaracter"/>
        </w:rPr>
        <w:t>4</w:t>
      </w:r>
      <w:r>
        <w:t>. Tampoco cabe apreciar en este caso vulneración del derecho conte ido en el. art 24.2 de la C. E. al Juez ordinario predeterminado por la Ley, puesto que al derivarse del Reglamento Orgánico de la Policía, antes citado, y de la Ley 55/1978 (art.  12), la aplicación del régimen disciplinario del Derecho Militar a los miembros de la Policía Nacional, como ha declarado este T. C. en su Auto de 31 de octubre de 1984 en relación con un supuesto análogo al ahora enjuiciado, es obvio que la jurisdicción contenciosa hubo de resolver, como lo hizo, dejando abierta la posibilidad de acudir para hacer valer la pretensión deducida, ante la jurisdicción militar.</w:t>
      </w:r>
    </w:p>
    <w:p w:rsidR="00256EE9" w:rsidRDefault="00256EE9" w:rsidP="00256EE9">
      <w:pPr>
        <w:pStyle w:val="TextoNormal"/>
      </w:pPr>
      <w:r>
        <w:t xml:space="preserve">Pues bien, del mismo modo que no puede afirmarse, en términos generales, que el enjuiciamiento de un asunto por una jurisdicción reconocida constitucionalmente como es la militar suponga una negación de la tutela judicial efectiva (Sentencia de 13 de diciembre de 1982), tampoco puede hablarse de vulneración del derecho al Juez ordinario predeterminado por la Ley cuando con generalidad y con anterioridad al caso están establecidos -y </w:t>
      </w:r>
      <w:r>
        <w:lastRenderedPageBreak/>
        <w:t>establecidos por Ley- los criterios de determinación competencial que permiten atribuir el conocimiento de determinados asuntos a una específica jurisdicción.</w:t>
      </w:r>
    </w:p>
    <w:p w:rsidR="00256EE9" w:rsidRDefault="00256EE9" w:rsidP="00256EE9">
      <w:pPr>
        <w:pStyle w:val="TextoNormal"/>
      </w:pPr>
      <w:r>
        <w:t>Esto es lo que ocurre con la regulación que se establece en el art.  12, en relación con el 5, de la Ley de la Policía de 4 de diciembre de 1978, cuyas peculiaridades no puede decirse que incurran en inconstitucionalidad, sin perjuicio de que el legislador proceda en el momento oportuno a dar cumplimiento a lo previsto en el art. 104.2 de la C. E. en lo relativo al estatuto de las Fuerzas y Cuerpos de Seguridad.</w:t>
      </w:r>
    </w:p>
    <w:p w:rsidR="00256EE9" w:rsidRDefault="00256EE9" w:rsidP="00256EE9">
      <w:pPr>
        <w:pStyle w:val="TextoNormal"/>
      </w:pPr>
    </w:p>
    <w:p w:rsidR="00256EE9" w:rsidRDefault="00256EE9" w:rsidP="00256EE9">
      <w:pPr>
        <w:pStyle w:val="TextoNormal"/>
      </w:pPr>
      <w:r w:rsidRPr="00256EE9">
        <w:rPr>
          <w:rStyle w:val="NumeroAFNegritaCaracter"/>
        </w:rPr>
        <w:t>5</w:t>
      </w:r>
      <w:r>
        <w:t>. Los razonamientos anteriores, acreditan suficientemente la concurrencia en este caso del supuesto de inadmisibilidad puesto de manifiesto en nuestra providencia de 19 de diciembre de 1984, consistente en la carencia de contenido que justifique una decisión por parte de este T. C.  [art. 50.2 b) de la LOTC), sin que sea preciso, por tanto, entrar en el examen del motivo de inadmisión derivado de la falta de invocación formal en el proceso del derecho constitucional vulnerado, aspecto que, pese a lo afirmado por el demandante, no ha quedado acreditado suficientemente.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anterior, la Sección acuerda declarar la inadmisión del presente recurso de amparo, y el archivo de las actuaciones.</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17" w:name="AUTO_1985_156"/>
      <w:r>
        <w:lastRenderedPageBreak/>
        <w:t>AUTO 156/1985, de 6 de marzo de 1985</w:t>
      </w:r>
    </w:p>
    <w:bookmarkEnd w:id="217"/>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ECLI:ES:TC:1985:156A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849/1984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Ramón Velasco Fernández, en representación de «Fabricación de Automóviles Renault de España, S. A.» (FASA-RENAULT) interpuso el día 4 de diciembre de 1984 ante este Tribunal, recurso de amparo constitucional contra la Sentencia dictada el 30 de junio de 1984 por la Magistratura de Trabajo núm. 3 de Valladolid y contra la Sentencia pronunciada en virtud de recurso especial de suplicación el día 24 de octubre de 1984 por el Tribunal Central de Trabajo, en autos sobre conflicto colectivo, por entender que dichas resoluciones judiciales han vulnerado los arts. 28.2 y 14 de la Constitución (C.E.). Solicita la anulación de ambas Sentencias con declaración expresa de la inexistencia de la responsabilidad de FASA-RENAULT que dichas Sentencias le atribuyen en orden al pago de salarios a los trabajadores no huelguistas. </w:t>
      </w:r>
    </w:p>
    <w:p w:rsidR="00256EE9" w:rsidRDefault="00256EE9" w:rsidP="00256EE9">
      <w:pPr>
        <w:pStyle w:val="TextoNormal"/>
      </w:pPr>
      <w:r>
        <w:t xml:space="preserve">De la demanda de amparo y documentación aportada aparece que en la citada Empresa se convocó para los días 21 y 28 de febrero de 1984 una huelga que fue seguida por un porcentaje reducido del personal, pese a lo cual, y dado el sistema de trabajo, que implica un proceso productivo continuo y concatenado, «que no admite su desarrollo si se paralizan determinados sectores del proceso», en determinados talleres no pudo producirse pieza alguna o, simplemente, no pudieron ponerse en funcionamiento, por lo que la Empresa ordenó la paralización de la Fábrica. La Empresa descontó los salarios correspondientes al tiempo en que se imposibilitó la producción por causa de la huelga. Tal medida fue objeto de un procedimiento de conflicto colectivo en el que solicitó la restitución de los salarios descontados y la declaración de cierre ilegal de la Empresa. </w:t>
      </w:r>
    </w:p>
    <w:p w:rsidR="00256EE9" w:rsidRDefault="00256EE9" w:rsidP="00256EE9">
      <w:pPr>
        <w:pStyle w:val="TextoNormal"/>
      </w:pPr>
      <w:r>
        <w:t xml:space="preserve">La Magistratura de Trabajo núm. 3 de Valladolid, dictó Sentencia declarando ilegítimos los descuentos de haberes a los trabajadores que acudieron a sus puestos de trabajo en los días indicados. </w:t>
      </w:r>
    </w:p>
    <w:p w:rsidR="00256EE9" w:rsidRDefault="00256EE9" w:rsidP="00256EE9">
      <w:pPr>
        <w:pStyle w:val="TextoNormal"/>
      </w:pPr>
      <w:r>
        <w:t xml:space="preserve">Interpuesto recurso especial de suplicación, fue desestimado, confirmándose la Sentencia recurrida. </w:t>
      </w:r>
    </w:p>
    <w:p w:rsidR="00256EE9" w:rsidRDefault="00256EE9" w:rsidP="00256EE9">
      <w:pPr>
        <w:pStyle w:val="TextoNormal"/>
      </w:pPr>
      <w:r>
        <w:t>Entiende la Entidad recurrente que las Sentencias impugnadas vulneran el art. 28.2 de la C. E. al conceder al derecho de huelga un alcance excesivo cual es el de exonerar a los trabajadores huelguistas de la responsabilidad de las consecuencias de la huelga efectuada, y el art. 14 de la C. E., al imputar a uno de los afectados (la Empresa) las consecuencias de la huelga sin causa alguna para hacerlo, y ello tanto si se considera no abusivo el ejercicio del derecho de huelga efectuado cuanto, y con mayor razón, si se considerase concurrió abuso de derecho en dicho ejercicio.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30 de enero pasado se acordó oír a la demandante y al Ministerio Fiscal acerca de la posible inadmisión del recurso por la causa que regula el art. 50.2 b) de la Ley Orgánica de este Tribunal por cuanto pudiera la demanda carecer de contenido que justifique una decisión del mismo Tribunal. </w:t>
      </w:r>
    </w:p>
    <w:p w:rsidR="00256EE9" w:rsidRDefault="00256EE9" w:rsidP="00256EE9">
      <w:pPr>
        <w:pStyle w:val="TextoNormal"/>
      </w:pPr>
      <w:r>
        <w:t xml:space="preserve">La parte demandante ha alegado que están afectados por los actos impugnados el derecho constitucional de huelga y el principio de igualdad, cuya determinación y alcance dota de contenido constitucional a la pretensión de amparo. </w:t>
      </w:r>
    </w:p>
    <w:p w:rsidR="00256EE9" w:rsidRDefault="00256EE9" w:rsidP="00256EE9">
      <w:pPr>
        <w:pStyle w:val="TextoNormal"/>
      </w:pPr>
      <w:r>
        <w:t>El Ministerio Fiscal ha expuesto que la demandante pretende constitucionalizar su discrepancia respecto a la interpretación de la Sentencia impugnada que entendió que el cierre patronal no era legítimo; sin que la Empresa haya probado la concurrencia de fuerza mayor. Y sin que, respecto de la afirmada vulneración del principio de igualdad, se aporte el imprescindible término de comparación.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Puesta de manifiesto la posible concurrencia del motivo de inadmisibilidad establecido en el art.  50.2 b) de la LOTC, esto es, la carencia manifiesta de contenido constitucional de la demanda, viene a resumir su posición la parte recurrente en su escrito de alegaciones, por lo que importa a la invocada violación del derecho a la igualdad consagrado en el art.  14 de la C. E., consignando que tal violación tiene su fundamento en que, si se considera la huelga en cuestión legal y lícita, es evidente que goza de toda la protección que le concede la Constitución, protección que solamente podría estar limitada por la existencia de otro precepto del máximo rango aplicable, como cree es el caso del consagrado en el art.  14 del Texto Fundamental, siendo en síntesis éste el razonamiento: «Si al derecho constitucional de huelga se concede tanta eficacia como para no sólo descargar a los huelguistas de responsabilidad, sino también a los no huelguistas e imputársela al empresario, es claro que con tal aplicación se rompe la igualdad ante la Ley de trabajadores (no huelguistas) y empresarios, en favor de los primeros».</w:t>
      </w:r>
    </w:p>
    <w:p w:rsidR="00256EE9" w:rsidRDefault="00256EE9" w:rsidP="00256EE9">
      <w:pPr>
        <w:pStyle w:val="TextoNormal"/>
      </w:pPr>
      <w:r>
        <w:t>La misma invocación atinente al art.  14 de la C. E.  se realizó en caso similar por la misma Empresa en precedente recurso de amparo, inadmitido por Auto de esta misma Sala 11 de abril de 1984 (R.  A.  102/1984), en el que se razonó en el sentido de que de la alegada circunstancia de no haberse mantenido una ponderada estimación de la proporcionalidad de sacrificios que comportó una huelga pareja a la actual, con las mismas consecuencias económicas que las aquí puestas de relieve, no se colige qué relación puede guardar con la igualdad ante la Ley y la exclusión de toda discriminación por razón de alguna o algunas de las circunstancias tipificadas en el art.  14 antes citado, o comprendidas en la fórmula genérica con la que se cierra ese precepto.</w:t>
      </w:r>
    </w:p>
    <w:p w:rsidR="00256EE9" w:rsidRDefault="00256EE9" w:rsidP="00256EE9">
      <w:pPr>
        <w:pStyle w:val="TextoNormal"/>
      </w:pPr>
    </w:p>
    <w:p w:rsidR="00256EE9" w:rsidRDefault="00256EE9" w:rsidP="00256EE9">
      <w:pPr>
        <w:pStyle w:val="TextoNormal"/>
      </w:pPr>
      <w:r w:rsidRPr="00256EE9">
        <w:rPr>
          <w:rStyle w:val="NumeroAFNegritaCaracter"/>
        </w:rPr>
        <w:t>2</w:t>
      </w:r>
      <w:r>
        <w:t>. En cuanto a la pretendida violación del derecho establecido en el art.  28.2 de la C. E., arguye la parte recurrente que la reputa producida por cuánto, aun calificando el juzgador ad quem la huelga de «neurálgica», le concede la protección constitucional, lo que es improcedente, habida cuenta de que nos hallamos ante un abuso de derecho.  Planteamiento de la cuestión que no cabe aceptar, porque realmente en la Sentencia de que se trata se rechaza precisamente la aplicación del principio de solidaridad de acuerdo con el cual alcanzaría la responsabilidad a los trabajadores no huelguistas, so pretexto de una conniven</w:t>
      </w:r>
      <w:r>
        <w:lastRenderedPageBreak/>
        <w:t>cia de éstos con los huelguistas, situación esta última por la que no discurrió el debate ante la jurisdicción laboral.</w:t>
      </w:r>
    </w:p>
    <w:p w:rsidR="00256EE9" w:rsidRDefault="00256EE9" w:rsidP="00256EE9">
      <w:pPr>
        <w:pStyle w:val="TextoNormal"/>
      </w:pPr>
      <w:r>
        <w:t>Es lo cierto que de acuerdo con lo resuelto por tal jurisdicción lo pertinente es la condena de la Empresa en cuanto no se reconoce a la misma la facultad de descontar los haberes a los trabajadores no huelguistas, estimando, razonadamente, que no se puede descargar sobre ellos la responsabilidad o las consecuencias de su inactividad.  Es improcedente pretender del Tribunal Constitucional un planteamiento y una solución antagónica de la emitida por el Tribunal Central de Trabajo, y en este mismo sentido, y en caso igual, nos pronunciamos en la Resolución de 11 de abril del pasado año, a la que hubimos de aludir precedentemente.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18" w:name="AUTO_1985_157"/>
      <w:r>
        <w:lastRenderedPageBreak/>
        <w:t>AUTO 157/1985, de 6 de marzo de 1985</w:t>
      </w:r>
    </w:p>
    <w:bookmarkEnd w:id="218"/>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ECLI:ES:TC:1985:157A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851/1984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5 de diciembre de 1984 ha tenido entrada en el Tribunal Constitucional escrito por el que don Manuel Ayuso Tejerizo, Procurador de los Tribunales, interpuso recurso de amparo constitucional en nombre y representación de don Manuel Pardo Castillo contra la denegación por omisión de la prueba de reconstrucción de hechos solicitada en juicio de faltas 12/1983 del Juzgado de Distrito de Medio Cudeyo (Cantabria) y reiterada en el acto de la vista de apelación ante el Juzgado de Instrucción núm. </w:t>
      </w:r>
    </w:p>
    <w:p w:rsidR="00256EE9" w:rsidRDefault="00256EE9" w:rsidP="00256EE9">
      <w:pPr>
        <w:pStyle w:val="TextoNormal"/>
      </w:pPr>
      <w:r>
        <w:t xml:space="preserve">4 de los de Santander. </w:t>
      </w:r>
    </w:p>
    <w:p w:rsidR="00256EE9" w:rsidRDefault="00256EE9" w:rsidP="00256EE9">
      <w:pPr>
        <w:pStyle w:val="TextoNormal"/>
      </w:pPr>
      <w:r>
        <w:t xml:space="preserve">Pide que se declare el derecho a la defensa del recurrente y se declare nula la omisión judicial al no admitir la reconstrucción de los hechos con la extensión de sus efectos, y declarar la nulidad de la Sentencia de 26 de julio de 1984, recaída en el juicio 12/1983 del Juzgado de Distrito de Medio Cudeyo (Cantabria), así como la recaída en grado de apelación (rollo 45/1984) en el Juzgado de Instrucción núm. 4 de Santander, sin perjuicio de que una vez practicada tal prueba se reanuden las actuaciones hasta su conclusión. </w:t>
      </w:r>
    </w:p>
    <w:p w:rsidR="00256EE9" w:rsidRDefault="00256EE9" w:rsidP="00256EE9">
      <w:pPr>
        <w:pStyle w:val="TextoNormal"/>
      </w:pPr>
      <w:r>
        <w:t xml:space="preserve">La demanda se fundamenta en los siguientes hechos: Como consecuencia de un accidente de tráfico se inició juicio de faltas 12/1983 ante el Juzgado de Distrito de Medio Cudeyo (Cantabria): Don Manuel Pardo Castillo solicitó prueba de reconstrucción de los hechos, sin que la misma llegase a celebrarse. En la vista del juicio de faltas el solicitante de amparo invocó la indefensión que le producía la omisión de la práctica de la prueba de reconstrucción de los hechos, invocación que reiteró en la vista de la apelación ante el Juzgado de Instrucción núm. 4 de los de Santander. </w:t>
      </w:r>
    </w:p>
    <w:p w:rsidR="00256EE9" w:rsidRDefault="00256EE9" w:rsidP="00256EE9">
      <w:pPr>
        <w:pStyle w:val="TextoNormal"/>
      </w:pPr>
      <w:r>
        <w:t>Como fundamentos jurídicos se alega que se ha vulnerado el art. 24.1 de la Constitución, ya que la omisión de la prueba de reconstrucción de los hechos ha producido una clara indefensión al recurrente.</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de 16 de enero de 1985, acordó poner de manifiesto la posible existencia de las siguientes causas de inadmisión: 1.ª La regulada por el art. 50.2 b) de la Ley Orgánica del Tribunal Constitucional, por cuanto la demanda pudiera carecer de contenido que justifique una decisión por parte de este Tribunal. 2.ª) La del 50.1 b), en relación con el 49.2 b), por no aportarse copia, traslado o certificación de las resoluciones impugnadas. Por lo que, en aplicación de lo dispuesto en el art. 50 de la LOTC, se conce</w:t>
      </w:r>
      <w:r>
        <w:lastRenderedPageBreak/>
        <w:t>día un plazo común de diez días a la representación del recurrente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En cumplimiento de dicho trámite, el recurrente acompañó copia de las resoluciones recaídas en el Juzgado de Distrito y el escrito de solicitud de la prueba de reconstrucción de los hechos: En cuanto a la causa de inadmisión del art. 50.2 b) de la LOTC, entiende que no se da, pues lo que se pretende de este Tribunal es que manifieste si la negación del Juez de Distrito de Medio Cudeyo a practicar la prueba solicitada sitúa a éste en indefensión cuando la misma era relevante para formar el criterio del juzgador, terminando con la petición de admisión de la demanda.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Fiscal ante el Tribunal Constitucional, dentro del mismo trámite, señala que la demanda formulada ante este Tribunal «sólo puede considerarse tal por la flexibilidad del recurso de amparo». La invocación del art. 24.1 de la Constitución se reduce en su parquedad a diligencia de reconstrucción de hechos, pedida y denegada por el Juzgado de Distrito en primera instancia y el Juzgado de Instrucción en apelación. Incurre la demanda en la causa de inadmisión subsanable del art. 50.1 b) en relación con el 49.2 b), pero también en la del art. 50.2 b), por referirse a materia de legalidad ordinaria, dados los términos de los arts. 969, 973 y 979 de la Ley de Enjuiciamiento Criminal, en cuanto determinan respectivamente la «pertinencia» de las pruebas -sobre lo que nada se ha alegado en esta sede-, la libre apreciación de las mismas y su «admisión» en segunda instancia. </w:t>
      </w:r>
    </w:p>
    <w:p w:rsidR="00256EE9" w:rsidRDefault="00256EE9" w:rsidP="00256EE9">
      <w:pPr>
        <w:pStyle w:val="TextoNormal"/>
      </w:pPr>
      <w:r>
        <w:t>Por todo ello, interesa el Ministerio Fiscal de este Tribunal la inadmisión de la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su providencia de 16 de enero, la Sección había señalado la posible existencia de la causa de inadmisibilidad contemplada en el art.  50.1 b) en relación con el 49.2 b), ambos de la LOTC.  En el trámite de alegaciones, esta causa ha sido subsanada por el recurrente, al haber presentado a este Tribunal copia de las dos resoluciones por él impugnadas.</w:t>
      </w:r>
    </w:p>
    <w:p w:rsidR="00256EE9" w:rsidRDefault="00256EE9" w:rsidP="00256EE9">
      <w:pPr>
        <w:pStyle w:val="TextoNormal"/>
      </w:pPr>
    </w:p>
    <w:p w:rsidR="00256EE9" w:rsidRDefault="00256EE9" w:rsidP="00256EE9">
      <w:pPr>
        <w:pStyle w:val="TextoNormal"/>
      </w:pPr>
      <w:r w:rsidRPr="00256EE9">
        <w:rPr>
          <w:rStyle w:val="NumeroAFNegritaCaracter"/>
        </w:rPr>
        <w:t>2</w:t>
      </w:r>
      <w:r>
        <w:t>. Nuestra providencia hacía también referencia a la causa de inadmisibilidad del art.  50.2 b) de carácter insubsanable si efectivamente se da, basada en carecer manifiestamente la demanda de contenido constitucional.</w:t>
      </w:r>
    </w:p>
    <w:p w:rsidR="00256EE9" w:rsidRDefault="00256EE9" w:rsidP="00256EE9">
      <w:pPr>
        <w:pStyle w:val="TextoNormal"/>
      </w:pPr>
      <w:r>
        <w:t xml:space="preserve">En el breve escrito que la representación del recurrente dirigió a este Tribunal, en efecto, no se indicaba en qué la denegación de la prueba por él propuesta le había producido indefensión, afirmándose tan sólo en la misma que el recurrente la consideraba de relevante importancia. El trámite de alegaciones ha dado ocasión al recurrente para que fundase su aseveración, cosa que no ha hecho, pues se limita a decir, de una manera no menos escueta que en la demanda, que la prueba denegada era a su juicio relevante para formar el criterio del juzgador.  Ahora bien, tal aseveración resulta tan insuficiente como la hecha al interponer el recurso para fundamentar debidamente la supuesta violación del derecho a la prueba pertinente, que es el que aquí se reivindica, y poner en cuestión las razones que tuvieron el Juez de Distrito y el Magistrado-Juez de Instrucción para apreciar la pertinencia de la prueba solicitada y, en función de lo que resultó probado, dictar en conciencia sus </w:t>
      </w:r>
      <w:r>
        <w:lastRenderedPageBreak/>
        <w:t>respectivas Sentencias en el ejercicio de la potestad que les confiere el art.  117.3 de la Constitución y en aplicación, aquí, de las disposiciones relativas al juicio sobre faltas en primera y segunda instancia respectivamente.  La demanda carece, en consecuencia, manifiestamente de contenido que justifique una decisión por parte de este Tribunal, incurriendo en el supuesto previsto por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ha acordado la inadmisión del recurso.</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19" w:name="AUTO_1985_158"/>
      <w:r>
        <w:lastRenderedPageBreak/>
        <w:t>AUTO 158/1985, de 6 de marzo de 1985</w:t>
      </w:r>
    </w:p>
    <w:bookmarkEnd w:id="219"/>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ECLI:ES:TC:1985:158A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853/1984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20" w:name="AUTO_1985_159"/>
      <w:r>
        <w:lastRenderedPageBreak/>
        <w:t>AUTO 159/1985, de 6 de marzo de 1985</w:t>
      </w:r>
    </w:p>
    <w:bookmarkEnd w:id="220"/>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ECLI:ES:TC:1985:159A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854/1984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Antonio Plasencia Rueda y don Ignacio García González, representados por el Procurador de los Tribunales don José de Murga Florido, formulan recurso de amparo constitucional contra la Sentencia del Tribunal Supremo de 9 de octubre de 1984, recaída en el recurso de apelación interpuesto, al amparo de la Ley 62/1978, de 26 de diciembre, sobre protección jurisdiccional de los derechos fundamentales de la persona, contra la Sentencia de la Audiencia Territorial de Granada de 11 de julio de 1984. </w:t>
      </w:r>
    </w:p>
    <w:p w:rsidR="00256EE9" w:rsidRDefault="00256EE9" w:rsidP="00256EE9">
      <w:pPr>
        <w:pStyle w:val="TextoNormal"/>
      </w:pPr>
      <w:r>
        <w:t xml:space="preserve">Entienden los recurrentes que la citada Sentencia del Tribunal Supremo vulnera el derecho fundamental a obtener la tutela judicial efectiva de los Jueces y Tribunales sin que, en ningún caso, se produzca indefensión, reconocido en el art. 24.1 de la Constitución, y solicitan de este Tribunal Constitucional declare la nulidad de dicha Sentencia obligando al Tribunal Supremo a conocer del fondo del asunto en el recurso de apelación planteado. </w:t>
      </w:r>
    </w:p>
    <w:p w:rsidR="00256EE9" w:rsidRDefault="00256EE9" w:rsidP="00256EE9">
      <w:pPr>
        <w:pStyle w:val="TextoNormal"/>
      </w:pPr>
      <w:r>
        <w:t>Por otrosí solicitan la suspensión de la Sentencia impugnada, a tenor de lo dispuesto en el art. 56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que motivan el presente recurso de amparo son los siguientes: </w:t>
      </w:r>
    </w:p>
    <w:p w:rsidR="00256EE9" w:rsidRDefault="00256EE9" w:rsidP="00256EE9">
      <w:pPr>
        <w:pStyle w:val="TextoNormal"/>
      </w:pPr>
      <w:r>
        <w:t xml:space="preserve">El Ayuntamiento de Málaga acordó incrementar en 15 puntos el tipo de la Contribución Territorial Urbana, así como establecer un recargo del 2 por 100 sobre la cuota líquida del IRPF. </w:t>
      </w:r>
    </w:p>
    <w:p w:rsidR="00256EE9" w:rsidRDefault="00256EE9" w:rsidP="00256EE9">
      <w:pPr>
        <w:pStyle w:val="TextoNormal"/>
      </w:pPr>
      <w:r>
        <w:t xml:space="preserve">Los ahora demandantes, al amparo de la Ley 62/1978 antes citada, interpusieron contra dicho acuerdo recurso contencioso-administrativo ante la Audiencia Territorial de Granada, la cual dictó Sentencia el 11 de julio de 1984 desestimando la pretensión. </w:t>
      </w:r>
    </w:p>
    <w:p w:rsidR="00256EE9" w:rsidRDefault="00256EE9" w:rsidP="00256EE9">
      <w:pPr>
        <w:pStyle w:val="TextoNormal"/>
      </w:pPr>
      <w:r>
        <w:t>Interpuesto recurso de apelación, fue admitido por providencia de la Sala competente de dicha Audiencia, pero el Tribunal Supremo, por Sentencia de 9 de octubre de 1984, declaró mal preparado el recurso de apelación interpuesto, no entrando a conocer del fondo del asunto.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Alega la representación de los recurrentes que la Sentencia del Tribunal Supremo ha causado indefensión a sus representados al no entrar en el fondo del asunto y declarar solamente que el recurso estaba mal preparado, sin alegar ninguna fundamentación jurídica, o determinar la causa de inadmisibilidad, o declarar la nulidad de la providencia de admisión. </w:t>
      </w:r>
    </w:p>
    <w:p w:rsidR="00256EE9" w:rsidRDefault="00256EE9" w:rsidP="00256EE9">
      <w:pPr>
        <w:pStyle w:val="TextoNormal"/>
      </w:pPr>
      <w:r>
        <w:lastRenderedPageBreak/>
        <w:t>En apoyo de su tesis señala que, según doctrina reiterada del Tribunal Constitucional, los órganos jurisdiccionales ante quienes se plantean procedimientos al amparo de la Ley 62/1978, de 26 de diciembre, sobre Protección Jurisdiccional de los Derechos Fundamentales de la Persona, vienen obligados a entrar en el análisis de fondo planteado en dicho procedimiento aun en el supuesto de que existiera algún defecto formal, defecto que en el presente caso no existió, como lo pone de manifiesto el hecho de que el recurso de apelación fuera admitido en tiempo y forma por el órgano competente. Por otra parte, si la resolución de admisión era errónea, el Tribunal Supremo debió acordar su nulidad y no declarar mal preparado el recurso, lo que es incongruente dado que no fue pedido por ninguna de las partes.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10 de enero de 1985, la Sección Primera de la Sala Primera de este Tribunal Constitucional, a tenor de lo dispuesto en el art. 50 de la LOTC, acuerda conceder un plazo común de diez días al Ministerio Fiscal y a los solicitantes de amparo a fin de que dentro de dicho término aleguen lo que estimen pertinente en relación con el presunto motivo de inadmisión consistente en carecer la demanda manifiestamente de contenido que justifique una decisión por parte del Tribunal (LOTC). </w:t>
      </w:r>
    </w:p>
    <w:p w:rsidR="00256EE9" w:rsidRDefault="00256EE9" w:rsidP="00256EE9">
      <w:pPr>
        <w:pStyle w:val="TextoNormal"/>
      </w:pPr>
      <w:r>
        <w:t>Asimismo, acuerda comunicar a la representación de los recurrentes que, una vez adoptada la decisión sobre la inadmisión o admisión del recurso, se pronunciará sobre la suspensión solicitada.</w:t>
      </w:r>
    </w:p>
    <w:p w:rsidR="00256EE9" w:rsidRDefault="00256EE9" w:rsidP="00256EE9">
      <w:pPr>
        <w:pStyle w:val="TextoNormal"/>
      </w:pPr>
    </w:p>
    <w:p w:rsidR="00256EE9" w:rsidRDefault="00256EE9" w:rsidP="00256EE9">
      <w:pPr>
        <w:pStyle w:val="TextoNormal"/>
      </w:pPr>
      <w:r w:rsidRPr="00256EE9">
        <w:rPr>
          <w:rStyle w:val="NumeroAFNegritaCaracter"/>
        </w:rPr>
        <w:t>5</w:t>
      </w:r>
      <w:r>
        <w:t>. El Ministerio Fiscal, en su escrito de 23 de enero de 1985, sostiene que no puede considerarse indefensión producida por un formalismo lo que no es sino exigencia de la aplicación de un requisito establecido por la correspondiente norma procesal, como sucede en el presente caso. En efecto, el Tribunal Supremo, al resolver con plena competencia el recurso de apelación, no hizo otra cosa que exigir el requisito establecido en el art. 9.2 de la Ley 62/1978, como justifica en el considerando primero de su Sentencia de manera no irrazonable ni arbitraria. No se ha producido, pues -concluye el Ministerio Fiscal-, la vulneración del art. 24.1 de la Constitución, por lo que procede la inadmisión del recurso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Según reiterada doctrina de este Tribunal Constitucional, no se vulnera el art. 24.1 de la Constitución cuando el órgano judicial no se pronuncia sobre el fondo del asunto planteado por considerar que el recurso no cumple los requisitos legalmente establecidos, siempre que éstos no resulten infundados teniendo en cuenta la naturaleza y finalidad del proceso y las exigencias derivadas de la ordenación del mismo.</w:t>
      </w:r>
    </w:p>
    <w:p w:rsidR="00256EE9" w:rsidRDefault="00256EE9" w:rsidP="00256EE9">
      <w:pPr>
        <w:pStyle w:val="TextoNormal"/>
      </w:pPr>
      <w:r>
        <w:t>En el presente caso, el requisito contenido en el art. 9.2 de la Ley 62/1978, de 26 de diciembre, responde a la naturaleza del procedimiento en ella regulado para la tutela de los derechos fundamentales de la persona, que se basa en los principios de preferencia y sumariedad. Por otra parte, la forma en que ha sido interpretado y aplicado por el Tribunal Supremo no resulta arbitraria ni infundada, como se deduce del considerando primero de la Sentencia impugnada; en él se argumenta que el trámite de preparación de la apelación mediante escrito razonado no puede sustituirse por el de las alegaciones ante la Sala de apelación, ya que en caso de no exponerse en el plazo de cinco días y ante la Sala senten</w:t>
      </w:r>
      <w:r>
        <w:lastRenderedPageBreak/>
        <w:t>ciadora los motivos de impugnación de la Sentencia, las restantes partes personadas no podrán impugnarlos, quedando por lo tanto indefensas.</w:t>
      </w:r>
    </w:p>
    <w:p w:rsidR="00256EE9" w:rsidRDefault="00256EE9" w:rsidP="00256EE9">
      <w:pPr>
        <w:pStyle w:val="TextoNormal"/>
      </w:pPr>
      <w:r>
        <w:t>No cabe, pues, afirmar que la Sentencia del Tribunal Supremo objeto del presente recurso vulnera el art.  24.1 de la Constitución, por lo que la demanda carece manifiestamente de contenido constitucional y procede declarar su inadmisión, de conformidad con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inadmisión del recurso de amparo interpuesto por el Procurador de los Tribunales don José de Murga Florido, en nombre y representación de don José Antonio Plasencia Rueda y don Ignacio García González, y el archivo</w:t>
      </w:r>
    </w:p>
    <w:p w:rsidR="00256EE9" w:rsidRDefault="00256EE9" w:rsidP="00256EE9">
      <w:pPr>
        <w:pStyle w:val="TextoNormal"/>
      </w:pPr>
      <w:r>
        <w:t>de las actuaciones.</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21" w:name="AUTO_1985_160"/>
      <w:r>
        <w:lastRenderedPageBreak/>
        <w:t>AUTO 160/1985, de 6 de marzo de 1985</w:t>
      </w:r>
    </w:p>
    <w:bookmarkEnd w:id="221"/>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ECLI:ES:TC:1985:160A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879/1984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a) Por escrito que tuvo entrada en el Tribunal Constitucional el 14 de diciembre de 1984, don José Castillo Ruiz, Procurador de los Tribunales, interpuso recurso de amparo constitucional en nombre y representación de don Rafael Montoro Martín contra Sentencia de la Magistratura de Trabajo núm. 1 de Granada de 6 de noviembre de 1984, en autos de reclamación de cantidad contra el Organismo Autónomo de Aeropuertos. Pide que se reconozca el derecho del recurrente a interponer recurso de suplicación contra la referida Sentencia y que se declare la inconstitucionalidad del art. 153 del Texto Refundido de la Ley de Procedimiento Laboral. </w:t>
      </w:r>
    </w:p>
    <w:p w:rsidR="00256EE9" w:rsidRDefault="00256EE9" w:rsidP="00256EE9">
      <w:pPr>
        <w:pStyle w:val="TextoNormal"/>
      </w:pPr>
      <w:r>
        <w:t xml:space="preserve">b) La demanda se fundamenta en los siguientes hechos: La Sentencia impugnada desestimó una reclamación de cantidad formulada por el hoy solicitante de amparo contra el Organismo Autónomo de Aeropuertos. La notificación de la Sentencia señala que contra la misma no cabe recurso alguno. </w:t>
      </w:r>
    </w:p>
    <w:p w:rsidR="00256EE9" w:rsidRDefault="00256EE9" w:rsidP="00256EE9">
      <w:pPr>
        <w:pStyle w:val="TextoNormal"/>
      </w:pPr>
      <w:r>
        <w:t xml:space="preserve">c) Los fundamentos jurídicos de la demanda son los siguientes: </w:t>
      </w:r>
    </w:p>
    <w:p w:rsidR="00256EE9" w:rsidRDefault="00256EE9" w:rsidP="00256EE9">
      <w:pPr>
        <w:pStyle w:val="TextoNormal"/>
      </w:pPr>
      <w:r>
        <w:t xml:space="preserve">El art. 153 del Texto Refundido de la Ley de Procedimiento Laboral excluye del recurso de suplicación la Sentencia impugnada, por ser la cuantía litigiosa de la reclamación inferior a 100.000 pesetas. Afirma el recurrente que «se postula la inconstitucionalidad del referido artículo». Fundamenta su pretensión en que el citado artículo, así como la declaración de la Magistratura que en él se apoya, vulneran los arts. 14 y 24 de la Constitución (C. </w:t>
      </w:r>
    </w:p>
    <w:p w:rsidR="00256EE9" w:rsidRDefault="00256EE9" w:rsidP="00256EE9">
      <w:pPr>
        <w:pStyle w:val="TextoNormal"/>
      </w:pPr>
      <w:r>
        <w:t>E.). El límite cuantitativo establecido para recurrir no tiene justificación razonable. La existencia de al menos un recurso contra las Sentencias de la Magistratura de Trabajo es condición indispensable para que se den las «debidas garantías» del art. 24.2. El sistema de recurso establecido en nuestro ordenamiento cumple la función de constituir garantía, y la falta de recurso aquí vulnera el derecho a una tutela judicial efectiva que garantiza el mencionado art. 24.2 de la Constitución. Finalmente el tope económico fijado entraña una discriminación, ex art. 14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de 30 de enero de 1985, acordó poner de manifiesto la posible existencia de la causa de inadmisibilidad que regula el art. 50.2 b) de la Ley Orgánica de este Tribunal, por cuanto la demanda pudiera carecer manifiestamente de contenido que justifique una decisión por parte del Tribunal Constitucional, por lo que, en aplica</w:t>
      </w:r>
      <w:r>
        <w:lastRenderedPageBreak/>
        <w:t>ción de lo dispuesto en el art. 50 de la misma Ley Orgánica, se otorgó un plazo común de diez días al solicitante de amparo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En escrito ingresado en este Tribunal el 18 de febrero, el recurrente insistió en la argumentación de la demanda, entendiendo la expresión del art. 24.2 de la C. E. «proceso... con todas las garantías» en el sentido de que implica el derecho, al menos tratándose de Sentencias, a la posibilidad de interponer un recurso ante los Tribunales superiores. Siendo el principio general de nuestro enjuiciamiento civil el de la recurribilidad de las Sentencias dictadas en primera instancia en juicios declarativos, no hay fundamento lógico a la exclusión que del recurso se aplica a los procesos laborales, exclusión que a su juicio conculca el principio de igualdad del art. 14 de la C. E., preminente en nuestro ordenamiento. De ahí que a su entender la demanda tenga contenido constitucional y deba concederse el amparo solicitado.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Fiscal ante el Tribunal Constitucional, en escrito registrado el día 15 de febrero, aduce que la jurisprudencia de este Tribunal es terminante al sentar que el derecho a acceder a la Justicia no exige en sí mismo el doble enjuiciamiento, salvo en materia penal, quedando la existencia de la doble instancia confiada con carácter general al legislador, el cual puede limitar o restringir el acceso al recurso en virtud de exigencias diversas, sin que quede afectado el derecho fundamental del art. 24.1 de la C. E. </w:t>
      </w:r>
    </w:p>
    <w:p w:rsidR="00256EE9" w:rsidRDefault="00256EE9" w:rsidP="00256EE9">
      <w:pPr>
        <w:pStyle w:val="TextoNormal"/>
      </w:pPr>
      <w:r>
        <w:t>No infringe, por otra parte, el principio de igualdad del art. 14 de la C. E., según la jurisprudencia del Tribunal Constitucional -añade el Ministerio Fiscal-, la limitación del acceso a los recursos sobre la base de la cuantía de las pretensiones deducidas en el proceso. El legislador es libre para determinar un límite dinerario, siempre que lo haga de manera ponderada y racional, en función de las necesidades jurídicas y la estructura de los Tribunales de Justica para un control selectivo de la legalidad. Por ello, interesa el Ministerio Fiscal de este Tribunal la desestimación de la demanda, en virtud del art. 50.2 b).</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reiteradas ocasiones ha afirmado este Tribunal que del art.  24 de la C. E. no se deduce en modo alguno la necesidad de una segunda instancia en todos los procesos civiles, contencioso-administrativos y laborales, y que corresponde por ello a la libertad conformadora del legislador establecer el sistema de recursos que estime conveniente, el cual, en materia laboral, puede llevar a la inexistencia de recursos o al condicionamiento de éstos al cumplimiento de determinados requisitos.</w:t>
      </w:r>
    </w:p>
    <w:p w:rsidR="00256EE9" w:rsidRDefault="00256EE9" w:rsidP="00256EE9">
      <w:pPr>
        <w:pStyle w:val="TextoNormal"/>
      </w:pPr>
      <w:r>
        <w:t>Baste referirnos al respecto a las Sentencia; del Pleno de este Tribunal 3/1983, de 25 de enero, («Boletín Oficial del Estado» de 17 de febrero; fundamento jurídico 4); de la Sala Primera 14/1983, de 28 de febrero («Boletín Oficial del Estado» de 23 de marzo; fundamento jurídico 4), y de la Sala Segunda 46/1984, de 28 de marzo («Boletín Oficial del Estado» de 25 de abril, fundamento jurídico 1).  De ahí que no quepa hablar de la pretendida vulneración de un derecho a la doble instancia supuestamente basado en el art.  24.2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lo que respecta a la violación del principio de igualdad reconocido en el art.  14 de la C. E., no se advierte que carezca de justificación razonable la opción del legislador </w:t>
      </w:r>
      <w:r>
        <w:lastRenderedPageBreak/>
        <w:t>de optar, en la regulación del recurso de suplicación, estableciendo un determinado límite por razón de la cuantía o de otros criterios.  Ello no supone discriminación con respecto a otras situaciones procesales, y no se opone, pues, al invocado art. 14 de la Constitución.</w:t>
      </w:r>
    </w:p>
    <w:p w:rsidR="00256EE9" w:rsidRDefault="00256EE9" w:rsidP="00256EE9">
      <w:pPr>
        <w:pStyle w:val="TextoNormal"/>
      </w:pPr>
      <w:r>
        <w:t>De todo ello resulta que la demanda carece manifiestamente de contenido que justifique una decisión de este Tribunal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ha acordado la inadmisión del recurso.</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22" w:name="AUTO_1985_161"/>
      <w:r>
        <w:lastRenderedPageBreak/>
        <w:t>AUTO 161/1985, de 6 de marzo de 1985</w:t>
      </w:r>
    </w:p>
    <w:bookmarkEnd w:id="222"/>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ECLI:ES:TC:1985:161A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881/1984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Doña Angeles Altes Hernández, representada por Procurador y asistida de Letrado, interpone recurso de amparo, mediante escrito presentado en el Juzgado de Guardia el 13 de diciembre de 1984 y que ha tenido su entrada en este Tribunal Constitucional el 15 de diciembre de 1984, contra Santencia de la Sala Primera de lo Civil de la Audiencia Territorial de Valencia de 15 de noviembre de 1984, recaída en autos incidentales promovidos ante el Juzgado de Primera Instancia núm. 2 de Elche. Los hechos en que se fundamenta la demanda son en esencia los siguientes: a) El esposo de la solicitante de amparo, don Antonio Fernández Fullera, ante la reiterada insistencia, con los argumentos que se indican, por parte del Banco Central, S. A., y de un hermano de aquél, había firmado una póliza de afianzamiento. La solicitante de amparo se había negado con anterioridad a suscribir dicha póliza, así como a que lo hiciera su esposo. b) El Banco Central presentó con fecha 28 de septiembre de 1982 y 29 de abril de 1983 sendas demandas de juicio ejecutivo contra el esposo de la solicitante de amparo y otros, amparándose -dice dicha solicitante- en la póliza referida y en letras de cambio negociadas con anterioridad a la firma de tal póliza. A dichas demandas correspondieron, respectivamente, los juicios núm. 656/1982 y 328/1983 del Juzgado de Primera Instancia núm. 2 de Elche. c) Al enterarse la solicitante de amparo de que los bienes gananciales de su matrimonio estaban preparados para ser subastados en el procedimiento 328/1983 antes indicado, dirigió la misma al Juzgado un escrito, al amparo del art. 1.373 del Código Civil, pidiendo la suspensión de tal juicio ejecutivo, que le fueran trasladados los Autos y que se acordase la disolución de la sociedad de gananciales con su esposo, todo ello en aras de que fuesen sustituidos en la traba los bienes gananciales por la parte del esposo en dicha sociedad. En dicho escrito no se pidió el recibimiento a prueba. d) Decidida por el Juzgado de Primera Instancia núm. 2 de Elche la tramitación del escrito o demanda formulada por el procedimiento incidental, dicho Juzgado acordó -«por error», según se dice en la Sentencia de 7 de noviembre de 1983 a que más adelante se hace referencia-, por providencia de 14 de octubre de 1983, recibir el procedimiento a prueba. Se dice en la demanda de amparo que se «intentó» preparar la prueba. e) El mismo Juzgado, por Auto de 26 de octubre de 1983, del que no se acompaña copia, dejó sin efecto dicha providencia. f) El Juzgado de Primera Instancia núm. 2 de Elche dictó Sentencia de 7 de noviembre de 1983, de la que se acompaña copia, desestimando la «demanda incidental» formulada por la ahora solicitante de amparo. g) Interpuesto recurso de apelación contra dicha Sentencia, el mismo fue desestimado por Sentencia de la Sala Primera de lo </w:t>
      </w:r>
      <w:r>
        <w:lastRenderedPageBreak/>
        <w:t>Civil de la Audiencia Territorial de Valencia de 15 de noviembre de 1984, notificada al parecer el 19 de noviembre siguiente, de la que también se acompaña copia.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la demanda de amparo, al analizarse y someterse a critica diversos argumentos contenidos en los considerandos de la Sentencia impugnada relativos al procedimiento seguido en la tramitación de la petición formulada al amparo del art. 1.373 del Código Civil, así como a la falta de prueba en dicho procedimiento, se pretende poner de relieve ciertas diferencias de criterios con respecto a los seguidos en otras resoluciones judiciales, de dos de las cuales se acompaña copia. Se alega en base a ello nulidad de actuaciones, así como indefensión, citándose como infringido el art. 24 de la C. E., y se solicita se declare la nulidad de la Sentencia de la Sala Primera de la Audiencia Territorial de Valencia de 15 de noviembre de 1984, reconociéndose el derecho de la demandante de amparo a que se acuerde por el Tribunal la nulidad de actuaciones reponiendo los autos al momento de la interposición del escrito solicitando la sustitución en la traba de los bienes gananciales por la parte que ostente el cónyuge deudor, e indicándose «por ser cuestión de Orden Público el procedimiento a seguir para tramitar la petición de la demandante de amparo». </w:t>
      </w:r>
    </w:p>
    <w:p w:rsidR="00256EE9" w:rsidRDefault="00256EE9" w:rsidP="00256EE9">
      <w:pPr>
        <w:pStyle w:val="TextoNormal"/>
      </w:pPr>
      <w:r>
        <w:t>Por otrosí se solicita la suspensión de la resolución impugnada, «ya que de lo contrario se procedería a la ejecución y subasta de bienes, desvirtuando con ello el recurso de amparo e irrogando a la aquí demandante perjuicios de imposible reparación».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Cuarta, por providencia de 16 de enero de 1985, otorgó un plazo común de diez días a la parte actora y al Ministerio Fiscal para que alegasen lo que estimasen conveniente en orden a la posible concurrencia en este caso del motivo de inadmisibilidad del art. 50.2 b) de la LOTC, así como también el del 50.1 b) en relación con el 44.1 c) todos de la LOTC. </w:t>
      </w:r>
    </w:p>
    <w:p w:rsidR="00256EE9" w:rsidRDefault="00256EE9" w:rsidP="00256EE9">
      <w:pPr>
        <w:pStyle w:val="TextoNormal"/>
      </w:pPr>
      <w:r>
        <w:t xml:space="preserve">La recurrente, en su escrito de alegaciones, insiste en que impugna no la Sentencia del Juzgado núm. 2 de Elche, sino la Sentencia núm. 437 de la Sala Primera de lo Civil de la Audiencia Territorial de Valencia, porque ésta, «después de reconocer la inadecuación del procedimiento seguido no decretó la nulidad de actuaciones». En esa acción y en esa omisión consiste a su juicio la violación del derecho fundamental reconocido en el art. 24 de la C. E., por la indefensión producida y padecida por la parte recurrente. </w:t>
      </w:r>
    </w:p>
    <w:p w:rsidR="00256EE9" w:rsidRDefault="00256EE9" w:rsidP="00256EE9">
      <w:pPr>
        <w:pStyle w:val="TextoNormal"/>
      </w:pPr>
      <w:r>
        <w:t xml:space="preserve">En cuanto a la falta de invocación, la actora entiende que no se ha producido, porque el art. 44.1 c) exige que se realice la invocación cuando, conocida la violación, «hubiere lugar para ello». Ahora bien como el acto impugnado es la Sentencia de la Audiencia, es claro que no ha sido posible la invocación exigida por el 44.1 c) de la LOTC antes de la interposición del recurso. Añade la recurrente que solicita en su demanda la reposición de las actuaciones «al momento anterior al inicio del trámite de incidentes por el Juzgado núm. 2 de Elche, en aras de la economía procesal». </w:t>
      </w:r>
    </w:p>
    <w:p w:rsidR="00256EE9" w:rsidRDefault="00256EE9" w:rsidP="00256EE9">
      <w:pPr>
        <w:pStyle w:val="TextoNormal"/>
      </w:pPr>
      <w:r>
        <w:t>El Ministerio Fiscal, en su escrito de alegaciones, comienza por examinar el problema de cuáles son «las responsabilidades de los bienes gananciales por las deudas contraídas por uno de los cónyuges», y pasa después a analizar cuál es el procedimiento a seguir para la efectividad del art. 1,373 del Código Civil. La recurrente planteó su pretensión con base en el citado artículo como incidente del procedimiento ejecutivo, pero el Juzgado no lo consideró como tal y le dio el trámite procesal de los incidentes de acuerdo con el art, 741 de la L. E. C.; en este procedimiento es necesario acreditar las alegaciones con las pruebas pertinentes, pero como la recurrente no solicitó el recibimiento a prueba, el Juzgado entendió que debía desestimar la pretensión. Es esa falta de actividad y no una supuesta indefensión imputable al órgano judicial lo que ha conducido a una Sentencia desestimato</w:t>
      </w:r>
      <w:r>
        <w:lastRenderedPageBreak/>
        <w:t>ria, la del Juzgado núm. 2 de Elche, después confirmada sobre la base esencial de estos mismos razonamientos por la Audiencia. El recurso de amparo carece, pues, de contenido constitucional. Finalmente, en lo relativo al motivo del 44.1 c) el Ministerio Fiscal aprecia su existencia, ya que si hubo violación habría que imputarla a la resolución del Juzgado, por lo que al recurrir en apelación pudo y debió la recurrente invocar el derecho fundamental que a su juicio se había violado. En consecuencia el Fiscal pide la inadmisión de la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Según se infiere de la propia demanda de amparo y de las Sentencias de 7 de noviembre de 1983 y de 15 de noviembre de 1984 del Juzgado núm. 2 de Elche y de la Sala Primera de lo Civil de la Audiencia Provincial de Valencia, respectivamente, la recurrente trató de suscitar un incidente en el juicio ejecutivo quebrantando la prohibición del art.  1.480 de la L. E. C., error de planteamiento apreciado en ambas Sentencias, y que motivó que el Juzgado tramitara la pretensión de la esposa hoy recurrente en amparo, como incidente según el art.  741 de la misma Ley.  El Juzgado de Elche hizo constar como fundamento de su Sentencia que la esposa «no era ajena a la sociedad» de la que formaba parte su marido y su cuñado, y también que su demanda incidental tenía como finalidad «tratar de sustraer el 50 por 100 de los bienes gananciales trabados en el procedimiento principal en forma abusiva e injusta», toda vez que no probó «ninguna de las alegaciones en que basa su pretensión», y, ni siquiera, solicitó el recibimiento del juicio a prueba.  Ante tales hechos probados, no tiene sentido que en esta vía constitucional la recurrente trate de excusarse de su error y de su omisión alegando que en el art.  1.373 existe una «falta de indicación del procedimiento concreto a seguir para formular esta petición», ni tampoco que intente justificarse diciendo que «no indicando dicho precepto la necesidad de pedir recibimiento a prueba, esta parte no lo estimó necesario».</w:t>
      </w:r>
    </w:p>
    <w:p w:rsidR="00256EE9" w:rsidRDefault="00256EE9" w:rsidP="00256EE9">
      <w:pPr>
        <w:pStyle w:val="TextoNormal"/>
      </w:pPr>
      <w:r>
        <w:t>Este Tribunal no tiene tampoco que remediar errores técnicos forenses, ni indicar a los litigantes (como pide la recurrente en el «suplico» de su demanda) cuál es el procedimiento a seguir al efecto.  El único objeto de nuestra competencia es comprobar si en este caso hay indicio de indefensión, esto es de vulneración del derecho reconocido en el art.  24 de la Constitución.  Dentro de este planteamiento es claro que de la actuación de los órganos del Poder Judicial no puede inferirse nada que pueda haber violado tal derecho, pues en modo alguno tiene tal significado el haber admitido por error el procedimiento a prueba y haber subsanado de inmediato aquella iniciativa.  Por todo ello la demanda carece de contenido constitucional pues nada hay en la actuación de los órganos judiciales que pueda haber producido indefensión a la recurrente.  Concurre, pues, la causa del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Y se da también la segunda de las causas de inadmisibilidad invocada en su día en nuestra providencia. En efecto, como señala el Ministerio Fiscal la posible violación de derechos fundamentales, de haberse producido, habría tenido lugar en primera instancia.  No vale para invalidar este razonamiento decir, como expone la recurrente, que sólo impugna la Sentencia de la Audiencia, aunque por «economía procesal» pida que se repongan las actuaciones al momento anterior al inicio del trámite de incidentes.  Fue allí donde, de existir, debería situarse la violación, y, por consiguiente, al recurrir en apelación debió dar oportunidad al órgano judicial ante quien apelaba para que le tutelase su derecho fun</w:t>
      </w:r>
      <w:r>
        <w:lastRenderedPageBreak/>
        <w:t>damental supuestamente lesionado. Así lo exige el art. 44.1 c) de la LOTC en relación con el art. 53.2 de la C. E. Así debió hacerlo la recurrente. Y como no lo hizo así incurrió en el motivo de inadmisibilidad del art.  50.1 b) en relación con el art. 44.1 c)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la inadmisión del recurso.  En consecuencia, inadmitido el recurso, carece de sentido examinar la petición de suspensión de la resolución impugnada.</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23" w:name="AUTO_1985_162"/>
      <w:r>
        <w:lastRenderedPageBreak/>
        <w:t>AUTO 162/1985, de 6 de marzo de 1985</w:t>
      </w:r>
    </w:p>
    <w:bookmarkEnd w:id="223"/>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ECLI:ES:TC:1985:162A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882/1984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Eduardo Morales Price, Procurador de los Tribunales, interpuso en nombre y representación de don Pedro Grau Andréu y otros, recurso de amparo constitucional contra las Sentencias de 18 de marzo de 1983 de la Magistratura núm. 8 de las de Barcelona y de 27 de octubre de 1984 del Tribunal Central de Trabajo, confirmatoria de la anterior. La pretensión postulada se apoya en los siguientes hechos: a) Los actores, trabajadores al servicio del Hospital de la Santa Cruz y San Pablo de Barcelona con la categoría de técnicos, presentaron demandas ante la jurisdicción ordinaria del orden laboral en reclamación de clasificación profesional y de diferencias salariales entre el nivel retributivo satisfecho ( 7 u 8, en categoría de técnicos ) y el pretendido ( 10, en similar categoría). En fecha 18 de marzo de 1981, la Magistratura núm. 8 de las de Barcelona, que había entendido de todas las demandas por acumulación de oficio, dictó Sentencia, en cuyo considerando único se señaló que «no se trata en la demanda del presente proceso de reclamar una clasificación profesional sino un nivel retributivo al que se aspira sobre la base del alegado agravio comparativo (... )». El fallo de dicha resolución judicial desestimaba la pretensión postulada por los hoy recurrentes en amparo por no haber acreditado éstos estar en posesión de títulos de grado medio o asimilado, tal y como exige «la normativa interna del Hospital» para la percepción de las retribuciones correspondientes al nivel 10 de la categoría de técnicos. b) Promovido recurso de suplicación, denunciando, entre otros motivos, la violación por la Sentencia de instancia del principio de igualdad, el Tribunal Central de Trabajo desestimó dicho recurso por Sentencia de 27 de octubre de 1984, confirmando en todos sus extremos la Sentencia impugnada y declarando no haber existido trato discriminatorio.</w:t>
      </w:r>
    </w:p>
    <w:p w:rsidR="00256EE9" w:rsidRDefault="00256EE9" w:rsidP="00256EE9">
      <w:pPr>
        <w:pStyle w:val="TextoNormal"/>
      </w:pPr>
    </w:p>
    <w:p w:rsidR="00256EE9" w:rsidRDefault="00256EE9" w:rsidP="00256EE9">
      <w:pPr>
        <w:pStyle w:val="TextoNormal"/>
      </w:pPr>
      <w:r w:rsidRPr="00256EE9">
        <w:rPr>
          <w:rStyle w:val="NumeroAFNegritaCaracter"/>
        </w:rPr>
        <w:t>2</w:t>
      </w:r>
      <w:r>
        <w:t>. El escrito de demanda acusa a las Sentencias recurridas de haber vulnerado el principio de igualdad proclamado en el art. 14 de la C. E., vulneración ésta que se habría producido por haber sido resueltas por órganos judiciales de manera desigual situaciones idénticas. Así, las Sentencias de 22 de mayo de 1981, de la Magistratura de Trabajo núm. 12 de Barcelona, y de 16 de febrero de 1983, de la Magistratura de Trabajo núm. 2 de la misma localidad, reconocieron el derecho de otros trabajadores al servicio del Hospital de Santa Cruz y San Pablo, con la categoría profesional de técnicos, a percibir las retribuciones correspondientes al nivel 10 en razón de realizar las mismas funciones prestadas por quienes venían percibiendo dichas retribuciones. Las resoluciones impugnadas, por el con</w:t>
      </w:r>
      <w:r>
        <w:lastRenderedPageBreak/>
        <w:t xml:space="preserve">trario, denegaron tal derecho en base a lo establecido en una normativa «unilateralmente dictada» por el Hospital en la que se reservó la percepción de las remuneraciones del mencionado nivel a los técnicos que se encontrasen en posesión del título de ATS o hubieren concluido el primer ciclo de una carrera universitaria como medicina, farmacia o biología, transgrediéndose con ello normas de derecho necesario establecidas en el Estatuto de los Trabajadores. </w:t>
      </w:r>
    </w:p>
    <w:p w:rsidR="00256EE9" w:rsidRDefault="00256EE9" w:rsidP="00256EE9">
      <w:pPr>
        <w:pStyle w:val="TextoNormal"/>
      </w:pPr>
      <w:r>
        <w:t>En el «suplico» de la demanda, se solicita de este Tribunal declare la nulidad de las Sentencias recurridas así como reconozca a los solicitantes de amparo «el derecho a ostentar el nivel 10 retributivo de la escala de niveles del Hospital demandado y a percibir las diferencias retributivas devengadas».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23 de enero de 1985, la Sección acordó tener por interpuesto recurso de amparo por don Pedro Grau y otros y por personado y parte en nombre y representación de los mismos al Procurador de los Tribunales señor Morales Price, concediendo un plazo común de diez días al Ministerio Fiscal y a los solicitantes de amparo para alegar lo pertinente en relación con la posible existencia del motivo de inadmisión consistente en carecer la demanda manifiestamente de contenido constitu ional [art. 50.2 b) de la Ley Orgánica del Tribunal Constitucional -LOTC-]. </w:t>
      </w:r>
    </w:p>
    <w:p w:rsidR="00256EE9" w:rsidRDefault="00256EE9" w:rsidP="00256EE9">
      <w:pPr>
        <w:pStyle w:val="TextoNormal"/>
      </w:pPr>
      <w:r>
        <w:t>Dentro del referido plazo, tan sólo formuló alegaciones el Ministerio Fiscal.</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Evacuando el trámite, el Fiscal ante el Tribunal Constitucional entiende que las Sentencias impugnadas no han infringido el principio de igualdad en la aplicación de la Ley. </w:t>
      </w:r>
    </w:p>
    <w:p w:rsidR="00256EE9" w:rsidRDefault="00256EE9" w:rsidP="00256EE9">
      <w:pPr>
        <w:pStyle w:val="TextoNormal"/>
      </w:pPr>
      <w:r>
        <w:t xml:space="preserve">Primeramente, por cuanto los supuestos de hecho de las Sentencias que se aportan como términos de comparación no guardan una total identidad con el sometido ahora a la consideración de este Tribunal. Pero en segundo lugar y sobre todo, por cuanto tales resoluciones fueron dictadas por distintas Magistraturas de Trabajo, órgano a los que no corresponde la función de unificar la interpretación de la Ley. </w:t>
      </w:r>
    </w:p>
    <w:p w:rsidR="00256EE9" w:rsidRDefault="00256EE9" w:rsidP="00256EE9">
      <w:pPr>
        <w:pStyle w:val="TextoNormal"/>
      </w:pPr>
      <w:r>
        <w:t>En razón a lo expuesto, el Ministerio Fiscal interesa de este Tribunal dicte Auto declarando la inadmisión del recurso por concurrir la causa prevista en el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Al fin de precisar los términos dentro de los cuales debe ser examinado el presente recurso, es preciso recordar que el amparo constitucional puede articularse a través de dos distintas vías: una, la del art.  43 de la LOTC, prevista para reaccionar frente a violaciones ocasionadas directamente por actos imputables a órganos integrados en alguna de las esferas en que se estructura la Administración Pública, y otra, la del art.  44 de ese mismo texto legislativo, reservada a lesiones de derechos constitucionales debidas a acciones u omisiones de órganos judiciales.  En el caso de examen, la violación del derecho a la igualdad dice imputarse «a un acto de un órgano de la Administración Pública», fundamentándose por consiguiente el recurso por la vía del ya citado art.  43, pero el examen de los antecedentes que concurren en este caso evidencia la imposibilidad jurídica de reconducir el presente recurso a dicha vía, pues, sea cual fuere la adscripción orgánica y dependencia funcional del Hospital de Santa Cruz y San Pablo, su actuación fue la propia de un empresario sometido a la legislación laboral y sus actos, al igual que los de cualquier otro particular, efectuados como sujeto de relaciones interprivadas, no son en si y por si revisables por </w:t>
      </w:r>
      <w:r>
        <w:lastRenderedPageBreak/>
        <w:t>este Tribunal.  Pero superando los defectos en que han incurrido la dirección técnica de los recurrentes, ha de estimarse, que es el art. 44 de la LOTC el cauce no sólo adecuado sino único, a cuyo amparo ha de entenderse formalizado este recurso, imputando por consiguiente a los órganos judiciales la presunta violación de un derecho constitucional.</w:t>
      </w:r>
    </w:p>
    <w:p w:rsidR="00256EE9" w:rsidRDefault="00256EE9" w:rsidP="00256EE9">
      <w:pPr>
        <w:pStyle w:val="TextoNormal"/>
      </w:pPr>
    </w:p>
    <w:p w:rsidR="00256EE9" w:rsidRDefault="00256EE9" w:rsidP="00256EE9">
      <w:pPr>
        <w:pStyle w:val="TextoNormal"/>
      </w:pPr>
      <w:r w:rsidRPr="00256EE9">
        <w:rPr>
          <w:rStyle w:val="NumeroAFNegritaCaracter"/>
        </w:rPr>
        <w:t>2</w:t>
      </w:r>
      <w:r>
        <w:t>. La igualdad reconocida por el art.  14 de la C. E.  despliega su eficacia en dos frentes o planos: de un lado, en el plano de la igualdad ante la Ley, configurada por reiterada doctrina constitucional como un derecho subjetivo de los ciudadanos a obtener un trato igual, que obliga y limita a los Poderes Públicos a respetarlo e impone que los supuestos de hecho iguales sean tratados idénticamente en sus consecuencias jurídicas: y en otro sen ido, en la vertiente de la igualdad también reconocida y protegida en la Constitución, de la igualdad en la aplicación de la Ley, en virtud de la cual queda vedado a un mismo órgano jurisdiccional alterar arbitrariamente el sentido de sus resoluciones en casos sustancialmente iguales, salvo cuando el apartamiento de los precedentes propios posea una fundamentación suficiente y razonada para el disentimiento.</w:t>
      </w:r>
    </w:p>
    <w:p w:rsidR="00256EE9" w:rsidRDefault="00256EE9" w:rsidP="00256EE9">
      <w:pPr>
        <w:pStyle w:val="TextoNormal"/>
      </w:pPr>
    </w:p>
    <w:p w:rsidR="00256EE9" w:rsidRDefault="00256EE9" w:rsidP="00256EE9">
      <w:pPr>
        <w:pStyle w:val="TextoNormal"/>
      </w:pPr>
      <w:r w:rsidRPr="00256EE9">
        <w:rPr>
          <w:rStyle w:val="NumeroAFNegritaCaracter"/>
        </w:rPr>
        <w:t>3</w:t>
      </w:r>
      <w:r>
        <w:t>. En su alegato juridico, la representación de los actores denuncia la violación por las resoluciones impugnadas del principio de igualdad ante la Ley, fundamentándola sin embargo con razonamientos propios de lo que constituye desigualdad en la aplicación de la Ley, pues indica que «los hoy demandantes de amparo encuentran su discriminación en el trato jurídico recibido frente a situaciones judiciales idénticas inmediatamente anteriores a la suya, en la que los fundamentos de Derecho aplicados eran sustancialmente opuestos a los suyos y desde cualquier punto de vista contradictorios»; en definitiva, la línea argumentativa elaborada para fundamentar la presunta desigualdad «ante la Ley», se contrae a poner de relieve como dos resoluciones dictadas por las Magistraturas núms.  12 y 2 de Barcelona reconocieron, al resolver casos sustancialmente iguales al ahora planteado, el derecho de otros reclamantes a percibir las retribuciones correspondientes al nivel 10, estimando que había de aplicarse al supuesto contemplado, ante la inexistencia de normativa profesional específica, las previsiones del artículo 23.3 del Estatuto de los Trabajadores. De estos pronunciamientos son de los que se apartan -en el decir de los recurrentes- las Sentencias recurridas, que deniegan aquel derecho y atribuyen carácter «vinculante» y «plena validez» a la normativa interna del Hospital, unilateralmente dictada por la Dirección del mismo, a tenor de la cual el citado nivel 10 queda reservado a los técnicos que posean simultáneamente los dos siguientes requisitos: una determinada titulación y una experiencia mínima de veinticuatro meses de laboratorio.</w:t>
      </w:r>
    </w:p>
    <w:p w:rsidR="00256EE9" w:rsidRDefault="00256EE9" w:rsidP="00256EE9">
      <w:pPr>
        <w:pStyle w:val="TextoNormal"/>
      </w:pPr>
    </w:p>
    <w:p w:rsidR="00256EE9" w:rsidRDefault="00256EE9" w:rsidP="00256EE9">
      <w:pPr>
        <w:pStyle w:val="TextoNormal"/>
      </w:pPr>
      <w:r w:rsidRPr="00256EE9">
        <w:rPr>
          <w:rStyle w:val="NumeroAFNegritaCaracter"/>
        </w:rPr>
        <w:t>4</w:t>
      </w:r>
      <w:r>
        <w:t>. Para poder apreciar una vulneración del derecho de igualdad por los órganos judiciales no basta, como ha señalado con insistencia este Tribunal, la existencia de decisiones judiciales contrarias; se requiere que las mismas procedan de un mismo órgano jurisdiccional y normalmente no de cualquiera sino de aquel al que, de conformidad con los principios básicos de la organización judicial, corresponda unificar, habitualmente a través del conocimiento de recursos impugnatorios extraordinarios, la disparidad de criterios interpretativos de la Ley que resulta de la pluralidad de órganos judiciales, de manera que compete a la jurisprudencia de los Tribunales de superior rango, y no al Tribunal Constitucional, establecer la necesaria uniformidad en la aplicación de la legalidad en los supuestos de resoluciones discrepantes de distintos órganos.</w:t>
      </w:r>
    </w:p>
    <w:p w:rsidR="00256EE9" w:rsidRDefault="00256EE9" w:rsidP="00256EE9">
      <w:pPr>
        <w:pStyle w:val="TextoNormal"/>
      </w:pPr>
      <w:r>
        <w:lastRenderedPageBreak/>
        <w:t>Siendo éstos los principios fundamentales que informan el derecho de igualdad en la aplicación de la Ley, se debe concluir afirmando que la tesis de los recurrentes está privada de toda consistencia, pues atribuida al Tribunal Central de Trabajo la función de uniformar, en el ámbito de su competencia, los criterios interpretativos elaborados por las Magistraturas de Trabajo a través del conocimiento y resolución de los recursos de suplicación, carece de toda fundamentación lógica y jurídica recurrir una de instancia confirmada por aquel órgano superior, denunciando el que ésta se haya separado de los precedentes sentados por órganos judiciales inferiores.</w:t>
      </w:r>
    </w:p>
    <w:p w:rsidR="00256EE9" w:rsidRDefault="00256EE9" w:rsidP="00256EE9">
      <w:pPr>
        <w:pStyle w:val="TextoNormal"/>
      </w:pPr>
      <w:r>
        <w:t>En realidad, la invocación del principio de igualdad se realiza de manera formularia, pues de lo que realmente se discrepa es, precisamente, de la interpretación de la legalidad establecida, con plena competencia, por los Tribunales laborales en ejercicio de su función jurisdiccional (art.  117.3 de la C. E.)  creadora de jurisprudencia y, con ello, el fin perseguido es convertir a este Tribunal en una nueva instancia, contrariando la configuración que de él hace la Constitución, que prohibe que lo sea.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lo expuesto, la Sección acuerda: declarar la inadmisión del recurso de amparo formulado por el Procurador don Eduardo Morales Price en representación de don Pedro Grau Andréu y otros, y el archivo de las actuaciones.</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24" w:name="AUTO_1985_163"/>
      <w:r>
        <w:lastRenderedPageBreak/>
        <w:t>AUTO 163/1985, de 6 de marzo de 1985</w:t>
      </w:r>
    </w:p>
    <w:bookmarkEnd w:id="224"/>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ECLI:ES:TC:1985:163A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896/1984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Tribunal Constitucional el 20 de diciembre de 1984, don Angel Deleito Villa, Procurador de los Tribunales, interpone recurso de amparo constitucional en nombre y representación de «La Primitiva, S. A.», contra Auto del Tribunal Central de Trabajo de 3 de noviembre de 1984, recaído en recurso de queja formulado contra el Auto de 27 de abril de 1984 de la Magistratura de Trabajo núm. 9 de las de Barcelona por el que, desestimando el recurso de reposición de que traía causa, vino a confirmar la providencia de la misma Magistratura de 14 de marzo de 1984 en que se acordaba no haber lugar a tener por anunciado el recurso de suplicación intentado contra la Sentencia de la misma Magistratura de 23 de enero de 1984, por no acompañarse el resguardo de consignación previsto en el art. 154 de la Ley de Procedimiento Laboral. </w:t>
      </w:r>
    </w:p>
    <w:p w:rsidR="00256EE9" w:rsidRDefault="00256EE9" w:rsidP="00256EE9">
      <w:pPr>
        <w:pStyle w:val="TextoNormal"/>
      </w:pPr>
      <w:r>
        <w:t>Pide que, tras declarar la nulidad de la providencia y de los dos Autos impugnados, se reconozca a la parte actora el derecho a interponer, sin consignación en metálico ni medio sustitutorio alguno, el anunciado recurso de suplicación para ante el Tribunal Central de Trabajo. Subsidiariamente que, previa proposición de medios seguros para garantizar la ejecución de la Sentencia, se reconozca el derecho de la recurrente a ejercer el recurso de suplicación sin previa consignación en metálico. Asimismo pide, por otrosí, la suspensión de la ejecutividad de la Sentencia, providencia y dos Autos recurridos toda vez que, en caso contrario, se ocasionarían perjuicios irreparables que harían perder su finalidad al amparo.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siguientes hechos: La totalidad de los trabajadores de «Frasquerías Pedret, S. A.» formularon, en su día, una reclamación de distintas cantidades ante la Magistratura de Trabajo, única y exclusivamente contra la referida Sociedad, que fue condenada. </w:t>
      </w:r>
    </w:p>
    <w:p w:rsidR="00256EE9" w:rsidRDefault="00256EE9" w:rsidP="00256EE9">
      <w:pPr>
        <w:pStyle w:val="TextoNormal"/>
      </w:pPr>
      <w:r>
        <w:t>Asimismo, la totalidad de los trabajadores de «Frasquerías Pedret, S. A.» formuló demanda en conflicto colectivo contra la citada Entidad mercantil y contra «Frasquerías Españolas, S. A.», «La Primitiva, S. A.», «Olpsa», «Cristalería Cervellonense, S. A.» y «Proveedora del Vidrio, S. A.», con la pretensión de que se declarase que la totalidad de las Entidades mercantiles demandadas constituían un holding o grupo de Empresas. La Magistratura de Trabajo núm. 9 de las de Barcelona, en Sentencia de 24 de mayo de 1983, acordó desestimar la acción ejercitada sin entrar a conocer del fondo de la misma y absol</w:t>
      </w:r>
      <w:r>
        <w:lastRenderedPageBreak/>
        <w:t xml:space="preserve">ver a las demandadas por estimar la excepción de litis consortio pasivo necesario, al haberse demandado sólo a las Empresas y no a sus respectivos Comités de Empresa. «La Primitiva, S. A.» interpuso recurso de suplicación contra la referida Sentencia por entender que, pese al sentido del fallo, uno de sus resultandos recogía una serie de hechos probados que daban a entender la existencia de un grupo de Empresas. EI Tribunal Central de Trabajo declaró inadmisible el recurso por Sentencia de 19 de julio de 1983 y entendió que la recurrente carecía de legitimación por carecer de interés al haber sido absuelta en la instancia. Un grupo minoritario de los trabajadores de la Entidad mercantil de referencia, ejerció otras acciones laborales dirigidas sola y exclusivamente contra «Frasquerías Pedret, S. A.» y «Frasquerías Españolas, S. A.» obteniendo Sentencias condenatorias. </w:t>
      </w:r>
    </w:p>
    <w:p w:rsidR="00256EE9" w:rsidRDefault="00256EE9" w:rsidP="00256EE9">
      <w:pPr>
        <w:pStyle w:val="TextoNormal"/>
      </w:pPr>
      <w:r>
        <w:t xml:space="preserve">Paralelamente a estos procesos, el grupo mayoritario de trabajadores ejerció también acciones de reclamación de cantidades adeudadas y, en base a su impago, de resolución indemnizada de sus contratos de trabajo. Pero estas acciones fueron dirigidas contra todas las Entidades mercantiles reseñadas y, en consecuencia, también contra «La Primitiva, S. A.», que ahora recurre en amparo. </w:t>
      </w:r>
    </w:p>
    <w:p w:rsidR="00256EE9" w:rsidRDefault="00256EE9" w:rsidP="00256EE9">
      <w:pPr>
        <w:pStyle w:val="TextoNormal"/>
      </w:pPr>
      <w:r>
        <w:t xml:space="preserve">Hace mérito la recurrente de una demanda de reclamación de cantidad de la que conoció la Magistratura de Trabajo núm. 18 de las de Barcelona, resuelta por Sentencia de 4 de noviembre de 1983 que declaró extinguida la relación laboral que vinculaba a los actores con las demandadas «Frasquerías Pedret, S. A.» y «Frasquerías Españolas, S. A.» y condenó a éstas y a don Antonio García Núñez solidariamente, pero absolvió al resto de las codemandadas, entre ellas a la solicitante de amparo «La Primitiva, S. A.». Finalmente el mismo grupo mayoritario de trabajadores interpusieron demanda de reclamación de cantidad que dio lugar al procedimiento 170/1983 de la Magistratura de Trabajo núm. 9 de las de Barcelona. De dicha demanda trae causa el presente recurso de amparo constitucional. Se reclamaban 70.464.505 pesetas, más el 10 por 100 de recargo, a diversas personas y Entidades entre las que se encontraba «La Primitiva, S. A.». La Magistratura, en Sentencia de 23 de enero de 1984, estimó en parte la demanda, y condenó solidariamente a «Frasquerias Pedret, S. </w:t>
      </w:r>
    </w:p>
    <w:p w:rsidR="00256EE9" w:rsidRDefault="00256EE9" w:rsidP="00256EE9">
      <w:pPr>
        <w:pStyle w:val="TextoNormal"/>
      </w:pPr>
      <w:r>
        <w:t xml:space="preserve">A.», «Frasquerías Españolas, S. A.», don Antonio García Núñez, «La Primitiva, S. A.», «Opticas y Lámparas Pedro, S. A. (Olpsa)» y «Cristaleria Cervellonense, S. A.». </w:t>
      </w:r>
    </w:p>
    <w:p w:rsidR="00256EE9" w:rsidRDefault="00256EE9" w:rsidP="00256EE9">
      <w:pPr>
        <w:pStyle w:val="TextoNormal"/>
      </w:pPr>
      <w:r>
        <w:t xml:space="preserve">Se subraya que mientras la Magistratura de Trabajo núm. 18 de Barcelona absolvió a «La Primitiva, S. A.» de la demanda de resolución indemnizada de contrato, la Magistratura de Trabajo núm. 9 condenó a esta Entidad mercantil por impago de salarios de los demandantes. Frente a la referida Sentencia de 23 de enero de 1984 se interpusieron distintos recursos, entre los cuales importa a los efectos de la presente demanda el intentado por «La Primitiva, S. A.». En efecto, la solicitante de amparo anunció en 14 de marzo de 1984 recurso de suplicación sin efectuar el depósito previo a que se refiere el art. 154 de la LPL. Se razonaba tal omisión en que en ningún pasaje de la Sentencia impugnada se declaraba a «La Primitiva» empresario de los actores, por cuya razón no podría afectar aquella previsión legal a la misma, por quedar reservada exclusivamente a quien ostentase tal condición. Asimismo, que, de serle exigido el depósito, se produciría un impedimento al ejercicio de la tutela judicial efectiva de imposible remoción, dados los escasos beneficios de la Entidad y el montante de la nómina y Seguridad Social del personal entre otros gastos. A tal fin se acompañaban balance y cuenta de explotación y documentos acreditativos del importe de la nómina y de las cuotas de la Seguridad Social. Por providencia de 14 de marzo de 1984 la Magistratura de Trabajo declaró no haber lugar a tener por anunciado recurso de suplicación por no acompañarse el resguardo de consignación a que se refiere el art. 154 de la LPL toda vez que, al ser la recurrente la única Empresa solvente del grupo </w:t>
      </w:r>
      <w:r>
        <w:lastRenderedPageBreak/>
        <w:t>que forman las codemandadas, no podía considerársela exenta de dicho depósito. Interpuesto recurso de reposición el 22 de marzo de 1984, con invocación formal de los arts. 14 y 24 de la Constitución, fue desestimado por Auto de 27 de abril de 1984. El 14 de junio de 1984 la solicitante de amparo interpuso recurso de queja ante el Tribunal Central de Trabajo, que lo desestimó por Auto de 3 de noviembre de 1984 ahora impugnado en amparo.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juridicos de la demanda son los siguientes: la aplicación del art. 154 de la LPL de 13 de junio de 1980 ha supuesto una vulneración del principio de igualdad ante la Ley que consagra el art. 14 de la Constitución. Se considera que no concurren en el presente caso las razones objetivas que explican que la Sentencia de este Tribunal de 25 de enero de 1983 declarara justificada la desigualdad procesal existente entre trabajadores y empresarios a efectos de la obligación de consignación establecida en la Ley de Procedimiento Laboral. En este caso no se trata de una relación directa entre la Empresa y sus trabajadores (como acontecía en la Sentencia citada de 25 de enero de 1983) sino de una relación entre un empresario y trabajadores ajenos. «La Primitiva, S. A.» no fue nunca patrono de los trabajadores demandantes. De esa relación resulta que el trato recibido no haya resultado adecuado al status jurídico-procesal de la solicitante de amparo. Se concluye afirmando que la doctrina constitucional de la Sentencia de 25 de enero de 1983 no puede ser, por ello, aplicable en este caso y que no concurren en él las circunstancias objetivas que allí se recogieron como justificadoras de la desigualdad. </w:t>
      </w:r>
    </w:p>
    <w:p w:rsidR="00256EE9" w:rsidRDefault="00256EE9" w:rsidP="00256EE9">
      <w:pPr>
        <w:pStyle w:val="TextoNormal"/>
      </w:pPr>
      <w:r>
        <w:t>La aplicación del art. 154 de la Ley de Procedimiento Laboral ha implicado una violación del derecho a la tutela judicial efectiva, y con todas las garantías, que consagra el art. 24.1 de la Constitución. Reitera la solicitante de amparo que nunca fue empresario de los demandantes. Se le ha aplicado indebidamente el art. 154 de la LPL; si nunca fue empleador nunca se le pudo aplicar el precepto en cuestión. Aun en el supuesto de que ostentase la condición de empresario tampoco sería exigible la prevención del art. 154 de la LPL, por las condiciones subjetivas de la recurrente. «La Primitiva, S. A.» carece de medios para efectuar la consignación exigida, salvo que deje de pagar a su personal y a la Seguridad Social. Finalmente se considera que la exigencia de depósito no era razonable ni proporcionada a las circunstancias del caso.</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Cuarta, por providencia de 30 de enero de 1985 puso de manifiesto al Ministerio Fiscal y a la parte actora la posible concurrencia en este caso del motivo de inadmisibilidad del art. 50.2 b) de la LOTC, y les otorgó plazo común para alegaciones. En su esquemático escrito en el trámite de alegaciones la parte actora insiste en que se han violado sus derechos reconocidos en los arts. 14, 24.1 y 24.2 de la Constitución por lo que considera que no se da el motivo del 50.2 b) de la LOTC, y reitera su «suplico» inicial. EI Ministerio Fiscal, por el contrario, pide la inadmisión del amparo. A su juicio la Sentencia del TCT condenó a «La Primitiva, S. A.» en la condición en que había sido demandada, esto es, como Empresa de los trabajadores demandantes, y, siempre dentro de la legalidad, resolvió y razonó su resolución, por lo que no se aprecia vestigio de vulneración del art. 14 de la C. E. No pudo haber tampoco violación del art. 24, pues se cumplieron en el proceso todas las garantías; y en cuanto al requisito del art. 154 de la LPL, el. TCT fundó su exigencia en la Sentencia de este Tribunal Constitucional de 25 de enero de 1983.</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Aunque la recurrente invoca como lesionados sus derechos fundamentales reconocidos en dos preceptos constitucionales, lo cierto es que la concurrencia de la falta manifiesta de contenido constitucional de su demanda se aprecia simultáneamente respecto a ambos, porque todos los débiles razonamientos de la recurrente parecen basarse en un mismo punto de partida: se la ha tratado como Empresa de los trabajadores, sin serlo, por lo que no siéndolo, falta la condición justificativa del trato que la Sentencia de este Tribunal de 25 de enero de 1983 consideró desigual, pero constitucionalmente legítimo, en orden a la relación entre empresarios y trabajadores.  Por lo mismo, no siendo «La Primitiva, S.  A.» empresa de los trabajadores, tampoco se le puede exigir que, para recurrir, cumpla con el requisito del art.  154 de la LPL, de modo que, al habérsele exigido indebidamente, se ha violado su derecho a una tutela judicial efectiva.  La apreciación de si «La Primitiva, S. A.», a los efectos así planteados, es o no Empresa de los trabajadores demandantes en el orden laboral, es sin duda una cuestión de la competencia de los Tribunales que lo integran, pues tanto las cuestiones de hecho relevantes a propósito del problema como su valoración jurídica resultan inmersas en un nivel preconstitucional que no afecta a ningún derecho fundamental. Ahora bien, en el considerando tercero del Auto del TCT de 3 de noviembre de 1984, aquel Tribunal afirma que «lo cierto es que ''La Primitiva, S.  A.'' resultó demandada en calidad de empresario de los trabajadores; que en los hechos probados se dice que los demandantes prestan servicios para un grupo de Empresas dedicado a manufacturar vidrio, siendo ''La Primitiva, S. A.'' la Empresa matriz del grupo, y, por último, que resultó condenada al pago de ciertas cantidades a los trabajadores demandantes, precisamente en mérito a su condición de empresario... ». Siendo todo esto asi, y siendo todo ello materia que, ajena a los Iímites competenciales de este Tribunal, escapa forzosamente a su examen, es claro que la diferencia de trato respecto a los demandantes en el orden laboral, diferencia que «La Primitiva, S.  A.» estima discriminatoria, tiene razón de ser, en cuanto consiste en tratarla como Empresa o empleador de aquéllos y, finalmente, en exigirle, dentro de los límites y por las razones expuestas en la Sentencia de 25 de enero de 1983, Sentencia de este Tribunal que el Auto impugnado cita y glosa, el cumplimiento del requisito del art.  154 de la LPL.  En consecuencia no hay nada en la resolución impugnada que parezca ni remotamente lesionar los derechos fundamentales invocados, por lo que hay que apreciar la concurrencia del motivo de inadmisibilidad del articulo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la inadmisión del recurso, sin que sea necesario otro pronunciamiento sobre la petición de suspensión de la resolución impugnada.</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25" w:name="AUTO_1985_164"/>
      <w:r>
        <w:lastRenderedPageBreak/>
        <w:t>AUTO 164/1985, de 6 de marzo de 1985</w:t>
      </w:r>
    </w:p>
    <w:bookmarkEnd w:id="225"/>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ECLI:ES:TC:1985:164A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898/1984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Antonio Muñoz López, representado por Procurador y asistido de Letrado, ha interpuesto recurso de amparo, mediante escrito que tuvo su entrada en el Registro de este Tribunal el 21 de diciembre de 1984, contra Autos de la Magistratura de Trabajo de Badajoz de 4 de octubre de 1984 y 24 de octubre de 1984, desestimando recursos de reposición interpuestos en procedimiento núm. 6172/1983, citándose como vulnerado el derecho reconocido por el art. 24 de la Constitución. </w:t>
      </w:r>
    </w:p>
    <w:p w:rsidR="00256EE9" w:rsidRDefault="00256EE9" w:rsidP="00256EE9">
      <w:pPr>
        <w:pStyle w:val="TextoNormal"/>
      </w:pPr>
      <w:r>
        <w:t xml:space="preserve">La demanda se fundamenta en los hechos siguientes: </w:t>
      </w:r>
    </w:p>
    <w:p w:rsidR="00256EE9" w:rsidRDefault="00256EE9" w:rsidP="00256EE9">
      <w:pPr>
        <w:pStyle w:val="TextoNormal"/>
      </w:pPr>
      <w:r>
        <w:t xml:space="preserve">a) La Magistratura de Trabajo de Badajoz, en el procedimiento 6172/1983, seguido en virtud de demanda por despido formulada por el ahora solicitante de amparo contra la empresa « Urbanizadora de Badajoz, S. A.» (URBASA), y el Fondo de Garantia Salarial -procedimiento en el que se habrían producido «una serie de anomalías e irregularidades», algunas de las cuales se indican, tales como la no interrupción del proceso por falta de certificación del acto de conciliación, la no citación ni comparecencia al acto del juicio de la demandada, y el tener indebidamente por desistido al demandante, por su incomparecencia, sin tener en cuenta las justificaciones alegadas, ni notificar adecuadamente la no suspensión del juicio que se había solicitado-, acordó por providencia de 24 de enero de 1984 el archivo del expediente, sin notificarlo al demandante. </w:t>
      </w:r>
    </w:p>
    <w:p w:rsidR="00256EE9" w:rsidRDefault="00256EE9" w:rsidP="00256EE9">
      <w:pPr>
        <w:pStyle w:val="TextoNormal"/>
      </w:pPr>
      <w:r>
        <w:t xml:space="preserve">b) El solicitante de amparo dice haber presentado con posterioridad nueva demanda, tramitada con el núm. 376/1984 y desestimada al parecer por caducidad. Afirma también haber remitido un escrito a la Sala Sexta del Tribunal Supremo «para el recurso de casación 1981/1984» contra la Sentencia recaída en el procedimiento 376/1984, «con cierta similitud de exposición» que el presente recurso de amparo. E igualmente se dice haberse promovido otro procedimiento contra URBASA», en reclamación de la cantidad por salarios y comisiones asimiladas, con el número de autos 3129/1984, en el que habría recaído Sentencia declarando la «incompetencia de jurisdicción», estando preparando ya el solicitante de amparo recurso de casación. </w:t>
      </w:r>
    </w:p>
    <w:p w:rsidR="00256EE9" w:rsidRDefault="00256EE9" w:rsidP="00256EE9">
      <w:pPr>
        <w:pStyle w:val="TextoNormal"/>
      </w:pPr>
      <w:r>
        <w:t xml:space="preserve">c) Mediante escrito de fecha 8 de septiembre de 1984, del que se acompaña copia, el recurrente solicitó de la Magistratura de Trabajo de Badajoz que se le expidiese testimonio literal de las actuaciones y se le notificasen las resoluciones recaidas en autos núm. 6172/1983 (con excepción de aquella por la que había sido admitida la demanda). La Magistratura de Trabajo acordó por providencia -y no por Auto, «para cerrar el acceso al Tribunal Superior»-, al parecer de la misma fecha, remitir al demandante lo solicitado. El </w:t>
      </w:r>
      <w:r>
        <w:lastRenderedPageBreak/>
        <w:t xml:space="preserve">solicitante de amparo dice haberle sido notificadas las providencias de 24 de diciembre de 1983, 23 de enero de 1984, y dos de fecha de 24 de enero de 1984. </w:t>
      </w:r>
    </w:p>
    <w:p w:rsidR="00256EE9" w:rsidRDefault="00256EE9" w:rsidP="00256EE9">
      <w:pPr>
        <w:pStyle w:val="TextoNormal"/>
      </w:pPr>
      <w:r>
        <w:t xml:space="preserve">d) El solicitante de amparo promovió, cometiendo -dice- «errores de forma dado su desconocimiento del Derecho», contra dichas providencias, sendos recursos de reposición: Uno, contra la providencia de 24 de enero de 1984 que tuvo por desistido al demandante, por incomparecencia en los actos de conciliación y juicio, mediante escrito con fecha de 26 de septiembre de 1984, del que dice aportar copia sin hacerlo. Otros tres, mediante un mismo escrito con fecha de 27 de septiembre, del que sí aporta copia, contra la providencia de 24 de diciembre de 1983, por la que se admitió la demanda; contra la de 23 de enero de 1984, por la que se acordó no proceder a la suspensión del proceso, y contra la de 24 de enero de 1984, por la que se ordenó el archivo de las actuaciones. </w:t>
      </w:r>
    </w:p>
    <w:p w:rsidR="00256EE9" w:rsidRDefault="00256EE9" w:rsidP="00256EE9">
      <w:pPr>
        <w:pStyle w:val="TextoNormal"/>
      </w:pPr>
      <w:r>
        <w:t xml:space="preserve">e) El recurso formulado con fecha de 26 de septiembre de 1984 fue desestimado por Auto de 4 de octubre de 1984, del que se aporta copia, notificado, al parecer, el 17 de octubre de 1984. </w:t>
      </w:r>
    </w:p>
    <w:p w:rsidR="00256EE9" w:rsidRDefault="00256EE9" w:rsidP="00256EE9">
      <w:pPr>
        <w:pStyle w:val="TextoNormal"/>
      </w:pPr>
      <w:r>
        <w:t xml:space="preserve">f) Los otros recursos de reposición formulados por el escrito de fecha 27 de septiembre de 1984 fueron también desestimados «por extemporáneos» mediante Auto de 24 de octubre de 1984, notificado al parecer el 29 de noviembre, del que también se acompaña copia. </w:t>
      </w:r>
    </w:p>
    <w:p w:rsidR="00256EE9" w:rsidRDefault="00256EE9" w:rsidP="00256EE9">
      <w:pPr>
        <w:pStyle w:val="TextoNormal"/>
      </w:pPr>
      <w:r>
        <w:t xml:space="preserve">g) Se dice finalmente haberse interpuesto «previamente» otro recurso de amparo ante este Tribunal Constitucional (y, efectivamente, el 13 de noviembre de 1984 tuvo su entrada un escrito del solicitante de amparo, al que le correspondió el núm. 784/1984, interponiendo recurso de amparo contra el Auto de 4 de octubre de 1984 de la Magistratura de Trabajo de Badajoz; dicho recurso de amparo se encuentra actualmente en trámite de admisión). </w:t>
      </w:r>
    </w:p>
    <w:p w:rsidR="00256EE9" w:rsidRDefault="00256EE9" w:rsidP="00256EE9">
      <w:pPr>
        <w:pStyle w:val="TextoNormal"/>
      </w:pPr>
      <w:r>
        <w:t>El solicitante de amparo entiende violados los derechos y libertades protegidos por los arts. 14 y 24 de la C. E., a causa de la actuación del Magistrado de Trabajo de Badajoz. Y solicita se declare la inconstitucionalidad de tal actuación y se anulen las resoluciones impugnadas, con la «consecuencia de retornar la vida» al procedimiento promovido contra «URBASA» y el Fondo de Garantía Salarial.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de este Tribunal, en su reunión del dia 6 de febrero pasado, y en el asunto de referencia, acordó poner de manifiesto la posible existencia de las siguientes causas de inadmisibilidad: </w:t>
      </w:r>
    </w:p>
    <w:p w:rsidR="00256EE9" w:rsidRDefault="00256EE9" w:rsidP="00256EE9">
      <w:pPr>
        <w:pStyle w:val="TextoNormal"/>
      </w:pPr>
      <w:r>
        <w:t xml:space="preserve">1.ª La del art. 50. 1 a) en relación con el 44.2, ambos de la Ley Orgánica de este Tribunal, en cuanto a la impugnación del Auto de 4 de octubre de 1984. </w:t>
      </w:r>
    </w:p>
    <w:p w:rsidR="00256EE9" w:rsidRDefault="00256EE9" w:rsidP="00256EE9">
      <w:pPr>
        <w:pStyle w:val="TextoNormal"/>
      </w:pPr>
      <w:r>
        <w:t xml:space="preserve">2.ª La del art. 50.1 b) en relación con el 49.1, ambos de la indicada Ley Orgánica, por falta de precisión del amparo que se solicita, de su fundamentación y de la identificación del acto que se impugna. </w:t>
      </w:r>
    </w:p>
    <w:p w:rsidR="00256EE9" w:rsidRDefault="00256EE9" w:rsidP="00256EE9">
      <w:pPr>
        <w:pStyle w:val="TextoNormal"/>
      </w:pPr>
      <w:r>
        <w:t xml:space="preserve">3.ª La del art. 50.2 b) de la misma Ley Orgánica por cuanto la demanda pudiera carecer manifiestamente de contenido que justifique una decisión por parte del Tribunal Constitucional. </w:t>
      </w:r>
    </w:p>
    <w:p w:rsidR="00256EE9" w:rsidRDefault="00256EE9" w:rsidP="00256EE9">
      <w:pPr>
        <w:pStyle w:val="TextoNormal"/>
      </w:pPr>
      <w:r>
        <w:t xml:space="preserve">Por ello, en aplicación de lo dispuesto en el art. 50 de la antes citada Ley Orgánica, se otorga un plazo común de diez dias al solicitante de amparo y al Ministerio Fiscal para alegaciones. </w:t>
      </w:r>
    </w:p>
    <w:p w:rsidR="00256EE9" w:rsidRDefault="00256EE9" w:rsidP="00256EE9">
      <w:pPr>
        <w:pStyle w:val="TextoNormal"/>
      </w:pPr>
      <w:r>
        <w:t>Dentro del mencionado término, el solicitante del amparo ha insistido en sus pretensiones iniciales, alegando que en relación al Auto del 4 de octubre de 1984, en cuanto a que su impugnación pudiera estar fuera de plazo, ha de indicar que no es contra dicha resolución contra la que se ha planteado el presente recurso, ya que la misma ha sido objeto de otro recurso que con el núm. 784/1984 pende ante esta misma Sala y en el que se ha pedi</w:t>
      </w:r>
      <w:r>
        <w:lastRenderedPageBreak/>
        <w:t xml:space="preserve">do la acumulación del presente por ser aquél el más antiguo y versar sobre puntos muy comunes dirigiéndose contra los mismos demandados. </w:t>
      </w:r>
    </w:p>
    <w:p w:rsidR="00256EE9" w:rsidRDefault="00256EE9" w:rsidP="00256EE9">
      <w:pPr>
        <w:pStyle w:val="TextoNormal"/>
      </w:pPr>
      <w:r>
        <w:t xml:space="preserve">Debemos, pues, puntualizar que con el presente recurso se ha ido contra el Auto de 24 de octubre de 1984, notificado el día 29 de noviembre del mismo año, y que toda alusión al anterior Auto es meramente redacción histórica de lo acontecido por su directa e inmediata vinculación. </w:t>
      </w:r>
    </w:p>
    <w:p w:rsidR="00256EE9" w:rsidRDefault="00256EE9" w:rsidP="00256EE9">
      <w:pPr>
        <w:pStyle w:val="TextoNormal"/>
      </w:pPr>
      <w:r>
        <w:t xml:space="preserve">El acto que se recurre es, pues, el Auto del 24 de octubre de 1984, notificado el 29 de noviembre del mismo, y ello al considerar que se vulneran (como se recoge en el punto 3 de los fundamentos de Derecho del recurso y se precisan en el «suplico») los arts. 14, 24.1 y 53.2 de la Constitución, así como el 26 de la Ley de Procedimiento Laboral y el 8.3 del Real Decreto 2756/1979, del 23 de noviembre. </w:t>
      </w:r>
    </w:p>
    <w:p w:rsidR="00256EE9" w:rsidRDefault="00256EE9" w:rsidP="00256EE9">
      <w:pPr>
        <w:pStyle w:val="TextoNormal"/>
      </w:pPr>
      <w:r>
        <w:t xml:space="preserve">Añade además el solicitante del amparo que con fecha 8 de septiembre de 1984, solicitó de la Magistratura de Badajoz se le entregasen y notificasen todas las resoluciones que le eran desconocidas en el procedimiento 6172/1983, lo cual fue acordado por la Magistratura, y entre ellas lo fue la del 24 de enero de 1984 que por providencia le tenía de oficio por desistido y archivaba el asunto. </w:t>
      </w:r>
    </w:p>
    <w:p w:rsidR="00256EE9" w:rsidRDefault="00256EE9" w:rsidP="00256EE9">
      <w:pPr>
        <w:pStyle w:val="TextoNormal"/>
      </w:pPr>
      <w:r>
        <w:t xml:space="preserve">Contra dichas providencias, al serle notificadas, planteó sendos recursos de reposición los días 26 y 27 de septiembre, siendo que el del día 27 fue rechazado por Auto del 24 de octubre que es el que se impugna y que se refiere concretamente a las providencias de admisión de la demanda sin que existiese la certificación del acto de conciliación del IMAC; la providencia del 23 de enero de 1984, notificada por telegrama el mismo día 24 del mes que acuerda la no suspensión del juicio y que le es mandada al demandante a su propio domicilio, al ser conocedor del estado en que se encuentra, enfermo en cama, por el propio Magistrado que así lo reconoce implícitamente y acreditado como le consta por certificado médico que obra en autos; y la providencia del 24 de enero que acuerda el archivo de las actuaciones. </w:t>
      </w:r>
    </w:p>
    <w:p w:rsidR="00256EE9" w:rsidRDefault="00256EE9" w:rsidP="00256EE9">
      <w:pPr>
        <w:pStyle w:val="TextoNormal"/>
      </w:pPr>
      <w:r>
        <w:t xml:space="preserve">Entiende que con ello se ha vulnerado «el tráfico y garantías jurídicas» que incluso de oficio podría ser apreciado. Por ello, el amparo se solicita en relación a la actuación del Magistrado de Badajoz en los autos 6172/1983, concretándose en el Auto de fecha 24 de octubre de 1984 y en las actuaciones de las que éste trae lugar. </w:t>
      </w:r>
    </w:p>
    <w:p w:rsidR="00256EE9" w:rsidRDefault="00256EE9" w:rsidP="00256EE9">
      <w:pPr>
        <w:pStyle w:val="TextoNormal"/>
      </w:pPr>
      <w:r>
        <w:t xml:space="preserve">Con atención a lo anterior y con concreción en lo establecido en el art. 41 de la Ley Orgánica del Tribunal Constitucional, la presente demanda de amparo justifica plenamente la actuación del Tribunal Constitucional al tratarse de la vulneración en concreto de los arts. 14 y 24 de la Constitución, para la protección frente a las violaciones que denunciamos, originadas por actos jurídicos y para restablecer y preservar los derechos y libertades de mi mandante en su relación con la Magistratura de Trabajo de Badajoz y en las actuaciones que en la demanda y en el presente se concretan y tras haber agotado la vía judicial precedente, siendo firme el Auto aludido, ya que la violación a que se alude es directamente imputable al órgano judicial, y se ha invocado tan pronto se ha tenido conocimiento de la violación ante este Tribunal dentro del plazo establecido por la Ley (art. 44). </w:t>
      </w:r>
    </w:p>
    <w:p w:rsidR="00256EE9" w:rsidRDefault="00256EE9" w:rsidP="00256EE9">
      <w:pPr>
        <w:pStyle w:val="TextoNormal"/>
      </w:pPr>
      <w:r>
        <w:t xml:space="preserve">EI Fiscal ha solicitado la inadmisión del recurso señalando que con él impugna el recurrente dos Autos dictados por la Magistratura de Trabajo de Badajoz, uno de 4 de octubre de 1984 y otro de 24 de octubre de 1984; el primero de ellos, al parecer, notificado el 17 de octubre de 1984, por lo que, al haber sido presentado el recurso de amparo el 21 de diciembre de 1984 han transcurrido más de los veinte días que como plazo señala el art. 44.2 de la Ley Orgánica de este Tribunal Constitucional, lo que supone la concurrencia de la causa de inadmisión comprendida en el art. 50.1 a) de la propia Ley Orgánica. </w:t>
      </w:r>
    </w:p>
    <w:p w:rsidR="00256EE9" w:rsidRDefault="00256EE9" w:rsidP="00256EE9">
      <w:pPr>
        <w:pStyle w:val="TextoNormal"/>
      </w:pPr>
      <w:r>
        <w:lastRenderedPageBreak/>
        <w:t>Alega el recurrente que, a consecuencia de una demanda planteada por despido, el Magistrado de Trabajo le tuvo por desistido como actor al no haber comparecido al acto de conciliación y juicio oral, no obstante haber solicitado la suspensión por encontrarse enfermo, lo que constituye una cuestión de mera legalidad dados los términos en que se encuentra redactado el art. 74 de la LPL aplicable al caso («a juicio del Magistrado»); y además, por otra parte no se entiende en qué sentido se ha producido indefensión (art. 24.1 de la C. E.) o lesionado el derecho de igualdad (art. 14 de la C. E.) cuando, como resulta de las resoluciones acompañadas y reconoce el propio recurrente, ha presentado otra demanda por el mismo hecho, cuyos actos de conciliación y juicio tuvieron lugar y cuya Sentencia fue recurrida y pende actualmente ante el Tribunal Supremo.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FD024E">
        <w:rPr>
          <w:rStyle w:val="NumeroAFNegritaCaracter"/>
        </w:rPr>
        <w:t>Único.</w:t>
      </w:r>
      <w:r w:rsidRPr="00256EE9">
        <w:rPr>
          <w:rStyle w:val="TextoNormalNegritaCaracter"/>
        </w:rPr>
        <w:t xml:space="preserve"> </w:t>
      </w:r>
      <w:r>
        <w:t>Es manifiesto, pues, que en esta resolución judicial que se impugna no se advierte violación alguna de los derechos reconocidos en los arts, 14 y 24 de la Constitución, que se citan como infringidos, por lo que concurre la causa de inadmisión del art.  50,2 b) de la Ley Orgánica del Tribunal Constitucional.</w:t>
      </w:r>
    </w:p>
    <w:p w:rsidR="00256EE9" w:rsidRDefault="00256EE9" w:rsidP="00256EE9">
      <w:pPr>
        <w:pStyle w:val="TextoNormal"/>
      </w:pPr>
      <w:r>
        <w:t>La inadmisión por este motivo nos exime del examen de los demás.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planteado por don Antonio Muñoz López.</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26" w:name="AUTO_1985_165"/>
      <w:r>
        <w:lastRenderedPageBreak/>
        <w:t>AUTO 165/1985, de 6 de marzo de 1985</w:t>
      </w:r>
    </w:p>
    <w:bookmarkEnd w:id="226"/>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ECLI:ES:TC:1985:165A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901/1984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Juan Antonio San Miguel y Orueta, Procurador de los Tribunales, interpone en nombre y representación de la empresa «Antracitas Gaiztarro, S. A.» recurso de amparo contra la Sentencia de 28 de noviembre de 1984 del Tribunal Central de Trabajo.</w:t>
      </w:r>
    </w:p>
    <w:p w:rsidR="00256EE9" w:rsidRDefault="00256EE9" w:rsidP="00256EE9">
      <w:pPr>
        <w:pStyle w:val="TextoNormal"/>
      </w:pPr>
    </w:p>
    <w:p w:rsidR="00256EE9" w:rsidRDefault="00256EE9" w:rsidP="00256EE9">
      <w:pPr>
        <w:pStyle w:val="TextoNormal"/>
      </w:pPr>
      <w:r w:rsidRPr="00256EE9">
        <w:rPr>
          <w:rStyle w:val="NumeroAFNegritaCaracter"/>
        </w:rPr>
        <w:t>2</w:t>
      </w:r>
      <w:r>
        <w:t>. La demanda la basan en los siguientes hechos: a) don Francisco Gavela Baraja y otros, en su condición de miembros del Comité de Empresa de «Antracitas Gaiztarro, S. A.» presentaron ante la Dirección Provincial de Trabajo y Seguridad Social de León escrito de formalización de conflicto colectivo a fin de que se declarase la ilegalidad del cierre patronal decretado por la Empresa los días 25 y 26 de mayo y 1 y 2 de junio de 1984, con todas las consecuencias inherentes a dicha declaración; b) en el acto de conciliación ante el IMAC, la Empresa se opuso a la pretensión alegando, entre otros extremos, que la decisión de clausurar temporalmente el centro de trabajo quedaba justificada por el carácter abusivo de la huelga llevada a cabo por los trabajadores los dias 18 y 26 de abril y 2, 3, 9, 10, 16, 17, 23, 24, 30 y 31 de mayo de 1984 con objeto de presionar durante el proceso de negociación del convenio colectivo; c) concluidos, sin avenencia, los preceptivos actos de conciliación y remitida por la Autoridad laboral a la jurisdicción de trabajo el escrito de promoción del conflicto colectivo, la Magistratura de Trabajo núm. 3 de las de León, en fecha que no consta, dictó Sentencia desestimatoria de la demanda de conflicto, y d) recurrida en suplicación la anterior resolución por la parte demandante, el Tribunal Central de Trabajo pronunció Sentencia el 5 de noviembre de 1984 por la que, estimando el recurso, revocaba la decisión judicial de instancia y, acogiendo la pretensión deducida, declaraba la ilegalidad del cierre patronal decretado por «Antracitas Gaiztarro, S. A.» durante los mencionados días.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escrito de demanda acusa a la Sentencia impugnada de la simultánea violación por aplicación indebida del art. 28.2 de la C. E. y por «no aplicación» del art. 37.2 de la C. E. Arguye la recurrente que el derecho de huelga que la C. E. atribuye a los trabajadores no es, conforme señaló la Sentencia de este Tribunal Constitucional (T. C.) de 8 de abril de 1981, un derecho ilimitado; antes al contrario, ha de conciliarse con otros derechos «fundamentales o cívicos» de la parte empresarial «expresamente protegidos a nivel constitucional» entre los que ha de incluirse el proclamado en el art. 37.2 de la C. E. El carácter </w:t>
      </w:r>
      <w:r>
        <w:lastRenderedPageBreak/>
        <w:t xml:space="preserve">abusivo de la huelga desencadenada por los trabajadores al servicio de la recurrente -probado y aceptado por el juzgador a quo- ataca el derecho de libertad de contratación colectiva por la intencionada búsqueda de un efecto multiplicador en sus efectos que doblegue la voluntad de la Entidad solicitante de amparo, dejando a ésta desprovista del derecho al ejercicio del que le reconoce el art. 37.2» de la C. E. </w:t>
      </w:r>
    </w:p>
    <w:p w:rsidR="00256EE9" w:rsidRDefault="00256EE9" w:rsidP="00256EE9">
      <w:pPr>
        <w:pStyle w:val="TextoNormal"/>
      </w:pPr>
      <w:r>
        <w:t>En el «suplico», se solicita de este T. C. que declare la nulidad de la Sentencia impugnada con los restantes pronunciamientos que en derecho procedan.</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30 de enero de 1985, la Sección acordó tener por recibido el escrito de demanda de amparo, con los documentos adjuntos, y por personado y parte, en nombre y representación de la entidad mercantil «Antracitas Gaiztarro, S. A.», al Procurador don Juan Antonio García San Miguel y Orueta, haciéndole saber la posible existencia de los siguientes motivos de inadmisión de carácter insubsanable: 1) carecer la demanda manifiestamente de contenido que justifique una decisión por parte del T. C. [art. 50.2 b) de la LOTC], y 2) en cuanto a la presunta violación del art. 37.2 de la C. E., deducirse la demanda respecto de derechos o libertades no susceptibles de amparo constitucional [art. 50.2 a) de la LOTC]. En razón de ello, la Sección acordó conceder un plazo común de diez días al Ministerio Fiscal y a la Entidad recurrente a fin de que, dentro del mismo, formularen las alegaciones que estimaren pertinentes.</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su escrito el Ministerio Fiscal comienza señalando la imposibilidad de equiparar la huelga, reconocida como derecho fundamental en el art. 28.2 de la C. E. con el cierre patronal, simple derecho cívico establecido en el art. 37 y que no cabe ejercer para vaciar de contenido aquel derecho, pues nuestra C. E. no ha recogido el principio de igualdad de armas. En la resolución impugnada, se razona con amplitud la ilicitud del cierre, así como el carácter no abusivo de la huelga que se había declarado en el sector. </w:t>
      </w:r>
    </w:p>
    <w:p w:rsidR="00256EE9" w:rsidRDefault="00256EE9" w:rsidP="00256EE9">
      <w:pPr>
        <w:pStyle w:val="TextoNormal"/>
      </w:pPr>
      <w:r>
        <w:t xml:space="preserve">Para el Ministerio Fiscal, en el presente caso no se plantea un verdadero recurso de amparo, limitándose la demandante a denunciar lo que se estima un ejercicio abusivo del derecho de huelga de los trabajadores, sin que, desde luego, el amparo sea cauce apropiado para la protección del derecho al ejercicio de medidas de conflicto colectivo. </w:t>
      </w:r>
    </w:p>
    <w:p w:rsidR="00256EE9" w:rsidRDefault="00256EE9" w:rsidP="00256EE9">
      <w:pPr>
        <w:pStyle w:val="TextoNormal"/>
      </w:pPr>
      <w:r>
        <w:t>Por todo ello, el Ministerio Fiscal interesa de este T. C. dicte Auto acordando la inadmisión de la demanda por concurrir las causas apreciadas en nuestra providencia ya citada.</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En su escrito de alegaciones, la recurrente reitera lo esencial de su alegato jurídico, manifestando que la pretensión es el restablecimiento del derecho a adoptar medidas «protegidas por la Constitución», vulnerado por la Sentencia recurrida al declarar la ilegalidad del cierre patronal decretado y consagrar por tanto, «el ejercicio abusivo del derecho a la huelga». </w:t>
      </w:r>
    </w:p>
    <w:p w:rsidR="00256EE9" w:rsidRDefault="00256EE9" w:rsidP="00256EE9">
      <w:pPr>
        <w:pStyle w:val="TextoNormal"/>
      </w:pPr>
      <w:r>
        <w:t xml:space="preserve">La colisión entre ambos derechos determina la salida del primero de la órbita de los derechos cívicos, haciéndose merecedor de la protección por la vía del amparo. </w:t>
      </w:r>
    </w:p>
    <w:p w:rsidR="00256EE9" w:rsidRDefault="00256EE9" w:rsidP="00256EE9">
      <w:pPr>
        <w:pStyle w:val="TextoNormal"/>
      </w:pPr>
      <w:r>
        <w:t>En razón de lo expuesto, la demandante solicita de este T. C. dicte resolución admitiendo a trámite la demanda formulada.</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Pese al intento de integrar el derecho «de libertad en la contratación colectiva» en el enunciado del art. 37.2 de la C. E., la línea argumental utilizada por la Entidad recurrente puede condensarse del modo siguiente: la huelga desencadenada por los trabajadores tuvo un carácter abusivo, de manera que, al no entenderlo así, la Sentencia impugnada vulneró simultáneamente los arts. 28.2 y 37.2 de la C. E.  El primero, por reconocerse que la huelga había sido ejercitada con arreglo a criterios de legalidad constitucional y el segundo, por privarse a la Empresa del ejercicio de su legitimo derecho de cierre patronal.</w:t>
      </w:r>
    </w:p>
    <w:p w:rsidR="00256EE9" w:rsidRDefault="00256EE9" w:rsidP="00256EE9">
      <w:pPr>
        <w:pStyle w:val="TextoNormal"/>
      </w:pPr>
    </w:p>
    <w:p w:rsidR="00256EE9" w:rsidRDefault="00256EE9" w:rsidP="00256EE9">
      <w:pPr>
        <w:pStyle w:val="TextoNormal"/>
      </w:pPr>
      <w:r w:rsidRPr="00256EE9">
        <w:rPr>
          <w:rStyle w:val="NumeroAFNegritaCaracter"/>
        </w:rPr>
        <w:t>2</w:t>
      </w:r>
      <w:r>
        <w:t>. El conocimiento y resolución por parte de este T. C.  de los recursos de amparo promovidos contra actos u omisiones imputables de manera inmediata y directa a las decisiones judiciales tiene como exclusiva finalidad concretar si tales decisiones han vulnerado derechos y libertades fundamentales y, en su caso, adoptar todas aquellas medidas pertinentes para restablecer a sus titulares en el ejercicio del derecho lesionado.  Cualquier otra consideración sobre la actuación de los órganos jurisdiccionales ajena o independientemente a esa finalidad protectora queda fuera de la competencia de este T. C.</w:t>
      </w:r>
    </w:p>
    <w:p w:rsidR="00256EE9" w:rsidRDefault="00256EE9" w:rsidP="00256EE9">
      <w:pPr>
        <w:pStyle w:val="TextoNormal"/>
      </w:pPr>
      <w:r>
        <w:t>El art. 28.2 de la C. E.  reconoce en favor de los trabajadores el derecho a desligarse temporalmente de sus obligaciones contractuales para la defensa de sus legítimos intereses, derecho que, en razón de su colocación dentro de la C. E. goza de la tutela reforzada que determinados derechos y libertades constitucionales tienen reconocido mediante el recurso de amparo.</w:t>
      </w:r>
    </w:p>
    <w:p w:rsidR="00256EE9" w:rsidRDefault="00256EE9" w:rsidP="00256EE9">
      <w:pPr>
        <w:pStyle w:val="TextoNormal"/>
      </w:pPr>
      <w:r>
        <w:t>Pero la circunstancia de haber sido la Entidad hoy recurrente, en su condición de empresario, el sujeto pasivo de las acciones emprendidas por los trabajadores a su servicio, y que tenían como objetivo presionar en el proceso de negociación colectiva en curso, no le otorga título suficiente para invocar el amparo elaborando una argumentación que adolece de una contradicción insalvable desde la perspectiva del sistema de protección de los derechos constitucionales.  Se acusa a la resolución combatida de conculcar el art. 28 de la C. E., pero se solicita de este T. C.  la adopción de medidas cuya finalidad no es ni la preservación ni el restablecimiento de su ejercicio legítimo, sino la protección de otro derecho privado de la garantía del amparo cual es el recogido en el art.  37.2 de la C. E.</w:t>
      </w:r>
    </w:p>
    <w:p w:rsidR="00256EE9" w:rsidRDefault="00256EE9" w:rsidP="00256EE9">
      <w:pPr>
        <w:pStyle w:val="TextoNormal"/>
      </w:pPr>
    </w:p>
    <w:p w:rsidR="00256EE9" w:rsidRDefault="00256EE9" w:rsidP="00256EE9">
      <w:pPr>
        <w:pStyle w:val="TextoNormal"/>
      </w:pPr>
      <w:r w:rsidRPr="00256EE9">
        <w:rPr>
          <w:rStyle w:val="NumeroAFNegritaCaracter"/>
        </w:rPr>
        <w:t>3</w:t>
      </w:r>
      <w:r>
        <w:t>. El razonamiento de la recurrente se asienta sobre una errónea noción de la función, extensión y límites del recurso de amparo constitucional, al que lisa y llanamente se le quiere configurar como nueva instancia dirigida a la revisión del derecho aplicable al caso litigioso.  La terminología utilizada, propia de los recursos impugnatorios en los que se denuncia la infracción de la legalidad, por violación o aplicación indebida, así lo corrobora.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anterior, la Sección acuerda declarar inadmisible el recurso de amparo promovido por la empresa «Antracitas Gaiztarro, S. A.», y archivar las actuaciones.</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lastRenderedPageBreak/>
        <w:br w:type="page"/>
      </w:r>
    </w:p>
    <w:p w:rsidR="00256EE9" w:rsidRDefault="00256EE9" w:rsidP="00256EE9">
      <w:pPr>
        <w:pStyle w:val="TtuloResolucin"/>
      </w:pPr>
      <w:bookmarkStart w:id="227" w:name="AUTO_1985_166"/>
      <w:r>
        <w:lastRenderedPageBreak/>
        <w:t>AUTO 166/1985, de 6 de marzo de 1985</w:t>
      </w:r>
    </w:p>
    <w:bookmarkEnd w:id="227"/>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ECLI:ES:TC:1985:166A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902/1984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Mediante escrito que fue presentado en el Registro General de este Tribunal Constitucional el día 22 de diciembre de 1984, el Procurador de los Tribunales don Rafael Rodríguez Montaut, en nombre y representación que acreditaba de don Carlos Blanco Yenes, interponía recurso de amparo constitucional contra la Sentencia dictada por el Juzgado de Instrucción núm. 5 de Sevilla, condenatoria por un delito de lesiones confirmada por la Audiencia Provincial de dicha capital.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siguientes hechos: </w:t>
      </w:r>
    </w:p>
    <w:p w:rsidR="00256EE9" w:rsidRDefault="00256EE9" w:rsidP="00256EE9">
      <w:pPr>
        <w:pStyle w:val="TextoNormal"/>
      </w:pPr>
      <w:r>
        <w:t xml:space="preserve">a) El 21 de junio de 1980, doña Alejandra María Marjaliza Gallegos de Sarriá, compareció en la Casa de Socorro de Nervión, en Sevilla, donde se certificó que sufría «erosiones y contusiones varias a nivel de cara miembro superior izquierdo y dedo meñique izquierdo. Pronóstico leve, salvo complicaciones», imputando las mismas al señor Blanco Yenes. A consecuencia de esta denuncia se tramitaron actuaciones criminales ante el Juzgado de Instrucción núm. 5 de Sevilla, que se transformaron en las preparatorias núm. 17/1982. </w:t>
      </w:r>
    </w:p>
    <w:p w:rsidR="00256EE9" w:rsidRDefault="00256EE9" w:rsidP="00256EE9">
      <w:pPr>
        <w:pStyle w:val="TextoNormal"/>
      </w:pPr>
      <w:r>
        <w:t xml:space="preserve">Por la Seguridad Social se emitió parte de baja y alta, el 15 de julio y el 2 de agosto de 1980, respectivamente, informando el Médico Forense, el 16 de enero de 1981, que la lesionada estaba curada, habiendo invertido en su curación cuarenta y dos días, estando todos ellos impedida para sus ocupaciones habituales. En el referido parte de baja se habla de fractura del dedo meñique en lugar de erosiones pronosticadas de leves, lo que motivó que el propio Ministerio Fiscal interesara la aclaración de tal extremo. </w:t>
      </w:r>
    </w:p>
    <w:p w:rsidR="00256EE9" w:rsidRDefault="00256EE9" w:rsidP="00256EE9">
      <w:pPr>
        <w:pStyle w:val="TextoNormal"/>
      </w:pPr>
      <w:r>
        <w:t xml:space="preserve">Asimismo, al formular la calificación provisional, el demandante solicitó una prueba documental y pericial que fue admitida, fijándose, por providencia de 5 de marzo de 1983, fecha para la pericial, en la que los peritos traumatólogos designados manifestaron que no podían efectuar un informe sin el historial clínico de la lesionada y radiografía que permitiera diagnosticar la fractura del hueso. Para obtener los mismos se ofició al médico de la Seguridad Social que firmó la baja laboral de aquélla, quien, en carta fechada el 27 de marzo de 1984, dijo carecer de antecedentes sobre dicha lesionada, dado el tiempo transcurrido. </w:t>
      </w:r>
    </w:p>
    <w:p w:rsidR="00256EE9" w:rsidRDefault="00256EE9" w:rsidP="00256EE9">
      <w:pPr>
        <w:pStyle w:val="TextoNormal"/>
      </w:pPr>
      <w:r>
        <w:lastRenderedPageBreak/>
        <w:t xml:space="preserve">Ante la imposibilidad de esclarecer la realidad de las lesiones el recurrente reiteró, en escrito de 10 de mayo de 1984, la prueba que los propios peritos habían considerado necesaria. </w:t>
      </w:r>
    </w:p>
    <w:p w:rsidR="00256EE9" w:rsidRDefault="00256EE9" w:rsidP="00256EE9">
      <w:pPr>
        <w:pStyle w:val="TextoNormal"/>
      </w:pPr>
      <w:r>
        <w:t xml:space="preserve">b) Celebrada la vista, con nueva reiteración por parte del demandante de la prueba interesada y anteriormente admitida, recayó Sentencia, el 21 de mayo de 1984, por el Juzgado de Instrucción núm. 5 de Sevilla, en la que se condenaba a don Carlos Blanco Yenes, como autor de un delito de lesiones del art. 420.4 del Código Penal, a las penas de dos meses de arresto mayor, accesorias y multa de 50.000 pesetas, con dieciséis días de arresto sustitutorio caso de impago y costas, y a indemnizar a la víctima en la suma de 84.000 pesetas. . </w:t>
      </w:r>
    </w:p>
    <w:p w:rsidR="00256EE9" w:rsidRDefault="00256EE9" w:rsidP="00256EE9">
      <w:pPr>
        <w:pStyle w:val="TextoNormal"/>
      </w:pPr>
      <w:r>
        <w:t>c) Contra la anterior Sentencia se interpuso recurso de apelación que fue desestimado por la Audiencia Provincial de Sevilla, en Resolución de 21 de noviembre de 1984, considerando que por el Juzgado de Instancia no se había infringido norma procesal alguna, ni concretamente lo establecido en la regla 6.ª del art. 791 de la L. E. Cr., cuando por el Juez se ha agotado la posibilidad de la práctica de las repetidas pruebas, y que, examinada la prueba practicada, se advierte que el relato histórico de los hechos enjuiciados se ajusta a la resultancia de aquélla, siendo éstos constitutivos del delito por el que se condenó al recurrente.</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solicitante de amparo entiende que se ha visto privado de la prueba que hubiera aclarado la entidad de las lesiones sufridas por la acusadora, lo que le ha producido indefensión, e, igualmente, invoca el art. 24.2 de la C. E. en cuanto a la presunción de inocencia ya que habiendo unas lesiones calificadas inicialmente de leves, se precisaría acreditar cumplidamente su «complicación». </w:t>
      </w:r>
    </w:p>
    <w:p w:rsidR="00256EE9" w:rsidRDefault="00256EE9" w:rsidP="00256EE9">
      <w:pPr>
        <w:pStyle w:val="TextoNormal"/>
      </w:pPr>
      <w:r>
        <w:t xml:space="preserve">Por todo ello, suplica a este Tribunal que «tenga por formulada demanda» promoviendo recurso de amparo contra resolución que debió dictarse por el Juzgado de Instrucción núm. 5 de los de Sevilla como contestación a nuestro escrito de fecha 10 de mayo pasado solicitando prueba y suspensión de la vista para su «práctica» así como contra las Sentencias dictadas por el referido Juzgado y por la Audiencia Provincial, y que dicte Sentencia declarando la nulidad de las actuaciones seguidas a partir de la presentación del referido escrito y expresamente de las Sentencias recaídas, acordando la devolución de las actuaciones y ordenando la práctica de la prueba pericial, por los médicos traumatólogos que, en su día, se designaron, previa aportación del historial clínico y obtención de las radiografías necesarias para el dictamen. </w:t>
      </w:r>
    </w:p>
    <w:p w:rsidR="00256EE9" w:rsidRDefault="00256EE9" w:rsidP="00256EE9">
      <w:pPr>
        <w:pStyle w:val="TextoNormal"/>
      </w:pPr>
      <w:r>
        <w:t xml:space="preserve">Por otra parte, solicita el demandante, el amparo de lo preceptuado en el art. 85.2 en relación con el 50.1 b), ambos de la LOTC, se le conceda un plazo para la obtención de los documentos que relaciona al haberle sido imposible conseguir las certificaciones de las actuaciones que acompaña en simples copias y fotocopias. </w:t>
      </w:r>
    </w:p>
    <w:p w:rsidR="00256EE9" w:rsidRDefault="00256EE9" w:rsidP="00256EE9">
      <w:pPr>
        <w:pStyle w:val="TextoNormal"/>
      </w:pPr>
      <w:r>
        <w:t xml:space="preserve">Finalmente, y en atención a los perjuicios irreparables que le sobrevendrían de la ejecución de la Sentencia, pues es Capellán Castrense con empleo de Comandante, próximo al ascenso, suplica se acuerde su suspensión. </w:t>
      </w:r>
    </w:p>
    <w:p w:rsidR="00256EE9" w:rsidRDefault="00256EE9" w:rsidP="00256EE9">
      <w:pPr>
        <w:pStyle w:val="TextoNormal"/>
      </w:pPr>
      <w:r>
        <w:t>Posteriormente, con fecha 30 de enero último, el Procurador del recurrente presentó escrito en el Registro General de este Tribunal Constitucional acompañando, conforme anunciaba en el primer otrosí de su escrito de interposición del recurso, testimonio literal, por fotocopia, de las actuaciones seguidas ante el Juzgado de Instrucción núm. 5 de Sevilla impugnadas en amparo.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xml:space="preserve">. La Sección Tercera de este Tribunal, en providencia de fecha 30 de enero pasado, acordó poner de manifiesto la posible existencia de las siguientes causas de inadmisibilidad: 1.ª, la del art. 50.1 b) en relación con el 44.1 c), ambos de la Ley Orgánica de este Tribunal, por no aparecer justificado que se haya invocado el derecho constitucional vulnerado, en el previo proceso judicial; 2.ª, la del art. 50.2 b) de la misma Ley Orgánica, por cuanto la demanda pudiera carecer manifiestamente de contenido que justifique una decisión por parte del Tribunal Constitucional. Y concedió un plazo común de diez días al solicitante de amparo y al Ministerio Fiscal para alegaciones. </w:t>
      </w:r>
    </w:p>
    <w:p w:rsidR="00256EE9" w:rsidRDefault="00256EE9" w:rsidP="00256EE9">
      <w:pPr>
        <w:pStyle w:val="TextoNormal"/>
      </w:pPr>
      <w:r>
        <w:t xml:space="preserve">El solicitante de amparo, en escrito presentado con fecha 21 de febrero pasado, expone que toda la prueba pericial, propuesta, admitida en principio y posteriormente olvidada, es imprescindible para conocer la realidad de los hechos, y el haberse privado de la misma al hoy solicitante de amparo, supone manifiesta indefensión que constituye su derecho constitucional. </w:t>
      </w:r>
    </w:p>
    <w:p w:rsidR="00256EE9" w:rsidRDefault="00256EE9" w:rsidP="00256EE9">
      <w:pPr>
        <w:pStyle w:val="TextoNormal"/>
      </w:pPr>
      <w:r>
        <w:t xml:space="preserve">El Ministerio Fiscal, en su escrito de alegaciones, hace constar que todas las alegaciones del recurrente se centran en la insistencia acerca de que se practique una prueba pericial médica para la cual se precisa que se aporte al Juzgado el historial clínico y unas radiografías de la lesionada doña Alejandra María Marjaliza Gallegos que demuestren la existencia o no de fractura producida el día de los hechos en su dedo meñique izquierdo, cuando resulta que el Juzgado de Instrucción núm. 5 de Sevilla, que instruyó el procedimiento, accedió ya con fecha 19 de enero de 1984 a la práctica de la prueba pericial propuesta y el 5 de marzo de 1984 acordó la suspensión del juicio oral con el mismo fin, prueba que no pudo practicarse por no aparecer el historial clínico en poder del médico que atendió a la lesionada, según resulta del informe que emite el doctor don Antonio Siffo con fecha 27 de marzo de 1984, lo que indica que cualquier insistencia en ese sentido hubiera sido de todo punto inoperante. </w:t>
      </w:r>
    </w:p>
    <w:p w:rsidR="00256EE9" w:rsidRDefault="00256EE9" w:rsidP="00256EE9">
      <w:pPr>
        <w:pStyle w:val="TextoNormal"/>
      </w:pPr>
      <w:r>
        <w:t xml:space="preserve">De ahí que fuera razonable jurídicamente el que el Juzgado señalara de nuevo día para el juicio oral y dictara la Sentencia de fecha 21 de mayo de 1984, condenando en base a la prueba existente en las diligencias preparatorias compuesta por un parte de lesiones, de 21 de junio de 1980, un parte de baja y de alta (15 de julio de 1980 al 2 de agosto de 1980), un parte médico de sanidad (16 de enero de 1980), y un informe del médico don Antonio Siffo, de 27 de marzo de 1984, además de la inspección ocular y el examen minucioso del conjunto de la prueba, como dice el juzgador en su Sentencia, lo que constituye prueba suficiente y en este caso única posible para obtener la convicción que establece el art. 741 de la Ley de Enjuiciamiento Criminal. </w:t>
      </w:r>
    </w:p>
    <w:p w:rsidR="00256EE9" w:rsidRDefault="00256EE9" w:rsidP="00256EE9">
      <w:pPr>
        <w:pStyle w:val="TextoNormal"/>
      </w:pPr>
      <w:r>
        <w:t xml:space="preserve">Por todo lo dicho, estima el Ministerio Fiscal que, de una parte, los Tribunales otorgaron la tutela efectiva ya que dieron acceso a la jurisdicción y resolvieron en Derecho (Auto de 25 de enero de 1984), y no conculcaron el art. 24.1 de la Constitución, pues no se produjo indefensión; y de otro lado, no se quebrantó el principio de presunción de inocencia consagrado en el art. 24.2 de la misma Constitución, ya que existió la mínima actividad probatoria necesaria para que los Jueces y Tribunales puedan enjuiciar en conciencia los hechos, según el art. 741 de la Ley de Enjuiciamiento Criminal (Auto de 2 de mayo de 1982 entre otros). </w:t>
      </w:r>
    </w:p>
    <w:p w:rsidR="00256EE9" w:rsidRDefault="00256EE9" w:rsidP="00256EE9">
      <w:pPr>
        <w:pStyle w:val="TextoNormal"/>
      </w:pPr>
      <w:r>
        <w:t xml:space="preserve">En consecuencia, al no haberse producido por las resoluciones judiciales impugnadas violación de los derechos que protege el recurso de amparo constitucional, procede la inadmisión del mismo por concurrir la causa establecida en el art. 50.2 b) de la LOTC. </w:t>
      </w:r>
    </w:p>
    <w:p w:rsidR="00256EE9" w:rsidRDefault="00256EE9" w:rsidP="00256EE9">
      <w:pPr>
        <w:pStyle w:val="TextoNormal"/>
      </w:pPr>
      <w:r>
        <w:t xml:space="preserve">También concurriría la causa de inadmisión del art. 50.1 b) en relación con el 44.1 c) de la misma Ley Orgánica, en cuanto se refiere a la alegada presunción de inocencia, que no </w:t>
      </w:r>
      <w:r>
        <w:lastRenderedPageBreak/>
        <w:t>se invocó en el recurso de apelación interpuesto en su día contra la Sentencia dictada por el Juzgado de Instrucción núm. 5 de Sevilla, como debió hacerse.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Después de las alegaciones del art. 50 de la LOTC, el recurso ha quedado limitado a la acusación de que se ha violado el derecho del recurrente a la «utilización de los medios de prueba pertinentes para su defensa», pues sólo respecto de este derecho sostiene que cumplió lo que previene el artículo 44.1 c) de la indicada Ley. La otra invocación -la presunción de inocencia- además de configurarse como una discrepancia respecto a la valoración de la prueba, y no como una acusación de que se ha vulnerado su derecho a la presunción de inocencia, que es bastante para negar contenido constitucional a tal alegación y, por esto, subsumible en el art. 50.2 b), es lo cierto que es una afirmación que se hace por primera vez en la demanda de amparo, por lo que falta respecto de ella el cumplimiento de lo que dispone el art. 44.1 c). Podrá admitirse que al solicitar la práctica de la prueba pericial y construir sobre este alegato el primero de los motivos del recurso de apelación, aunque sin invocación constitucional al respecto, se cumplió en este particular el aludido requisito del art.  44.1 c), si entendemos que desde el momento que se configura una pretensión con base en el derecho a utilizar los medios de prueba pertinentes para la defensa, aunque no se invoque textualmente el art. 24.2 de la Constitución, el presupuesto procesal ordenado a que el amparo tenga un carácter subsidiario queda cumplido.</w:t>
      </w:r>
    </w:p>
    <w:p w:rsidR="00256EE9" w:rsidRDefault="00256EE9" w:rsidP="00256EE9">
      <w:pPr>
        <w:pStyle w:val="TextoNormal"/>
      </w:pPr>
    </w:p>
    <w:p w:rsidR="00256EE9" w:rsidRDefault="00256EE9" w:rsidP="00256EE9">
      <w:pPr>
        <w:pStyle w:val="TextoNormal"/>
      </w:pPr>
      <w:r w:rsidRPr="00256EE9">
        <w:rPr>
          <w:rStyle w:val="NumeroAFNegritaCaracter"/>
        </w:rPr>
        <w:t>2</w:t>
      </w:r>
      <w:r>
        <w:t>. No puede decirse, en verdad, que al actor le haya sido negada una prueba en justificación de las alegaciones propias o dirigida a desvirtuar alguno de los aspectos fácticos de la acusación -la duración de las lesiones-.  Lo ocurrido es que propuesta la prueba en la primera instancia, se admitió y se practicó, aunque sin ningún resultado eficaz por falta de elementos precisos para la emisión del dictamen pericial, por no contarse con estos elementos requeridos por los Peritos.  La imposibilidad de realización de esta prueba en los términos queridos por el acusado no es equivalente a la denegación.  Con los otros elementos probatorios -nada escasos, por cierto- tuvo el juzgador suficiente para sustentar una Sentencia condenatoria, en una precisa y cuidada valoración en las dos instancias, por lo que cuanto se aduce respecto a la vulneración del art.  24.2 de la Constitución carece de consistencia y determina la inadmisibilidad del recurso a tenor de lo prevenido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de amparo interpuesto por don Carlos Blanco Yenes, quedando, por tanto, sin razón de ser la petición de suspensión de la ejecución de la Sentencia condenatoria.</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28" w:name="AUTO_1985_167"/>
      <w:r>
        <w:lastRenderedPageBreak/>
        <w:t>AUTO 167/1985, de 6 de marzo de 1985</w:t>
      </w:r>
    </w:p>
    <w:bookmarkEnd w:id="22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ECLI:ES:TC:1985:167A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904/1984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Luciano Rosch Nadal, Procurador de los Tribunales, interpone, en nombre y representación de la empresa «Antracitas de Fabero, S. A.», recurso de amparo contra la Sentencia de 31 de octubre de 1984 del Tribunal Central de Trabajo.</w:t>
      </w:r>
    </w:p>
    <w:p w:rsidR="00256EE9" w:rsidRDefault="00256EE9" w:rsidP="00256EE9">
      <w:pPr>
        <w:pStyle w:val="TextoNormal"/>
      </w:pPr>
    </w:p>
    <w:p w:rsidR="00256EE9" w:rsidRDefault="00256EE9" w:rsidP="00256EE9">
      <w:pPr>
        <w:pStyle w:val="TextoNormal"/>
      </w:pPr>
      <w:r w:rsidRPr="00256EE9">
        <w:rPr>
          <w:rStyle w:val="NumeroAFNegritaCaracter"/>
        </w:rPr>
        <w:t>2</w:t>
      </w:r>
      <w:r>
        <w:t>. La demanda se basa en los siguientes hechos: a) Don Luis Gilmartín Granizo y otros, en su condición de miembros del Comité de Empresa de «Antracitas de Fabero, S. A.», presentaron ante la Dirección Provincial de Trabajo y Seguridad Social de León escrito de formalización de conflicto colectivo a fin de que se declarase la ilegalidad del cierre patronal decretado por la Empresa los días 23, 24, 30 y 31 de marzo de 1984, con todas las consecuencias inherentes a dicha declaración, incluida la del abono de los salarios dejados de percibir. La decisión de la hoy recurrente de clausurar los centros de trabajo durante tales fechas vino motivada por la huelga declarada por los trabajadores a su servicio a fin de presionar en el proceso de negociación colectiva entonces en curso. b) Concluidos, sin avenencia, los preceptivos actos de conciliación remitida por la Autoridad laboral a la jurisdicción de trabajo el escrito de promoción del conflicto colectivo, la Magistratura de Trabajo núm. 3 de las de León, en fecha que no consta, dictó resolución desestimatoria de la demanda de conflicto. c) Recurrida en suplicación la anterior resolución por la parte demandante, el Tribunal Central de Trabajo pronunció Sentencia el 31 de octubre de 1984 por la que, estimando el recurso, revocaba la decisión judicial de instancia y, acogiendo la pretensión deducida, declaraba el derecho de los trabajadores al servicio de «Antracitas de Fabero, S. A.» a percibir los salarios reclamados durante los días de cierre patronal.</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escrito de demanda acusa a la Sentencia impugnada de la simultánea violación por aplicación indebida del art. 28.2 de la C. E. y por «no aplicación» del art. 37.2 de la C. E. </w:t>
      </w:r>
    </w:p>
    <w:p w:rsidR="00256EE9" w:rsidRDefault="00256EE9" w:rsidP="00256EE9">
      <w:pPr>
        <w:pStyle w:val="TextoNormal"/>
      </w:pPr>
      <w:r>
        <w:t>Arguye la recurrente que el derecho de huelga que la C. E. atribuye a los trabajadores no es, conforme señaló la Sentencia de este Tribunal Constitucional (T. C.) de 8 de abril de 1981, un derecho ilimitado; antes al contrario, ha de conciliarse con otros derechos «fundamentales o cívicos» de la parte empresarial «expresamente protegidos a nivel constitucional», entre los que ha de incluirse el proclamado en el art. 37 de la C. E. sobre dere</w:t>
      </w:r>
      <w:r>
        <w:lastRenderedPageBreak/>
        <w:t xml:space="preserve">cho a la negociación colectiva. A juicio de la recurrente, ni los empresarios ni los trabajadores están legitimados para quebrantar el derecho a la negociación colectiva, de suerte que «si alguna de las partes de la contratación utiliza alguna presión o coacción, aparece, de una parte, violado el art. 37.2 de la C. E. y, de otra, abusivamente ejercido el derecho de huelga del art. 28.2 de la C. E.». </w:t>
      </w:r>
    </w:p>
    <w:p w:rsidR="00256EE9" w:rsidRDefault="00256EE9" w:rsidP="00256EE9">
      <w:pPr>
        <w:pStyle w:val="TextoNormal"/>
      </w:pPr>
      <w:r>
        <w:t xml:space="preserve">El carácter abusivo de la huelga desencadenada por los trabajadores al servicio de la recurrente -probado y aceptado por el juzgador a quo- «ataca el derecho de libertad de contratación colectiva, resultando entonces desprovisto el empresario del derecho que le reconoce el art. 37 de la Constitución». </w:t>
      </w:r>
    </w:p>
    <w:p w:rsidR="00256EE9" w:rsidRDefault="00256EE9" w:rsidP="00256EE9">
      <w:pPr>
        <w:pStyle w:val="TextoNormal"/>
      </w:pPr>
      <w:r>
        <w:t>En el «suplico», se solicita de este T. C. que declare la nulidad de la Sentencia impugnada con los restantes pronunciamientos que en derecho procedan.</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30 de enero de 1985, la Sección acordó tener por recibido el escrito de demanda de amparo, con los documentos adjuntos, y por personado y parte, en nombre y representación de la entidad mercantil «Antracitas de Fabero, S. A.», al Procurador don Luciano Rosch Nadal, haciéndole saber la posible existencia de los siguientes motivos de inadmisión de carácter insubsanable: 1) carecer la demanda manifiestamente de contenido que justifique una decisión por parte del T. C. [art. 50.2 b) de la LOTC] y 2) en cuanto a la presunta violación del art. 37.2 de la C. E., deducirse la demanda respecto de derechos o libertades no susceptibles de amparo constitucional [art. 50.2 a) de la LOTC). En razón de ello, la Sección acordó conceder un plazo común de diez días al Ministerio Fiscal y a la Entidad recurrente a fin de que, dentro del mismo, formularen las alegaciones que estimaren pertinentes.</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Evacuando el trámite, el Ministerio Fiscal manifiesta que lo pretendido por la recurrente es que el T. C. vuelva a conocer de una materia ya enjuiciada por los órganos judiciales competentes. La Sentencia impugnada decretó la ilegalidad del cierre patronal, que no tuvo carácter defensivo sino que constituyó «una respuesta a la huelga» a modo «de agresión a los trabajadores en forma de sanción económica», sin que tal pronunciamiento, razonado y fundado, vulnere el art. 28.2 de la C. E. En consecuencia, en la demanda concurre la causa de inadmisión contemplada por el art. 50.2 b) de la LOTC, a la que ha de añadirse la establecida en el art. 50.2 a) del mismo texto legal ya que el art. 37.2 de la C. E. no se encuentra dentro de los derechos y libertades susceptibles de amparo constitucional. </w:t>
      </w:r>
    </w:p>
    <w:p w:rsidR="00256EE9" w:rsidRDefault="00256EE9" w:rsidP="00256EE9">
      <w:pPr>
        <w:pStyle w:val="TextoNormal"/>
      </w:pPr>
      <w:r>
        <w:t>En razón de lo expuesto, el Ministerio Fiscal interesa de este T. C. dicte Auto declarando la inadmisibilidad del recurso.</w:t>
      </w:r>
    </w:p>
    <w:p w:rsidR="00256EE9" w:rsidRDefault="00256EE9" w:rsidP="00256EE9">
      <w:pPr>
        <w:pStyle w:val="TextoNormal"/>
      </w:pPr>
    </w:p>
    <w:p w:rsidR="00256EE9" w:rsidRDefault="00256EE9" w:rsidP="00256EE9">
      <w:pPr>
        <w:pStyle w:val="TextoNormal"/>
      </w:pPr>
      <w:r w:rsidRPr="00256EE9">
        <w:rPr>
          <w:rStyle w:val="NumeroAFNegritaCaracter"/>
        </w:rPr>
        <w:t>6</w:t>
      </w:r>
      <w:r>
        <w:t>. En su escrito de alegaciones, la representación de la recurrente, tras exponer el contenido del art. 37 de la C. E., manifiesta que el amparo que trata de obtener se refiere al ejercicio del derecho a la negociación colectiva, ejercida ésta en condiciones de libertad y normalidad. La convocatoria de una huelga por parte de las centrales sindicales U.G.T. y CC.OO. para «presionar a la representación empresarial con el fin de conseguir un convenio colectivo que cubra las aspiraciones de los trabajadores del sector» implicó una violación del art. 37 de la C. E., violación sancionada por la Sentencia impugnada. La recurrente concluye sus alegaciones insistiendo en que «el art. 37 -se refiere a la C. E.- que protege los derechos y libertades es, sin duda, un derecho constitucional cuyo amparo por este Tribunal postulamos».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conocimiento y resolución por parte de este T. C.  de los recursos de amparo promovidos contra actos u omisiones imputables de manera inmediata y directa a las decisiones judiciales tienen como exclusiva finalidad concretar si tales decisiones han vulnerado derechos y libertades fundamentales y, en su caso, adoptar todas aquellas medidas pertinentes para restablecer a sus titulares en el ejercicio del derecho lesionado.  Cualquier otra consideración sobre la actuación de los órganos jurisdiccionales ajena o independiente a esa finalidad protectora queda fuera de la competencia de este T. C.</w:t>
      </w:r>
    </w:p>
    <w:p w:rsidR="00256EE9" w:rsidRDefault="00256EE9" w:rsidP="00256EE9">
      <w:pPr>
        <w:pStyle w:val="TextoNormal"/>
      </w:pPr>
    </w:p>
    <w:p w:rsidR="00256EE9" w:rsidRDefault="00256EE9" w:rsidP="00256EE9">
      <w:pPr>
        <w:pStyle w:val="TextoNormal"/>
      </w:pPr>
      <w:r w:rsidRPr="00256EE9">
        <w:rPr>
          <w:rStyle w:val="NumeroAFNegritaCaracter"/>
        </w:rPr>
        <w:t>2</w:t>
      </w:r>
      <w:r>
        <w:t>. El art. 28.2 de la C. E. reconoce en favor de los trabajadores el derecho a desligarse temporalmente de sus obligaciones contractuales para la defensa de sus legítimos intereses, derecho que, en razón de su colocación sistemática en el catálogo de los derechos y libertades constitucionales, goza de la tutela reforzada en que consiste el recurso de amparo. Pero la circunstancia de haber sido la hoy Entidad recurrente, en su condición de empresario, el sujeto pasivo de las acciones emprendidas por los trabajadores a su servicio, y que tenían como objetivo presionar en el proceso de negociación colectiva en curso, no le otorga titulo suficiente para invocar el amparo elaborando una argumentación que adolece de una contradicción insalvable desde la perspectiva del sistema de protección de los derechos constitucionales. Se acusa a la resolución combatida de conculcar el art. 28.2 de la C. E., pero se solicita de este T. C. la adopción de medidas que no tienden ni a su preservación ni al restablecimiento de su ejercicio legítimo, sino al de otros derechos que estima la recurrente haber sido infringidos por la Sentencia del Tribunal Central incriminada, aun cuando los mismos no posean la garantía del amparo (arts. 53.2 de la C. E.  y 41.1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El razonamiento de la recurrente discurre por unos cauces de todo punto inatendibles.  Dando de lado el error conceptual que implica fundamentar el derecho de negociación colectiva en el art. 37.2 de la C. E., la clave de la línea argumental elaborada por la demandante reside en calificar como inconstitucional la huelga -pese al claro razonamiento pleno de rigor técnico contenido en la Sentencia impugnada- por cuanto su objetivo según la recurrente no fue «el presionar para la celebración de un convenio, que seria legítimo constitucionalmente considerado, sino con el fin de conseguir un convenio colectivo que cubra las aspiraciones de los trabajadores del sector lo que, contrariamente, es ilegítimo».</w:t>
      </w:r>
    </w:p>
    <w:p w:rsidR="00256EE9" w:rsidRDefault="00256EE9" w:rsidP="00256EE9">
      <w:pPr>
        <w:pStyle w:val="TextoNormal"/>
      </w:pPr>
      <w:r>
        <w:t xml:space="preserve">Con tal argumentación se pretende de este T. C.  que se restituya a la recurrente en su derecho presuntamente lesionado de negociación colectiva, desconociendo con ello al menos dos importantes extremos.  El primero, que el derecho a la negociación colectiva no es un derecho susceptible de ser protegido por la vía del amparo constitucional (art. 53.2 de la C. E.).  El segundo, que sustraer a los trabajadores la facultad de cesar colectiva y concertadamente en su trabajo a fin de ejercer presiones durante la negociación colectiva equivale, pura y simplemente, a vaciar de contenido el derecho constitucional de huelga, que como indicó la Sentencia 11/1981, de 8 de abril, de este T. C., «se ejercita frente a los patronos o empresarios, para renegociar con ellos los contratos de trabajo introduciendo en ellos determinadas novaciones modificativas» (Jurisprudencia Constitucional, tomo primero, pp.  196-197).  La distinción que ensaya la recurrente entre huelga constitucional </w:t>
      </w:r>
      <w:r>
        <w:lastRenderedPageBreak/>
        <w:t>protegida, que seria aquélla motivada para «presionar para la celebración de un convenio», y huelga ilegítima constitucionalmente, definida como la que persigue «conseguir un convenio colectivo que cubra las aspiraciones de los trabajadores del sector», no pasa de ser un juego semántico, desprovisto de base jurídico constitucional.</w:t>
      </w:r>
    </w:p>
    <w:p w:rsidR="00256EE9" w:rsidRDefault="00256EE9" w:rsidP="00256EE9">
      <w:pPr>
        <w:pStyle w:val="TextoNormal"/>
      </w:pPr>
    </w:p>
    <w:p w:rsidR="00256EE9" w:rsidRDefault="00256EE9" w:rsidP="00256EE9">
      <w:pPr>
        <w:pStyle w:val="TextoNormal"/>
      </w:pPr>
      <w:r w:rsidRPr="00256EE9">
        <w:rPr>
          <w:rStyle w:val="NumeroAFNegritaCaracter"/>
        </w:rPr>
        <w:t>4</w:t>
      </w:r>
      <w:r>
        <w:t>. Disconforme con la decisión judicial impugnada y haciendo caso omiso del contenido de nuestra providencia de 30 de enero del año en curso, la representación de la recurrente, pretende convertir a este T. C. en una nueva instancia en la que se dé satisfacción a sus pretensiones patrimoniales, que ya fueron desestimadas por los órganos a los que, por imperativo constitucional (art. 117.3 de la C. E.), corresponde aplicar e interpretar la legalidad vigente.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anterior, la Sección acuerda declarar inadmisible el recurso de amparo promovido por la empresa «Antracitas de Fabero, S. A.», y el archivo de las actuaciones.</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29" w:name="AUTO_1985_168"/>
      <w:r>
        <w:lastRenderedPageBreak/>
        <w:t>AUTO 168/1985, de 6 de marzo de 1985</w:t>
      </w:r>
    </w:p>
    <w:bookmarkEnd w:id="229"/>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ECLI:ES:TC:1985:168A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905/1984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Luis García-Rojo y Sánchez-Moreno y la «Compañía Canariense de Tabacos, S. A.», representados por Procurador y asistidos de Abogado, interpusieron recurso de amparo, mediante escrito que tuvo entrada en este Tribunal el 22 de diciembre de 1984, contra Sentencia de 13 de septiembre de 1982 del Juzgado de Distrito núm. 5 de Madrid en procedimiento de desahucio en precario; contra la Sentencia de 29 de septiembre de 1984, parcialmente confirmatoria de la anterior, dictada en grado de apelación por la Sección Primera de la Audiencia Provincial de Madrid; y contra el Auto de 3 de diciembre de 1984 de la misma Sección Primera, notificado -se dice- el 13 de diciembre, desestimatorio del recurso de súplica instado contra la última de las Sentencias indicadas. </w:t>
      </w:r>
    </w:p>
    <w:p w:rsidR="00256EE9" w:rsidRDefault="00256EE9" w:rsidP="00256EE9">
      <w:pPr>
        <w:pStyle w:val="TextoNormal"/>
      </w:pPr>
      <w:r>
        <w:t xml:space="preserve">De la demanda de amparo y de la documentación que se acompaña se deducen los siguientes hechos: </w:t>
      </w:r>
    </w:p>
    <w:p w:rsidR="00256EE9" w:rsidRDefault="00256EE9" w:rsidP="00256EE9">
      <w:pPr>
        <w:pStyle w:val="TextoNormal"/>
      </w:pPr>
      <w:r>
        <w:t xml:space="preserve">a) Doña María Viniegra Requejado formuló demanda de desahucio por precario contra don Luis García-Rojo y Sánchez-Moreno, la «Compañía Canariense de Tabacos, S. A.» y «Viuda e Hijos de Santiago Caballero Cabrera, S. A.», manifestando que el domicilio de todos ellos conocido por la demandante era el del piso bajo, izquierda, de la casa núm 93 de la calle Principe de Vergara de Madrid -el local litigioso-. No obstante, a la demanda se unieron diversos documentos en los que figuraban otros domicilios o direcciones de los demandados; así como un acta notarial de 3 de febrero de 1982 de requerimiento a dichos demandados para que desalojaran el piso cuestionado, practicado en el edificio Principe de Vergara, 93, en la persona de quien dijo ser la esposa del portero. </w:t>
      </w:r>
    </w:p>
    <w:p w:rsidR="00256EE9" w:rsidRDefault="00256EE9" w:rsidP="00256EE9">
      <w:pPr>
        <w:pStyle w:val="TextoNormal"/>
      </w:pPr>
      <w:r>
        <w:t xml:space="preserve">b) El Juzgado de Distrito núm., 5 de Madrid acordó el emplazamiento y citación de los demandados en el lugar indicado por la actora, llevándose a cabo aquéllos el 3 de junio de 1982 en la persona de don Francisco Blánquez. </w:t>
      </w:r>
    </w:p>
    <w:p w:rsidR="00256EE9" w:rsidRDefault="00256EE9" w:rsidP="00256EE9">
      <w:pPr>
        <w:pStyle w:val="TextoNormal"/>
      </w:pPr>
      <w:r>
        <w:t xml:space="preserve">c) El 8 de junio de 1982 se celebró «la primera sesión del juicio verbal», a la que sólo asistió la representación de la actora, la cual habría advertido al Juzgado que don Luis García-Rojo y Sánchez-Moreno tenía su domicilio en Madrid, calle Belianes, 24, y que el domicilio legal de «Viuda e Hijos de Santiago Caballero Cabrera, S. A,», era el de una determinada dirección de Las Palmas de Gran Canaria. La representación de la actora, que habría insistido en que el domicilio pertinente para la segunda citación era el de Príncipe de Vergara, 93, de Madrid, «porque si alguno de los demandados no tuviera su actual domicilio fijado en dicho lugar, no sería en forma alguna perjudicado en su día por el </w:t>
      </w:r>
      <w:r>
        <w:lastRenderedPageBreak/>
        <w:t xml:space="preserve">desahucio en precario», solicitó se practicase la segunda citación en tal domicilio, o en cualquier otro de los indicados si lo estimase necesario el Juzgado. </w:t>
      </w:r>
    </w:p>
    <w:p w:rsidR="00256EE9" w:rsidRDefault="00256EE9" w:rsidP="00256EE9">
      <w:pPr>
        <w:pStyle w:val="TextoNormal"/>
      </w:pPr>
      <w:r>
        <w:t xml:space="preserve">d) El Juzgado ordenó citar por segunda vez a los entonces demandados y ahora solicitantes de amparo, «en el modo y forma solicitado por la parte demandante», practicándose un nuevo emplazamiento el 17 de junio de 1982, también en la misma persona de don Francisco Blázquez. </w:t>
      </w:r>
    </w:p>
    <w:p w:rsidR="00256EE9" w:rsidRDefault="00256EE9" w:rsidP="00256EE9">
      <w:pPr>
        <w:pStyle w:val="TextoNormal"/>
      </w:pPr>
      <w:r>
        <w:t xml:space="preserve">e) A la continuación del juicio verbal (acta de 22 de junio de 1982) asistió el Procurador don Ramiro Reynolds de Miguel, en representación de «Compañía Canariense de Tabacos, S. A.», pero no los otros dos demandados. La parte demandada entonces compareciente manifestó su oposición a la demanda en base, entre otros motivos, a la falta de requerimiento previo a la vía judicial y a la falta también de citación y emplazamiento de «dos de los demandados» -se dice en la demanda de amparo. </w:t>
      </w:r>
    </w:p>
    <w:p w:rsidR="00256EE9" w:rsidRDefault="00256EE9" w:rsidP="00256EE9">
      <w:pPr>
        <w:pStyle w:val="TextoNormal"/>
      </w:pPr>
      <w:r>
        <w:t xml:space="preserve">f) Propuesta en el juicio (acta de 22 de junio de 1982) por la representación de la actora la confesión de los demandados, éstos volvieron a ser citados en Príncipe de Vergara, 93, entregándose la citación «a una persona de treinta años» que no se identificó. </w:t>
      </w:r>
    </w:p>
    <w:p w:rsidR="00256EE9" w:rsidRDefault="00256EE9" w:rsidP="00256EE9">
      <w:pPr>
        <w:pStyle w:val="TextoNormal"/>
      </w:pPr>
      <w:r>
        <w:t xml:space="preserve">g) El Juzgado acordó (acta de 2 de julio) señalar por segunda vez la confesión de los demandados, con el apercibimiento de que, en caso de no comparecer, «serán» tenidos por confesos. La nueva citación se realizó también en Príncipe de Vergara, 93, en la persona de un vecino. </w:t>
      </w:r>
    </w:p>
    <w:p w:rsidR="00256EE9" w:rsidRDefault="00256EE9" w:rsidP="00256EE9">
      <w:pPr>
        <w:pStyle w:val="TextoNormal"/>
      </w:pPr>
      <w:r>
        <w:t xml:space="preserve">h) Compareció a prestar confesión el Apoderado general de «Canariense de Tabacos, S. A.», don Aurelio Alonso Cortes Concejo -quien en su día había otorgado la representación para el juicio en favor del Procurador-. </w:t>
      </w:r>
    </w:p>
    <w:p w:rsidR="00256EE9" w:rsidRDefault="00256EE9" w:rsidP="00256EE9">
      <w:pPr>
        <w:pStyle w:val="TextoNormal"/>
      </w:pPr>
      <w:r>
        <w:t xml:space="preserve">El Juez declaró sin embargo no haber lugar a que el señor Alonso-Cortés prestase la confesión por no constar en su poder facultades expresas para absolver posiciones. </w:t>
      </w:r>
    </w:p>
    <w:p w:rsidR="00256EE9" w:rsidRDefault="00256EE9" w:rsidP="00256EE9">
      <w:pPr>
        <w:pStyle w:val="TextoNormal"/>
      </w:pPr>
      <w:r>
        <w:t xml:space="preserve">i) La representación de «Canariense de Tabacos, S. A.», habría denunciado por escrito de 16 de julio de 1982 indefensión y falta de «eficaz tutela» con cita del art. 24 de la C. E. </w:t>
      </w:r>
    </w:p>
    <w:p w:rsidR="00256EE9" w:rsidRDefault="00256EE9" w:rsidP="00256EE9">
      <w:pPr>
        <w:pStyle w:val="TextoNormal"/>
      </w:pPr>
      <w:r>
        <w:t xml:space="preserve">j) El Juez de Distrito, por Sentencia de 13 de septiembre de 1982, de la que se acompaña copia -ilegible en parte, y de difícil lectura en el resto-, estimó totalmente la demanda de desahucio y condenó a los demandados a dejar libre el piso o local, con apercibimiento de lanzamiento. </w:t>
      </w:r>
    </w:p>
    <w:p w:rsidR="00256EE9" w:rsidRDefault="00256EE9" w:rsidP="00256EE9">
      <w:pPr>
        <w:pStyle w:val="TextoNormal"/>
      </w:pPr>
      <w:r>
        <w:t xml:space="preserve">La Sentencia fue notificada a los no comparecidos en estrados. </w:t>
      </w:r>
    </w:p>
    <w:p w:rsidR="00256EE9" w:rsidRDefault="00256EE9" w:rsidP="00256EE9">
      <w:pPr>
        <w:pStyle w:val="TextoNormal"/>
      </w:pPr>
      <w:r>
        <w:t xml:space="preserve">k) La representación de «Canariense de Tabacos, S. A.», interpuso recurso de apelación. El Juzgado emplazó a las partes ante la Audiencia Provincial, haciéndolo en estrados con respecto a los no comparecidos. </w:t>
      </w:r>
    </w:p>
    <w:p w:rsidR="00256EE9" w:rsidRDefault="00256EE9" w:rsidP="00256EE9">
      <w:pPr>
        <w:pStyle w:val="TextoNormal"/>
      </w:pPr>
      <w:r>
        <w:t xml:space="preserve">l) La representación de «Canariense de Tabacos, S. A.», compareció ante la Audiencia Provincial el 5 de octubre de 1983, evacuándose el trámite de instrucción el 22 de noviembre de 1982. </w:t>
      </w:r>
    </w:p>
    <w:p w:rsidR="00256EE9" w:rsidRDefault="00256EE9" w:rsidP="00256EE9">
      <w:pPr>
        <w:pStyle w:val="TextoNormal"/>
      </w:pPr>
      <w:r>
        <w:t xml:space="preserve">m) Con posterioridad, el entonces demandado don Luis García-Rojo y Sánchez-Moreno visitó al Letrado de «Canariense de Tabacos, S. A.», y manifestó «su reciente noticia» del pleito, otorgando su representación al Procurador de aquélla. </w:t>
      </w:r>
    </w:p>
    <w:p w:rsidR="00256EE9" w:rsidRDefault="00256EE9" w:rsidP="00256EE9">
      <w:pPr>
        <w:pStyle w:val="TextoNormal"/>
      </w:pPr>
      <w:r>
        <w:t xml:space="preserve">n) El 3 de diciembre de 1982 se formuló por dicho Procurador incidente de nulidad de actuaciones, con amparo en los arts. 14 y 24 de la C. E., tramitándose -se dice- en piezas separadas y en «desorden» la apelación y el incidente. </w:t>
      </w:r>
    </w:p>
    <w:p w:rsidR="00256EE9" w:rsidRDefault="00256EE9" w:rsidP="00256EE9">
      <w:pPr>
        <w:pStyle w:val="TextoNormal"/>
      </w:pPr>
      <w:r>
        <w:t xml:space="preserve">o) La Sección Primera de la Audiencia Provincial de Madrid dictó Sentencia de 24 de septiembre de 1984, de la que también se acompaña copia. </w:t>
      </w:r>
    </w:p>
    <w:p w:rsidR="00256EE9" w:rsidRDefault="00256EE9" w:rsidP="00256EE9">
      <w:pPr>
        <w:pStyle w:val="TextoNormal"/>
      </w:pPr>
      <w:r>
        <w:t>Dicha Sentencia confirmó en parte la apelada, condenando a la «Compañía Canariense de Tabacos, S. A.», y a «Viuda e Hijos de Santiago Caballero Cabrera, S. A.», a que dejen a libre disposición de la actora el piso o local, con apercibimiento de lanzamiento; y revo</w:t>
      </w:r>
      <w:r>
        <w:lastRenderedPageBreak/>
        <w:t xml:space="preserve">có parcialmente la apelada absolviendo a don Luis García-Rojo y Sánchez-Moreno, «sin menoscabo de que le afecten los pronunciamientos de condena ya constatados, en cuanto sus actividades en las Sociedades demandadas expresadas». </w:t>
      </w:r>
    </w:p>
    <w:p w:rsidR="00256EE9" w:rsidRDefault="00256EE9" w:rsidP="00256EE9">
      <w:pPr>
        <w:pStyle w:val="TextoNormal"/>
      </w:pPr>
      <w:r>
        <w:t xml:space="preserve">En dicha Sentencia se consideró que «el demandado señor García-Rojo no ocupa como tal particular el local de referencia, y que solamente le ocupa como representante o como empleado de dichas Sociedades». </w:t>
      </w:r>
    </w:p>
    <w:p w:rsidR="00256EE9" w:rsidRDefault="00256EE9" w:rsidP="00256EE9">
      <w:pPr>
        <w:pStyle w:val="TextoNormal"/>
      </w:pPr>
      <w:r>
        <w:t xml:space="preserve">Se dice en la demanda de amparo que en tal Sentencia no se hace la menor referencia al incidente de nulidad de actuaciones seguido con anterioridad. </w:t>
      </w:r>
    </w:p>
    <w:p w:rsidR="00256EE9" w:rsidRDefault="00256EE9" w:rsidP="00256EE9">
      <w:pPr>
        <w:pStyle w:val="TextoNormal"/>
      </w:pPr>
      <w:r>
        <w:t xml:space="preserve">p) Interpuesto recurso de súplica en nombre de la «Compañía Canariense de Tabacos, S. A.», y don Luis García-Rojo y Sánchez-Moreno la Sección Primera de la Audiencia Provincial declaró, por Auto de 3 de diciembre de 1984, «no haber lugar al recurso de súplica en el que se insta declaración de nulidad de trámites desde 3 de febrero, y de la Sentencia recaída en esta apelación con fecha 24 de septiembre de 1984». Se acompaña también copia de dicho Auto. </w:t>
      </w:r>
    </w:p>
    <w:p w:rsidR="00256EE9" w:rsidRDefault="00256EE9" w:rsidP="00256EE9">
      <w:pPr>
        <w:pStyle w:val="TextoNormal"/>
      </w:pPr>
      <w:r>
        <w:t xml:space="preserve">En la demanda de amparo se invoca el art. 24 de la Constitución entendiéndose que se han producido diversas violaciones de derechos del señor Garcia-Rojo y de «Canariense de Tabacos, S. </w:t>
      </w:r>
    </w:p>
    <w:p w:rsidR="00256EE9" w:rsidRDefault="00256EE9" w:rsidP="00256EE9">
      <w:pPr>
        <w:pStyle w:val="TextoNormal"/>
      </w:pPr>
      <w:r>
        <w:t xml:space="preserve">A.», a causa de los hechos descritos, solicitándose se declare la nulidad de las actuaciones desde el defectuoso requerimiento notarial a don Luis García-Rojo y Sánchez-Moreno efectuado mediante acta de 3 de febrero de 1982 o, alternativamente, desde su primera citación por célula por el Juzgado efectuada el 3 de junio de 1982; así como la nulidad de la declaración de tener por confesa a la «Compañía Canariense de Tabacos, S. A.»; restableciendo a ambos recurrentes en la plenitud de ejercitar sus derechos de defensa y eficaz tutela. </w:t>
      </w:r>
    </w:p>
    <w:p w:rsidR="00256EE9" w:rsidRDefault="00256EE9" w:rsidP="00256EE9">
      <w:pPr>
        <w:pStyle w:val="TextoNormal"/>
      </w:pPr>
      <w:r>
        <w:t>Por otrosí se solicita, «al amparo de lo dispuesto en el art. 56 de la LOTC», la suspensión de la ejecución de la Sentencia dictada en apelación, «porque tal ejecución haría perder su finalidad a este amparo».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30 de enero pasado se acordó oír a los demandantes y al Ministerio Fiscal acerca de la posible inadmisión del recurso por la causa que regula el art. 50.2 b) de la Ley Orgánica de este Tribunal. </w:t>
      </w:r>
    </w:p>
    <w:p w:rsidR="00256EE9" w:rsidRDefault="00256EE9" w:rsidP="00256EE9">
      <w:pPr>
        <w:pStyle w:val="TextoNormal"/>
      </w:pPr>
      <w:r>
        <w:t xml:space="preserve">La representación demandante ha expuesto que, sin prejuzgar la resolución que en definitiva deba dictarse, el contenido de la demanda es estrictamente constitucional en cuanto lo afectado y demandado es el derecho fundamental de defensa. </w:t>
      </w:r>
    </w:p>
    <w:p w:rsidR="00256EE9" w:rsidRDefault="00256EE9" w:rsidP="00256EE9">
      <w:pPr>
        <w:pStyle w:val="TextoNormal"/>
      </w:pPr>
      <w:r>
        <w:t>El Ministerio Fiscal expone que la Sentencia de la Audiencia revocó la del Juzgado quedando sin contenido la imputación de indefensión respecto del demandante señor García-Rojo; careciendo en lo demás de contenido constitucional y cuanto a la resolución de tener por confesa a la Compañía codemandante, la misma no ha sido arbitraria sino resultado de una interpretación legal distinta de la de la recurrente.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demanda de este recurso de amparo, formulada cumulativamente por don Luis García-Rojo y Sánchez-Moreno y la entidad «Compañía Canariense de Tabacos, S. A., siempre sobre la base de haberse violado el derecho establecido en el art. 24 de nuestra Constitución, relativo a la tutela efectiva a dispensar por Jueces y Tribunales, sin que en ningún caso se produzca indefensión, concreta por separado lo que afecta a la prenombra</w:t>
      </w:r>
      <w:r>
        <w:lastRenderedPageBreak/>
        <w:t>da persona física, respecto de lo atinente a la Sociedad mercantil, y así, en cuanto a la primera, sitúa la vulneración del derecho -resumidamente expuesto- en la ineficacia del requerimiento previo al ejercicio de la acción de desahucio por precario, así como en las infracciones cometidas en las citaciones y emplazamientos practicados a dicha persona, en su calidad de demandada en el proceso, todo ello al haber tenido lugar tales diligencias notariales y judiciales -actos de comunicación-, no en el domicilio del destinatario, sino en el inmueble donde está situado el local de cuyo desalojo se trata, de lo que deriva la causación de la indefensión que la norma antes citada proscribe, y determina que lo cuestionado adquiere dimensión o trascendencia constitucional, susceptible de reparar por el cauce del recurso de amparo.</w:t>
      </w:r>
    </w:p>
    <w:p w:rsidR="00256EE9" w:rsidRDefault="00256EE9" w:rsidP="00256EE9">
      <w:pPr>
        <w:pStyle w:val="TextoNormal"/>
      </w:pPr>
      <w:r>
        <w:t>Circunscrito este razonamiento a lo acabado de delimitar, esto es, a lo que afecta a don Luis García-Rojo, es de notar que el agravio que denuncia se cometió en su caso en un proceso de desahucio por precario, relativo a determinado local, por entender la parte actora que estaba detentado, sin titulo ni facultad alguna, posiblemente por dicha persona, además de por dos Entidades mercantiles, por lo que dirigió la acción contra las tres, sin que en principio, denote irregularidad procesal relevante la circunstancia de que las diligencias necesarias se entiendan precisamente en la finca de Autos, a lo que hay que añadir que las resoluciones judiciales, en conjunto verdaderamente minuciosas en sus consideraciones, llevan a la conclusión, y así lo proclaman, que el señor García-Rojo es un representante o empleado de las Sociedades demandadas, de lo que se sigue que su llamada al proceso cabe calificarla como de superflua, y por ello son estériles las invocaciones que realiza a una vulneración de unos derechos verdaderamente inexistentes, situación implícitamente admitida por el interesado, que no dedica ni una sola línea tendente a argüir acerca del apoyo legal, y ni siquiera fáctico de orden personal alguno que pudiera vincularle o justificar su estancia en el local objeto del desahucio.</w:t>
      </w:r>
    </w:p>
    <w:p w:rsidR="00256EE9" w:rsidRDefault="00256EE9" w:rsidP="00256EE9">
      <w:pPr>
        <w:pStyle w:val="TextoNormal"/>
      </w:pPr>
      <w:r>
        <w:t>Pero es que, incluso con independencia de lo anterior, hay que parar mientes en que probada, y aún aceptada la vinculación interna de la persona repetidamente nombrada con las Entidades también demandadas, una de las cuales se personó y defendió en las dos instancias jurisdiccionales, es difícil admitir que su ausencia del proceso no obedeció a otra circunstancia o razón que su propia y exclusiva voluntad, carente en realidad de título personal alguno, y quedando simplemente a expensas de un resultado que sólo reflejamente podría afectarle, atendida -como queda ya dicho- su subordinación a aquellas Entidades.  Es ante este Tribunal Constitucional cuando acciona, pero -nótese también- que lo verifica conjuntamente con la Entidad a que nos venimos refiriendo, y bajo una sola representación y defensa.</w:t>
      </w:r>
    </w:p>
    <w:p w:rsidR="00256EE9" w:rsidRDefault="00256EE9" w:rsidP="00256EE9">
      <w:pPr>
        <w:pStyle w:val="TextoNormal"/>
      </w:pPr>
    </w:p>
    <w:p w:rsidR="00256EE9" w:rsidRDefault="00256EE9" w:rsidP="00256EE9">
      <w:pPr>
        <w:pStyle w:val="TextoNormal"/>
      </w:pPr>
      <w:r w:rsidRPr="00256EE9">
        <w:rPr>
          <w:rStyle w:val="NumeroAFNegritaCaracter"/>
        </w:rPr>
        <w:t>2</w:t>
      </w:r>
      <w:r>
        <w:t>. En lo que afecta a la sociedad anónima «Canariense de Tabacos», la vulneración la señala la parte recurrente en el inadecuado uso que el juzgador de instancia hizo de lo establecido en el art.  593 de la Ley de Enjuiciamiento Civil, al tenerla por confesa.  A este respecto hay que decir que se trata simplemente de la aplicación de un precepto procesal sobre un particular aspecto de la prueba de confesión en juicio, que está deferido al ámbito de los Tribunales ordinarios, con posible repercusión en el de este Constitucional, pero que no la alcanza cuando -como ahora sucede- tratándose de una parte que es una persona juridica, como una Sociedad mercantil, la persona que en su nombre pretende absolver posiciones carece de las facultades necesarias para ello, a criterio del órgano jurisdiccional ante el que la prueba ha de tener efectividad, y así lo pone de relieve en el momento adecuado.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En una pluralidad de ocasiones este Tribunal ha razonado acerca del alcance y repercusión de la práctica de actos de comunicación realizados por Juzgados y Tribunales, respecto de las previsiones contenidas en el art.  24 de la C. E.  sobre tutela judicial efectiva y posibilidad de defensa, pero para alcanzar conclusiones estimatorias, como es lógico, solamente en aquellos casos en que la irregularidad procesal denunciada haya sido verdaderamente causante de la privación de tales derechos, ya que no se trata ciertamente de ejercer a través del recurso de amparo de una especie de supervisión o censura sin más finalidad que la de velar por el escrupuloso y exacto cumplimiento de ciertas normas procesales, esto es, algo equivalente a una casación por quebrantamiento de forma en interés de la Ley, sino -como queda apuntado- de velar por los derechos constitucionales consagrados, sin atribuir relevancia por lo tanto en las demás situaciones en que tal consecuencia no se haya producido.</w:t>
      </w:r>
    </w:p>
    <w:p w:rsidR="00256EE9" w:rsidRDefault="00256EE9" w:rsidP="00256EE9">
      <w:pPr>
        <w:pStyle w:val="TextoNormal"/>
      </w:pPr>
      <w:r>
        <w:t>Conduce lo expuesto a la aplicación de lo previsto en el art.  50.2 b) de la LOTC, consecuentemente a lo puesto de manifiesto en el proveído inicial de este recurso.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 sin precisión, por lo tanto, de pronunciamiento alguno sobre la suspensión solicitada.</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30" w:name="AUTO_1985_169"/>
      <w:r>
        <w:lastRenderedPageBreak/>
        <w:t>AUTO 169/1985, de 6 de marzo de 1985</w:t>
      </w:r>
    </w:p>
    <w:bookmarkEnd w:id="230"/>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ECLI:ES:TC:1985:169A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916/1984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Julián González Domingo, representado por Procurador y asistido de Letrado, interpone recurso de amparo mediante escrito presentado el 27 de diciembre de 1984, contra Sentencia de la Sala Primera de lo Civil de la Audiencia Territorial de Madrid, de 20 de noviembre de 1984, dictada en recurso de apelación 122/1983 interpuesto por el Ministerio de Trabajo contra Sentencia del Juzgado de Primera Instancia de Segovia de 14 de diciembre de 1982, recaída en juicio verbal de desahucio de industria núm. 579/1980.</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en que se fundamenta la demanda son, en esencia, los siguientes: </w:t>
      </w:r>
    </w:p>
    <w:p w:rsidR="00256EE9" w:rsidRDefault="00256EE9" w:rsidP="00256EE9">
      <w:pPr>
        <w:pStyle w:val="TextoNormal"/>
      </w:pPr>
      <w:r>
        <w:t xml:space="preserve">a) El solicitante de amparo recibió el 4 de mayo de 1959 una notificación de la Delegación Provincial de Sindicatos comunicándole ser el futuro arrendatario de un local de un edificio de la Organización Sindical. El 14 de julio siguiente, con efectos del 1 del mismo mes, se suscribió el oportuno contrato de arrendamiento, por un periodo de tres años prorrogables. </w:t>
      </w:r>
    </w:p>
    <w:p w:rsidR="00256EE9" w:rsidRDefault="00256EE9" w:rsidP="00256EE9">
      <w:pPr>
        <w:pStyle w:val="TextoNormal"/>
      </w:pPr>
      <w:r>
        <w:t xml:space="preserve">b) El solicitante de amparo fue adquiriendo «todos y cada uno» de los elementos necesarios para la instalación de un bar-restaurante, que ha explotado durante veinticinco años. </w:t>
      </w:r>
    </w:p>
    <w:p w:rsidR="00256EE9" w:rsidRDefault="00256EE9" w:rsidP="00256EE9">
      <w:pPr>
        <w:pStyle w:val="TextoNormal"/>
      </w:pPr>
      <w:r>
        <w:t xml:space="preserve">c) Extinguida la Organización Sindical, el Ministerio de Trabajo solicitó el 10 de octubre de 1980 del Juzgado de Primera Instancia de Segovia la resolución del contrato de arrendamiento, que el Ministerio consideró de industria, por cumplimiento del término contractual. </w:t>
      </w:r>
    </w:p>
    <w:p w:rsidR="00256EE9" w:rsidRDefault="00256EE9" w:rsidP="00256EE9">
      <w:pPr>
        <w:pStyle w:val="TextoNormal"/>
      </w:pPr>
      <w:r>
        <w:t xml:space="preserve">d) El señor González Domingo se opuso a la demanda, por considerar que el contrato es de arrendamiento de local de negocio. </w:t>
      </w:r>
    </w:p>
    <w:p w:rsidR="00256EE9" w:rsidRDefault="00256EE9" w:rsidP="00256EE9">
      <w:pPr>
        <w:pStyle w:val="TextoNormal"/>
      </w:pPr>
      <w:r>
        <w:t xml:space="preserve">e) El solicitante de amparo propuso una «amplísima» prueba de defensa de su pretensión. «Sin embargo, como quiera que el bar-restaurante objeto del litigio, su funcionamiento y autonomía es suficientemente conocido por todos los vecinos de Segovia, fue rechazada la práctica totalidad de la prueba propuesta (sólo fue admitida la documental aportada) por considerarla innecesaria el juzgador». «La defensa del demandado don Julián González interpuso los correspondientes recursos de reposición contra la inadmisión de la misma, que fueron rechazados por idénticos motivos.» f) El Juzgado de Primera Instancia declaró por Sentencia de 14 de diciembre de 1982, de la que se acompaña copia, «no haber lugar al desahucio del local de negocio» del que es arrendatario el solicitante de amparo, con imposición de costas a la Administración demandante. </w:t>
      </w:r>
    </w:p>
    <w:p w:rsidR="00256EE9" w:rsidRDefault="00256EE9" w:rsidP="00256EE9">
      <w:pPr>
        <w:pStyle w:val="TextoNormal"/>
      </w:pPr>
      <w:r>
        <w:lastRenderedPageBreak/>
        <w:t xml:space="preserve">g) Interpuesto recurso de apelación por la Abogacía del Estado, el ahora solicitante de amparo propuso ad cautelam el recibimiento a prueba en segunda instancia, que fue rechazado por la Sala Primera de la Audiencia Territorial de Madrid, el 30 de enero de 1984. E insistió en la vista del recurso el Letrado defensor del señor González Domingo sobre que, «de existir aún dudas», la Sala podía practicar la prueba que considerara conveniente. </w:t>
      </w:r>
    </w:p>
    <w:p w:rsidR="00256EE9" w:rsidRDefault="00256EE9" w:rsidP="00256EE9">
      <w:pPr>
        <w:pStyle w:val="TextoNormal"/>
      </w:pPr>
      <w:r>
        <w:t xml:space="preserve">h) La Sala Primera de lo Civil de la Audiencia Territorial, por Sentencia de 20 de noviembre de 1984, de la que se acompaña copia, notificada -se dice- el 5 de diciembre, estimó el recurso de apelación interpuesto por la Abogacía del Estado, declarando «resuelto el contrato de arrendamiento... respecto al bar-restaurante sito en la antigua Casa Sindical», apercibiendo de lanzamiento al ahora solicitante de amparo y condenándole al pago de las costas de la primera instancia. </w:t>
      </w:r>
    </w:p>
    <w:p w:rsidR="00256EE9" w:rsidRDefault="00256EE9" w:rsidP="00256EE9">
      <w:pPr>
        <w:pStyle w:val="TextoNormal"/>
      </w:pPr>
      <w:r>
        <w:t xml:space="preserve">En el encabezamiento de dicha Sentencia se dice: «Aceptándose los resultandos de la Sentencia apelada (...)». </w:t>
      </w:r>
    </w:p>
    <w:p w:rsidR="00256EE9" w:rsidRDefault="00256EE9" w:rsidP="00256EE9">
      <w:pPr>
        <w:pStyle w:val="TextoNormal"/>
      </w:pPr>
      <w:r>
        <w:t>En sus considerandos se razona, contra la tesis del Abogado del Estado, «que el arrendamiento no puede calificarse de industria o negocio»; que tampoco «puede prosperar, por simplista, la tesis de que se arrendó un local de negocio»; se añade que «no se pueden olvidar las limitaciones impuestas y aceptados por el arrendatario, impropias de la nueva locación de un local de negocio y más ajustadas al carácter de concesión administrativa, para la que se llevó a cabo el oportuno expediente, resolución de concurso, ajuste a un pliego de condiciones y posterior otorgamiento de contrato que, en todo caso, habría de considerarse complejo»; y se concluye, en cuanto a la calificación del arrendamiento, en el sentido de que «a lo más, nos encontraríamos ante un contrato de naturaleza especial atípica, sometido en todo caso, a la legislación común y no a la especial». Por otro lado, se considera que «las estipulaciones contractuales a que se ha hecho referencia, aunque no revelan la existencia de un arrendamiento de industria, si demuestran la existencia de una locación ajena al ámbito de la LAU».</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la demanda de amparo se entiende infringido el art. 24 de la C. E., por la indefensión padecida al haberse dictado una Sentencia fundamentada sobre «cuestiones, hechos, conceptos y circunstancias sobre los que no se ha admitido al hoy recurrente en amparo, ningún tipo de prueba en contrario», así como por la falta de tutela judicial efectiva producida porque la resolución impugnada es «irrazonable, posiblemente arbitraria y absolutamente no fundada en Derecho». Y se solicita se decrete la nulidad de la Sentencia dictada en apelación, declarándola «contraria a los principios constitucionales, con todos los demás pronunciamientos que en Derecho procedan». </w:t>
      </w:r>
    </w:p>
    <w:p w:rsidR="00256EE9" w:rsidRDefault="00256EE9" w:rsidP="00256EE9">
      <w:pPr>
        <w:pStyle w:val="TextoNormal"/>
      </w:pPr>
      <w:r>
        <w:t>Por otrosí se solicita, «en evitación de perjuicios irreparables o de difícil reparación», se acuerde la suspensión de la ejecución de la Sentencia de la Audiencia Territorial.</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Tercera de este Tribunal, en providencia de fecha 30 de enero pasado, acordó poner de manifiesto la posible existencia de la causa de inadmisibilidad que regula el art. 50.2 b) de la LOTC por cuanto la demanda pudiera carecer manifiestamente de contenido que justifique una decisión por parte del Tribunal Constitucional, y concedió un plazo de diez días al solicitante de amparo y al Ministerio Fiscal para que pudieran presentar sus alegaciones. </w:t>
      </w:r>
    </w:p>
    <w:p w:rsidR="00256EE9" w:rsidRDefault="00256EE9" w:rsidP="00256EE9">
      <w:pPr>
        <w:pStyle w:val="TextoNormal"/>
      </w:pPr>
      <w:r>
        <w:t xml:space="preserve">El demandante, en escrito presentado con fecha 15 de febrero pasado, expone que la demanda no carece de contenido por cuanto lo que denuncia es el impedimento del recurrente para utilizar los medios de prueba pertinentes para su defensa y la obtención de la tutela efectiva de los Tribunales sin que pueda producirse indefensión. </w:t>
      </w:r>
    </w:p>
    <w:p w:rsidR="00256EE9" w:rsidRDefault="00256EE9" w:rsidP="00256EE9">
      <w:pPr>
        <w:pStyle w:val="TextoNormal"/>
      </w:pPr>
      <w:r>
        <w:lastRenderedPageBreak/>
        <w:t xml:space="preserve">No se trata de que la Sentencia dictada por la Audiencia Territorial tenga que ser favorable a los intereses del demandado, hoy recurrente. No se trata tampoco de que tengan que admitirse todos los medios de prueba que el litigante alegue. Se trata, especificamente, de que no puede producirse indefensión de un litigante, máxime cuando es el demandado. </w:t>
      </w:r>
    </w:p>
    <w:p w:rsidR="00256EE9" w:rsidRDefault="00256EE9" w:rsidP="00256EE9">
      <w:pPr>
        <w:pStyle w:val="TextoNormal"/>
      </w:pPr>
      <w:r>
        <w:t xml:space="preserve">Insiste, que el Juzgado de instancia deniega la práctica totalidad de la prueba propuesta por el actor, tendente a demostrar el carácter típico de un contrato (exactamente arrendamiento de local de negocio) por considerarla innecesaria, dado que de la propia documentación el Juez deduce la existencia de dicho contrato. Por tanto el Juzgado de Instancia, con un motivo claro de inadmisión de prueba, resuelve denegando la pretensión del demandante, que se circunscribe a demostrar la existencia de un arrendamiento de industria (también contrato tipico). </w:t>
      </w:r>
    </w:p>
    <w:p w:rsidR="00256EE9" w:rsidRDefault="00256EE9" w:rsidP="00256EE9">
      <w:pPr>
        <w:pStyle w:val="TextoNormal"/>
      </w:pPr>
      <w:r>
        <w:t xml:space="preserve">Sin embargo, la Sala de Audiencia, después de rechazar la prueba en segunda instancia, propuesta ad cautelam, no sólo rechaza la pretensión del demandado, sino que además declara la existencia de un contrato atípico (ni industria ni negocio) desestimando las alegaciones del propio demandante. </w:t>
      </w:r>
    </w:p>
    <w:p w:rsidR="00256EE9" w:rsidRDefault="00256EE9" w:rsidP="00256EE9">
      <w:pPr>
        <w:pStyle w:val="TextoNormal"/>
      </w:pPr>
      <w:r>
        <w:t xml:space="preserve">La indefensión se produce desde el momento en que no permitiéndosele probar la tipicidad del contrato (en primera instancia por innecesaria), sin embargo, se declara la atipicidad del mismo por la Audiencia Territorial sin posibilidad de prueba en contra, tanto por ser rechazada en segunda instancia como por no corresponder con la pretensión deducida por el demandante que entiende que el contrato también es típico. </w:t>
      </w:r>
    </w:p>
    <w:p w:rsidR="00256EE9" w:rsidRDefault="00256EE9" w:rsidP="00256EE9">
      <w:pPr>
        <w:pStyle w:val="TextoNormal"/>
      </w:pPr>
      <w:r>
        <w:t xml:space="preserve">En el presente caso, y sin entrar en más detalles, don Julián González ha pretendido, y lo ha solicitado en tiempo y forma, probar que el contrato que unía a las partes en litigio era típico y además de arrendamiento de local. Podrá decirse que dicho contrato es de industria y no de local. </w:t>
      </w:r>
    </w:p>
    <w:p w:rsidR="00256EE9" w:rsidRDefault="00256EE9" w:rsidP="00256EE9">
      <w:pPr>
        <w:pStyle w:val="TextoNormal"/>
      </w:pPr>
      <w:r>
        <w:t xml:space="preserve">Pero lo que no podrá decirse es que es un contrato atípico cuando la prueba para demostrar su «tipicidad» ha sido rechazada «por innecesaria». </w:t>
      </w:r>
    </w:p>
    <w:p w:rsidR="00256EE9" w:rsidRDefault="00256EE9" w:rsidP="00256EE9">
      <w:pPr>
        <w:pStyle w:val="TextoNormal"/>
      </w:pPr>
      <w:r>
        <w:t xml:space="preserve">Además de tal vulneración, el recurrente en amparo deduce en su demanda una segunda: La resolución dictada por la Audiencia no está fundada en Derecho y ello vulnera, de acuerdo con la doctrina constitucional, el propio art. 24 al no darse una tutela efectiva de los Jueces y Tribunales. </w:t>
      </w:r>
    </w:p>
    <w:p w:rsidR="00256EE9" w:rsidRDefault="00256EE9" w:rsidP="00256EE9">
      <w:pPr>
        <w:pStyle w:val="TextoNormal"/>
      </w:pPr>
      <w:r>
        <w:t xml:space="preserve">Añade el demandante en su escrito, que entiende que la Sentencia no está razonada ni fundada en Derecho porque no lo puede estar dada la redacción de las normas imperativas de la Ley de Arrendamientos Urbanos. </w:t>
      </w:r>
    </w:p>
    <w:p w:rsidR="00256EE9" w:rsidRDefault="00256EE9" w:rsidP="00256EE9">
      <w:pPr>
        <w:pStyle w:val="TextoNormal"/>
      </w:pPr>
      <w:r>
        <w:t xml:space="preserve">El Ministerio Fiscal, en sus alegaciones, expone que el recurrente propuso en la primera instancia una serie de pruebas tendentes a acreditar el carácter del contrato, como un arrendamiento de local de negocio, sometido a la Ley de Arrendamientos Urbanos. Dicha proposición fue denegada por el Juez, por entender que la misma era innecesaria, ya que la calificación del contrato, podía ser realizada atendiendo a los términos del mismo. </w:t>
      </w:r>
    </w:p>
    <w:p w:rsidR="00256EE9" w:rsidRDefault="00256EE9" w:rsidP="00256EE9">
      <w:pPr>
        <w:pStyle w:val="TextoNormal"/>
      </w:pPr>
      <w:r>
        <w:t xml:space="preserve">Se recurrió en reposición y fue denegado el recurso. La Sentencia de instancia fue favorable al recurrente. No obstante al interponer el demandante recurso de apelación contra dicha Sentencia, el recurrente de amparo, solicitó el recibimiento a prueba de la denegada en primera instancia y la Audiencia no lo consideró pertinente y denegó el recibimiento solicitado. </w:t>
      </w:r>
    </w:p>
    <w:p w:rsidR="00256EE9" w:rsidRDefault="00256EE9" w:rsidP="00256EE9">
      <w:pPr>
        <w:pStyle w:val="TextoNormal"/>
      </w:pPr>
      <w:r>
        <w:t>El recurrente se aquietó ante esta resolución de la Sala y no recurrió contra la misma, empleando el recurso que la Ley de Enjuiciamiento Civil otorga en su art. 889 en relación con el art. 867 de la misma Ley; es decir, el recurso de súplica ante la misma Sala. Una vez interpuesto el recurso de súplica procedía, si hubiere confirmado la resolución referen</w:t>
      </w:r>
      <w:r>
        <w:lastRenderedPageBreak/>
        <w:t xml:space="preserve">te a la negación del recibimiento a prueba, el recurso de amparo contra la misma, lo que no se hizo, siendo por lo tanto extemporánea la denuncia realizada. </w:t>
      </w:r>
    </w:p>
    <w:p w:rsidR="00256EE9" w:rsidRDefault="00256EE9" w:rsidP="00256EE9">
      <w:pPr>
        <w:pStyle w:val="TextoNormal"/>
      </w:pPr>
      <w:r>
        <w:t xml:space="preserve">Si la Ley le señala el camino para impugnar la resolución del Tribunal, no es factible habiendo consentido ésta, alegar en un recurso de amparo contra la Sentencia la presunta violación del art. 24.1 de la Constitución, en base a la resolución que la parte consintió, sin agotar la correspondiente vía judicial. </w:t>
      </w:r>
    </w:p>
    <w:p w:rsidR="00256EE9" w:rsidRDefault="00256EE9" w:rsidP="00256EE9">
      <w:pPr>
        <w:pStyle w:val="TextoNormal"/>
      </w:pPr>
      <w:r>
        <w:t xml:space="preserve">El recurrente afirma que dicha denegación le ha producido indefensión pero únicamente lo denuncia, cuando la Sentencia se ha dictado en un sentido contrario a su pretensión. </w:t>
      </w:r>
    </w:p>
    <w:p w:rsidR="00256EE9" w:rsidRDefault="00256EE9" w:rsidP="00256EE9">
      <w:pPr>
        <w:pStyle w:val="TextoNormal"/>
      </w:pPr>
      <w:r>
        <w:t xml:space="preserve">La resolución judicial se basa, según la Sentencia, en el estudio del contrato de arrendamiento celebrado entre las partes y solamente de ese estudio se deriva el pronunciamiento de la Sala respecto a la naturaleza del contrato. Las pruebas que pretende convertir ahora el recurrente en decisivas para la conceptuación del contrato eran innecesarias según la Sala para dicha finalidad como lo fueron y lo reconoce el recurrente en el juicio de primera instancia. </w:t>
      </w:r>
    </w:p>
    <w:p w:rsidR="00256EE9" w:rsidRDefault="00256EE9" w:rsidP="00256EE9">
      <w:pPr>
        <w:pStyle w:val="TextoNormal"/>
      </w:pPr>
      <w:r>
        <w:t xml:space="preserve">El contrato es lo que las partes quieren que fuera en el momento de celebrarlo y es en esa voluntad en la que se apoya la Sentencia para fundamentar el sentido de la misma, independientemente de los actos posteriores de la parte que no desvirtúan esa naturaleza. Por eso, la Sala consideró que no procedía el recibimiento a prueba de la apelación, eran innecesarias para determinar la pretensión y decidir sobre ella. </w:t>
      </w:r>
    </w:p>
    <w:p w:rsidR="00256EE9" w:rsidRDefault="00256EE9" w:rsidP="00256EE9">
      <w:pPr>
        <w:pStyle w:val="TextoNormal"/>
      </w:pPr>
      <w:r>
        <w:t xml:space="preserve">Si el recurrente pensaba que las pruebas solicitadas eran vitales a su derecho debió de recurrir como le permitía la Ley de Enjuiciamiento Civil, y no aquietarse a la resolución judicial, consintiéndola. </w:t>
      </w:r>
    </w:p>
    <w:p w:rsidR="00256EE9" w:rsidRDefault="00256EE9" w:rsidP="00256EE9">
      <w:pPr>
        <w:pStyle w:val="TextoNormal"/>
      </w:pPr>
      <w:r>
        <w:t xml:space="preserve">El otro aspecto del recurso de amparo lo basa el recurrente en que la Sentencia no está fundamentada en Derecho y por lo tanto viola el art. 24.1 de la Constitución. La Sentencia de la Audiencia examina en varios considerandos la pretensión deducida y profundiza en el examen del contrato de arrendamiento celebrado entre la Organización Sindical y el demandado. </w:t>
      </w:r>
    </w:p>
    <w:p w:rsidR="00256EE9" w:rsidRDefault="00256EE9" w:rsidP="00256EE9">
      <w:pPr>
        <w:pStyle w:val="TextoNormal"/>
      </w:pPr>
      <w:r>
        <w:t xml:space="preserve">La conclusión a que llega no está desprovista de fundamentación y se razona jurídicamente. Analiza los elementos del contrato, las condiciones del mismo así como sus cláusulas y llega a la conclusión de que no puede ser considerado como un contrato sometido a la Ley de Arrendamientos Urbanos dada la naturaleza sui generis que el mismo presenta. </w:t>
      </w:r>
    </w:p>
    <w:p w:rsidR="00256EE9" w:rsidRDefault="00256EE9" w:rsidP="00256EE9">
      <w:pPr>
        <w:pStyle w:val="TextoNormal"/>
      </w:pPr>
      <w:r>
        <w:t xml:space="preserve">La Sentencia interpreta el contenido de un contrato y lo califica: Esta es la función que le es propia (art. 117.3 de la Constitución). </w:t>
      </w:r>
    </w:p>
    <w:p w:rsidR="00256EE9" w:rsidRDefault="00256EE9" w:rsidP="00256EE9">
      <w:pPr>
        <w:pStyle w:val="TextoNormal"/>
      </w:pPr>
      <w:r>
        <w:t xml:space="preserve">Estamos, pues, en el terreno de la legalidad ordinaria, campo ajeno al Tribunal Constitucional. </w:t>
      </w:r>
    </w:p>
    <w:p w:rsidR="00256EE9" w:rsidRDefault="00256EE9" w:rsidP="00256EE9">
      <w:pPr>
        <w:pStyle w:val="TextoNormal"/>
      </w:pPr>
      <w:r>
        <w:t xml:space="preserve">La Sentencia declara que el contrato no reúne los requisitos para su calificación como de local de negocio y por lo tanto tiene naturaleza de atípico, dentro de la figura jurídica del arrendamiento del Código Civil, la Sala no desconoce la naturaleza del mismo, ya que los atípicos existen en nuestro derecho con carácter independiente y como una clasificación de los contratos. </w:t>
      </w:r>
    </w:p>
    <w:p w:rsidR="00256EE9" w:rsidRDefault="00256EE9" w:rsidP="00256EE9">
      <w:pPr>
        <w:pStyle w:val="TextoNormal"/>
      </w:pPr>
      <w:r>
        <w:t xml:space="preserve">La Sentencia fundamenta detalladamente la naturaleza de atípico del contrato al señalar «que las limitaciones impuestas y aceptadas por el arrendatario, impropias de una mera locación de un local de negocio y más ajustada a una concesión administrativa, por lo que se llevó a cabo el oportuno expediente, posterior otorgamiento del contrato que en todo caso habría de considerarse completo al existir una pluralidad de causas, dirigidas a la finalidad del conjunto negocial e integradas por ella, es decir, con atención al fin económico y social del contrato y al interés o satisfacción del resultado querido por ellas». </w:t>
      </w:r>
    </w:p>
    <w:p w:rsidR="00256EE9" w:rsidRDefault="00256EE9" w:rsidP="00256EE9">
      <w:pPr>
        <w:pStyle w:val="TextoNormal"/>
      </w:pPr>
      <w:r>
        <w:lastRenderedPageBreak/>
        <w:t xml:space="preserve">El Tribunal, explica, fundamenta la resolución que adopta y que dadas las circunstancias que concurren el contrato, es perfectamente racional y carece de toda arbitrariedad. </w:t>
      </w:r>
    </w:p>
    <w:p w:rsidR="00256EE9" w:rsidRDefault="00256EE9" w:rsidP="00256EE9">
      <w:pPr>
        <w:pStyle w:val="TextoNormal"/>
      </w:pPr>
      <w:r>
        <w:t xml:space="preserve">Se podrá discrepar de la resolución y de la argumentación de la misma, pero ello no conduce a considerar que dicha interpretación tiene dimensión constitucional. </w:t>
      </w:r>
    </w:p>
    <w:p w:rsidR="00256EE9" w:rsidRDefault="00256EE9" w:rsidP="00256EE9">
      <w:pPr>
        <w:pStyle w:val="TextoNormal"/>
      </w:pPr>
      <w:r>
        <w:t>Termina el Ministerio Fiscal interesando se dicte Auto desestimando la demanda de amparo por concurrir la causa de inadmisión del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No vamos a fundamentar la inadmisión en el incumplimiento por la parte actora en este proceso de amparo de lo que dispone el art.  44.1 a) -agotamiento de los recursos utilizables dentro de la vía judicial- y el art.  44.1 c) -invocación en esa vía del derecho constitucional vulnerado- denunciado aquél por el Ministerio Fiscal, e implicita la denuncia del segundo en la misma alegación que hace el Fiscal.  Y no lo vamos a hacer aunque es patente este incumplimiento en cuanto al «derecho a utilizar los medios de prueba pertinentes para la defensa», pues contra la denegación de prueba en la segunda instancia se da recurso de súplica, tal como dispone el art. 867 de la Ley de Enjuiciamiento Civil, y es la súplica la vía adecuada para hacer valer el derecho; no la vamos a fundar en estas causas de oposición a la admisión del amparo, porque no fueron advertidas, y aunque ahora podríamos hacerlo reabriendo el trámite del art.  50.1, sería una actuación que a nada útil conduce, concurriendo como concurre, y vamos a ver seguidamente, la causa de inadmisión del art.  50.2 b).</w:t>
      </w:r>
    </w:p>
    <w:p w:rsidR="00256EE9" w:rsidRDefault="00256EE9" w:rsidP="00256EE9">
      <w:pPr>
        <w:pStyle w:val="TextoNormal"/>
      </w:pPr>
    </w:p>
    <w:p w:rsidR="00256EE9" w:rsidRDefault="00256EE9" w:rsidP="00256EE9">
      <w:pPr>
        <w:pStyle w:val="TextoNormal"/>
      </w:pPr>
      <w:r w:rsidRPr="00256EE9">
        <w:rPr>
          <w:rStyle w:val="NumeroAFNegritaCaracter"/>
        </w:rPr>
        <w:t>2</w:t>
      </w:r>
      <w:r>
        <w:t>. El derecho a las pruebas en justificación de las alegaciones propias o para desvirtuar las de la contraparte, tiene en el art.  24.2 de la Constitución la protección jurisdiccional del amparo y se articula como un derecho instrumental que se ordena al derecho de defensa jurídica, pues si a la parte se le niega la prueba pertinente se le priva de un medio legal para la defensa.  En el caso de este recurso, sin embargo, si bien es cierto que no accedió el Juez -y en la apelación la Sala de lo Civil- a la práctica de la prueba propuesta, también lo es que no se funda la Sentencia en la falta de probanza de los hechos a que iba ordenada aquella prueba, sino en que tratándose de la calificación de un contrato, y no estando dirigida la prueba a constatar el contenido del contrato, sino a la constatación de hechos principalmente producidos unilateralmente por la parte arrendataria, en nada servían para desvirtuar los términos que resultaban del contrato, y de las bases de la contratación que han de entenderse incorporadas al contrato.</w:t>
      </w:r>
    </w:p>
    <w:p w:rsidR="00256EE9" w:rsidRDefault="00256EE9" w:rsidP="00256EE9">
      <w:pPr>
        <w:pStyle w:val="TextoNormal"/>
      </w:pPr>
      <w:r>
        <w:t>En el caso las pruebas fueron calificadas realmente de impertinentes, es decir, carentes de causa, o de inútiles, o carentes de interés, conceptos comprensibles en la idea de pertinencia, que es la calificación utilizada en el art. 24.2 para construir el derecho a las pruebas.  El recurso, en cuanto a esta invocación, es inadmisible por falta de contenido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Se acusa también a la Sentencia -a la de apelación- de haber violado el art.  24.1, y se argumenta al respecto que la Sentencia no está razonada y fundada en Derecho. Si con ella se quiere mostrar la discrepancia con la argumentación que conduce al fallo es claro que se está planteando algo que no está comprendido dentro del art.  24.1, pues no pertenece al ámbito del amparo -y de las garantías constitucionales- el enjuiciamiento que la Constitución reserva a la exclusividad de los Jueces y Tribunales (art.  117.3).  Por otro </w:t>
      </w:r>
      <w:r>
        <w:lastRenderedPageBreak/>
        <w:t>lado, se equivoca el demandante de amparo cuando dice que basta la sola alegación de que la Sentencia no está razonada ni fundada en Derecho, para que el recurso de amparo tenga que ser admitido, pues, por el contrario, pertenece al trámite de admisión el examinar los presupuestos de admisibilidad y, entre ellos, el de contenido constitucional de la demanda, contenido que, por lo que hemos dicho, no se da en el caso, por lo que es de aplicación el art.  50.2 b).</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interpuesto por don Julián González Domingo, lo que priva de contenido a la pretensión incidental de suspensión.</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31" w:name="AUTO_1985_170"/>
      <w:r>
        <w:lastRenderedPageBreak/>
        <w:t>AUTO 170/1985, de 6 de marzo de 1985</w:t>
      </w:r>
    </w:p>
    <w:bookmarkEnd w:id="231"/>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ECLI:ES:TC:1985:170A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1/1985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Pedro Tovar Martín y don Pedro Tovar Felipe, representados por Procurador y asistidos de Letrado, han interpuesto recurso de amparo mediante escrito que tuvo su entrada en el Registro el 3 de enero de 1985, procedente del Juzgado de Guardia, donde fue presentado el 31 de diciembre de 1984, citando como preceptos constitucionales infringidos los arts. 24.1 y 25 de la C. E., solicitando que se declare la nulidad de la Sentencia dictada por la Audiencia Provincial de Las Palmas el 15 de junio de 1982 confirmada por el Tribunal Supremo el 6 de noviembre de 1984, y que se concrete el amparo en una nueva Sentencia en la que se les condene por delito de atentado a los Agentes de la Autoridad, con aplicación de la pena mínima que corresponde a este delito, así como la suspensión de la ejecución de la Sentencia dictada por la Audiencia Provincial y confirmada por el Tribunal Supremo. </w:t>
      </w:r>
    </w:p>
    <w:p w:rsidR="00256EE9" w:rsidRDefault="00256EE9" w:rsidP="00256EE9">
      <w:pPr>
        <w:pStyle w:val="TextoNormal"/>
      </w:pPr>
      <w:r>
        <w:t xml:space="preserve">Alegan los recurrentes, en primer término, que en la Sentencia de la Audiencia Provincial no se resuelve sobre todos los puntos que fueron objeto de acusación y defensa, ya que en las conclusiones provisionales, elevadas a definitivas en el juicio oral, el Ministerio Fiscal les imputaba la comisión de un delito de atentado, sancionado en los arts. 231.2 y 232.1 del Código Penal manifestando la defensa que no existía delito y, sin embargo, la Audiencia les condenó por el delito del art. 232, sin especificar qué circunstancia de las contenidas en dicho articulo le era aplicable. De modo que si el art. 851.3 de la Ley de Enjuiciamiento Criminal dice que constituye quebrantamiento de forma el hecho de no haber resuelto todos los puntos establecidos por la acusación y la defensa, y esto no se ha realizado y el Tribunal Supremo lo ha eludido, se ha producido la indefensión a que se refiere el art. 24.1 de la C. E. </w:t>
      </w:r>
    </w:p>
    <w:p w:rsidR="00256EE9" w:rsidRDefault="00256EE9" w:rsidP="00256EE9">
      <w:pPr>
        <w:pStyle w:val="TextoNormal"/>
      </w:pPr>
      <w:r>
        <w:t>Por otra parte, la infracción del art. 25 de la C. E. la atribuyen los demandantes a que han sido condenados con más gravedad de la que les correspondía, con arreglo a la legislación vigente, en el momento de producirse el delito, pues al no ostentar el carácter de autoridad el Jefe Provincial de Correos -ya que la Ordenanza Postal dice que llevará la representación del Servicio de Correos «con las Autoridades de la provincia», no que «mantendrá relaciones con las demás Autoridades de la provincia» como se lee en la Sentencia del Tribunal Supremo-, no era procedente sancionar los hechos conforme al art. 232.1 del C. P.</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La Audiencia Provincial de Las Palmas de Gran Canaria, en Sentencia de 15 de junio de 1982, tras declarar probado que don Pedro Tovar Martín y don Pedro Tovar Felipe el día 1 de diciembre de 1978 agredieron fisicamente a don José Vicente Fernández Borges, Jefe Provincial de Correos de Las Palmas, cuando éste se encontraba ejerciendo funciones propias de su cargo, ocasionándole lesiones y contusiones varias, procedió a condenarles, como autores de un delito de atentado a la Autoridad, previsto en los arts. 231.2 y 232 del Código Penal, a las penas de seis años y un día de prisión mayor, multa de 20.000 pesetas y accesorias, así como a indemnizar solidariamente a la víctima en 500.000 pesetas.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Contra la anterior resolución se interpuso por los condenados en ella, recurso de casación por quebrantamiento de forma, al limitarse a señalar el Tribunal sentenciador que los acusados estaban incursos en el art. 232 del C. P., sin determinar en cuál de las tres circunstancias de dicho articulo se encontraban comprendidos, y por infracción de Ley, articulado en tres motivos: a) por haberse infringido el art. 119 del C. P., ya que con arreglo a la legislación vigente el Jefe Provincial de Correos carece de autoridad, habiéndosele considerado como tal en la Sentencia recurrida; b) por infracción del art. 232 del C. P., pues al no tener carácter de autoridad el agredido, se ha aplicado indebidamente; c) por no haberse aplicado el art. 236 del C. P. que era el procedente. </w:t>
      </w:r>
    </w:p>
    <w:p w:rsidR="00256EE9" w:rsidRDefault="00256EE9" w:rsidP="00256EE9">
      <w:pPr>
        <w:pStyle w:val="TextoNormal"/>
      </w:pPr>
      <w:r>
        <w:t>El Tribunal Supremo, por Sentencia de 6 de noviembre de 1984, declaró no haber lugar al recurso de casación, considerando que los hechos probados estaban correctamente subsumidos como forma agravada del delito de atentado, en el núm. 1 del art. 232, y al condenar la Audiencia a la pena de seis años y un día de prisión mayor, resolvió implícitamente la cuestión planteada en el primero de los motivos del recurso. A ello añade que, conforme a lo preceptuado en la Ordenanza Postal, los Jefes Provinciales de Correos tienen mando y jurisdicción propia en tanto en cuanto les está encomendado el régimen y gobierno de las Oficinas Postales de la respectiva provincia, la representación de Correos en los actos oficiales, «las relaciones con las demás Autoridades de la provincia (lo que demuestra que también lo tiene tal consideración por dicha Ley)», y la resolución de los expedientes incoados a los funcionarios a sus órdenes, lo que le confiere atribuciones de mando y de jurisdicción que a su vez, le otorgan la condición de Autoridad. En virtud de lo que queda expuesto, concluye la Sentencia que teniendo el ofendido la categoría de Autoridad, la conducta realizada por los recurrentes constituye un delito de atentado previsto y penado en los arts. 231.2 y 232.1 del C. P. y no en el 236 del mismo cuerpo legal.</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dictada el 30 de enero de 1985, la Sección Tercera acordó poner de manifiesto a los recurrentes y al Ministerio Fiscal la posible existencia de las causas de inadmisibilidad del recurso de amparo a que se refieren los apartados 1 b) [en relación con el art. 44.1 c) y 2 b)] del art. 50 de la LOTC, otorgándoles un plazo común de diez días para la formulación de alegaciones al efecto. Asimismo, la Sección dispuso la apertura de pieza separada de suspensión, concediendo a los actores y al Ministerio Fiscal un plazo común de tres días para que formulasen sus alegaciones, de acuerdo con lo previsto en el art. 56.2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Con fecha 7 y 8 de febrero, respectivamente, formularon sus alegaciones el Ministerio Fiscal y la representación actora en el incidente de suspensión. Solicitó el Ministerio Fiscal la desestimación de la suspensión instada por no concurrir en el caso el supuesto </w:t>
      </w:r>
      <w:r>
        <w:lastRenderedPageBreak/>
        <w:t>que justifica la misma en el art. 56.1 de la LOTC, consideración ésta a la que habría de añadirse la derivada del interés general implícito en el mantenimiento de la eficacia de las resoluciones judiciales. En sus alegaciones, la representación de los recurrentes reiteró los argumentos expuestos en la demanda acerca del perjuicio irreparable que para los mismos se seguiría de la inmediata ejecución de la Sentencia condenatoria, en el caso de que su demanda fuese finalmente estimada.</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Con fecha 8 de febrero de 1985 evacuó sus alegaciones el Ministerio Fiscal en el trámite del art. 50 de la LOTC, pudiendo las mismas resumirse del modo siguiente: </w:t>
      </w:r>
    </w:p>
    <w:p w:rsidR="00256EE9" w:rsidRDefault="00256EE9" w:rsidP="00256EE9">
      <w:pPr>
        <w:pStyle w:val="TextoNormal"/>
      </w:pPr>
      <w:r>
        <w:t xml:space="preserve">a) La demanda de amparo se ha interpuesto no sólo contra la Sentencia del Tribunal Supremo de 6 de noviembre de 1984, sino también contra la de la Audiencia Provincial de Las Palmas de 15 de junio de 1982. Sin embargo, a la demanda no se ha adjuntado copia, traslado o certificación de esta última resolución, de donde la posibilidad de apreciar la causa de inadmisibilidad del recurso a que se refiere el art. 50.1 b), en relación con el art. 49.1 b), ambos de la LOTC. </w:t>
      </w:r>
    </w:p>
    <w:p w:rsidR="00256EE9" w:rsidRDefault="00256EE9" w:rsidP="00256EE9">
      <w:pPr>
        <w:pStyle w:val="TextoNormal"/>
      </w:pPr>
      <w:r>
        <w:t xml:space="preserve">b) De ser ciertas las lesiones aducidas por los actores, éstas se habrían producido ya en la Sentencia citada de la Audiencia Provincial de Las Palmas, pese a lo cual los recurrentes no dieron cumplimiento a lo dispuesto en el art. 44.1 c) de la LOTC, omitiendo toda invocación de los derechos presuntamente vulnerados al interponer recurso de casación contra la referida Sentencia. Su recurso incurre, por ello, en la causa de inadmisibilidad a que se refiere el art. 50.1 b), en relación con el art. 44.1 c) de la LOTC. </w:t>
      </w:r>
    </w:p>
    <w:p w:rsidR="00256EE9" w:rsidRDefault="00256EE9" w:rsidP="00256EE9">
      <w:pPr>
        <w:pStyle w:val="TextoNormal"/>
      </w:pPr>
      <w:r>
        <w:t xml:space="preserve">c) De otra parte, la queja planteada carece de contenido constitucional, consistiendo en una mera manifestación de discrepancia con las resoluciones impugnadas y olvidándose, así, la verdadera naturaleza del proceso constitucional de amparo. El recurso queda afectado, pues, por la causa de inadmisibilidad recogida en el art. 50.2 b) de la LOTC. </w:t>
      </w:r>
    </w:p>
    <w:p w:rsidR="00256EE9" w:rsidRDefault="00256EE9" w:rsidP="00256EE9">
      <w:pPr>
        <w:pStyle w:val="TextoNormal"/>
      </w:pPr>
      <w:r>
        <w:t>Por lo expuesto, el Ministerio Fiscal solicitó la inadmisión del recurso.</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El día 18 de febrero evacuaron sus alegaciones los recurrentes, en los términos que siguen: </w:t>
      </w:r>
    </w:p>
    <w:p w:rsidR="00256EE9" w:rsidRDefault="00256EE9" w:rsidP="00256EE9">
      <w:pPr>
        <w:pStyle w:val="TextoNormal"/>
      </w:pPr>
      <w:r>
        <w:t xml:space="preserve">a) La causa de inadmisibilidad originada por la no invocación formal del derecho constitucional vulnerado [art. 50.1 b) en relación con el 44.1 c), ambos de la LOTC] no podría apreciarse en el presente caso, porque la lesión aducida se produjo en la Sentencia impugnada del Tribunal Supremo dictada en recurso de casación, sin que, una vez adoptada esta resolución, hubiese ocasión procesal alguna para la alegación de la lesión padecida. </w:t>
      </w:r>
    </w:p>
    <w:p w:rsidR="00256EE9" w:rsidRDefault="00256EE9" w:rsidP="00256EE9">
      <w:pPr>
        <w:pStyle w:val="TextoNormal"/>
      </w:pPr>
      <w:r>
        <w:t>b) Por lo que se refiere a la posible carencia de contenido constitucional en su demanda, los actores manifiestan que su solicitud de amparo se formula no contra las «opiniones» del Tribunal sentenciador, sino frente a la inaplicación por éste del art. 851.3 de la Ley de Enjuiciamiento Criminal, inaplicación que les ha deparado indefensión. De otra parte, la Sentencia del Tribunal Supremo ha incurrido en la transformación errónea de un precepto fundamental para la resolución del caso, transformación que supone una infracción constitucional que provoca, de nuevo, indefensión, además de llevar a una condena por una acción u omisión que no está prevista en la Ley, ya que ésta no considera «autoridad» al Jefe Provincial de Correos.</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art.  44.1 c) de la LOTC requiere que, con carácter previo a la interposición de una demanda de amparo constitucional por el cauce regulado en este precepto, «se haya invocado formalmente en el proceso el derecho constitucional vulnerado, tan pronto como, una vez conocida la violación, hubiere ocasión para ello».  En el presente caso, es claro que las le-/siones denunciadas, de ser ciertas, se habrían verificado ya en la Sentencia dictada por la Audiencia Provincial de Las Palmas el 15 de junio de 1982, resolución respecto de la cual la posteriormente dictada por el Tribunal Supremo, en recurso de casación interpuesto por los actores, tiene un carácter estrictamente confirmatorio.  Siendo esto así, los recurrentes pudieron y debieron alegar en la interposición de su recurso de casación la producción de aquellas violaciones de sus derechos, constituyendo la omisión de esta carga -omisión no discutida por la representación actora en sus alegaciones- causa bastante para inadmitir ahora el recurso, de acuerdo con lo previsto en el art. 50.1 b)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A mayor abundamiento, puede advertirse también que las quejas formuladas por los recurrentes carecen, manifiestamente, de un contenido constitucional que las haga merecedoras de su conocimiento y fallo por este Tribunal. Los recurrentes, desconociendo la naturaleza del amparo constitucional, pretenden traer hasta el mismo lo que, en rigor, no es sino una discrepancia con la Sentencia condenatoria dictada por la Audiencia Provincial de Las Palmas.  La indefensión alegada no resulta mínimamente verosímil porque basta examinar el resultado de hechos probados de aquella Sentencia para deducir, sin asomo de duda, cuál fue el delito por el que se les condenó y cuál la circunstancia apreciada por el Tribunal, sin que la omisión de una explícita referencia a la circunstancia 1 del art.  232 del Código Penal pueda desvirtuar esta evidencia.  En cuanto a la supuesta violación del art. 25.1 de la Constitución ha de constatarse, asimismo, que la misma no puede siquiera considerarse en este caso, cuando las Sentencias recaídas han procedido a una inteligencia razonada y razonable de unos preceptos y, en lógica coherencia con los hechos probados, a aplicar el tipo delictivo más adecuado a los mismos.  La discusión sobre esta subsunción no puede plantearse en el amparo constitucional, sin quebrar su sentido institucional propio.  Por lo mismo, la demanda interpuesta queda también afectada por la causa de inadmisibilidad recogida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todo lo expuesto la Sección ha acordado declarar inadmisible el presente recurso de amparo.</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32" w:name="AUTO_1985_171"/>
      <w:r>
        <w:lastRenderedPageBreak/>
        <w:t>AUTO 171/1985, de 6 de marzo de 1985</w:t>
      </w:r>
    </w:p>
    <w:bookmarkEnd w:id="232"/>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ECLI:ES:TC:1985:171A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4/1985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Procuradora de los Tribunales doña Beatriz Ruano Casanova, en nombre y representación de don Antonio Nodar Martínez, interpuso recurso de amparo contra la Sentencia de la Magistratura de Trabajo de Pontevedra de 7 de diciembre de 1984, debida a demanda sobre sanción laboral, dándose en los siguientes hechos: </w:t>
      </w:r>
    </w:p>
    <w:p w:rsidR="00256EE9" w:rsidRDefault="00256EE9" w:rsidP="00256EE9">
      <w:pPr>
        <w:pStyle w:val="TextoNormal"/>
      </w:pPr>
      <w:r>
        <w:t xml:space="preserve">1.° Que el actor prestaba sus servicios como oficial primero de la Caja Provincial de Ahorros de Pontevedra, siendo al mismo tiempo Vocal Consejero del Consejo de Administración elegido por el Grupo de Personal. </w:t>
      </w:r>
    </w:p>
    <w:p w:rsidR="00256EE9" w:rsidRDefault="00256EE9" w:rsidP="00256EE9">
      <w:pPr>
        <w:pStyle w:val="TextoNormal"/>
      </w:pPr>
      <w:r>
        <w:t xml:space="preserve">2.° Con ocasión del nombramiento del Subdirector General de dicha Entidad, se suscitó una corriente de oposición al mismo, que llevó a la perso a designada para ocupar tal puesto a presentar la dimisión el 22 de diciembre de 1984, manifestando el actor del amparo, en conversación mantenida con otros empleados, que dicha dimisión «había sido forzada por el Presidente del Consejo de Administración». </w:t>
      </w:r>
    </w:p>
    <w:p w:rsidR="00256EE9" w:rsidRDefault="00256EE9" w:rsidP="00256EE9">
      <w:pPr>
        <w:pStyle w:val="TextoNormal"/>
      </w:pPr>
      <w:r>
        <w:t xml:space="preserve">3.° Trascendida la manifestación del actor en el ámbito de la Empresa, por la Dirección de ésta se incoó, al señor Nodar expediente disciplinario, acordándose sancionar el hecho como falta grave, dada la escasa publicidad de la imputación, ofreciéndose al sancionado la oportunidad de elegir entre tres sanciones: De traslado forzoso, de suspensión de empleo y sueldo, o de inhabilitación temporal por plazo no superior a dos años para ascender a la categoría superior, optando el recurrente de amparo por esta última. </w:t>
      </w:r>
    </w:p>
    <w:p w:rsidR="00256EE9" w:rsidRDefault="00256EE9" w:rsidP="00256EE9">
      <w:pPr>
        <w:pStyle w:val="TextoNormal"/>
      </w:pPr>
      <w:r>
        <w:t xml:space="preserve">4.° Promovida demanda ante la jurisdicción laboral, tras celebrarse la conciliación sin avenencia, la Magistratura de Trabajo de Pontevedra por Sentencia de 7 de febrero de 1984, desestimó aquélla, considerando que las expresiones vertidas por el señor Nodar poseen «un matiz difamatorio que involucra a la persona más representativa de la Entidad... trascendiéndolo al ámbito laboral», siendo constitutivas de ofensas verbales que debían sancionarse de conformidad a la legislación vigente. </w:t>
      </w:r>
    </w:p>
    <w:p w:rsidR="00256EE9" w:rsidRDefault="00256EE9" w:rsidP="00256EE9">
      <w:pPr>
        <w:pStyle w:val="TextoNormal"/>
      </w:pPr>
      <w:r>
        <w:t xml:space="preserve">En el fundamento de Derecho se denuncia la violación por dicha Sentencia, del art. 20 de la Constitución Española (C. E.) que proclama la libertad de expresión, por entender que las afirmaciones controvertidas no son constitutivas de ofensas, sino «de una información que el hoy recurrente», realizó «ante unos compañeros de trabajo». Al no entenderlo así la resolución recurrida vulneró el citado derecho constitucional. </w:t>
      </w:r>
    </w:p>
    <w:p w:rsidR="00256EE9" w:rsidRDefault="00256EE9" w:rsidP="00256EE9">
      <w:pPr>
        <w:pStyle w:val="TextoNormal"/>
      </w:pPr>
      <w:r>
        <w:t>En la súplica de la demanda, se pidió el restablecimiento del derecho que el recurrente tiene en aras a la libertad de expresión a proferir las expresiones citadas, declarando, en consecuencia, nula la Sentencia dictada.</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tuvo por recibida la demanda y por personada la Procuradora indicada en nombre del actor, y puso de manifiesto la posible concurrencia del motivo de inadmisión insubsanable, de carecer manifiestamente la demanda de contenido constitucional que justifique una decisión por parte del Tribunal Constitucional, de acuerdo con lo establecido en el art. 50.2 b) de su Ley Orgánica (LOTC), otorgando un plazo al Ministerio Fiscal y a tal parte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El Ministerio Fiscal formuló su alegación en el sentido de que, la Sentencia de la Magistratura, al confirmar la sanción impuesta, por unas expresiones difamatorias no conculca el derecho a la libertad de expresión del art. 20. 1 de la C. E. pues tal derecho tiene los limites señalados por la Constitución para la protección de otros derechos fundamentales, como son la dignidad de la persona y su integridad moral, que dicha Sentencia también establece. Entiende, por lo tanto, que debe aceptarse la causa de inadmisión propuesta.</w:t>
      </w:r>
    </w:p>
    <w:p w:rsidR="00256EE9" w:rsidRDefault="00256EE9" w:rsidP="00256EE9">
      <w:pPr>
        <w:pStyle w:val="TextoNormal"/>
      </w:pPr>
    </w:p>
    <w:p w:rsidR="00256EE9" w:rsidRDefault="00256EE9" w:rsidP="00256EE9">
      <w:pPr>
        <w:pStyle w:val="TextoNormal"/>
      </w:pPr>
      <w:r w:rsidRPr="00256EE9">
        <w:rPr>
          <w:rStyle w:val="NumeroAFNegritaCaracter"/>
        </w:rPr>
        <w:t>4</w:t>
      </w:r>
      <w:r>
        <w:t>. La parte recurrente en amparo estima, que con sus palabras no sobrepasó ninguno de los límites del derecho de expresión señalado en el art. 20 de la C. E., citando una resolución de este Tribunal que entiende es aplicable a su caso. Suplica que se admita a trámite la demanda por él formulada.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su escueta demanda el actor estima, que al desestimar la Magistratura de Trabajo en su Sentencia la ilegalidad de la sanción que le fue impuesta por la Entidad en la que presta servicios vulneró el art. 20.1 a) de la C. E., porque las afirmaciones por él vertidas en relación a la activa participación del Presidente del Consejo de Administración en la dimisión del Subdirector General, atribuyéndolas a que el primero la forzó, se realizaron a título meramente informativo, término éste con el que, pese a su variedad, parece querer indicarse que aquéllas no tuvieron contenido diferente al de la manifestación libre de una opinión, carente del animus nocendi que le atribuye el Juzgador.</w:t>
      </w:r>
    </w:p>
    <w:p w:rsidR="00256EE9" w:rsidRDefault="00256EE9" w:rsidP="00256EE9">
      <w:pPr>
        <w:pStyle w:val="TextoNormal"/>
      </w:pPr>
    </w:p>
    <w:p w:rsidR="00256EE9" w:rsidRDefault="00256EE9" w:rsidP="00256EE9">
      <w:pPr>
        <w:pStyle w:val="TextoNormal"/>
      </w:pPr>
      <w:r w:rsidRPr="00256EE9">
        <w:rPr>
          <w:rStyle w:val="NumeroAFNegritaCaracter"/>
        </w:rPr>
        <w:t>2</w:t>
      </w:r>
      <w:r>
        <w:t>. En muy reiteradas ocasiones este Tribunal ha señalado y concretamente en su Sentencia de 29 de enero de 1982, que la libertad de expresión no es un derecho absoluto, sino que tiene como todos los derechos fundamentales sus límites, debiendo enmarcarse su ejercicio dentro del contenido del art.  20.4 de la C. E.  para la protección de otros derechos fundamentales, como son la dignidad de la persona y su integridad moral; y además, «en unas determinadas pautas de comportamiento que el art.  7 del Código Civil expresa con carácter general, al precisar que los derechos deberán ejercitarse conforme a las exigencias de la buena fe» Sentencia 120/1983, de 15 de diciembre.</w:t>
      </w:r>
    </w:p>
    <w:p w:rsidR="00256EE9" w:rsidRDefault="00256EE9" w:rsidP="00256EE9">
      <w:pPr>
        <w:pStyle w:val="TextoNormal"/>
      </w:pPr>
      <w:r>
        <w:t xml:space="preserve">En el ámbito de las relaciones laborales, el juicio de la transgresión o no del derecho al honor y del respeto a la buena fe, ocasionado por la emisión de determinadas expresiones verbales, viene atribuido a los Tribunales ordinarios, y a ellos les compete la determinación de los hechos acaecidos con exclusividad, así como la calificación jurídica razonada de la legalidad de las conductas juzgadas, y muy concretamente, en el supuesto de ofensas determinantes de la resolución de la relación laboral, el ánimo con que fueron realizadas y </w:t>
      </w:r>
      <w:r>
        <w:lastRenderedPageBreak/>
        <w:t>los efectos determinados que pudieron surtir en la relación mantenida con el personal superior de la Empresa.</w:t>
      </w:r>
    </w:p>
    <w:p w:rsidR="00256EE9" w:rsidRDefault="00256EE9" w:rsidP="00256EE9">
      <w:pPr>
        <w:pStyle w:val="TextoNormal"/>
      </w:pPr>
    </w:p>
    <w:p w:rsidR="00256EE9" w:rsidRDefault="00256EE9" w:rsidP="00256EE9">
      <w:pPr>
        <w:pStyle w:val="TextoNormal"/>
      </w:pPr>
      <w:r w:rsidRPr="00256EE9">
        <w:rPr>
          <w:rStyle w:val="NumeroAFNegritaCaracter"/>
        </w:rPr>
        <w:t>3</w:t>
      </w:r>
      <w:r>
        <w:t>. En el caso de examen, analizando las circunstancias y consecuencias de las manifestaciones verbales expresadas por el demandante, el Magistrado de Trabajo, en su fundada Sentencia, ha entendido que las mismas determinan «un proceder de matiz difamatorio» hacia la persona del Presidente del Consejo de Administración de la Entidad demandada en el proceso laboral, que trasciende al ámbito laboral, conculcando la buena fe contractual, límite de la libertad de expresión, estimando en suma, en el considerando tercero, la existencia de una utilización abusiva de dicha libertad, contraria a la mera información.</w:t>
      </w:r>
    </w:p>
    <w:p w:rsidR="00256EE9" w:rsidRDefault="00256EE9" w:rsidP="00256EE9">
      <w:pPr>
        <w:pStyle w:val="TextoNormal"/>
      </w:pPr>
      <w:r>
        <w:t>Este juicio de legalidad efectuado por la Sentencia, no puede dejarse sin efecto por la alegación del recurrente de tener sus palabras un carácter de mera información ante unos compañeros de trabajo, porque se trata de desvirtuar sin razón alguna la apreciación objetiva e imparcial del Magistrado, oponiendo una apreciación subjetiva e interesada, que no tiene capacidad exculpatoria en vía de amparo, por presentar un juicio de mera legalidad, que no puede admitirse, para contrariar la función judicial que ejercitan los Tribunales ordinarios según el art.  117.3 de la C. E., y que es prevalente sobre las interpretaciones de las partes interesadas, ya que suponen una decisión en el ámbito del derecho ordinario, sin afectación alguna de derechos constitucionales.</w:t>
      </w:r>
    </w:p>
    <w:p w:rsidR="00256EE9" w:rsidRDefault="00256EE9" w:rsidP="00256EE9">
      <w:pPr>
        <w:pStyle w:val="TextoNormal"/>
      </w:pPr>
      <w:r>
        <w:t>Por todo ello es de estimar, la presencia de la causa de inadmisión establecida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 inadmitir la demanda de amparo formulada por la Procuradora doña Beatriz Ruano Casanova en representación de don Antonio Nodar Martinez, y el archivo de las actuaciones.</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33" w:name="AUTO_1985_172"/>
      <w:r>
        <w:lastRenderedPageBreak/>
        <w:t>AUTO 172/1985, de 6 de marzo de 1985</w:t>
      </w:r>
    </w:p>
    <w:bookmarkEnd w:id="233"/>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ECLI:ES:TC:1985:172A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20/1985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Mediante demanda presentada en este Tribunal el pasado 10 de enero, don Santos de Garandillas Carmona, Procurador de los Tribunales, en nombre de don José Miguel Aramendi Aguirrezabalaga, interpone recurso de amparo constitucional contra la Sentencia de 16 de marzo de 1984 del Juzgado de Instrucción núm. 2 de San Sebastián, confirmada por la Audiencia Provincial de esa ciudad, por Sentencia de 23 de noviembre de 1984, que le condena como autor de un delito de conducción bajo efectos de bebidas alcohólicas.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recurrente alega que la mencionada Sentencia viola en su contra los derechos garantizados por los arts. 17.3 y 24.1 y 2 de la Constitución Española y solicita la nulidad de las indicadas Sentencias. </w:t>
      </w:r>
    </w:p>
    <w:p w:rsidR="00256EE9" w:rsidRDefault="00256EE9" w:rsidP="00256EE9">
      <w:pPr>
        <w:pStyle w:val="TextoNormal"/>
      </w:pPr>
      <w:r>
        <w:t xml:space="preserve">Mediante otrosí solicita, igualmente, la suspensión de la ejecución de las Sentencias impugnadas que le condenan a la privación del permiso de conducir por tres meses. Alega que si las Sentencias impugnadas se ejecutan en este extremo, el amparo que solicita privaría su finalidad. </w:t>
      </w:r>
    </w:p>
    <w:p w:rsidR="00256EE9" w:rsidRDefault="00256EE9" w:rsidP="00256EE9">
      <w:pPr>
        <w:pStyle w:val="TextoNormal"/>
      </w:pPr>
      <w:r>
        <w:t>Mediante providencia del pasado 13 de febrero, la Sección Tercera de este Tribunal acordó la admisión a trámite del recurso de amparo.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Mediante otra providencia dictada el mismo día 13 de febrero, la Sección Tercera acordó abrir pieza separada de suspensión y dar audiencia en la misma, de conformidad con lo dispuesto en el art. 56.2 de la LOTC, al recurrente y al Ministerio Fiscal. </w:t>
      </w:r>
    </w:p>
    <w:p w:rsidR="00256EE9" w:rsidRDefault="00256EE9" w:rsidP="00256EE9">
      <w:pPr>
        <w:pStyle w:val="TextoNormal"/>
      </w:pPr>
      <w:r>
        <w:t>Dentro del plazo de tres días acordado, la representación del recurrente reitera la petición ya hecha en la demanda, aduciendo la misma razón allí dada. El Ministerio Fiscal, por su parte, entiende igualmente que procede acordar la suspensión dado que de la misma no parece que pueda seguirse perturbación grave de los intereses generales y a la vista de las medidas adoptadas por este Tribunal en ocasiones anteriores.</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Aunque este Tribunal ha manifestado de manera reiterada que el cumplimiento de las Sentencias Judiciales es de interés general de manera que toda suspensión de tal cumplimiento resulta una perturbación de éste, no es menos cierto que en el presente caso la suspensión en la condena de privación del permiso de conducir durante tres meses no puede ser entendida como una perturbación grave en el sentido previsto en el art.  56.1 de la LOTC.</w:t>
      </w:r>
    </w:p>
    <w:p w:rsidR="00256EE9" w:rsidRDefault="00256EE9" w:rsidP="00256EE9">
      <w:pPr>
        <w:pStyle w:val="TextoNormal"/>
      </w:pPr>
      <w:r>
        <w:t>De otra parte, es evidente que, si en su día acordásemos el amparo que se nos pide sin conceder ahora la suspensión que de nosotros se solicita, la pena de privación del permiso de conducir habría sido ya ejecutada y, en consecuencia, privado de contenido real el amparo otorgado.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ello, la Sala ha decidido acordar la suspensión de la Sentencia impugnada en cuanto toca a la privación del permiso de conducir del recurrente por un plazo de tres meses.</w:t>
      </w:r>
    </w:p>
    <w:p w:rsidR="00256EE9" w:rsidRDefault="00256EE9" w:rsidP="00256EE9">
      <w:pPr>
        <w:pStyle w:val="TextoNormal"/>
      </w:pPr>
    </w:p>
    <w:p w:rsidR="00256EE9" w:rsidRDefault="00256EE9" w:rsidP="00256EE9">
      <w:pPr>
        <w:pStyle w:val="TextoNormal"/>
      </w:pPr>
      <w:r>
        <w:t>Comuníquese al Juzgado de Instrucción núm.  2 de San Sebastián remitiéndole certificación de este Auto, a los efectos procedentes.</w:t>
      </w: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34" w:name="AUTO_1985_173"/>
      <w:r>
        <w:lastRenderedPageBreak/>
        <w:t>AUTO 173/1985, de 6 de marzo de 1985</w:t>
      </w:r>
    </w:p>
    <w:bookmarkEnd w:id="234"/>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ECLI:ES:TC:1985:173A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haber lugar al desistimiento del actor en el recurso de amparo 25/1985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José Sánchez Jáuregui, por escrito registrado en este Tribunal el 11 de enero de 1985, interpuso en nombre y representación de don Alvaro Espinosa Cabezas, recurso de amparo constitucional, contra las resoluciones del Excmo. señor Presidente del Tribunal Central de Trabajo de 16 de febrero de 1983 y de la Sección Disciplinaria del Consejo General del Poder Judicial, de 28 de junio de 1983, así como contra la Sentencia del Pleno del Tribunal Supremo, de fecha 20 de octubre de 1983, confirmatoria de aquellas resoluciones. </w:t>
      </w:r>
    </w:p>
    <w:p w:rsidR="00256EE9" w:rsidRDefault="00256EE9" w:rsidP="00256EE9">
      <w:pPr>
        <w:pStyle w:val="TextoNormal"/>
      </w:pPr>
      <w:r>
        <w:t xml:space="preserve">Solicitaba que declarásemos la nulidad de las referidas resoluciones administrativas y judicial y reconocimiento del derecho del recurrente a no ser sancionado con el apercibimiento que le fue impuesto; invoca los arts. 14, 18.1, 24.1 y 2, v 25.1 de la Constitución, que estimaba vulnerados. </w:t>
      </w:r>
    </w:p>
    <w:p w:rsidR="00256EE9" w:rsidRDefault="00256EE9" w:rsidP="00256EE9">
      <w:pPr>
        <w:pStyle w:val="TextoNormal"/>
      </w:pPr>
      <w:r>
        <w:t>Posteriormente pidió la suspensión de la ejecución de las resoluciones impugnadas.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13 de febrero se acordó oir al recurrente y al Ministerio Fiscal acerca de la posible inadmisión de la demanda de amparo por cuanto pudiera carecer de contenido que justifique una decisión de este Tribunal, ello de conformidad con lo dispuesto en el art. 50.2 b) de la Ley Orgánica del Tribunal Constitucional. </w:t>
      </w:r>
    </w:p>
    <w:p w:rsidR="00256EE9" w:rsidRDefault="00256EE9" w:rsidP="00256EE9">
      <w:pPr>
        <w:pStyle w:val="TextoNormal"/>
      </w:pPr>
      <w:r>
        <w:t xml:space="preserve">En el mismo día de la notificación de la referida providencia, la representación del recurrente ha presentado escrito desistiendo del recurso. </w:t>
      </w:r>
    </w:p>
    <w:p w:rsidR="00256EE9" w:rsidRDefault="00256EE9" w:rsidP="00256EE9">
      <w:pPr>
        <w:pStyle w:val="TextoNormal"/>
      </w:pPr>
      <w:r>
        <w:t>El Ministerio Fiscal ha alegado que concurre la causa de inadmisión puesta de manifiesto por la antedicha providencia.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Hallándose simultáneamente pendientes de resolver el trámite de inadmisión abierto conforme al art. 50 de la Ley Orgánica de este Tribunal y el desistimiento formulado por la parte recurrente, aparece atendible examinar y resolver el segundo al haberse deducido una petición formal de parte sobre ello.</w:t>
      </w:r>
    </w:p>
    <w:p w:rsidR="00256EE9" w:rsidRDefault="00256EE9" w:rsidP="00256EE9">
      <w:pPr>
        <w:pStyle w:val="TextoNormal"/>
      </w:pPr>
      <w:r>
        <w:t xml:space="preserve">De la escritura de poder aportada con la demanda de amparo aparece, entre las facultades que el poderdante otorgó a su Procurador, la de desistir de las actuaciones entabladas, </w:t>
      </w:r>
      <w:r>
        <w:lastRenderedPageBreak/>
        <w:t>y en el escrito presentado consta de modo expreso la voluntad de desistir de la prosecución del recurso de amparo.</w:t>
      </w:r>
    </w:p>
    <w:p w:rsidR="00256EE9" w:rsidRDefault="00256EE9" w:rsidP="00256EE9">
      <w:pPr>
        <w:pStyle w:val="TextoNormal"/>
      </w:pPr>
      <w:r>
        <w:t>El desistimiento así formulado, no afecta a los derechos de terceros, visto el contenido de la pretensión de amparo.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tener por apartado y desistido a don Alvaro Espinosa Cabezas del presente recurso de amparo; no siendo preciso, por tanto, resolver acerca de la suspensión solicitada.</w:t>
      </w:r>
    </w:p>
    <w:p w:rsidR="00256EE9" w:rsidRDefault="00256EE9" w:rsidP="00256EE9">
      <w:pPr>
        <w:pStyle w:val="TextoNormal"/>
      </w:pPr>
    </w:p>
    <w:p w:rsidR="00256EE9" w:rsidRDefault="00256EE9" w:rsidP="00256EE9">
      <w:pPr>
        <w:pStyle w:val="TextoNormal"/>
      </w:pPr>
      <w:r>
        <w:t>Madrid, a seis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35" w:name="AUTO_1985_174"/>
      <w:r>
        <w:lastRenderedPageBreak/>
        <w:t>AUTO 174/1985, de 7 de marzo de 1985</w:t>
      </w:r>
    </w:p>
    <w:bookmarkEnd w:id="235"/>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ECLI:ES:TC:1985:174A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Ratificando y levantando, según los casos, la suspensión, previamente acordada, de diversas Resoluciones del Departamento de Sanidad y Seguridad Social de la Generalidad de Cataluña, en el conflicto positivo de competencia 699/1984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Gobierno de la Nación, mediante escrito de 6 de octubre de 1984, planteó conflicto constitucional positivo de competencia contra 122 resoluciones de la Dirección General de Promoción de la Salud, del Departamento de Sanidad y Seguridad Social de la Generalidad de Cataluña, con invocación expresa del art. 161.2 de la Constitución al objeto de que fuese ordenada la suspensión de las resoluciones impugnadas.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la Sección Primera de este Tribunal de 10 de octubre de 1984, se tuvo por planteado el conflicto y se dio traslado de la demanda al Consejo Ejecutivo de la Generalidad de Cataluña, teniéndose por producida la suspensión de la vigencia y aplicación de las resoluciones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00256EE9" w:rsidRDefault="00256EE9" w:rsidP="00256EE9">
      <w:pPr>
        <w:pStyle w:val="TextoNormal"/>
      </w:pPr>
      <w:r>
        <w:t>El Consejo Ejecutivo de la Generalidad de Cataluña, se personó y presentó escrito de alegaciones el 8 de noviembre de 1984, en solicitud de que en su día se dicte Sentencia declarando que la competencia controvertida corresponde a la Generalidad de Cataluña.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la Sección Tercera, de 13 de febrero último, se acordó oír a las partes para que hicieran alegaciones en relación con el mantenimiento o levantamiento de la suspensión de las resoluciones objeto del conflicto. </w:t>
      </w:r>
    </w:p>
    <w:p w:rsidR="00256EE9" w:rsidRDefault="00256EE9" w:rsidP="00256EE9">
      <w:pPr>
        <w:pStyle w:val="TextoNormal"/>
      </w:pPr>
      <w:r>
        <w:t xml:space="preserve">El Consejo Ejecutivo de la Generalidad, en escrito presentado el 26 de febrero último, solicita el levantamiento de la suspensión. De lo contrario, señala, se desautorizaría de facto a la Administración autonómica para el ejercicio de competencias en materia de control sanitario de los productos relacionados con la alimentación humana, ejercicio que se ajusta con el máximo rigor a la normativa básica del Estado, ya que al autorizar productos </w:t>
      </w:r>
      <w:r>
        <w:lastRenderedPageBreak/>
        <w:t xml:space="preserve">relacionados con la alimentación humana o destinados a la misma y al convalidar anteriores resoluciones de la Administración del Estado, relativos a productos de la misma clase que los autorizados, se limita a comprobar la adecuación de los productos y sustancias con el contenido de las listas positivas elaboradas por el Estado al efecto. Por ello, es evidente que la autorización y convalidación por la Generalidad de Cataluña de aditivos y demás productos sometidos a registro sanitario no puede en ningún caso impedir el libre comercio de mercancías ni introducir factor alguno de desigualdad en cuanto a las condiciones básicas de protección a la salud. Por otra parte, afirma el Abogado de la Generalidad, el levantamiento de la suspensión no origina perjuicio alguno a los beneficiarios: En el caso de las resoluciones comprendidas en el Anexo 1 (que se refieren a autorizaciones concretas a determinados productos), la función de la Generalidad de Cataluña es de mera ejecución o aplicación a cada solicitud del contenido de las listas positivas promulgadas por el Estado, sin que la Administración autónoma innove ni incorpore criterio alguno, limitándose a aplicar estrictamente la normativa básica establecida, y en el caso de las resoluciones del Anexo 11 (convalidación de anteriores resoluciones de la Administración del Estado), el mantenimiento de la suspensión obligaría a los beneficiarios a solicitar nuevamente de la Administración del Estado la convalidación de una autorización, anteriormente concedida por ésta, convalidada posteriormente por la Generalidad de la que, eventualmente, habría que solicitar en el futuro una nueva convalidación si se la declarase competente por este Tribunal. </w:t>
      </w:r>
    </w:p>
    <w:p w:rsidR="00256EE9" w:rsidRDefault="00256EE9" w:rsidP="00256EE9">
      <w:pPr>
        <w:pStyle w:val="TextoNormal"/>
      </w:pPr>
      <w:r>
        <w:t>El Abogado del Estado, en su escrito de 26 de febrero del corriente, manifiesta que habiéndose dictado por el Tribunal en casos anteriores (conflictos 623/1984 y 659/1984) Autos ratificando la suspensión respecto a las resoluciones concediendo nuevas autorizaciones y levantándola en cuanto a las resoluciones de convalidación, es procedente en el presente caso la aplicación de idéntico criterio.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objeto del presente conflicto está constituido, como queda dicho en los antecedentes, por un extenso conjunto de resoluciones autorizatorias (122 en total), una parte de las cuales (exactamente las 13 recogidas en el Anexo 11 de la demanda) son simple convalidación de autorizaciones ya concedidas anteriormente por el Estado, en tanto que el resto (las 109 que figuran en el Anexo I) han sido concedidas por primera vez por la Generalidad.</w:t>
      </w:r>
    </w:p>
    <w:p w:rsidR="00256EE9" w:rsidRDefault="00256EE9" w:rsidP="00256EE9">
      <w:pPr>
        <w:pStyle w:val="TextoNormal"/>
      </w:pPr>
      <w:r>
        <w:t>Este distinto alcance de las resoluciones impugnadas, provisionalmente privadas además de toda fuerza desde el pasado 8 de octubre de 1984, ha de ser tenido en cuenta al ponderar los perjuicios que el levantamiento o mantenimiento de la suspensión acarrearían. El levantamiento de la suspensión que ahora afecta a las resoluciones incluidas en el Anexo I crearía en los beneficiarios de éstas unas expectativas que resultarían destruidas, si al resolver sobre el fondo del asunto se declarase la incompetencia de la Generalidad, siguiéndose de ello verosímilmente la necesidad de interrumpir los procesos de producción ya iniciados, con el consiguiente perjuicio económico.  El mantenimiento de la suspensión ya acordada no origina ningún perjuicio directo para los ciudadanos, aunque alargue por más tiempo la incertidumbre sobre cuál es el alcance preciso de las competencias de la Generalidad en esta materia.</w:t>
      </w:r>
    </w:p>
    <w:p w:rsidR="00256EE9" w:rsidRDefault="00256EE9" w:rsidP="00256EE9">
      <w:pPr>
        <w:pStyle w:val="TextoNormal"/>
      </w:pPr>
      <w:r>
        <w:t xml:space="preserve">La situación es, en cierto modo, inversa en lo que respecta a las 13 resoluciones recogidas en el Anexo II pues éstas no pueden servir de base a la iniciación de nuevos procesos de producción, ya que éstos existen antes de haber sido acordadas tales resoluciones, que </w:t>
      </w:r>
      <w:r>
        <w:lastRenderedPageBreak/>
        <w:t>son simplemente convalidatorias de otras anteriores.  Respecto de las resoluciones de este segundo grupo, el levantamiento de la suspensión no origina, por tanto, incertidumbre o perjuicio alguno a los ciudadanos, en tanto que su mantenimiento les obligaría a solicitar nuevamente de la Administración del Estado la convalidación de una autorización anteriormente concedida por ésta, convalidada posteriormente por la Generalidad, de la que, eventualmente, habría que solicitar en el futuro una nueva convalidación si nuestra resolución sobre el fondo la declarase competente.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a todo lo expuesto, el Tribunal Constitucional acuerda:</w:t>
      </w:r>
    </w:p>
    <w:p w:rsidR="00256EE9" w:rsidRDefault="00256EE9" w:rsidP="00256EE9">
      <w:pPr>
        <w:pStyle w:val="TextoNormal"/>
      </w:pPr>
      <w:r>
        <w:t>1.° Mantener la suspensión de las resoluciones incluidas en el Anexo I de los que se adjuntan a la demanda, publicado en el «Boletín Oficial del Estado» núm. 253 de 22 de octubre de 1984.</w:t>
      </w:r>
    </w:p>
    <w:p w:rsidR="00256EE9" w:rsidRDefault="00256EE9" w:rsidP="00256EE9">
      <w:pPr>
        <w:pStyle w:val="TextoNormal"/>
      </w:pPr>
      <w:r>
        <w:t>2.° Levantar la suspensión de las resoluciones incluidas en el Anexo II, adjunto a la demanda, publicado en el «Boletín Oficial del Estado» antes indicado.</w:t>
      </w:r>
    </w:p>
    <w:p w:rsidR="00256EE9" w:rsidRDefault="00256EE9" w:rsidP="00256EE9">
      <w:pPr>
        <w:pStyle w:val="TextoNormal"/>
      </w:pPr>
    </w:p>
    <w:p w:rsidR="00256EE9" w:rsidRDefault="00256EE9" w:rsidP="00256EE9">
      <w:pPr>
        <w:pStyle w:val="TextoNormal"/>
      </w:pPr>
      <w:r>
        <w:t>Publíquese en el «Boletín Oficial del Estado», y en el «Diario Oficial de la Generalidad de Cataluña».</w:t>
      </w:r>
    </w:p>
    <w:p w:rsidR="00256EE9" w:rsidRDefault="00256EE9" w:rsidP="00256EE9">
      <w:pPr>
        <w:pStyle w:val="TextoNormal"/>
      </w:pPr>
      <w:r>
        <w:t>Madrid, a 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36" w:name="AUTO_1985_175"/>
      <w:r>
        <w:lastRenderedPageBreak/>
        <w:t>AUTO 175/1985, de 7 de marzo de 1985</w:t>
      </w:r>
    </w:p>
    <w:bookmarkEnd w:id="236"/>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ECLI:ES:TC:1985:175A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Ratificando la suspensión, previamente acordada, del art. 15.5 de la Ley 7/1984, de la Generalidad Valenciana, en el recurso de inconstitucionalidad 701/1984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la representación que legalmente ostenta, interpuso el 9 de octubre de 1984, recurso de inconstitucionalidad contra el art. 15.5 de la Ley de la Generalidad Valenciana 7/1984, de 4 de julio, de creación de la entidad pública Radio Televisión Valenciana (RTVV) y regulación de los servicios de radio y televisión. El artículo impugnado (art. 15.5) dispone: «El Consell de la Generalidad Valenciana, a propuesta del Director General de acuerdo con el Consejo de Administración, podrá autorizar la creación de otras Sociedades filiales, con capital totalmente aportado por la Generalidad Valenciana a través de Radiotelevisión Valenciana (RTVV), en las áreas de publicidad, comercialización, producción cable, comunicación u otras análogas, para conseguir una producción más eficaz. El capital de estas Sociedades estará sujeto a las mismas limitaciones, en cuanto gravámenes y transmisibilidad, que las citadas en el apartado 3 de este artículo. Estas Sociedades estarán sometidas al mismo régimen jurídico que las anteriores». Se impugna el indicado precepto en cuanto se refiere a la emisión y transmisión mediante cable, por entender que está reservada en exclusiva a RTVE para todo el territorio español (disposición adicional primera, Ley 46/1983, de 26 de diciembre).</w:t>
      </w:r>
    </w:p>
    <w:p w:rsidR="00256EE9" w:rsidRDefault="00256EE9" w:rsidP="00256EE9">
      <w:pPr>
        <w:pStyle w:val="TextoNormal"/>
      </w:pPr>
    </w:p>
    <w:p w:rsidR="00256EE9" w:rsidRDefault="00256EE9" w:rsidP="00256EE9">
      <w:pPr>
        <w:pStyle w:val="TextoNormal"/>
      </w:pPr>
      <w:r w:rsidRPr="00256EE9">
        <w:rPr>
          <w:rStyle w:val="NumeroAFNegritaCaracter"/>
        </w:rPr>
        <w:t>2</w:t>
      </w:r>
      <w:r>
        <w:t>. En la interposición del recurso se invocó expresamente el art. 161.2 de la Constitución, a los efectos de la suspensión de la norma impugnada, interesándose que por el Tribunal «se ordene la suspensión de la vigencia y aplicación del art. 15.5 de la Ley 7/1984 de 4 de julio, de la Generalidad Valenciana, en cuanto que incluye la emisión y transmisión por cable». Por providencia del 17 de octubre último, se acordó: «Habiéndose invocado por el Presidente del Gobierno el art. 161.2 de la Constitución, se acuerda asimismo, participar a los Presidentes del Gobierno y de las Cortes valencianos la suspensión de la vigencia y aplicación del mencionado art. 15.5, en cuanto que incluye la emisión y transmisión por cable, de dicha Ley 7/1984, de la Generalidad Valenciana, desde el día 9 de octubre corriente, fecha de la formalización del recurso, conforme dispone el art. 30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13 de febrero último se acordó oír a las partes, por plazo común de cinco días, para que expongan lo que estimen procedente acerca del mantenimiento o levantamiento de la suspensión acordada. En plazo han presentado alegaciones el Abogado del Estado y la representación letrada de la Generalidad Valenciana. El Abogado del Estado, en su escrito de 22 de febrero último, sostuvo que debe mantenerse la suspensión porque, de lo contrario, se consolidaría la invasión de una competencia absolutamente estatal, como es la referente a la televisión, aparte de que el levantamiento supondría la posibilidad de perjuicios importantes para la Comunidad, relativos a las inversiones de infraestructura y para terceros concesionarios. </w:t>
      </w:r>
    </w:p>
    <w:p w:rsidR="00256EE9" w:rsidRDefault="00256EE9" w:rsidP="00256EE9">
      <w:pPr>
        <w:pStyle w:val="TextoNormal"/>
      </w:pPr>
      <w:r>
        <w:t>La Generalidad Valenciana alegó, mediante escrito recibido el 25 de febrero del corriente, en solicitud del levantamiento de la suspensión, en razón a que no se ha justificado en absoluto por la representación del Estado que la suspensión pueda producir perjuicios de difícil o imposible reparación, ya que no existe hasta la fecha, que se sepa, ninguna actuación estatal respecto a instalaciones de Radio Televisión Española para la emisión y transmisión a través de cable, mientras que sí los puede producir a la Generalidad Valenciana al imposibilitarle cualquier actuación relacionada con la comercialización de productos relativos al cable a través de Sociedades filiales de Radio y Televisión Valenciana.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161.2 de la Constitución dispone que si la Sentencia no se produjere dentro de los cinco meses siguientes a la iniciación del proceso, el Tribunal debe ratificar o levantar la suspensión.  La ratificación o el levantamiento ha de tomarse en consideración al alcance de la disposición cuestionada y las consecuencias que para los intereses públicos, y, en su caso, los intereses generales o particulares eventualmente comprendidos en los efectos que podrían derivarse de una u otra medida, estimando como efectos relevantes la irreparabilidad o dificultad de las situaciones que pudieran generarse en uno o en el otro caso, todo ello examinado desde el ángulo del carácter preventivo de la suspensión o, en su caso, de la vigencia de la disposición, y al margen de toda consideración acerca de la solución de fondo.  En el presente caso, de la suspensión de la vigencia de la norma en tanto se resuelve acerca de su constitucionalidad no se infiere que pueda producirse un perjuicio, constreñido como está el recurso -y, por ende, de la suspensión-, al inciso que se refiere a la emisión y transmisión mediante cable, esto es, a la autorización de creación de Sociedades filiales con objeto social a la indicada actividad.</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el Tribunal, en su reunión del día de hoy, ha acordado mantener la suspensión dispuesta en virtud del art. 161.2 de la Constitución.</w:t>
      </w:r>
    </w:p>
    <w:p w:rsidR="00256EE9" w:rsidRDefault="00256EE9" w:rsidP="00256EE9">
      <w:pPr>
        <w:pStyle w:val="TextoNormal"/>
      </w:pPr>
    </w:p>
    <w:p w:rsidR="00256EE9" w:rsidRDefault="00256EE9" w:rsidP="00256EE9">
      <w:pPr>
        <w:pStyle w:val="TextoNormal"/>
      </w:pPr>
      <w:r>
        <w:t>Comuníquese a la Generalidad Valenciana y publíquese en el « Boletín Oficial del Estado» y el «Diario Oficial de la Generalidad Valenciana».</w:t>
      </w:r>
    </w:p>
    <w:p w:rsidR="00256EE9" w:rsidRDefault="00256EE9" w:rsidP="00256EE9">
      <w:pPr>
        <w:pStyle w:val="TextoNormal"/>
      </w:pPr>
      <w:r>
        <w:t>Madrid, a siete de marzo de mil novecientos ochenta y cinco.</w:t>
      </w:r>
    </w:p>
    <w:p w:rsidR="00256EE9" w:rsidRDefault="00256EE9">
      <w:pPr>
        <w:rPr>
          <w:rFonts w:ascii="Times New Roman" w:eastAsia="Times New Roman" w:hAnsi="Times New Roman" w:cs="Times New Roman"/>
          <w:sz w:val="24"/>
          <w:szCs w:val="24"/>
          <w:lang w:eastAsia="es-ES"/>
        </w:rPr>
      </w:pPr>
      <w:r>
        <w:lastRenderedPageBreak/>
        <w:br w:type="page"/>
      </w:r>
    </w:p>
    <w:p w:rsidR="00256EE9" w:rsidRDefault="00256EE9" w:rsidP="00256EE9">
      <w:pPr>
        <w:pStyle w:val="TtuloResolucin"/>
      </w:pPr>
      <w:bookmarkStart w:id="237" w:name="AUTO_1985_176"/>
      <w:r>
        <w:lastRenderedPageBreak/>
        <w:t>AUTO 176/1985, de 7 de marzo de 1985</w:t>
      </w:r>
    </w:p>
    <w:bookmarkEnd w:id="237"/>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ECLI:ES:TC:1985:176A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la acumulación de las cuestiones de inconstitucionalidad 437 y 604/1984, 65 y 70/1985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Magistratura de Trabajo núm. 18 de Madrid, en los autos número 268/1984, planteó cuestión de inconstitucionalidad, recibida en este Tribunal el 1 de febrero último y registrada con el núm. 70/1985, en relación con los arts. 5 y 8 de la Ley 46/1977, de 15 de octubre, sobre Amnistía, y 11 bis de la misma adicionado por Ley 1/1984, de 9 de enero, por posible infracción de los arts. 9.3 en relación con el 118 y el 10.1 en relación con el 38, todos ellos de la Constitución. </w:t>
      </w:r>
    </w:p>
    <w:p w:rsidR="00256EE9" w:rsidRDefault="00256EE9" w:rsidP="00256EE9">
      <w:pPr>
        <w:pStyle w:val="TextoNormal"/>
      </w:pPr>
      <w:r>
        <w:t>Por providencia de la Sección Tercera de este Tribunal fue admitida a trámite la referida cuestión, otorgándose los traslados previstos en el artículo 37.2 de la Ley Orgánica del Tribunal Constitucional (LOTC) y publicándose su incoación en el «Boletín Oficial del Estado».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Mediante escrito de la Magistratura de Trabajo núm. 3 de Oviedo, en sus autos núm. 567/1984, presentado en este Tribunal el 19 de junio último, se planteó cuestión, registrada con el número 437/1984, por posible inconstitucionalidad de la disposición adicional de la Ley 1/1984, de 9 de enero, por violación del art. 81, en relación con el 24.1, ambos de la Constitución. </w:t>
      </w:r>
    </w:p>
    <w:p w:rsidR="00256EE9" w:rsidRDefault="00256EE9" w:rsidP="00256EE9">
      <w:pPr>
        <w:pStyle w:val="TextoNormal"/>
      </w:pPr>
      <w:r>
        <w:t xml:space="preserve">La Magistratura de Trabajo núm. 11 de Barcelona, en sus autos núm. </w:t>
      </w:r>
    </w:p>
    <w:p w:rsidR="00256EE9" w:rsidRDefault="00256EE9" w:rsidP="00256EE9">
      <w:pPr>
        <w:pStyle w:val="TextoNormal"/>
      </w:pPr>
      <w:r>
        <w:t xml:space="preserve">1069/1984, presentó escrito el día 31 de julio último, por el que planteó asimismo cuestión de inconstitucionalidad en relación con la citada Ley, por cuanto vulnera los arts. 9 y 62 i) de la Constitución. Aparece registrada con el núm. </w:t>
      </w:r>
    </w:p>
    <w:p w:rsidR="00256EE9" w:rsidRDefault="00256EE9" w:rsidP="00256EE9">
      <w:pPr>
        <w:pStyle w:val="TextoNormal"/>
      </w:pPr>
      <w:r>
        <w:t xml:space="preserve">604/1984. </w:t>
      </w:r>
    </w:p>
    <w:p w:rsidR="00256EE9" w:rsidRDefault="00256EE9" w:rsidP="00256EE9">
      <w:pPr>
        <w:pStyle w:val="TextoNormal"/>
      </w:pPr>
      <w:r>
        <w:t>Por sendas providencias de 27 de junio y 19 de septiembre últimos, dictadas respectivamente, por la Sección Tercera y Cuarta del Tribunal, fueron admitidas a trámite las referidas cuestiones y conferidos los traslados, de conformidad con lo dispuesto en el art. 37.2 de la LOTC, acordándose asimismo publicar la incoación de las cuestiones en el «Boletín Oficial del Estado».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xml:space="preserve">. El 30 de enero último se recibió escrito, que fue registrado con el núm. 65/1985, de la Magistratura de Trabajo núm. </w:t>
      </w:r>
    </w:p>
    <w:p w:rsidR="00256EE9" w:rsidRDefault="00256EE9" w:rsidP="00256EE9">
      <w:pPr>
        <w:pStyle w:val="TextoNormal"/>
      </w:pPr>
      <w:r>
        <w:t xml:space="preserve">13 de Barcelona, dimanante de autos 729/1984, en el que se plantea cuestión por posible inconstitucionalidad de la Ley 1/1984, de 9 de enero, de adición de un nuevo artículo a la Ley 46/1977, de 15 de octubre, sobre Amnistía, por oposición al art, 9.3 de la Constitución. </w:t>
      </w:r>
    </w:p>
    <w:p w:rsidR="00256EE9" w:rsidRDefault="00256EE9" w:rsidP="00256EE9">
      <w:pPr>
        <w:pStyle w:val="TextoNormal"/>
      </w:pPr>
      <w:r>
        <w:t xml:space="preserve">Fue admitida a trámite por la Sección Tercera en providencia de 6 de febrero último, acordándose asimismo los traslados previstos en el art, 37.2 de la LOTC y la publicación en el «Boletín Oficial del Estado». </w:t>
      </w:r>
    </w:p>
    <w:p w:rsidR="00256EE9" w:rsidRDefault="00256EE9" w:rsidP="00256EE9">
      <w:pPr>
        <w:pStyle w:val="TextoNormal"/>
      </w:pPr>
      <w:r>
        <w:t xml:space="preserve">4, Las cuestiones 437/1984 y 604/1984, en las que se personaron y formularon alegaciones el Abogado del Estado en nombre del Gobierno y el Fiscal General del Estado, fueron acumuladas por Auto del Pleno de 22 de noviembre de 1984 al existir entre las mismas conexiones entre los objetos de uno y otro proceso que justifica una tramitación conjunta y una sola decisión. </w:t>
      </w:r>
    </w:p>
    <w:p w:rsidR="00256EE9" w:rsidRDefault="00256EE9" w:rsidP="00256EE9">
      <w:pPr>
        <w:pStyle w:val="TextoNormal"/>
      </w:pPr>
      <w:r>
        <w:t xml:space="preserve">5. En la cuestión registrada con el núm. 65/1985 ha comparecido el Fiscal General del Estado, mediante escrito de 25 de febrero último, en el que formula las correspondientes alegaciones y por otrosí sugiere al Tribunal la conveniencia de acumular a las cuestiones de inconstitucionalidad 437/1984 y 604/1984, la registrada con el núm. 65/1985, por entender que se dan las circunstancias que se expresan en el art. 83 de la LOTC. El Abogado del Estado, en representación del Gobierno, comparece en las cuestiones 65/1985 y 70/1985 y manifiesta, en su escrito de 15 de febrero último, que la temática de ambas cuestiones es idéntica, como idénticos son los supuestos de hecho que los organismos judiciales proponentes han de resolver, y a su vez que las dos cuestiones presentan también una conexión objetiva con las registradas a los núms. </w:t>
      </w:r>
    </w:p>
    <w:p w:rsidR="00256EE9" w:rsidRDefault="00256EE9" w:rsidP="00256EE9">
      <w:pPr>
        <w:pStyle w:val="TextoNormal"/>
      </w:pPr>
      <w:r>
        <w:t xml:space="preserve">437 y 604/1984 ya acumuladas, para terminar solicitando del Tribunal la acumulación de todas estas cuestiones de inconstitucionalidad, concediéndole, una vez sustanciado el incidente, nuevo plazo para alegaciones en los procesos 65 y 70/1985. </w:t>
      </w:r>
    </w:p>
    <w:p w:rsidR="00256EE9" w:rsidRDefault="00256EE9" w:rsidP="00256EE9">
      <w:pPr>
        <w:pStyle w:val="TextoNormal"/>
      </w:pPr>
      <w:r>
        <w:t>El Fiscal General del Estado, personado en la cuestión 70/1985, mediante escrito de 26 de febrero, en el que formula sus alegaciones, solicita asimismo mediante otrosí a dicho escrito que si bien en la presente cuestión 70/1985 se plantean problemas no expresamente recogidos en los demás procesos de idéntica naturaleza en tramitación, la evidente conexión existente aconseja la acumulación de todos ellos, como así lo interesa del Tribunal.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Las dos cuestiones de inconstitucionalidad ya acumuladas, 437/1984 y 604/1984, así como las registradas con los núms.  65/1985 y 70/1985, aparecen planteadas por diferentes Magistraturas de Trabajo en relación con la Ley 1/1984, de 9 de enero, que adiciona el art.  11 bis a la Ley 46/1977, de 15 de enero, sobre Amnistía, y tanto el Fiscal General del Estado como el Abogado del Estado, únicas partes comparecidas en dichas cuestiones, se han pronunciado sobre la posible acumulación de las mismas.  La unidad de tramitación y de resolución está justificada en este caso al darse el presupuesto de conexión objetiva a que se refiere el art.  83 de la LOTC y por ello es procedente acordar la acumulación a fin de que desde ahora continúen tramitándose en un solo proceso.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Por lo expuesto, el Pleno del Tribunal acuerda acumular la cuestión de inconstitucionalidad promovida por la Magistratura de Trabajo núm.  18 de Madrid y registrada al núm. 70/1985 y la registrada con el núm. 65/1985, planteada por la Magistratura de</w:t>
      </w:r>
    </w:p>
    <w:p w:rsidR="00256EE9" w:rsidRDefault="00256EE9" w:rsidP="00256EE9">
      <w:pPr>
        <w:pStyle w:val="TextoNormal"/>
      </w:pPr>
      <w:r>
        <w:t>Trabajo núm. 13 de Barcelona, a las ya acumuladas núms. 437/1984 y 604/1984 que fueron planteadas respectivamente por la Magistratura de Trabajo núm. 3 de Oviedo y la Magistratura de Trabajo número 11 de Barcelona.  Asimismo se acuerda conceder un nuevo</w:t>
      </w:r>
    </w:p>
    <w:p w:rsidR="00256EE9" w:rsidRDefault="00256EE9" w:rsidP="00256EE9">
      <w:pPr>
        <w:pStyle w:val="TextoNormal"/>
      </w:pPr>
      <w:r>
        <w:t>plazo de quince días al Abogado del Estado para que formule alegaciones respecto de las cuestiones 65/1985 y 70/1985.</w:t>
      </w:r>
    </w:p>
    <w:p w:rsidR="00256EE9" w:rsidRDefault="00256EE9" w:rsidP="00256EE9">
      <w:pPr>
        <w:pStyle w:val="TextoNormal"/>
      </w:pPr>
    </w:p>
    <w:p w:rsidR="00256EE9" w:rsidRDefault="00256EE9" w:rsidP="00256EE9">
      <w:pPr>
        <w:pStyle w:val="TextoNormal"/>
      </w:pPr>
      <w:r>
        <w:t>Madrid, a 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38" w:name="AUTO_1985_177"/>
      <w:r>
        <w:lastRenderedPageBreak/>
        <w:t>AUTO 177/1985, de 13 de marzo de 1985</w:t>
      </w:r>
    </w:p>
    <w:bookmarkEnd w:id="23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ECLI:ES:TC:1985:177A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696/1983</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María Vicente Solla presentó en el Registro General de este Tribunal el 19 de octubre de 1983 un escrito promoviendo recurso de amparo contra el Auto de la Audiencia Provincial de Barcelona de 27 de septiembre de 1983 recaído en el recurso de apelación formulado contra el Auto del Juzgado de Instrucción núm. 11 de Barcelona de 7 de abril de 1983, desestimatorio a su vez del recurso de reforma interpuesto contra otro dictado por el mismo Juzgado en diligencias previas 3944/1981-T, con fecha de 3 de febrero de 1983. </w:t>
      </w:r>
    </w:p>
    <w:p w:rsidR="00256EE9" w:rsidRDefault="00256EE9" w:rsidP="00256EE9">
      <w:pPr>
        <w:pStyle w:val="TextoNormal"/>
      </w:pPr>
      <w:r>
        <w:t>El recurrente solicita la concesión del beneficio de pobreza y la designación de Abogado y Procurador del turno de oficio, así como la interrupción del plazo legal para formalizar la demanda de amparo, entendiendo/haber sufrido indefensión en la sustanciación del procedimiento y, por ello, violación del derecho a la tutela judicial efectiva (art. 24.1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escrito contiene la relación sucinta de los siguientes hechos: </w:t>
      </w:r>
    </w:p>
    <w:p w:rsidR="00256EE9" w:rsidRDefault="00256EE9" w:rsidP="00256EE9">
      <w:pPr>
        <w:pStyle w:val="TextoNormal"/>
      </w:pPr>
      <w:r>
        <w:t xml:space="preserve">a) El señor Vicente trabajaba para la empresa «Probincuatro, S. A.» en un local denominado «Bingo 71.». </w:t>
      </w:r>
    </w:p>
    <w:p w:rsidR="00256EE9" w:rsidRDefault="00256EE9" w:rsidP="00256EE9">
      <w:pPr>
        <w:pStyle w:val="TextoNormal"/>
      </w:pPr>
      <w:r>
        <w:t xml:space="preserve">b) La Empresa comunicó al trabajador la conclusión del contrato de trabajo el 6 de agosto de 1981, ofreciendo al mismo el 6 de octubre de 1981 en acto de conciliación ante el IMAC la cantidad de 72.000 pesetas y la afiliación al subsidio de paro, lo que fue rechazado por aquél. </w:t>
      </w:r>
    </w:p>
    <w:p w:rsidR="00256EE9" w:rsidRDefault="00256EE9" w:rsidP="00256EE9">
      <w:pPr>
        <w:pStyle w:val="TextoNormal"/>
      </w:pPr>
      <w:r>
        <w:t xml:space="preserve">c) En el acto del juicio celebrado ante la Magistratura de Trabajo núm. 16 de Barcelona, la Empresa presentó un documento fechado el 19 de septiembre de 1981, del que se acompaña copia, en el que se expresaba haberse recibido por el trabajador la cantidad de 62.275 pesetas como saldo y finiquito de todos sus derechos. </w:t>
      </w:r>
    </w:p>
    <w:p w:rsidR="00256EE9" w:rsidRDefault="00256EE9" w:rsidP="00256EE9">
      <w:pPr>
        <w:pStyle w:val="TextoNormal"/>
      </w:pPr>
      <w:r>
        <w:t xml:space="preserve">d) El trabajador formuló querella criminal por el supuesto delito de falsedad contra los representantes legales de la Empresa, negando haber firmado tal recibo, y el Juzgado de Instrucción núm. 11 de Barcelona mandó practicar prueba pericial caligráfica acerca de la autenticidad de la firma del recibo. El Gabinete correspondiente de la Jefatura Superior de Policia de Barcelona emitió dictamen en el sentido de que la firma era auténtica y correspondía a don José María Vicente Solla. </w:t>
      </w:r>
    </w:p>
    <w:p w:rsidR="00256EE9" w:rsidRDefault="00256EE9" w:rsidP="00256EE9">
      <w:pPr>
        <w:pStyle w:val="TextoNormal"/>
      </w:pPr>
      <w:r>
        <w:lastRenderedPageBreak/>
        <w:t xml:space="preserve">e) Mediante Auto de 3 de febrero de 1983, del que se acompaña copia, el Juzgado decretó el archivo de las diligencias previas, por considerar que los hechos no eran constitutivos de infracción penal y el señor Vicente por escrito de fecha 13 de febrero de 1983, del que se acompaña copia, interpuso recurso de reforma y subsidiario de apelación. En dicho escrito se decía que, si de la prueba pericial mandada realizar por el Juzgado hubiese resultado que la firma fuese auténtica, tal firma habría sido aprovechada de un folio firmado en blanco, añadiendo que la única persona a quien el solicitante del amparo ha firmado en blanco fue al Letrado laboralista señor Fernández Casado, en tres folios de papel en blanco, con motivo, según dijo, de aprovechar los mismos para formular demanda ante Magistratura de Trabajo, acto en el que estaban presentes el señor Pizarro Borrás y la esposa del actor, que deberían ser citados al Juzgado para que aclaren este extremo. En la última alegación del recurso se decía: «procede, pues, que se practique como diligencias para esclarecer definitivamente el asunto planteado, nueva prueba pericial documentada para establecer si efectivamente la firma dubitada, caso de ser auténtica, ha sido puesta en blanco, y con razón a dicha firma ha sido confeccionado el documento». Finalmente se suplicaba se reformara el Auto apelado por otro que acuerde las diligencias de prueba interesadas. </w:t>
      </w:r>
    </w:p>
    <w:p w:rsidR="00256EE9" w:rsidRDefault="00256EE9" w:rsidP="00256EE9">
      <w:pPr>
        <w:pStyle w:val="TextoNormal"/>
      </w:pPr>
      <w:r>
        <w:t xml:space="preserve">f) En posterior escrito de fecha 25 de marzo, del que también se acompaña copia, el recurrente solicitó se citase a declarar al Abogado laboralista don José Luis Fernández Casado, al objeto de que se informase del destino de las hojas de papel firmadas en blanco e insistió en que se citase a las personas que presenciaron el hecho. El recurrente afirmaba en este escrito que habían sido procesados los representantes de «Probincuatro, S. A. » por delito de falsificación, y solicitaba que se expediese exhorto interesando del correspondiente Juzgado información al respecto. </w:t>
      </w:r>
    </w:p>
    <w:p w:rsidR="00256EE9" w:rsidRDefault="00256EE9" w:rsidP="00256EE9">
      <w:pPr>
        <w:pStyle w:val="TextoNormal"/>
      </w:pPr>
      <w:r>
        <w:t xml:space="preserve">g) Por providencia de 6 de abril de 1983, el Juzgado declaró no haber lugar a lo solicitado, por estar pendiente la resolución del recurso de reforma, que fue desestimado por Auto del Juzgado de Instrucción núm. 11 de Barcelona de 7 de abril de 1983, resolución en la que se admitía el recurso de apelación, en ambos efectos, ante la Audiencia Provincial. </w:t>
      </w:r>
    </w:p>
    <w:p w:rsidR="00256EE9" w:rsidRDefault="00256EE9" w:rsidP="00256EE9">
      <w:pPr>
        <w:pStyle w:val="TextoNormal"/>
      </w:pPr>
      <w:r>
        <w:t>h) Finalmente, por Auto de 27 de septiembre de 1983, del que igualmente se acompaña copia, la Audiencia Provincial de Barcelona declaró no haber lugar al recurso de apelación, manteniendo el Auto apelado en todas sus partes. En dicho Auto -considerando primero-, acompañado por el actor en defectuosa fotocopia, se razonaba en el sentido de que la prueba pericial caligráfica practicada por el Gabinete Central de Identificación es definitiva al respecto de acreditar positivamente que la firma con el nombre y primer apellido del querellante estampada al pie del documento de 19 de septiembre de 1981 es auténtica del mismo; entendiéndose que carece de significación la circunstancia de que entre la dicha firma y el texto mecanográfico que le precede medie más o menos espacio en blanco, pues aún rellenándose aquél fraudulentamente, luego de firmado, como se dice en el recurso, nada impediría que se hubiese suscrito con una separación menor; sin que, de igual modo, merezca mayor consideración el dato de que una ulterior pericial descubriera que el referido texto y el término «firmado» con el subrayado que le sigue no fueran coetáneos porque este último nada pone ni quita al contenido documental, para cuya eficacia bastaría la firma de quien reconoce haber recibido la cantidad a que se refiere.</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solicitante del amparo alega que el archivo de las actuaciones sin practicar las pruebas solicitadas le produce un perjuicio irreparable, pues se encuentra parado desde su despido el 6 de agosto de 1981, hallándose la Magistratura de Trabajo a la espera del resultado de la querella interpuesta. </w:t>
      </w:r>
    </w:p>
    <w:p w:rsidR="00256EE9" w:rsidRDefault="00256EE9" w:rsidP="00256EE9">
      <w:pPr>
        <w:pStyle w:val="TextoNormal"/>
      </w:pPr>
      <w:r>
        <w:lastRenderedPageBreak/>
        <w:t>Por último, el recurrente afirma que es pobre en el sentido legal, por haber quedado sin trabajo con ocasión de los hechos relatados.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Segunda de la Sala Primera de este Tribunal acordó en providencia de 23 de noviembre de 1983, tener por recibidos los escritos del recurrente de 19 de octubre y el posterior de 23 de noviembre de 1983 en el que se reitera la situación de paro laboral y dirigió comunicaciones al Consejo General de la Abogacía y al Colegio de Procuradores de Madrid a fin de que designasen Letrado y Procurador del turno de oficio al solicitante del amparo. En nueva providencia de la Sección de 8 de febrero de 1984 se tiene por hecha la designación de Procurador a don José Luis Barneto Arnaiz y se acuerda, de conformidad con el escrito del recurrente de 1 de febrero de 1984, librar comunicación al Consejo General de la Abogacía, a fin de que se proceda a la designación de Letrado del turno de oficio para la dirección legal del recurrente de los del Colegio de Abogados de Barcelona, si ello fuera posible. </w:t>
      </w:r>
    </w:p>
    <w:p w:rsidR="00256EE9" w:rsidRDefault="00256EE9" w:rsidP="00256EE9">
      <w:pPr>
        <w:pStyle w:val="TextoNormal"/>
      </w:pPr>
      <w:r>
        <w:t xml:space="preserve">Antes de finalizar la tramitación necesaria para la designación de Letrado de oficio, en la que se produjo la excusa del primeramente nombrado, el recurrente presenta un escrito de fecha 24 de octubre de l984 en el que solicita que se tenga por hecha la designación del Letrado don Francisco de la Fuente Arévalo, quien, con fecha de 8 de octubre de 1984 emite dictamen favorable al ejercicio de la acción en el recurso de amparo que pretende interponer el señor Vicente, criterio que también se muestra favorable en el dictamen del Letrado don Luis García Bravo, siempre que se confirmase que al recurrente en amparo le fue denegada tácitamente la prueba pericial caligráfica y la testifical para que fuesen oídos los señores Pizarro Borrás ante los que, al parecer, hizo entrega a un Letrado de tres folios firmados en blanco, extremo no confirmado por el análisis de la documentación. </w:t>
      </w:r>
    </w:p>
    <w:p w:rsidR="00256EE9" w:rsidRDefault="00256EE9" w:rsidP="00256EE9">
      <w:pPr>
        <w:pStyle w:val="TextoNormal"/>
      </w:pPr>
      <w:r>
        <w:t>La Sección en providencia de 7 de noviembre de 1984 acordó a la vista del escrito del señor Vicente y de los dictámenes emitidos por los dos Letrados designados por el Consejo General de la Abogacia, dejar sin efecto la tramitación iniciada para la designación de Letrado de oficio y tener por nombrado por el propio recurrente a don Francisco de la Fuente Arévalo, a quien se le concede un plazo de diez días para formalizar la demanda.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el escrito de demanda presentado en este Tribunal el día 23 de noviembre de 1984 por el Procurador de los Tribunales don José Luis Barneto Arnaiz en nombre de don José María Vicente Solla, asistido del Letrado don Francisco de la Fuente Arévalo se hacen constar, sucintamente, los siguientes apartados: </w:t>
      </w:r>
    </w:p>
    <w:p w:rsidR="00256EE9" w:rsidRDefault="00256EE9" w:rsidP="00256EE9">
      <w:pPr>
        <w:pStyle w:val="TextoNormal"/>
      </w:pPr>
      <w:r>
        <w:t xml:space="preserve">a) Entrando en el fondo de la cuestión no cabe duda de que privar a un ciudadano de la protección jurídica que brinda el núm. l del art. 24 de la Constitución, es un acto contra dicha Ley suprema. </w:t>
      </w:r>
    </w:p>
    <w:p w:rsidR="00256EE9" w:rsidRDefault="00256EE9" w:rsidP="00256EE9">
      <w:pPr>
        <w:pStyle w:val="TextoNormal"/>
      </w:pPr>
      <w:r>
        <w:t xml:space="preserve">Los Tribunales de Barcelona no han admitido unas pruebas que serían elocuentes y decisivas para probar el delito cometido y con tanto perjuicio para el justiciable, se le ha privado a éste de la tutela efectiva que a través de los Jueces y Tribunales depara el referido precepto constitucional. </w:t>
      </w:r>
    </w:p>
    <w:p w:rsidR="00256EE9" w:rsidRDefault="00256EE9" w:rsidP="00256EE9">
      <w:pPr>
        <w:pStyle w:val="TextoNormal"/>
      </w:pPr>
      <w:r>
        <w:t xml:space="preserve">b) Antes de acudir a este Tribunal, el recurrente ha agotado todas las posibilidades para que se le hiciera justicia pues interpuso recurso de reforma y subsidiariamente de apelación contra el Auto de 3 de febrero de 1983 del Juzgado de Instrucción núm. 11 de Barcelona que decretaba el archivo de las diligencias, y contra el de 7 de abril del mismo año que lo confirmó. </w:t>
      </w:r>
    </w:p>
    <w:p w:rsidR="00256EE9" w:rsidRDefault="00256EE9" w:rsidP="00256EE9">
      <w:pPr>
        <w:pStyle w:val="TextoNormal"/>
      </w:pPr>
      <w:r>
        <w:t xml:space="preserve">Hoy se extiende su agravio también al Auto de 27 de septiembre de 1983 de la Sección Segunda de la Audiencia Provincial de Barcelona que siguió la misma vía que el Juzgado, </w:t>
      </w:r>
      <w:r>
        <w:lastRenderedPageBreak/>
        <w:t xml:space="preserve">no porque «los hechos no sean constitutivos de infracción penal» como se lee en la resolución del Juzgado, sino porque las pruebas efectuadas no son bastantes a acreditar la infracción penal denunciada. O sea, que el Juzgado y la Audiencia Provincial no coinciden en la apreciación de por qué las actuaciones debían ser archivadas. </w:t>
      </w:r>
    </w:p>
    <w:p w:rsidR="00256EE9" w:rsidRDefault="00256EE9" w:rsidP="00256EE9">
      <w:pPr>
        <w:pStyle w:val="TextoNormal"/>
      </w:pPr>
      <w:r>
        <w:t xml:space="preserve">c) Existe cada vez más extendida la picaresca mediante la cual se obliga al trabajador antes de ser admitido en la Empresa, a que firme algún documento en blanco, y tanto en el art. 64.1.5 del vigente Estatuto de los Trabajadores como el art. 21.1 de la Ley de Relaciones Laborales que le precedió decretaron la intervención de otros responsables en el «documento en que el trabajador declara terminada la relación de trabajo y satisfechos sus derechos laborales», lo que revela la precaución con que hay que mirar estos negocios jurídicos en que el trabajador parece querer «ahorcarse» económicamente con la firma de un documento que viene a ser la renuncia de unos bien ganados e indiscutibles derechos. </w:t>
      </w:r>
    </w:p>
    <w:p w:rsidR="00256EE9" w:rsidRDefault="00256EE9" w:rsidP="00256EE9">
      <w:pPr>
        <w:pStyle w:val="TextoNormal"/>
      </w:pPr>
      <w:r>
        <w:t>La parte recurrente concluye solicitando del Tribunal que disponga sean desarchivadas las diligencias previas núms. 3944/1981, del Juzgado de Instrucción núm. 11 de Barcelona relativas a querella promovida por el señor Vicente, así como decretar la nulidad de las actuaciones a partir del Auto de 3 de febrero de 1983 de dicho Juzgado, retrotrayendo aquéllas al momento inmediato anterior a la expresada resolución, y que sean admitidas y practicadas las pruebas que fueron propuestas por el querellante en escritos al Juzgado de 13 de febrero y 25 de marzo de 1983, siguiendo adelante a partir de aquel momento el procedimiento penal por sus trámites legales.</w:t>
      </w:r>
    </w:p>
    <w:p w:rsidR="00256EE9" w:rsidRDefault="00256EE9" w:rsidP="00256EE9">
      <w:pPr>
        <w:pStyle w:val="TextoNormal"/>
      </w:pPr>
    </w:p>
    <w:p w:rsidR="00256EE9" w:rsidRDefault="00256EE9" w:rsidP="00256EE9">
      <w:pPr>
        <w:pStyle w:val="TextoNormal"/>
      </w:pPr>
      <w:r w:rsidRPr="00256EE9">
        <w:rPr>
          <w:rStyle w:val="NumeroAFNegritaCaracter"/>
        </w:rPr>
        <w:t>6</w:t>
      </w:r>
      <w:r>
        <w:t>. En nuevo escrito de fecha 30 de noviembre de 1984 la parte recurrente hace constar ante este Tribunal que el Magistrado de Trabajo núm. 16 de Barcelona en la que se tramita el procedimiento de despido improcedente núm. 1128/1981 de la Empresa de bingo la «Probincuatro, S. A.» contra el señor Vicente Solla es el mismo que con anterioridad ostentaba la titularidad del Juzgado de Instrucción núm. 11 de Barcelona en el que se tramitan las diligencias previas núm. 3944/1981, objeto del recurso de amparo, por lo que la parte recurrente solicita del Tribunal Constitucional que, a tenor de la legislación aplicable, se dirija una comunicación al Magistrado de Trabajo núm. 16 de Barcelona para que, en tanto no se resuelva el recurso de amparo y, en su caso, la acción penal pendiente, se abstenga de dictar Sentencia en el procedimiento laboral expresado y que continúen en suspenso las actuaciones.</w:t>
      </w:r>
    </w:p>
    <w:p w:rsidR="00256EE9" w:rsidRDefault="00256EE9" w:rsidP="00256EE9">
      <w:pPr>
        <w:pStyle w:val="TextoNormal"/>
      </w:pPr>
    </w:p>
    <w:p w:rsidR="00256EE9" w:rsidRDefault="00256EE9" w:rsidP="00256EE9">
      <w:pPr>
        <w:pStyle w:val="TextoNormal"/>
      </w:pPr>
      <w:r w:rsidRPr="00256EE9">
        <w:rPr>
          <w:rStyle w:val="NumeroAFNegritaCaracter"/>
        </w:rPr>
        <w:t>7</w:t>
      </w:r>
      <w:r>
        <w:t>. La Sección, en providencia de 5 de diciembre de 1984, acordó hacer saber a la parte solicitante del amparo y al Ministerio Fiscal la posible existencia de los siguientes motivos de inadmisión: 1.° Ser la demanda defectuosa al no haber invocado formalmente el derecho constitucional vulnerado [art. 50.1 b) en conexión con el art. 44.1 c) de la Ley Orgánica del Tribunal Constitucional -LOTC-]. 2.° Carecer la demanda manifiestamente de contenido constitucional [art. 50.2 b) de la LOTC]. Se acordó conceder, en consecuencia, un plazo de diez días al Ministerio Fiscal y a la parte recurrente para que formulasen alegaciones y en cuanto al escrito de 30 de noviembre de 1984 se acordó dar traslado al Ministerio Fiscal para que formulase sobre lo solicitado las alegaciones procedentes.</w:t>
      </w:r>
    </w:p>
    <w:p w:rsidR="00256EE9" w:rsidRDefault="00256EE9" w:rsidP="00256EE9">
      <w:pPr>
        <w:pStyle w:val="TextoNormal"/>
      </w:pPr>
    </w:p>
    <w:p w:rsidR="00256EE9" w:rsidRDefault="00256EE9" w:rsidP="00256EE9">
      <w:pPr>
        <w:pStyle w:val="TextoNormal"/>
      </w:pPr>
      <w:r w:rsidRPr="00256EE9">
        <w:rPr>
          <w:rStyle w:val="NumeroAFNegritaCaracter"/>
        </w:rPr>
        <w:t>8</w:t>
      </w:r>
      <w:r>
        <w:t xml:space="preserve">. El Fiscal ante el Tribunal Constitucional, por escrito de 18 de diciembre de 1984, formuló, en síntesis, las siguientes alegaciones: </w:t>
      </w:r>
    </w:p>
    <w:p w:rsidR="00256EE9" w:rsidRDefault="00256EE9" w:rsidP="00256EE9">
      <w:pPr>
        <w:pStyle w:val="TextoNormal"/>
      </w:pPr>
      <w:r>
        <w:lastRenderedPageBreak/>
        <w:t xml:space="preserve">a) La naturaleza del recurso de amparo es subsidiaria respecto al procedimiento ante la jurisdicción ordinaria. Solamente en el supuesto de que por ésta no sea restaurado el derecho constitucional vulnerado, tendrá fundamento el amparo constitucional. </w:t>
      </w:r>
    </w:p>
    <w:p w:rsidR="00256EE9" w:rsidRDefault="00256EE9" w:rsidP="00256EE9">
      <w:pPr>
        <w:pStyle w:val="TextoNormal"/>
      </w:pPr>
      <w:r>
        <w:t xml:space="preserve">Por ello el art. 44.1 c) exige que tan pronto sea conocida la violación, se invoque formalmente en el momento procesal adecuado. </w:t>
      </w:r>
    </w:p>
    <w:p w:rsidR="00256EE9" w:rsidRDefault="00256EE9" w:rsidP="00256EE9">
      <w:pPr>
        <w:pStyle w:val="TextoNormal"/>
      </w:pPr>
      <w:r>
        <w:t xml:space="preserve">En el caso concreto, la violación pretendida, se realizó en el Auto del Juzgado de Instrucción, que decretó el archivo, sin practicar la prueba solicitada. El momento procesal adecuado fue al interponer el recurso de reforma ante el mismo Juzgado, o bien al interponer la apelación ante la Audiencia. No consta esta invocación formal, en estos momentos procesales, por lo que se da esta causa de inadmisión, que tiene el carácter de insubsanable. </w:t>
      </w:r>
    </w:p>
    <w:p w:rsidR="00256EE9" w:rsidRDefault="00256EE9" w:rsidP="00256EE9">
      <w:pPr>
        <w:pStyle w:val="TextoNormal"/>
      </w:pPr>
      <w:r>
        <w:t xml:space="preserve">b) El recurrente funda la demanda de amparo en la presunta violación del art. 24. 1, al negar el Juzgado y luego la Audiencia la práctica de una prueba solicitada por aquél y archivar las actuaciones por no considerar los hechos delictivos. </w:t>
      </w:r>
    </w:p>
    <w:p w:rsidR="00256EE9" w:rsidRDefault="00256EE9" w:rsidP="00256EE9">
      <w:pPr>
        <w:pStyle w:val="TextoNormal"/>
      </w:pPr>
      <w:r>
        <w:t xml:space="preserve">El archivo de las actuaciones penales en la fase de instrucción, y la desestimación de la querella, no constituye por sí un desconocimiento del derecho fundamental reconocido en el art. 24.1 de la Constitución, si se obtiene decisión judicial fundada en Derecho. </w:t>
      </w:r>
    </w:p>
    <w:p w:rsidR="00256EE9" w:rsidRDefault="00256EE9" w:rsidP="00256EE9">
      <w:pPr>
        <w:pStyle w:val="TextoNormal"/>
      </w:pPr>
      <w:r>
        <w:t xml:space="preserve">El art. 24.1 exige una fundamentación para dicha actuación judicial, bien sea en el Auto del Juez o en la resolución de la Audiencia y si ésta existe, no cabe hablar de violación del articulo citado. Reiteradamente ha señalado la jurisprudencia del Tribunal Constitucional que corresponde a los Tribunales penales la subsunción de las conductas en los tipos y que tratándose de la interpretación y aplicación de la legalidad ordinaria, el criterio sustentado por los órganos judiciales no puede ser sustituido por el Tribunal Constitucional. </w:t>
      </w:r>
    </w:p>
    <w:p w:rsidR="00256EE9" w:rsidRDefault="00256EE9" w:rsidP="00256EE9">
      <w:pPr>
        <w:pStyle w:val="TextoNormal"/>
      </w:pPr>
      <w:r>
        <w:t xml:space="preserve">c) Estudiando el caso concreto se fundamenta todo el recurso en la inadmisión de una prueba solicitada por el recurrente. La querella era por falsedad de una firma estampada en un recibo de saldo y finiquito y en ella se practicó prueba pericial caligráfica, que reconoció la firma como auténtica del querellante. Este solicitó prueba sobre la coetaneidad de la firma y el escrito, alegando un abuso de firma en blanco y ni el Juzgado, ni posteriormente la Audiencia de manera razonada admitieron esta prueba y consideraron bastante la realizada, y su denegación es alegada por el recurrente como violación del art. 24.1 de la Constitución. </w:t>
      </w:r>
    </w:p>
    <w:p w:rsidR="00256EE9" w:rsidRDefault="00256EE9" w:rsidP="00256EE9">
      <w:pPr>
        <w:pStyle w:val="TextoNormal"/>
      </w:pPr>
      <w:r>
        <w:t xml:space="preserve">d) El art. 24. 1 no es un derecho ilimitado a que se practiquen todas las pruebas propuestas, sino a que el órgano judicial resuelva motivadamente sobre la pertinencia o impertinencia de las propuestas y la determinación de los medios de investigación en función de los hechos y su eventual subsunción corresponde, de acuerdo al art. 117.3 a la Jurisdicción ordinaria. </w:t>
      </w:r>
    </w:p>
    <w:p w:rsidR="00256EE9" w:rsidRDefault="00256EE9" w:rsidP="00256EE9">
      <w:pPr>
        <w:pStyle w:val="TextoNormal"/>
      </w:pPr>
      <w:r>
        <w:t xml:space="preserve">Es ella por lo tanto, quien debe determinar estos medios de prueba, en función del hecho alegado. La resolución de la Audiencia fundamenta en su considerando la razón o motivo de la no admisión de dicha prueba en relación con los hechos alegados en la querella, y en base a ese razonamiento la deniega. Como consecuencia concurre la causa de inadmisión del art. 50.2 b ) de la LOTC. </w:t>
      </w:r>
    </w:p>
    <w:p w:rsidR="00256EE9" w:rsidRDefault="00256EE9" w:rsidP="00256EE9">
      <w:pPr>
        <w:pStyle w:val="TextoNormal"/>
      </w:pPr>
      <w:r>
        <w:t>El Ministerio Fiscal, interesa se dicte Auto de acuerdo con el art. 86. 1 de la LOTC, desestimando la demanda de amparo por incurrir en las causas señaladas, previstas en el art. 50.1 b) en conexión con el art. 44.1 c) y 50.2 b) de la LOTC.</w:t>
      </w:r>
    </w:p>
    <w:p w:rsidR="00256EE9" w:rsidRDefault="00256EE9" w:rsidP="00256EE9">
      <w:pPr>
        <w:pStyle w:val="TextoNormal"/>
      </w:pPr>
    </w:p>
    <w:p w:rsidR="00256EE9" w:rsidRDefault="00256EE9" w:rsidP="00256EE9">
      <w:pPr>
        <w:pStyle w:val="TextoNormal"/>
      </w:pPr>
      <w:r w:rsidRPr="00256EE9">
        <w:rPr>
          <w:rStyle w:val="NumeroAFNegritaCaracter"/>
        </w:rPr>
        <w:t>9</w:t>
      </w:r>
      <w:r>
        <w:t xml:space="preserve">. La parte recurrente, por escrito de 26 de diciembre de 1984, formula, resumidamente, las siguientes alegaciones: </w:t>
      </w:r>
    </w:p>
    <w:p w:rsidR="00256EE9" w:rsidRDefault="00256EE9" w:rsidP="00256EE9">
      <w:pPr>
        <w:pStyle w:val="TextoNormal"/>
      </w:pPr>
      <w:r>
        <w:lastRenderedPageBreak/>
        <w:t xml:space="preserve">a) El primer motivo de posible inadmisión que se señala con base en el art. 44.1 c) de la LOTC parece totalmente impropio en casos como el presente, ya que con ello ocurriría una de estas dos cosas: O bien todos ( o la gran mayoría) de recursos que ordinariamente se esgrimen ante los Tribunales de Justicia tendrían que ir acompañados desde ahora, «en cautela», de la advertencia de que de no concederse lo que se solicita se apelaría a un recurso de amparo. O bien, si se dejase de anunciar tal medida, quedarían cerradas a este recurso todas las irregularidades de la justicia. </w:t>
      </w:r>
    </w:p>
    <w:p w:rsidR="00256EE9" w:rsidRDefault="00256EE9" w:rsidP="00256EE9">
      <w:pPr>
        <w:pStyle w:val="TextoNormal"/>
      </w:pPr>
      <w:r>
        <w:t xml:space="preserve">Ambos supuestos son totalmente rechazables, porque advertir rutinariamente y de costumbre a los Tribunales que si no nos dan lo que pedimos recurriremos a esta vía excepcional de amparo, es algo que repugna, pues parece como si ya de entrada consideráramos que el Tribunal es capaz de cualquier anomalía o desafuero. </w:t>
      </w:r>
    </w:p>
    <w:p w:rsidR="00256EE9" w:rsidRDefault="00256EE9" w:rsidP="00256EE9">
      <w:pPr>
        <w:pStyle w:val="TextoNormal"/>
      </w:pPr>
      <w:r>
        <w:t xml:space="preserve">En consecuencia, la no admisión del recurso por el expresado motivo consideramos que constituiría un peligroso precedente que causaría auténtica conmoción en el campo jurídico procesal. </w:t>
      </w:r>
    </w:p>
    <w:p w:rsidR="00256EE9" w:rsidRDefault="00256EE9" w:rsidP="00256EE9">
      <w:pPr>
        <w:pStyle w:val="TextoNormal"/>
      </w:pPr>
      <w:r>
        <w:t xml:space="preserve">b) En cuanto al segundo motivo que se señala de posible inadmisión no parece más convincente que el anterior, pues el art. 41.2 de la LOTC dice claramente que el recurso de amparo protege a todos los ciudadanos contra las violaciones de derechos originadas por actos jurídicos. Los Autos denunciados de la justicia de Barcelona no pueden ser de índole más jurídica, ni tampoco más evidente el desamparo en que se ha dejado al afectado. </w:t>
      </w:r>
    </w:p>
    <w:p w:rsidR="00256EE9" w:rsidRDefault="00256EE9" w:rsidP="00256EE9">
      <w:pPr>
        <w:pStyle w:val="TextoNormal"/>
      </w:pPr>
      <w:r>
        <w:t xml:space="preserve">c) La indefensión y ausencia absoluta de tutela de Jueces y Tribunales es lo que ha tenido lugar en este caso. Suele admitirse muchas veces hasta pruebas superfluas y lo que no acostumbra a suceder es que sean desechadas, sin más, unas pruebas tan pertinentes como las propuestas por el recurrente. </w:t>
      </w:r>
    </w:p>
    <w:p w:rsidR="00256EE9" w:rsidRDefault="00256EE9" w:rsidP="00256EE9">
      <w:pPr>
        <w:pStyle w:val="TextoNormal"/>
      </w:pPr>
      <w:r>
        <w:t>En suma, estima la parte recurrente que existe contenido constitucional que cae plena y manifiestamente dentro del recurso de amparo y, en consecuencia, solicita la 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existen las causas de inadmisión puestas de manifiesto en la providencia de 5 de diciembre de 1984 (antecedente 7).</w:t>
      </w:r>
    </w:p>
    <w:p w:rsidR="00256EE9" w:rsidRDefault="00256EE9" w:rsidP="00256EE9">
      <w:pPr>
        <w:pStyle w:val="TextoNormal"/>
      </w:pPr>
    </w:p>
    <w:p w:rsidR="00256EE9" w:rsidRDefault="00256EE9" w:rsidP="00256EE9">
      <w:pPr>
        <w:pStyle w:val="TextoNormal"/>
      </w:pPr>
      <w:r w:rsidRPr="00256EE9">
        <w:rPr>
          <w:rStyle w:val="NumeroAFNegritaCaracter"/>
        </w:rPr>
        <w:t>2</w:t>
      </w:r>
      <w:r>
        <w:t>. En primer lugar examinamos la posible existencia de la causa de inadmisión consistente en ser la demanda defectuosa al no haber invocado formalmente en el proceso el derecho constitucional vulnerado, a juicio del actor, tan pronto como, una vez reconocida la violación, hubiera lugar para ello [art. 50.1 b), en conexión con el art. 44.1 c), ambos de la Ley Orgánica del Tribunal Constitucional -LOTC-].</w:t>
      </w:r>
    </w:p>
    <w:p w:rsidR="00256EE9" w:rsidRDefault="00256EE9" w:rsidP="00256EE9">
      <w:pPr>
        <w:pStyle w:val="TextoNormal"/>
      </w:pPr>
      <w:r>
        <w:t>El cumplimiento de este requisito no tiene mera trascendencia formal, como ha declarado el Tribunal en muy reiteradas ocasiones, sino que cumple la función de dar ocasión a los órganos jurisdiccionales a que se pronuncien sobre la pretendida violación, dado que a los mismos corresponde la tutela general de los derechos y libertades susceptibles de amparo (artículo 41.1 de la LOTC); el incumplimiento de este requisito supone una desvirtuación del recurso de amparo, que es de carácter subsidiario, al alegarse por primera vez ante el mismo el derecho vulnerado.</w:t>
      </w:r>
    </w:p>
    <w:p w:rsidR="00256EE9" w:rsidRDefault="00256EE9" w:rsidP="00256EE9">
      <w:pPr>
        <w:pStyle w:val="TextoNormal"/>
      </w:pPr>
      <w:r>
        <w:t xml:space="preserve">Del propio escrito de recurso de reforma y subsidiario de apelación, y del escrito de alegaciones del recurrente, se deduce con claridad que tal invocación no se efectuó en el </w:t>
      </w:r>
      <w:r>
        <w:lastRenderedPageBreak/>
        <w:t>recurso de reforma, ni tampoco en el de apelación mencionados, por lo que resulta claro que si existe tal causa de inadmisión.</w:t>
      </w:r>
    </w:p>
    <w:p w:rsidR="00256EE9" w:rsidRDefault="00256EE9" w:rsidP="00256EE9">
      <w:pPr>
        <w:pStyle w:val="TextoNormal"/>
      </w:pPr>
    </w:p>
    <w:p w:rsidR="00256EE9" w:rsidRDefault="00256EE9" w:rsidP="00256EE9">
      <w:pPr>
        <w:pStyle w:val="TextoNormal"/>
      </w:pPr>
      <w:r w:rsidRPr="00256EE9">
        <w:rPr>
          <w:rStyle w:val="NumeroAFNegritaCaracter"/>
        </w:rPr>
        <w:t>3</w:t>
      </w:r>
      <w:r>
        <w:t>. A continuación, a mayor abundamiento, nos referimos a la segunda causa de inadmisión puesta de manifiesto en nuestra providencia de 5 de diciembre de 1984, que es la prevista en el art. 50.2 b) de la LOTC, es decir, la de carecer la demanda manifiestamente de contenido que justifique una decisión por parte del Tribunal Constitucional en forma de Sentencia con el desarrollo procesal consiguiente.  A cuyo efecto hemos de examinar si el Auto impugnado ha podido vulnerar el art.  24. 1 de la Constitución, al no acordar la práctica de las diligencias de prueba interesadas por el actor en el recurso de reforma y subsidiario de apelación.</w:t>
      </w:r>
    </w:p>
    <w:p w:rsidR="00256EE9" w:rsidRDefault="00256EE9" w:rsidP="00256EE9">
      <w:pPr>
        <w:pStyle w:val="TextoNormal"/>
      </w:pPr>
      <w:r>
        <w:t>En relación con este punto, la Sección ha de recordar que, según ha declarado el Tribunal en reiteradas ocasiones, el art.  24.1 de la Constitución comprende el derecho a obtener una resolución fundada en Derecho, sea o no favorable a las pretensiones del actor, y que el 24.2, en cuanto reconoce el derecho a utilizar las pruebas pertinentes, remite a una valoración que corresponde efectuar al Juez penal, sin perjuicio de que este Tribunal pueda revisar su decisión, si bien únicamente en los supuestos de falta total de fundamentación o de absoluta incongruencia en la motivación de la repulsa, por hallarse afectado en este caso el art.  24.2 de la Constitución.</w:t>
      </w:r>
    </w:p>
    <w:p w:rsidR="00256EE9" w:rsidRDefault="00256EE9" w:rsidP="00256EE9">
      <w:pPr>
        <w:pStyle w:val="TextoNormal"/>
      </w:pPr>
      <w:r>
        <w:t>En el presente caso se observa que no se ha producido la vulneración alegada por el actor, que ha obtenido una resolución fundada en Derecho, aunque no haya sido favorable a sus pretensiones, resolución que no es absolutamente incongruente, sino que, por el contrario, razona la improcedencia de acceder a la práctica de la prueba pericial solicitada.</w:t>
      </w:r>
    </w:p>
    <w:p w:rsidR="00256EE9" w:rsidRDefault="00256EE9" w:rsidP="00256EE9">
      <w:pPr>
        <w:pStyle w:val="TextoNormal"/>
      </w:pPr>
      <w:r>
        <w:t>En conclusión, se observa de forma patente que sí existe la causa de inadmisión prevista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4</w:t>
      </w:r>
      <w:r>
        <w:t>. La existencia de las dos causas de inadmisión consideradas dan lugar a la inadmisibilidad del recurso y, en consecuencia, a que no proceda acceder a lo solicitado por el recurrente (antecedente 6) en orden a que se dirija comunicación al Magistrado de Trabajo núm. 16 de Barcelona para que, en tanto no se resuelva el recurso de amparo y, en su caso, la acción penal pendiente, se abstenga de dictar Sentencia en el procedimiento laboral en curso.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39" w:name="AUTO_1985_178"/>
      <w:r>
        <w:lastRenderedPageBreak/>
        <w:t>AUTO 178/1985, de 13 de marzo de 1985</w:t>
      </w:r>
    </w:p>
    <w:bookmarkEnd w:id="239"/>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ECLI:ES:TC:1985:178A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801/1983</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fecha 2 de diciembre de 1983, el Procurador de los Tribunales don José Sánchez Jáuregui, en nombre y representación de don Manuel Cano Granados, interpone recurso de amparo contra la Sentencia núm. 476/1983, dictada en segunda instancia por la Audiencia Territorial de Granada el 7 de octubre de 1983.</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en que se apoya la presente demanda de amparo son los siguientes: </w:t>
      </w:r>
    </w:p>
    <w:p w:rsidR="00256EE9" w:rsidRDefault="00256EE9" w:rsidP="00256EE9">
      <w:pPr>
        <w:pStyle w:val="TextoNormal"/>
      </w:pPr>
      <w:r>
        <w:t xml:space="preserve">a) Con fecha 21 de abril de 1982, el Juzgado de Primera Instancia núm. 1 de los de Granada dictó Sentencia en el juicio ejecutivo sobre pago de letra de cambio instado por don Carlos Tejera Palacios contra don Manuel Cano Granados, declarando la nulidad del mismo por entender que, al no haberse respetado el espíritu del art. 505 del Código de Comercio y practicarse la correspondiente diligencia de protesto ante un vecino desconocido y alejado del lugar que consta en la letra, se colocó al ejecutado en una situación de indefensión. </w:t>
      </w:r>
    </w:p>
    <w:p w:rsidR="00256EE9" w:rsidRDefault="00256EE9" w:rsidP="00256EE9">
      <w:pPr>
        <w:pStyle w:val="TextoNormal"/>
      </w:pPr>
      <w:r>
        <w:t>b) Interpuesto por el ejecutante recurso de apelación, la Audiencia Territorial de Granada, con fecha 7 de octubre de 1983, dictó Sentencia por la que estimó la apelación interpuesta, revocando, en consecuencia, la dictada en primera instancia.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Considera la representación del recurrente que la Sentencia impugnada en amparo vulnera los derechos a la tutela judicial efectiva y a la igualdad, reconocidos, respectivamente, por los arts. 24.1 y 14 de la Constitución. </w:t>
      </w:r>
    </w:p>
    <w:p w:rsidR="00256EE9" w:rsidRDefault="00256EE9" w:rsidP="00256EE9">
      <w:pPr>
        <w:pStyle w:val="TextoNormal"/>
      </w:pPr>
      <w:r>
        <w:t xml:space="preserve">El primero de estos derechos se habría vulnerado mediante la indefensión derivada de la interpretación literal de los arts. 504 y 505 del Código de Comercio mantenida en la Sentencia, pues, al practicarse el protesto de la letra en el domicilio de un tercero que, como consta en los Autos, vive en otro sector de la ciudad y ni conoce a su representado ni le notifica el protesto de la letra, se ha privado a aquél del ejercicio de los derechos que le concede la legislación vigente para hacerlos valer antes de la iniciación del procedimiento ejecutivo y que tienen como finalidad facilitar el acuerdo de las partes sin necesidad de interponer acciones judiciales. </w:t>
      </w:r>
    </w:p>
    <w:p w:rsidR="00256EE9" w:rsidRDefault="00256EE9" w:rsidP="00256EE9">
      <w:pPr>
        <w:pStyle w:val="TextoNormal"/>
      </w:pPr>
      <w:r>
        <w:t xml:space="preserve">La infracción del derecho reconocido en el art. 14 de la Constitución se habría producido al amparar la Sentencia impugnada una situación irregular, en virtud de la cual se le impone a su representado la carga de ser parte como demandado en un juicio ejecutivo en </w:t>
      </w:r>
      <w:r>
        <w:lastRenderedPageBreak/>
        <w:t xml:space="preserve">el que se establece una discriminación entre las partes que, si bien tiene justificación en los casos a que se refiere al art. 1.449 de la L.E.C. (debe decir, sin duda, 1.429), deja de tenerla cuando ha privado a la parte más débil del ejercicio de las acciones que, según se ha indicado, se conceden legalmente con carácter previo al juicio ejecutivo. </w:t>
      </w:r>
    </w:p>
    <w:p w:rsidR="00256EE9" w:rsidRDefault="00256EE9" w:rsidP="00256EE9">
      <w:pPr>
        <w:pStyle w:val="TextoNormal"/>
      </w:pPr>
      <w:r>
        <w:t>En consecuencia, la representación del recurrente solicita de este Tribunal la admisión a trámite del recurso y que, previa la suspensión del acto recurrido, dicte Sentencia en la que declare la nulidad de la dictada en apelación por la Audiencia Territorial de Granada con fecha 7 de octubre de 1983.</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26 de diciembre de 1983, la Sección Primera de la Sala Primera de este Tribunal Constitucional de conformidad con el art. 50 de la Ley Orgánica del mismo (LOTC), acuerda conceder un plazo común de diez días al solicitante de amparo y al Ministerio Fiscal a fin de que aleguen lo que estimen pertinente en relación con la posible existencia del siguiente motivo de inadmisión: carecer la demanda manifiestamente de contenido que justifique una decisión por parte del Tribunal Constitucional [art. 50.2 b) de la LOTC]. Asimismo acuerda comunicar al interesado que, una vez se decida sobre la admisión o no a trámite del recurso, se resolverá sobre la suspensión solicitada.</w:t>
      </w:r>
    </w:p>
    <w:p w:rsidR="00256EE9" w:rsidRDefault="00256EE9" w:rsidP="00256EE9">
      <w:pPr>
        <w:pStyle w:val="TextoNormal"/>
      </w:pPr>
    </w:p>
    <w:p w:rsidR="00256EE9" w:rsidRDefault="00256EE9" w:rsidP="00256EE9">
      <w:pPr>
        <w:pStyle w:val="TextoNormal"/>
      </w:pPr>
      <w:r w:rsidRPr="00256EE9">
        <w:rPr>
          <w:rStyle w:val="NumeroAFNegritaCaracter"/>
        </w:rPr>
        <w:t>5</w:t>
      </w:r>
      <w:r>
        <w:t>. Por escrito de 12 de enero de 1984, el Ministerio Fiscal manifiesta que concurre el indicado motivo de inadmisión. No se ha producido -alega la vulneración del derecho a la tutela judicial efectiva, pues ninguno de los contenidos en que la esencia de dicho derecho consiste le ha sido desconocido o negado al recurrente por la resolución impugnada; ésta se dictó de forma jurídicamente razonada, tras haberse tramitado en debida forma el recurso de apelación y habiendo tenido oportunidad de hacer valer sus pretensiones y argumentos quien ahora solicita el amparo. Por otra parte, la cuestión que plantea la interpretación del art. 505 del Código de Comercio fue ya resuelta en sede judicial, y la indefensión denunciada por el demandante, como pretendida consecuencia de lo que considera un irregular protesto de letra de cambio, se compadece mal con el hecho innegable de que obtuvo una Sentencia favorable en la primera instancia. Tampoco se ha originado, a juicio del Ministerio Fiscal, una vulneración del art. 14 de la Constitución, pues la situación de relativa inferioridad en que se encuentra el demandado en un juicio ejecutivo en relación con el demandante puede estimarse razonablemente impuesta por la especial relación jurídico-procesal que entre ambos se articula.</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La parte recurrente, en su escrito de 16 de enero de 1984, considera que debe admitirse el recurso de amparo, pues la Sentencia recurrida ha producido indefensión al estimar que el acto del protesto no adolecía de vicio de nulidad, siendo así que la forma de realizar dicho protesto supone una vulneración del derecho de defensa constitucionalmente reconocido ya que, si falta la notificación personal y no se garantiza de algún modo la recepción personal del protesto, difícilmente puede el interesado hacer valer las excepciones que le amparan. Así ocurre -señala n el supuesto de falsedad en la aceptación, excepción que no podrá hacer valer después en el juicio ejecutivo, sino sólo en un declarativo, una vez que se hayan sufrido las consecuencias de la ejecución. Aunque en el presente caso -añadeno se da dicho supuesto, existieron otras razones para la falta de pago que pudieron alegarse en el acto del protesto o inmediatamente después de haberlo recibido de un vecino próximo. </w:t>
      </w:r>
    </w:p>
    <w:p w:rsidR="00256EE9" w:rsidRDefault="00256EE9" w:rsidP="00256EE9">
      <w:pPr>
        <w:pStyle w:val="TextoNormal"/>
      </w:pPr>
      <w:r>
        <w:lastRenderedPageBreak/>
        <w:t>A juicio del recurrente, la situación de indefensión creada sólo podrá superarse si el Tribunal Constitucional entiende del fondo del asunto y, declarando la nulidad de la Sentencia impugnada, repone las actuaciones al momento procesal anterior al de dictar Sentencia. En otro caso, se le originarán al recurrente unos perjuicios de difícil reparación en la vía ordinaria y que podían haberse reparado de haber llegado a su poder la diligencia de protesto. Finalmente, aunque el objeto del recurso se refiere directamente a la Sentencia dictada en apelación, indirectamente se dirige también contra el modo en que se practicó el protesto por el Notario, pues es una interpretación de los arts. 504 y 505 del Código de Comercio no acorde con los principios constitucionales lo que ha originado el presente recurso de amparo. De no pronunciarse el Tribunal Constitucional sobre este tema, prosperaría una interpretación que desvirtuaría la diligencia de protesto y dejaría indefenso al obligado cambiario en el procedimiento prejudicial y, posteriormente, en el ejecutivo.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Según se deduce del escrito de alegaciones, la cuestión planteada por el recurrente se centra en la interpretación de los arts.  504 y 505 del Código de Comercio en la redacción que les confirió la Ley 47/1967, de 22 de julio.  El recurrente discrepa de la interpretación que de dichos artículos hizo la Audiencia Territorial de Granada en su Sentencia de 7 de octubre de 1983 -de sentido contrario a la mantenida por el Juzgado de Primera Instancia núm. 1 de la misma capital- en cuanto a la forma de practicarse la notificación del protesto.</w:t>
      </w:r>
    </w:p>
    <w:p w:rsidR="00256EE9" w:rsidRDefault="00256EE9" w:rsidP="00256EE9">
      <w:pPr>
        <w:pStyle w:val="TextoNormal"/>
      </w:pPr>
    </w:p>
    <w:p w:rsidR="00256EE9" w:rsidRDefault="00256EE9" w:rsidP="00256EE9">
      <w:pPr>
        <w:pStyle w:val="TextoNormal"/>
      </w:pPr>
      <w:r w:rsidRPr="00256EE9">
        <w:rPr>
          <w:rStyle w:val="NumeroAFNegritaCaracter"/>
        </w:rPr>
        <w:t>2</w:t>
      </w:r>
      <w:r>
        <w:t>. La interpretación de los mencionados preceptos realizada por los órganos judiciales sólo podría ser objeto de consideración por este Tribunal Constitucional en la medida en que de ella derivase la vulneración de un derecho fundamental del recurrente.</w:t>
      </w:r>
    </w:p>
    <w:p w:rsidR="00256EE9" w:rsidRDefault="00256EE9" w:rsidP="00256EE9">
      <w:pPr>
        <w:pStyle w:val="TextoNormal"/>
      </w:pPr>
      <w:r>
        <w:t>El Tribunal Constitucional no es una tercera instancia revisora de las actuaciones judiciales y, como señala el art. 54 de la LOTC, su función en el recurso de amparo se limita a concretar si las resoluciones judiciales han violado derechos o libertades del demandante y a preservar o restablecer tales derechos o libertades, debiendo abstenerse de cualquier otra consideración sobre la actuación de los órganos judiciales.</w:t>
      </w:r>
    </w:p>
    <w:p w:rsidR="00256EE9" w:rsidRDefault="00256EE9" w:rsidP="00256EE9">
      <w:pPr>
        <w:pStyle w:val="TextoNormal"/>
      </w:pPr>
    </w:p>
    <w:p w:rsidR="00256EE9" w:rsidRDefault="00256EE9" w:rsidP="00256EE9">
      <w:pPr>
        <w:pStyle w:val="TextoNormal"/>
      </w:pPr>
      <w:r w:rsidRPr="00256EE9">
        <w:rPr>
          <w:rStyle w:val="NumeroAFNegritaCaracter"/>
        </w:rPr>
        <w:t>3</w:t>
      </w:r>
      <w:r>
        <w:t>. El recurrente fundamenta su pretensión en la vulneración del art. 24. 1 de la Constitución, alegando que la postura mantenida por la Audiencia Territorial en la Sentencia impugnada le ha colocado en situación de indefensión. Pero en ningún momento concreta en qué medida afectó a su derecho de defensa la forma en que fue realizado el protesto, y del examen de los escritos presentados y de los documentos aportados se deduce que tal vulneración no se ha producido. La razón de fondo aducida por el recurrente para justificar la falta de pago de la letra de cambio es que el vendedor no cumplió su obligación de entregar las parcelas vendidas con dotación de los servicios de agua, saneamiento y energía eléctrica.  Pues bien, en cualquier caso tal alegación no hubiera impedido el ejercicio de la acción ejecutiva por parte del librador, y sobre la excepción en cuestión el recurrente en amparo obtuvo en el juicio ejecutivo, en grado de apelación, un pronunciamiento jurídicamente fundado del correspondiente órgano judicial -considerando segundo de la Sentencia impugnada-, sin que haya aducido la existencia de impedimento alguno en la defensa de sus intereses en dicho procedimiento, En realidad, el recurrente plantea con carácter general la cuestión relativa a la indefensión que, a su juicio, se deriva de la falta de notifi</w:t>
      </w:r>
      <w:r>
        <w:lastRenderedPageBreak/>
        <w:t>cación personal del protesto al impedir al librador hacer valer las excepciones que amparan; incluso para poner de manifiesto dicha situación de indefensión alude a un supuesto -la falsedad en la aceptacion- que, según él mismo reconoce, no corresponde a su caso.</w:t>
      </w:r>
    </w:p>
    <w:p w:rsidR="00256EE9" w:rsidRDefault="00256EE9" w:rsidP="00256EE9">
      <w:pPr>
        <w:pStyle w:val="TextoNormal"/>
      </w:pPr>
      <w:r>
        <w:t>Pero, no constando en el presente recurso la alegada vulneración del art.  24.1 de la Constitución, no procede, como hemos indicado anteriormente, pronunciamiento alguno de este Tribunal sobre la interpretación que de los preceptos legales aplicables al caso han realizado los órganos judiciales.  Y, al mismo tiempo, al no producirse dicha vulneración, la demanda carece de contenido que justifique una decisión de fondo por parte del Tribunal Constitucional.</w:t>
      </w:r>
    </w:p>
    <w:p w:rsidR="00256EE9" w:rsidRDefault="00256EE9" w:rsidP="00256EE9">
      <w:pPr>
        <w:pStyle w:val="TextoNormal"/>
      </w:pPr>
    </w:p>
    <w:p w:rsidR="00256EE9" w:rsidRDefault="00256EE9" w:rsidP="00256EE9">
      <w:pPr>
        <w:pStyle w:val="TextoNormal"/>
      </w:pPr>
      <w:r w:rsidRPr="00256EE9">
        <w:rPr>
          <w:rStyle w:val="NumeroAFNegritaCaracter"/>
        </w:rPr>
        <w:t>4</w:t>
      </w:r>
      <w:r>
        <w:t>. Finalmente, la falta de concreción del recurrente respecto a la presunta vulneración del art.  14 de la Constitución -dado que se limita a alegar que se le ha sometido a un proceso desigual sin la concurrencia de los requisitos formales- impide a este Tribunal entrar a examinar dicha cuestión, que, por otra parte, aparece suscitada en el escrito de demanda pero no se recoge en el escrito de alegaciones.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anteriormente expuesto, la Sección acuerda la inadmisión del recurso de amparo interpuesto por el Procurador de los Tribunales don José Sánchez Jáuregui, en nombre y representación de don Manuel Cano Granados, y el archivo de las actuaciones.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40" w:name="AUTO_1985_179"/>
      <w:r>
        <w:lastRenderedPageBreak/>
        <w:t>AUTO 179/1985, de 13 de marzo de 1985</w:t>
      </w:r>
    </w:p>
    <w:bookmarkEnd w:id="240"/>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ECLI:ES:TC:1985:179A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647/1984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Buenaventura García García, Abogado, interpuso en su propio nombre, mediante escrito que tuvo su entrada en el Tribunal Constitucional el 23 de agosto de 1984, presentado en el Juzgado de Guardia de Sevilla el 3 de agosto anterior, recurso de amparo contra la Sentencia del Tribunal Central de Trabajo de 24 de mayo de 1984, desestimatoria del recurso de suplicación por él interpuesto contra Sentencia de la Magistratura de Trabajo núm. 2 de Sevilla, dictada en Auto 267/1983. </w:t>
      </w:r>
    </w:p>
    <w:p w:rsidR="00256EE9" w:rsidRDefault="00256EE9" w:rsidP="00256EE9">
      <w:pPr>
        <w:pStyle w:val="TextoNormal"/>
      </w:pPr>
      <w:r>
        <w:t xml:space="preserve">De la confusa relación de antecedentes y hechos expuestos en la demanda, así como de la documentación acompañada, venían a deducirse, en esencia, los siguientes hechos: </w:t>
      </w:r>
    </w:p>
    <w:p w:rsidR="00256EE9" w:rsidRDefault="00256EE9" w:rsidP="00256EE9">
      <w:pPr>
        <w:pStyle w:val="TextoNormal"/>
      </w:pPr>
      <w:r>
        <w:t xml:space="preserve">a) Doña María Dolores Marchena Delgado había formalizado el 1 de octubre de 1976 un contrato de Sociedad con su tío don Manuel Delgado Rodríguez, este último en calidad -que no ostentaba realmente- de titular y propietario del Colegio «Calderón de la Barca» de Sevilla, cuya titularidad correspondía entonces al solicitante de amparo. </w:t>
      </w:r>
    </w:p>
    <w:p w:rsidR="00256EE9" w:rsidRDefault="00256EE9" w:rsidP="00256EE9">
      <w:pPr>
        <w:pStyle w:val="TextoNormal"/>
      </w:pPr>
      <w:r>
        <w:t xml:space="preserve">b) El demandante de amparo se vio precisado, a causa de la situación interna del Centro docente, a «rescindir su compromiso con el señor Delgado», y a expulsar del Centro a los causantes de la situación, entre los que se encontraba la señora Marchena, constituyéndose por el personal restante una cooperativa de trabajo Asociado de Enseñanza, a la que aquél cedió la titularidad del Colegio. El cese de la señora Marchena se produjo, al parecer, el 11 de noviembre de 1979. </w:t>
      </w:r>
    </w:p>
    <w:p w:rsidR="00256EE9" w:rsidRDefault="00256EE9" w:rsidP="00256EE9">
      <w:pPr>
        <w:pStyle w:val="TextoNormal"/>
      </w:pPr>
      <w:r>
        <w:t xml:space="preserve">c) La señora Marchena formuló el 24 de diciembre de 1979 demanda de despido improcedente contra don Buenaventura García, que fue estimada por Sentencia de la Magistratura de Trabajo núm. 2, de 25 de febrero de 1980, aclarada por Auto de 1 de marzo de 1980, la cual condenó al demandado a readmitir a la actora en su puesto de trabajo y al abono de los salarios de tramitación. En dicha Sentencia se habría estimado que la relación de la señora Marchena con su tío y empleador se había transformado en relación laboral con don Buenaventura García García a partir del 10 de octubre de 1979. </w:t>
      </w:r>
    </w:p>
    <w:p w:rsidR="00256EE9" w:rsidRDefault="00256EE9" w:rsidP="00256EE9">
      <w:pPr>
        <w:pStyle w:val="TextoNormal"/>
      </w:pPr>
      <w:r>
        <w:t xml:space="preserve">d) La señora Marchena Delgado interpuso recurso de suplicación, negando que su relación laboral se hubiera iniciado el 10 de octubre de 1979. El Tribunal Central de Trabajo desestimó el recurso por Sentencia, al parecer, de 16 de septiembre de 1981. </w:t>
      </w:r>
    </w:p>
    <w:p w:rsidR="00256EE9" w:rsidRDefault="00256EE9" w:rsidP="00256EE9">
      <w:pPr>
        <w:pStyle w:val="TextoNormal"/>
      </w:pPr>
      <w:r>
        <w:t>e) Requerido don Buenaventura García a la readmisión de la trabajadora, sin que tal readmisión llegara a efectuarse -el solicitante de amparo indica como motivo de ello el que la titularidad del Colegio había sido transferida antes de admitirse a trámite la demanda por despido-, y solicitada el 3 de noviembre de 1981 la ejecución de la Sentencia, la Ma</w:t>
      </w:r>
      <w:r>
        <w:lastRenderedPageBreak/>
        <w:t xml:space="preserve">gistratura de Trabajo núm. 2 de Sevilla dictó Auto de 26 de noviembre de 1981 declarando resuelto el contrato e imponiendo a don Buenaventura García la obligación de indemnizar a la trabajadora en 8.000 pesetas, así como de abonar en concepto de indemnización los salarios dejados de percibir desde la fecha del despido a la del Auto, ascendentes a 972.805 pesetas. </w:t>
      </w:r>
    </w:p>
    <w:p w:rsidR="00256EE9" w:rsidRDefault="00256EE9" w:rsidP="00256EE9">
      <w:pPr>
        <w:pStyle w:val="TextoNormal"/>
      </w:pPr>
      <w:r>
        <w:t xml:space="preserve">f) Don Buenaventura García García formalizó el 30 de junio de 1982 escrito de reclamación previa ante el Ministerio de Trabajo (Dirección Provincial de Sevilla), a fin de que satisfaciese los salarios de tramitación antes indicados, reclamación que fue desestimada por Resolución de 9 de febrero de 1983. </w:t>
      </w:r>
    </w:p>
    <w:p w:rsidR="00256EE9" w:rsidRDefault="00256EE9" w:rsidP="00256EE9">
      <w:pPr>
        <w:pStyle w:val="TextoNormal"/>
      </w:pPr>
      <w:r>
        <w:t xml:space="preserve">g) Formalizada demanda por el solicitante de amparo contra dicha Dirección Provincial y la señora Marchena, en reclamación sobre salarios de tramitación, recayó Sentencia desestimatoria de la Magistratura de Trabajo núm. 2 de Sevilla de 10 de octubre de 1983. </w:t>
      </w:r>
    </w:p>
    <w:p w:rsidR="00256EE9" w:rsidRDefault="00256EE9" w:rsidP="00256EE9">
      <w:pPr>
        <w:pStyle w:val="TextoNormal"/>
      </w:pPr>
      <w:r>
        <w:t xml:space="preserve">h) Interpuesto por el solicitante de amparo contra la anterior Sentencia recurso de suplicación, éste fue desestimado por Sentencia del Tribunal Central de Trabajo de 24 de mayo de 1984, notificada -se dice- el 12 de julio. En dicha Sentencia se consideró, entre otros extremos, no ser aplicable retroactivamente el Estatuto de los Trabajadores, «que introdujo la novedad normativa consistente en la participación del Estado en el pago de los salarios de tramitación debidos por despido improcedente», al haber recaído la Sentencia declarando la procedencia del despido, y el Auto que la aclaró, antes de la entrada en vigor de dicha Ley. Y, por otra parte, que el art. 227 de la Ley de Procedimiento Laboral exige, para resarcir al empresario de los salarios devengados durante el término de un recurso extraordinario, que el propio empresario haya satisfecho tales salarios, lo que consta que no había ocurrido, por lo que, aunque las normas denunciadas como inaplicadas tuviesen alcance retroactivo, faltaría el presupuesto de hecho necesario para su aplicación. </w:t>
      </w:r>
    </w:p>
    <w:p w:rsidR="00256EE9" w:rsidRDefault="00256EE9" w:rsidP="00256EE9">
      <w:pPr>
        <w:pStyle w:val="TextoNormal"/>
      </w:pPr>
      <w:r>
        <w:t>En la demanda de amparo se citaban como infringidos los arts. 9.3, 14, 24 y 121 de la Constitución, razonándose en esencia que es injusto y anticonstitucional que el mal funcionamiento de la jurisdicción laboral y el incumplimiento de los términos y plazos procesales redunden en beneficio de una de las partes -la que interpuso un recurso que fue desestimado-, y en perjuicio de la otra -la que, a pesar de «ganar» el recurso, se ve obligada a satisfacer los salarios de tramitación-, y que no se hayan aplicado en su caso el Estatuto de los Trabajadores y el Real Decreto de 17 de abril de 1982, que establecen un cauce para pagar los salarios de tramitación por parte del Estado. Y se solicitaba se declarase el derecho del demandante de amparo a no ser condenado a pagar los salarios de tramitación correspondientes al incumplimiento de los plazos legales por parte de la Magistratura y del Tribunal Central de Trabajo y a la interposición y pérdida del recurso de suplicación por la parte contraria, así como a que le sean aplicados los arts. 9.3 y 118 de la Constitución, el Estatuto de los Trabajadores y el Real Decreto de 17 de abril de 1982, condenando al Estado al pago de los salarios de tramitación correspondientes al incumplimiento de plazos procesales o, en su defecto, a los Magistrados responsables del incumplimiento de dichos plazos.</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Cuarta, por providencia de 17 de octubre de 1984, acordó poner de manifiesto la posible existencia de las siguientes causas de inadmisibilidad: 1.ª Falta de claridad y precisión en la fundamentación del recurso y en el amparo que se solicita [art. 50.1 b), en relación con el 49.1, ambos de la LOTC]. 2.ª Carencia manifiesta de contenido que justifique una decisión por parte del Tribunal Constitucional [art. 50.2 b ) de la LOTC], otorgando un plazo común de diez días al recurrente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El Fiscal dijo dentro de ese plazo, en cuanto a la causa del art. 50.1 b), en relación con el 49.1 de la LOTC, que no existe precisión en la demanda, ni claridad en los hechos que se exponen, ni concreción en lo que se afirma, y que lo que se solicita es ajeno al contenido del amparo; y en cuanto al motivo del art. 50.2 b) de la LOTC, que el recurrente fundamenta el recurso en la pretendida violación de los arts. 14 y 24 de la C.E., pero no dice en qué consisten dichas violaciones, no aportándose términos de comparación para que pueda apreciarse la violación del art. 14, ni pudiéndose tampoco apreciar violación del art. 24, pues el recurrente ha tenido acceso al proceso, ha solicitado el pago de los salarios de tramitación por el Estado, ha hecho las alegaciones pertinentes, ha propuesto prueba y se ha dictado resolución judicial, sin que pueda admitirse, por no ser objeto del presente recurso de amparo, el que se consideren violación del art. 24 de la C.E. las dilaciones indebidas, ya que, si se produjeren, lo fueron en el procedimiento laboral anterior.</w:t>
      </w:r>
    </w:p>
    <w:p w:rsidR="00256EE9" w:rsidRDefault="00256EE9" w:rsidP="00256EE9">
      <w:pPr>
        <w:pStyle w:val="TextoNormal"/>
      </w:pPr>
    </w:p>
    <w:p w:rsidR="00256EE9" w:rsidRDefault="00256EE9" w:rsidP="00256EE9">
      <w:pPr>
        <w:pStyle w:val="TextoNormal"/>
      </w:pPr>
      <w:r w:rsidRPr="00256EE9">
        <w:rPr>
          <w:rStyle w:val="NumeroAFNegritaCaracter"/>
        </w:rPr>
        <w:t>4</w:t>
      </w:r>
      <w:r>
        <w:t>. El solicitante de amparo, tras serle notificada la providencia de 17 de octubre de 1984, formuló escrito de alegaciones de fecha 12 de febrero de 1985 en el que insistió en que los hechos alegados suponen violación de derechos fundamentales al verse condenado el demandante a pagar salarios de tramitación que obedecen al incumplimiento de plazos legales que originan dilaciones indebidas, a causa de la tardanza ocasionada por la tramitación ante la Magistratura de Trabajo y el Tribunal Central y por el recurso formalizado por la parte contraria, con inaplicación del art. 121 de la C.E. e infracción de los arts. 14 y 24 de la C.E.; fundando tales apreciaciones con la cita de la Sentencia del Tribunal Constitucional.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Las cuestiones que, en esencia, parece plantear con sus confusos escritos el recurrente en amparo, citando como infringidos diversos preceptos constitucionales, son, por un lado, la de si debieron ser aplicados en el caso de que se trata, el Estatuto de los Trabajadores -especialmente su art. 56.5- y el Real Decreto de 17 de abril de 1982, en lo referente a que el abono de parte de los salarios de tramitación deba ser por cuenta del Estado cuando la Sentencia declarando la improcedencia del despido haya sido dictada transcurridos más de sesenta días desde la presentación de la demanda; así como, por otro lado, la de si también debe ser resarcido aquél por el Estado de los salarios de tramitación correspondientes al recurso de suplicación interpuesto en su día por la trabajadora despedida.  Se trata, evidentemente, de cuestiones de mera legalidad, de las que han conocido los órganos de la jurisdicción laboral, no sólo en el proceso previo al presente recurso de amparo -el iniciado por la demanda del solicitante de amparo formulada en reclamación del Estado de salarios de tramitación-, sino incluso también, en su día, al resolver la Magistratura de Trabajo sobre la ejecución de la Sentencia declarando el despido improcedente. La eficacia en el tiempo y la mayor o menor retroactividad del Estatuto de los Trabajadores u otras normas sobre abono de salarios de tramitación son cuestiones por sí solas insuficientes para dotar de contenido constitucional a un recurso de amparo.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cita de la violación de los derechos del art.  14 de la C. E., nada tiene que ver con la cuestión planteada, puesto que el que los Tribunales resuelvan en uno u otro sentido, </w:t>
      </w:r>
      <w:r>
        <w:lastRenderedPageBreak/>
        <w:t>bien favorable, o bien adverso a cada una de las partes, en modo alguno atenta contra la igualdad de las mismas en el proceso. Como tampoco afecta al principio de igualdad el que las normas sobre salarios de tramitación tengan o no eficacia retroactiva.</w:t>
      </w:r>
    </w:p>
    <w:p w:rsidR="00256EE9" w:rsidRDefault="00256EE9" w:rsidP="00256EE9">
      <w:pPr>
        <w:pStyle w:val="TextoNormal"/>
      </w:pPr>
    </w:p>
    <w:p w:rsidR="00256EE9" w:rsidRDefault="00256EE9" w:rsidP="00256EE9">
      <w:pPr>
        <w:pStyle w:val="TextoNormal"/>
      </w:pPr>
      <w:r w:rsidRPr="00256EE9">
        <w:rPr>
          <w:rStyle w:val="NumeroAFNegritaCaracter"/>
        </w:rPr>
        <w:t>3</w:t>
      </w:r>
      <w:r>
        <w:t>. En cuanto a la cita como infringidos de los derechos del art.  24 de la C.E., podría considerarse contrario a la efectividad del derecho a la tutela judicial efectiva el que una de las partes hubiera de soportar perjuicios económicos ocasionados, bien por el propio funcionamiento irregular o anormal de la Administración de justicia, o bien incluso por el abuso de sus derechos procesales en que incurriese la otra parte o por las dilaciones indebidas ocasionadas por esta última.  Pero los escasos y confusos datos aportados por el solicitante de amparo sobre la causa seguida por despido improcedente no permiten afirmar que tal funcionamiento anormal o que tales dilaciones indebidas o abusos de derechos hayan llegado a producirse.  Por el contrario, de los datos aportados resulta que la demanda por despido fue formulada el 24 de diciembre de 1979, mientras que la Sentencia de la Magistratura de Trabajo declarando el despido improcedente es de fecha 25 de febrero de 1980, lo que pone de manifiesto que no se produjo una excesiva tardanza en la tramitación de dicho proceso.  Por otra parte, tampoco existen datos que permitan afirmar que la mayor duración de la tramitación del recurso de suplicación instado por la trabajadora haya sido debida a un funcionamiento anormal en ese caso de la Administración de justicia o incluso a dilaciones causadas o provocadas por dicha trabajadora, sin que tampoco exista constancia de que la no readmisión de la misma durante la tramitación del recurso de suplicación sea imputable a la propia trabajadora.  A mayor abundamiento, tales dilaciones, de haberse producido, habrían tenido lugar, no en el proceso previo al presente recurso de amparo -el iniciado mediante la demanda del recurrente por la que éste solicitó el abono de los salarios de tramitación-, sino en todo caso en la anterior causa seguida por despido improcedente, por lo que tales pretendidas violaciones no podrían ser objeto de este recurso.</w:t>
      </w:r>
    </w:p>
    <w:p w:rsidR="00256EE9" w:rsidRDefault="00256EE9" w:rsidP="00256EE9">
      <w:pPr>
        <w:pStyle w:val="TextoNormal"/>
      </w:pPr>
    </w:p>
    <w:p w:rsidR="00256EE9" w:rsidRDefault="00256EE9" w:rsidP="00256EE9">
      <w:pPr>
        <w:pStyle w:val="TextoNormal"/>
      </w:pPr>
      <w:r w:rsidRPr="00256EE9">
        <w:rPr>
          <w:rStyle w:val="NumeroAFNegritaCaracter"/>
        </w:rPr>
        <w:t>4</w:t>
      </w:r>
      <w:r>
        <w:t>. Finalmente, en cuanto a los demás preceptos constitucionales citados como infringidos, tales preceptos no reconocen, por sí solos, derechos susceptibles de ser tutelados en la vía del recurso de amparo. Por todo lo cual, y aunque llegara a entenderse como subsanado por el solicitante de amparo, mediante su escrito de alegaciones, el motivo de inadmisión de la demanda consistente en la falta de claridad y precisión en la fundamentación del recurso y en el amparo solicitado [art.  50.1 b) en relación con el 49.1 de la LOTC], todavía subsiste el otro motivo de inadmisión, puesto de manifiesto al mismo, a saber, el de la carencia manifiesta de contenido de la demanda a que se refiere el art. 50.2 b) de la LOTC, cuya concurrencia en el presente supuesto se desprende de los fundamentos jurídicos que anteceden.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su virtud, la Sección acordó declarar la inadmisión del presente recurso de amparo, y ordenar el archivo de las actuaciones.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lastRenderedPageBreak/>
        <w:br w:type="page"/>
      </w:r>
    </w:p>
    <w:p w:rsidR="00256EE9" w:rsidRDefault="00256EE9" w:rsidP="00256EE9">
      <w:pPr>
        <w:pStyle w:val="TtuloResolucin"/>
      </w:pPr>
      <w:bookmarkStart w:id="241" w:name="AUTO_1985_180"/>
      <w:r>
        <w:lastRenderedPageBreak/>
        <w:t>AUTO 180/1985, de 13 de marzo de 1985</w:t>
      </w:r>
    </w:p>
    <w:bookmarkEnd w:id="241"/>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ECLI:ES:TC:1985:180A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733/1984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fecha 24 de octubre de 1984, tuvo entrada en este Tribunal demanda de amparo formulada por don Ignacio Corujo Pita, Procurador de los Tribunales, en nombre y representación de don José Antonio Pelayo Pelayo, contra Sentencia dictada por el Juzgado de Instrucción núm. 1 de Algeciras, en el recurso de apelación núm. 39/1984 del juicio de faltas número 1314/1983.</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basa, en resumen, en los hechos siguientes: </w:t>
      </w:r>
    </w:p>
    <w:p w:rsidR="00256EE9" w:rsidRDefault="00256EE9" w:rsidP="00256EE9">
      <w:pPr>
        <w:pStyle w:val="TextoNormal"/>
      </w:pPr>
      <w:r>
        <w:t xml:space="preserve">A) Con fecha 17 de marzo de 1984, el Juzgado de Distrito núm. 1 de Algeciras dictó Sentencia por la que condenó al hoy recurrente en amparo como responsable criminalmente, en concepto de autor, de una falta de imprudencia sin infracción de reglamentos, con resultado de muerte. </w:t>
      </w:r>
    </w:p>
    <w:p w:rsidR="00256EE9" w:rsidRDefault="00256EE9" w:rsidP="00256EE9">
      <w:pPr>
        <w:pStyle w:val="TextoNormal"/>
      </w:pPr>
      <w:r>
        <w:t>B) Frente a la anterior Sentencia interpuso el señor Pelayo Pelayo recurso de apelación, en el que, con fecha 13 de septiembre de 1984, el Juzgado de Instrucción núm. 1 de Algeciras dictó Sentencia, notificada el día 2 de octubre siguiente, por la que confirmó la resolución apelada.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presente demanda de amparo dice dirigirse frente a la referida Sentencia dictada en apelación por el Juzgado de Instrucción núm. 1 de Algeciras, y se fundamenta en la presunta violación del derecho a la presunción de inocencia, reconocido en el art. 24.2 de la C. E. Dicha violación se habría producido, según se alega en el escrito de amparo, al imponerse la condena del señor Pelayo Pelayo sin la existencia de la más mínima prueba de cargo y prescindiendo, además, de una prueba de descargo que sí existió en la causa, como fue el informe emitido, a requerimiento judicial, por la Inspección de Trabajo según el cual el accidente que dio lugar a dicha causa tuvo lugar como consecuencia de un fallo técnico, sin que se constatasen faltas de medidas de seguridad e higiene. </w:t>
      </w:r>
    </w:p>
    <w:p w:rsidR="00256EE9" w:rsidRDefault="00256EE9" w:rsidP="00256EE9">
      <w:pPr>
        <w:pStyle w:val="TextoNormal"/>
      </w:pPr>
      <w:r>
        <w:t xml:space="preserve">Se solicita de este Tribunal Constitucional que declare la nulidad de la resolución judicial contra la que se recurre en amparo. </w:t>
      </w:r>
    </w:p>
    <w:p w:rsidR="00256EE9" w:rsidRDefault="00256EE9" w:rsidP="00256EE9">
      <w:pPr>
        <w:pStyle w:val="TextoNormal"/>
      </w:pPr>
      <w:r>
        <w:t>Por otrosí, se solicita, asimismo, que se acuerde la suspensión de la ejecución de dicha resolución, conforme a lo previsto en el art. 56 de la Ley Orgánica del Tribunal Constitucional (LOTC), pues, según se alega, dicha ejecución haría perder al amparo su finalidad.</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xml:space="preserve">. La Sección, mediante providencia de 21 de noviembre de 1984, acordó, a tenor de lo dispuesto en el art. 50 de la LOTC, conceder un plazo común de diez días, para que dentro de dicho término alegasen lo que estimaran pertinente en relación con la posible existencia del motivo de inadmisión consistente en carecer la demanda manifiestamente de contenido que justifique una decisión por parte de este Tribunal Constitucional, de conformidad con lo previsto en el art. 50.2 b) de la LOTC. </w:t>
      </w:r>
    </w:p>
    <w:p w:rsidR="00256EE9" w:rsidRDefault="00256EE9" w:rsidP="00256EE9">
      <w:pPr>
        <w:pStyle w:val="TextoNormal"/>
      </w:pPr>
      <w:r>
        <w:t>En cuanto a la petición de suspensión interesada se acordó, mediante la misma providencia, resolver la procedente una vez se decidiese la admisión o no a trámite del recurso.</w:t>
      </w:r>
    </w:p>
    <w:p w:rsidR="00256EE9" w:rsidRDefault="00256EE9" w:rsidP="00256EE9">
      <w:pPr>
        <w:pStyle w:val="TextoNormal"/>
      </w:pPr>
    </w:p>
    <w:p w:rsidR="00256EE9" w:rsidRDefault="00256EE9" w:rsidP="00256EE9">
      <w:pPr>
        <w:pStyle w:val="TextoNormal"/>
      </w:pPr>
      <w:r w:rsidRPr="00256EE9">
        <w:rPr>
          <w:rStyle w:val="NumeroAFNegritaCaracter"/>
        </w:rPr>
        <w:t>5</w:t>
      </w:r>
      <w:r>
        <w:t>. El Ministerio Fiscal, dentro del plazo conferido, alega que, en el presente caso, a los efectos del derecho fundamental invocado, existió la actividad probatoria mínimamente necesaria para fundar el juicio de reprochabilidad expresado en la Sentencia que se impugna, sin que, del informe de la Inspección de Trabajo que se invoca por el recurrente como prueba de descargo, pueda obtenerse la consecuencia a la que llega el escrito de amparo, pues si, antes al contrario, dicha inspección hubiera verificado la existencia de infracción reglamentaria, la entidad penal de falta, por la que tuvo lugar la condena, pudiera tal vez haberse transformado en infracción penal de más entidad. Por todo ello, interesa el Ministerio Fiscal la inadmisión de la demanda de amparo al entender que concurre en ella el defecto de contenido señalado por nuestra anterior providencia.</w:t>
      </w:r>
    </w:p>
    <w:p w:rsidR="00256EE9" w:rsidRDefault="00256EE9" w:rsidP="00256EE9">
      <w:pPr>
        <w:pStyle w:val="TextoNormal"/>
      </w:pPr>
    </w:p>
    <w:p w:rsidR="00256EE9" w:rsidRDefault="00256EE9" w:rsidP="00256EE9">
      <w:pPr>
        <w:pStyle w:val="TextoNormal"/>
      </w:pPr>
      <w:r w:rsidRPr="00256EE9">
        <w:rPr>
          <w:rStyle w:val="NumeroAFNegritaCaracter"/>
        </w:rPr>
        <w:t>6</w:t>
      </w:r>
      <w:r>
        <w:t>. Dentro del mismo plazo, se presentó escrito del recurrente, en el que, básicamente, se reiteran las alegaciones y pretensión de fondo, formuladas en su escrito inicial de solicitud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 objeto del presente Auto determinar si existe o no la causa de inadmisión establecida en el art. 50.2 b) de la Ley Orgánica del Tribunal Constitucional (LOTC), es decir, si la demanda carece o no manifiestamente de contenido que justifique una decisión por parte de este Tribunal en forma de Sentencia, con el desarrollo procesal consiguiente. A estos efectos, hemos de examinar la vulneración del derecho a la presunción de inocencia, reconocido por el art. 24.2 de la C. E., que es alegada por el demandante.</w:t>
      </w:r>
    </w:p>
    <w:p w:rsidR="00256EE9" w:rsidRDefault="00256EE9" w:rsidP="00256EE9">
      <w:pPr>
        <w:pStyle w:val="TextoNormal"/>
      </w:pPr>
    </w:p>
    <w:p w:rsidR="00256EE9" w:rsidRDefault="00256EE9" w:rsidP="00256EE9">
      <w:pPr>
        <w:pStyle w:val="TextoNormal"/>
      </w:pPr>
      <w:r w:rsidRPr="00256EE9">
        <w:rPr>
          <w:rStyle w:val="NumeroAFNegritaCaracter"/>
        </w:rPr>
        <w:t>2</w:t>
      </w:r>
      <w:r>
        <w:t>. En relación a tal derecho, aduce el solicitante de amparo la inexistencia en el proceso penal a quo de diligencias probatorias de cargo, a partir de las que pudiera fundamentarse la conducta negligente en virtud de la cual fue condenado en dicho proceso, mientras que, por otra parte, se habría prescindido de un elemento probatorio en su descargo, que sí se aportó en el proceso, como fue el informe presentado por la Inspección de Trabajo a requerimiento judicial.</w:t>
      </w:r>
    </w:p>
    <w:p w:rsidR="00256EE9" w:rsidRDefault="00256EE9" w:rsidP="00256EE9">
      <w:pPr>
        <w:pStyle w:val="TextoNormal"/>
      </w:pPr>
    </w:p>
    <w:p w:rsidR="00256EE9" w:rsidRDefault="00256EE9" w:rsidP="00256EE9">
      <w:pPr>
        <w:pStyle w:val="TextoNormal"/>
      </w:pPr>
      <w:r w:rsidRPr="00256EE9">
        <w:rPr>
          <w:rStyle w:val="NumeroAFNegritaCaracter"/>
        </w:rPr>
        <w:t>3</w:t>
      </w:r>
      <w:r>
        <w:t>. En tal sentido, ha de señalarse, con carácter previo que, aunque la demanda de amparo dice formularse contra la Sentencia dictada en apelación por el Juzgado de Instrucción núm. 1 de Algeciras, lo cierto es que la vulneración del derecho fundamental que se invoca, caso de producirse, habría tenido su origen en la Sentencia dictada en primera instancia por el Juzgado de Distrito núm.  1 de la misma ciudad, toda vez que sería este órgano judicial al que correspondió realizar la actividad probatoria que permitiera determi</w:t>
      </w:r>
      <w:r>
        <w:lastRenderedPageBreak/>
        <w:t>nar la existencia de negligencia por parte del inculpado, y que, según establece el art. 979 de la Ley de Enjuiciamiento Criminal (L. E. Cr.), relativo al juicio de faltas en segunda instancia, no se admite en ésta «otra prueba que la que, habiendo sido propuesta en la primera, no hubiera podido practicarse por causa ajena a la voluntad del que la hubiera propuesto».</w:t>
      </w:r>
    </w:p>
    <w:p w:rsidR="00256EE9" w:rsidRDefault="00256EE9" w:rsidP="00256EE9">
      <w:pPr>
        <w:pStyle w:val="TextoNormal"/>
      </w:pPr>
      <w:r>
        <w:t>En relación a esta Sentencia de instancia, habrá de deducirse si, efectivamente, tuvo lugar la mínima actividad probatoria que pueda entenderse de cargo y cuya existencia, según reiterada jurisprudencia de este Tribunal Constitucional, es condición suficiente para desvirtuar la presunción que garantiza el art. 24.2 de la Constitución.</w:t>
      </w:r>
    </w:p>
    <w:p w:rsidR="00256EE9" w:rsidRDefault="00256EE9" w:rsidP="00256EE9">
      <w:pPr>
        <w:pStyle w:val="TextoNormal"/>
      </w:pPr>
    </w:p>
    <w:p w:rsidR="00256EE9" w:rsidRDefault="00256EE9" w:rsidP="00256EE9">
      <w:pPr>
        <w:pStyle w:val="TextoNormal"/>
      </w:pPr>
      <w:r w:rsidRPr="00256EE9">
        <w:rPr>
          <w:rStyle w:val="NumeroAFNegritaCaracter"/>
        </w:rPr>
        <w:t>4</w:t>
      </w:r>
      <w:r>
        <w:t>. Hay en la Sentencia de apelación una referencia a los «acertados razonamientos» a que llegó dicha resolución de instancia, y ello a partir, según se afirma de modo expreso, «de la diligencia de inspección ocular y croquis de situación», explicándose los elementos mecánicos y el dispositivo para almacenar las bobinas donde se produjo el siniestro y el cometido de vigilancia que correspondía al condenado, hoy recurrente de amparo.  Existe, pues, una confirmación de que, en efecto, se practicó esa mínima actividad probatoria de cargo, que sirve para desvirtuar la presunción de inocencia, sin que la existencia, al mismo tiempo, del informe de la Inspección de Trabajo, con que también alega, sea relevante en este caso, pues la valoración de pruebas es atribución exclusiva de los órganos judiciales en el orden penal, ex art.  741 de la Ley de Enjuiciamiento Criminal.</w:t>
      </w:r>
    </w:p>
    <w:p w:rsidR="00256EE9" w:rsidRDefault="00256EE9" w:rsidP="00256EE9">
      <w:pPr>
        <w:pStyle w:val="TextoNormal"/>
      </w:pPr>
      <w:r>
        <w:t>Las consideraciones anteriores conducen a la conclusión de que existe la causa de inadmisión establecida en el art.  50.2 b) de la LOTC, es decir, que la demanda de amparo carece manifiestamente de contenido que justifique una decisión por parte del Tribunal Constitucional en forma de Sentencia, con el desarrollo procesal consiguiente. Por otra parte, la inadmisibilidad del recurso da lugar a la improcedencia de tramitar la pieza separada de suspensión solicitada por el actor.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de amparo.  Archívense las actuaciones.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42" w:name="AUTO_1985_181"/>
      <w:r>
        <w:lastRenderedPageBreak/>
        <w:t>AUTO 181/1985, de 13 de marzo de 1985</w:t>
      </w:r>
    </w:p>
    <w:bookmarkEnd w:id="242"/>
    <w:p w:rsidR="00256EE9" w:rsidRDefault="00256EE9" w:rsidP="00256EE9">
      <w:pPr>
        <w:pStyle w:val="TtuloResolucin"/>
      </w:pPr>
      <w:r>
        <w:t>Sala Primera</w:t>
      </w:r>
    </w:p>
    <w:p w:rsidR="00256EE9" w:rsidRDefault="00256EE9" w:rsidP="00256EE9">
      <w:pPr>
        <w:pStyle w:val="TtuloResolucin"/>
      </w:pPr>
    </w:p>
    <w:p w:rsidR="00256EE9" w:rsidRDefault="00256EE9" w:rsidP="00256EE9">
      <w:pPr>
        <w:pStyle w:val="SntesisDescriptiva"/>
      </w:pPr>
      <w:r>
        <w:t>ECLI:ES:TC:1985:181A</w:t>
      </w:r>
    </w:p>
    <w:p w:rsidR="00256EE9" w:rsidRDefault="00256EE9" w:rsidP="00256EE9">
      <w:pPr>
        <w:pStyle w:val="SntesisDescriptiva"/>
      </w:pPr>
    </w:p>
    <w:p w:rsidR="00256EE9" w:rsidRDefault="00256EE9" w:rsidP="00256EE9">
      <w:pPr>
        <w:pStyle w:val="SntesisDescriptiva"/>
      </w:pPr>
      <w:r>
        <w:t>Excms. Srs. don Ángel Latorre Segura, don Manuel Díez de Velasco Vallejo, doña Gloria Begué Cantón, don Rafael Gómez-Ferrer Morant y don Ángel Escudero del Corral.</w:t>
      </w:r>
    </w:p>
    <w:p w:rsidR="00256EE9" w:rsidRDefault="00256EE9" w:rsidP="00256EE9">
      <w:pPr>
        <w:pStyle w:val="SntesisDescriptiva"/>
      </w:pPr>
    </w:p>
    <w:p w:rsidR="00256EE9" w:rsidRDefault="00256EE9" w:rsidP="00256EE9">
      <w:pPr>
        <w:pStyle w:val="SntesisDescriptiva"/>
      </w:pPr>
      <w:r>
        <w:t>Levantando la suspensión, previamente acordada, de la ejecución del acto que origina el recurso de amparo 778/1984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en este Tribunal el 8 de noviembre de 1984, don Emilio García Fernández, Procurador de los Tribunales, en nombre y representación de doña Ana María Santos García, interpuso demanda de amparo contra la Sentencia de 26 de julio de 1984, de la Sala de lo Contencioso-Administrativo de la Audiencia Territorial de Valladolid, que estimó parcialmente el recurso interpuesto por don Jesús Paniagua Pérez contra determinadas resoluciones por las que se había designado a la señora Santos para ocupar la plaza de profesor contratado de Historia de América de la Facultad de Filosofia y Letras de la Universidad de León y, en consecuencia, declaró la nulidad de actuaciones practicadas en el procedimiento seguido en el concurso convocado para la contratación de un profesor para cubrir la referida plaza a partir de la presentación de instancias de los solicitantes.</w:t>
      </w:r>
    </w:p>
    <w:p w:rsidR="00256EE9" w:rsidRDefault="00256EE9" w:rsidP="00256EE9">
      <w:pPr>
        <w:pStyle w:val="TextoNormal"/>
      </w:pPr>
    </w:p>
    <w:p w:rsidR="00256EE9" w:rsidRDefault="00256EE9" w:rsidP="00256EE9">
      <w:pPr>
        <w:pStyle w:val="TextoNormal"/>
      </w:pPr>
      <w:r w:rsidRPr="00256EE9">
        <w:rPr>
          <w:rStyle w:val="NumeroAFNegritaCaracter"/>
        </w:rPr>
        <w:t>2</w:t>
      </w:r>
      <w:r>
        <w:t>. En la referida demanda de amparo se solicitó la suspensión de la ejecución de la Sentencia impugnada, de acuerdo con lo establecido en el art. 56 de la Ley Orgánica del Tribunal Constitucional (LOTC). Admitido el recurso a trámite, se acordó, por providencia de 21 de noviembre de 1984, formar la correspondiente pieza separada. Oídas las partes, la Sala Primera de este Tribunal Constitucional acordó, por Auto de 16 de enero de 1985, la suspensión de la ejecución de la Sentencia objeto del recurso.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escrito presentado en este Tribunal el 7 de febrero de 1985, el Secretario General de la Universidad de León comunicó a la Sala Primera de este Tribunal que con anterioridad al conocimiento del acuerdo de suspensión de la ejecución de la Sentencia impugnada, se había procedido por la Universidad a dicha ejecución y, en consecuencia, a suspender el contrato con la recurrente y a celebrar el concurso correspondiente con arreglo a la normativa legal y a lo ordenado en la referida Sentencia. El concurso se resolvió con fecha 2 de noviembre de 1984, designándose para la plaza a don Jesús Paniagua Pérez, quien desde entonces viene impartiendo la docencia de la misma. Todo ello, sigue diciendo el escrito, supone evidentemente la extrema dificultad de suspender la ejecución, entre otras razones, por las graves consecuencias que, respecto a la docencia, implicaría. </w:t>
      </w:r>
    </w:p>
    <w:p w:rsidR="00256EE9" w:rsidRDefault="00256EE9" w:rsidP="00256EE9">
      <w:pPr>
        <w:pStyle w:val="TextoNormal"/>
      </w:pPr>
      <w:r>
        <w:lastRenderedPageBreak/>
        <w:t>Concluye el escrito de la Universidad de León interesando de esta Sala Primera tenga a bien indicar lo que corresponda al efecto.</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13 de febrero de 1985, la Sección Primera de este Tribunal acordó dar traslado a las partes personadas en el presente proceso del escrito de la Universidad de León, para que en el plazo común de cinco días alegasen lo que estimasen pertinente con relación al mismo. Por providencia de 20 del mismo mes y año se dio traslado también al mismo objeto al señor Paniagua, personado en el presente proceso.</w:t>
      </w:r>
    </w:p>
    <w:p w:rsidR="00256EE9" w:rsidRDefault="00256EE9" w:rsidP="00256EE9">
      <w:pPr>
        <w:pStyle w:val="TextoNormal"/>
      </w:pPr>
    </w:p>
    <w:p w:rsidR="00256EE9" w:rsidRDefault="00256EE9" w:rsidP="00256EE9">
      <w:pPr>
        <w:pStyle w:val="TextoNormal"/>
      </w:pPr>
      <w:r w:rsidRPr="00256EE9">
        <w:rPr>
          <w:rStyle w:val="NumeroAFNegritaCaracter"/>
        </w:rPr>
        <w:t>5</w:t>
      </w:r>
      <w:r>
        <w:t>. En el plazo otorgado el Ministerio Fiscal dijo que en el momento de alegar en la pieza de suspensión y de dictarse el Auto correspondiente se desconocía que había sido provista la plaza debatida en ejecución de la Sentencia de la Audiencia. Mantener la suspensión supondría, en estas nuevas circunstancias, un perjuicio al profesor nombrado. A este perjuicio de un tercero se sumaría el daño del interés general existente en el cumplimiento de las Sentencias judiciales y desenvolvimiento de la docencia. Por el contrario, levantar la suspensión sólo supondría un perjuicio, grave si se quiere, pero no irreversible a la recurrente. Por otro lado, y aunque se concediese en su momento el amparo solicitado, ello solo supondría que la recurrente sería emplazada en el recurso contencioso, sin que nada permita asegurar que su presencia como parte del mismo pueda hacer cambiar el signo del fallo pronunciado. En conclusión, y en base al art. 57 de la LOTC, el Ministerio Fiscal dice que debe rectificarse el Auto de esta Sala de 16 de enero del año en curso dejándolo sin efecto.</w:t>
      </w:r>
    </w:p>
    <w:p w:rsidR="00256EE9" w:rsidRDefault="00256EE9" w:rsidP="00256EE9">
      <w:pPr>
        <w:pStyle w:val="TextoNormal"/>
      </w:pPr>
    </w:p>
    <w:p w:rsidR="00256EE9" w:rsidRDefault="00256EE9" w:rsidP="00256EE9">
      <w:pPr>
        <w:pStyle w:val="TextoNormal"/>
      </w:pPr>
      <w:r w:rsidRPr="00256EE9">
        <w:rPr>
          <w:rStyle w:val="NumeroAFNegritaCaracter"/>
        </w:rPr>
        <w:t>6</w:t>
      </w:r>
      <w:r>
        <w:t>. La representación de la recurrente dijo en sus alegaciones que mantener la ejecución de la Sentencia impugnada supondría hacer perder su finalidad al amparo, caso de que se otorgase éste, puesto que la anulación de dicha Sentencia, transcurridos varios meses desde su ejecución, colocaría a la recurrente en una situación en que el amparo no tendría finalidad alguna, ya que la única finalidad de la suspensión es que dicha recurrente siga como profesora contratada, lo que no es compatible con la contratación de otro profesor. Ratifica aún más la conclusión de que debe mantenerse la suspensión el hecho de que sea previsible la estimación del recurso de amparo, dada la doctrina sentada por este Tribunal. En cuanto a los efectos de la suspensión, entiende la representación de la recurrente que consisten en mantener a ésta en su situación de profesora contratada. Terminan las alegaciones de la recurrente pidiendo a esta Sala que mantenga la suspensión, la cual debe ejecutarse reintegrándola a su puesto con todo lo demás que en Derecho proceda.</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La representación del señor Paniagua afirma en substancia en sus alegaciones que la suspensión de la ejecución de un acto prevista en la LOTC significa que ese acto no se haya ejecutado, puesto que si el acto que se trata de suspender se lleva a efecto, en realidad no se trata tanto de aplicar una medida cautelar como de anticipar una reposición de lo actuado a los efectos de una Sentencia que por estar sub iudice son discutibles. Se considera, por tanto, que es más perjudicial anular un acto que ya se produjo, que llegar a tiempo para suspender su ejecución. La recurrente pudo denunciar ante la Universidad de León su intento de recurrir en amparo y no lo hizo, sin duda, porque desde el punto de vista de sus intereses le convenía más agotar todas las posibilidades de obtener plaza a su favor mediante una nueva discusión sobre la adjudicación de la plaza en el concurso. Señala a </w:t>
      </w:r>
      <w:r>
        <w:lastRenderedPageBreak/>
        <w:t xml:space="preserve">continuación la representación del señor Paniagua las graves consecuencias que para la docencia universitaria resultarían de mantenerse la suspensión. </w:t>
      </w:r>
    </w:p>
    <w:p w:rsidR="00256EE9" w:rsidRDefault="00256EE9" w:rsidP="00256EE9">
      <w:pPr>
        <w:pStyle w:val="TextoNormal"/>
      </w:pPr>
      <w:r>
        <w:t>De otra parte, aun en el supuesto caso de que prosperase la pretensión de la recurrente, la reparación hipotética del derecho habría de obtenerse siempre por la vía de los daños y perjuicios, puesto que sería la única vía posible en el caso de convocarse otra vez el concurso y llegar a obtenerse un resultado distinto del actual. Concluye la representación del señor Paniagua solicitando que se deje sin efecto la suspensión acordada.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Sala Primera de este Tribunal Constitucional, por Auto de 16 de enero de 1985, acordó suspender la ejecución de la Sentencia impugnada en el presente recurso de amparo, de acuerdo con el art. 56 de la Ley Orgánica del Tribunal Constitucional (LOTC), por las razones expuestas en dicho Auto.</w:t>
      </w:r>
    </w:p>
    <w:p w:rsidR="00256EE9" w:rsidRDefault="00256EE9" w:rsidP="00256EE9">
      <w:pPr>
        <w:pStyle w:val="TextoNormal"/>
      </w:pPr>
      <w:r>
        <w:t>La Universidad de León, en el escrito que motiva el presente incidente hace constar que con anterioridad a que se interpusiese el recurso de amparo y por tanto de dictarse el Auto de suspensión, había ejecutado lo resuelto en la Sentencia impugnada, consistente en anular el concurso para contratar a un profesor en determinada plaza y volverlo a celebrar en debida forma, nombrándose a consecuencia de dicho concurso al señor Paniagua.</w:t>
      </w:r>
    </w:p>
    <w:p w:rsidR="00256EE9" w:rsidRDefault="00256EE9" w:rsidP="00256EE9">
      <w:pPr>
        <w:pStyle w:val="TextoNormal"/>
      </w:pPr>
      <w:r>
        <w:t>Ello hacía que, a juicio de la citada Universidad, causase graves perjuicios a la docencia ejecutar el acuerdo de suspensión, pues tal ejecución supondría reponer en su anterior situación a la profesora recurrente, con la perturbación que para la enseñanza supondría este cambio de profesor mediado el curso.</w:t>
      </w:r>
    </w:p>
    <w:p w:rsidR="00256EE9" w:rsidRDefault="00256EE9" w:rsidP="00256EE9">
      <w:pPr>
        <w:pStyle w:val="TextoNormal"/>
      </w:pPr>
      <w:r>
        <w:t>Ante esta situación este Tribunal ha de decidir si se mantiene la suspensión acordada o acuerda su modificación y, concretamente, su levantamiento, lo que puede hacer de oficio o a instancia de parte, en virtud de circunstancias sobrevenidas o que no pudieron ser conocidas al tiempo de sustanciarse el incidente de suspensión, de acuerdo con el art. 57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En este caso, la circunstancia desconocida que ahora llega al conocimiento del Tribunal por el escrito de la Universidad de León consiste, como se ha señalado, en que dicha Universidad ha convocado y resuelto el concurso objeto del recurso contencioso-administrativo.  Del mantenimiento de la suspensión podría seguirse perturbación grave para los intereses generales, en particular de los intereses de la docencia, por el cambio de profesor a mediados de curso. También podría seguirse perturbación de los derechos fundamentales de un tercero, concretamente del derecho del profesor nombrado a acceder en condiciones de igualdad a las funciones públicas con los requisitos que establecen las Leyes (art. 23.2 de la Constitución).  Por otra parte, conviene recordar que en el hipotético caso de que se concediese el amparo solicitado, el derecho restablecido a favor de la recurrente sería el de ser emplazada en forma en el proceso contencioso-administrativo, pero sin que ello suponga necesariamente que la decisión del nuevo proceso condujese a que se le adjudicase la plaza debatida.  Por todo ello, este Tribunal, ponderados los intereses en presencia, considera que debe levantarse la suspensión de la Sentencia impugnada.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En consecuencia, la Sala acuerda levantar la suspensión de la Sentencia de 26 de julio de 1984 de la Sala de lo Contencioso-Administrativo impugnada en el presente recurso de amparo, y decretado por Auto de 16 de enero de 1985.</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43" w:name="AUTO_1985_182"/>
      <w:r>
        <w:lastRenderedPageBreak/>
        <w:t>AUTO 182/1985, de 13 de marzo de 1985</w:t>
      </w:r>
    </w:p>
    <w:bookmarkEnd w:id="243"/>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ECLI:ES:TC:1985:182A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795/1984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fecha 19 de noviembre de 1984, tiene entrada en este Tribunal Constitucional recurso de amparo interpuesto por el Procurador de los Tribunales don Alfonso Gil Meléndez, en nombre y representación del súbdito británico residente en España míster Harry Sidney Thomas Penning, contra actos administrativos de la Dirección General de la Policía, confirmados por Sentencia de 28 de abril de 1984, dictada por la Sección Primera de la Sala de lo Contencioso-Administrativo de la Audiencia Nacional, confirmada, a su vez, mediante Sentencia de la Sala Tercera del Tribunal Supremo, de 29 de septiembre del mismo año, en relación con la expulsión de su representado del territorio nacional.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de amparo se articula, según los distintos documentos que se aportan, en torno a los hechos siguientes: </w:t>
      </w:r>
    </w:p>
    <w:p w:rsidR="00256EE9" w:rsidRDefault="00256EE9" w:rsidP="00256EE9">
      <w:pPr>
        <w:pStyle w:val="TextoNormal"/>
      </w:pPr>
      <w:r>
        <w:t xml:space="preserve">A) Mediante Resolución de la Dirección General de la Policía, notificada el 19 de septiembre de 1974, y confirmada en alzada por Resolución del Ministerio de Gobernación, de fecha 18 de marzo de 1975, fue acordada la expulsión del hoy demandante de amparo del territorio nacional, en aplicación del Decreto 522/1974, de 14 de febrero, sin que contra esta resolución promoviera el interesado recurso contencioso-administrativo. </w:t>
      </w:r>
    </w:p>
    <w:p w:rsidR="00256EE9" w:rsidRDefault="00256EE9" w:rsidP="00256EE9">
      <w:pPr>
        <w:pStyle w:val="TextoNormal"/>
      </w:pPr>
      <w:r>
        <w:t xml:space="preserve">B) En escrito de 29 de junio de 1981, dirigido al Ministerio del Interior, el señor Penning, al amparo del derecho de petición, solicitó autorización para regresar a España, y que se declarasen nulas y antijurídicas las actuaciones administrativas en virtud de las cuales fue expulsado, así como que se reconociese su derecho a ser indemnizado por los daños y perjuicios ocasionados por dicha expulsión. Contra la desestimación presunta por silencio de tal solicitud el señor Penning interpuso, el 29 de julio de 1981, recurso contencioso-administrativo ante la Sala de lo Contencioso-Administrativo de la Audiencia Nacional, conforme al procedimiento previsto en la Ley 62/1978, de 26 de diciembre, dictando la Dirección General de la Policía, con posterioridad a la interposición de aquel recurso, resolución expresa, de fecha 16 de septiembre de 1981, por la que se denegó la solicitud formulada. </w:t>
      </w:r>
    </w:p>
    <w:p w:rsidR="00256EE9" w:rsidRDefault="00256EE9" w:rsidP="00256EE9">
      <w:pPr>
        <w:pStyle w:val="TextoNormal"/>
      </w:pPr>
      <w:r>
        <w:t xml:space="preserve">C) Tras diversas vicisitudes procesales, que no resultan aquí relevantes, la Sección Primera de la Sala de lo Contencioso-Administrativo de la Audiencia Nacional dictó Sentencia el 28 de abril de 1984, por la que se desestimó el recurso contencioso-administrativo interpuesto por el señor Penning contra la desestimación presunta de la </w:t>
      </w:r>
      <w:r>
        <w:lastRenderedPageBreak/>
        <w:t xml:space="preserve">segunda de las tres peticiones formuladas por él ante el Ministerio del Interior, o sea la de anulación de las actuaciones seguidas para su expulsión, declarando, asimismo, inadmisible en ese procedimiento especial la petición de indemnización de daños y perjuicios, sin que ello fuera óbice para una posible ulterior interposición en forma, y desestimando la petición de autorización para regresar a España por haber satisfecho esta pretensión la Administración mediante resolución expresa dictada con posterioridad a la interposición del recurso. </w:t>
      </w:r>
    </w:p>
    <w:p w:rsidR="00256EE9" w:rsidRDefault="00256EE9" w:rsidP="00256EE9">
      <w:pPr>
        <w:pStyle w:val="TextoNormal"/>
      </w:pPr>
      <w:r>
        <w:t>D) Frente a la anterior Sentencia formuló el señor Penning recurso de apelación en el que, con fecha 29 de septiembre de 1984, la Sala Tercera del Tribunal Supremo dictó Sentencia, notificada el día 31 de octubre siguiente, por la que se desestimó la apelación interpuesta, confirmando la resolución apelada en todos sus extremos.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presente demanda de amparo se fundamenta en la presunta violación, por los referidos actos administrativos y Sentencias judiciales, del derecho de libre residencia y circulación, reconocido por el art. 19 de la Constitución, e interpretado, en virtud del art. 10.2 de la misma, conforme a los acuerdos internacionales suscritos por España, como el Convenio Europeo para la Protección de los Derechos Humanos y de las Libertades Fundamentales, de 4 de noviembre de 1950, y el Pacto Internacional de Derechos Civiles y Políticos, de 16 de diciembre de 1966. </w:t>
      </w:r>
    </w:p>
    <w:p w:rsidR="00256EE9" w:rsidRDefault="00256EE9" w:rsidP="00256EE9">
      <w:pPr>
        <w:pStyle w:val="TextoNormal"/>
      </w:pPr>
      <w:r>
        <w:t>Sobre esta base, la representación del recurrente solicita de este Tribunal Constitucional que acuerde: a) declarar la nulidad de dichos actos administrativos y Sentencias; b) reconocer que la expulsión de España del señor Penning, desde 1974, se opone a sus derechos civiles y constitucionales de libertad de residencia y domicilio; c) restablecer al demandante en la integridad de los mencionados derechos, reconociéndole el derecho a la indemnización de daños y perjuicios que pruebe legalmente, dentro del proceso contencioso-administrativo que entabló. Por otrosí se solicita, asimismo, el recibimiento a prueba del proceso de amparo.</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26 de diciembre de 1984, la Sección Primera de la Sala Primera de este Tribunal Constitucional, a tenor de lo dispuesto en el art. 50.1 de la Ley Orgánica del mismo (LOTC), acuerda conceder un plazo común de diez días al Ministerio Fiscal y al solicitante de amparo a fin de que dentro de dicho término aleguen lo que estimen pertinente en relación con la posible existencia de los siguientes motivos de inadmisión: a) no deducirse la demanda respecto de derechos o libertades susceptibles de amparo [art. 50.2 a) de la LOTC], y b) carecer la demanda manifiestamente de contenido que justifique una decisión por parte de este Tribunal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En escrito de 9 de enero de 1985, la parte recurrente manifiesta, en relación con los mencionados motivos de inadmisión, que los actos administrativos y las resoluciones judiciales impugnados vulneran el art. 19 de la Constitución, en relación con el 13.1 y los Tratados vigentes, así como el art. 24 de la misma, y que la demanda de amparo tiene como finalidad obtener la efectividad de sus derechos constitucionales.</w:t>
      </w:r>
    </w:p>
    <w:p w:rsidR="00256EE9" w:rsidRDefault="00256EE9" w:rsidP="00256EE9">
      <w:pPr>
        <w:pStyle w:val="TextoNormal"/>
      </w:pPr>
    </w:p>
    <w:p w:rsidR="00256EE9" w:rsidRDefault="00256EE9" w:rsidP="00256EE9">
      <w:pPr>
        <w:pStyle w:val="TextoNormal"/>
      </w:pPr>
      <w:r w:rsidRPr="00256EE9">
        <w:rPr>
          <w:rStyle w:val="NumeroAFNegritaCaracter"/>
        </w:rPr>
        <w:t>6</w:t>
      </w:r>
      <w:r>
        <w:t>. El Ministerio Fiscal, por su parte, arguye que el recurrente no puede ser restablecido en un derecho -residir en España- que le ha sido ya reconocido, ni es posible declarar la nulidad de unas resoluciones administrativas que han sido, al menos implícitamente, dejadas sin efecto al adoptar otras de signo opuesto, ni corresponde formular ante este Tribu</w:t>
      </w:r>
      <w:r>
        <w:lastRenderedPageBreak/>
        <w:t>nal Constitucional pretensión alguna relativa a la indemnización de daños y perjuicios. Por lo tanto -concluye-, el presente recurso de amparo carece de contenido constitucional que requiera una declaración de fondo, y a tenor de lo dispuesto en el art. 50.2 b) de la LOTC, procede declarar su inadmisión.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carácter previo ha de señalarse que la violación del derecho fundamental garantizado en el art.  19 de la Constitución, que el recurrente invoca en su escrito de demanda, habría tenido su origen, caso de producirse, en la desestimación en vía administrativa de la petición que, en su día, formuló ante la Dirección General de la Policía y que dio lugar al proceso contencioso-administrativo en el que recayeron las dos Sentencias judiciales frente a las que dice interponerse, asimismo, el recurso de amparo.  Dicha petición consistía en una pretensión principal -que se autorizase su regreso a España, de donde había sido expulsado- y en otras dos pretensiones a ésta conectadas -que se declarasen la nulidad y antijuridicidad de las actuaciones en virtud de las cuales tuvo lugar dicha expulsión y que se reconociese su derecho a ser indemnizado de los daños y perjuicios causados como consecuencia de aquellas actuaciones-.</w:t>
      </w:r>
    </w:p>
    <w:p w:rsidR="00256EE9" w:rsidRDefault="00256EE9" w:rsidP="00256EE9">
      <w:pPr>
        <w:pStyle w:val="TextoNormal"/>
      </w:pPr>
      <w:r>
        <w:t>No es posible examinar en esta sede la desestimación administrativa de la solicitud que el señor Penning formuló para que se levantara la medida de expulsión del territorio nacional y se autorizara su regreso a España, pues, según se ha indicado en los antecedentes, dicha autorización administrativa le fue concedida con posterioridad a aquella desestimación inicial y no existe obstáculo a que el señor Penning resida actualmente en España, con lo que su pretensión ha quedado ya extraprocesalmente satisfecha.</w:t>
      </w:r>
    </w:p>
    <w:p w:rsidR="00256EE9" w:rsidRDefault="00256EE9" w:rsidP="00256EE9">
      <w:pPr>
        <w:pStyle w:val="TextoNormal"/>
      </w:pPr>
      <w:r>
        <w:t>Tampoco es posible que este Tribunal Constitucional examine, según el «suplico» del presente recurso, los actos administrativos anteriores a la vigencia de la Constitución, los cuales no habiendo sido impugnados en su dia en vía judicial ordinaria pudieron serlo, en todo caso, en la vía de amparo, dentro del plazo previsto por el apartado 1 de la disposición transitoria segunda de la LOTC, pero, al no haberlo hecho así el recurrente, no pueden ser revisados en el momento actual.</w:t>
      </w:r>
    </w:p>
    <w:p w:rsidR="00256EE9" w:rsidRDefault="00256EE9" w:rsidP="00256EE9">
      <w:pPr>
        <w:pStyle w:val="TextoNormal"/>
      </w:pPr>
    </w:p>
    <w:p w:rsidR="00256EE9" w:rsidRDefault="00256EE9" w:rsidP="00256EE9">
      <w:pPr>
        <w:pStyle w:val="TextoNormal"/>
      </w:pPr>
      <w:r w:rsidRPr="00256EE9">
        <w:rPr>
          <w:rStyle w:val="NumeroAFNegritaCaracter"/>
        </w:rPr>
        <w:t>2</w:t>
      </w:r>
      <w:r>
        <w:t>. De todo lo anterior se deduce que la declaración de nulidad de los actos administrativos y resoluciones judiciales que aquí se pretende queda exclusivamente conectada a la solicitud de que se reconozca el derecho del actor a una indemnización de los daños y perjuicios ocasionados por su expulsión del territorio nacional, lo que se configura, por tanto, como la única pretensión sustantiva que contiene la demanda de amparo y a la que se limitarían los efectos de un eventual otorgamiento de éste. Ahora bien, tal pretensión es materia ajena al ámbito de protección del recurso de amparo, de conformidad con lo previsto en el art. 53.2 de la Constitución y en el art.  41.1 de la LOTC. El recurrente aduce en su escrito de alegaciones, en apoyo de su pretensión, el art. 24.1 de la Constitución, pero el derecho en él reconocido no ha resultado vulnerado, pues las Sentencias impugnadas aparecen jurídicamente fundadas y si en ellas los órganos judiciales no se pronuncian sobre el fondo de la pretensión deducida se debe exclusivamente al comportamiento del propio recurrente. que no utilizó la vía adecuada -el procedimiento contencioso-administrativo-, como se indica tanto en la Sentencia de la Audiencia Nacional como en la del Tribunal Supremo.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Finalmente, y a mayor abundamiento conviene señalar, en relación con el conjunto de pretensiones deducidas por el recurrente en su escrito de demanda de amparo, que ésta se centra en la vulneración de los derechos reconocidos en el art. 19 de la Constitución. Pero tal precepto no puede servir de apoyo para fundamentar tales pretensiones; lo que se establece en el mencionado precepto constitucional no es sino el derecho de los españoles a elegir libremente su residencia y a circular libremente por el territorio nacional, así como entrar y salir libremente de España en los términos legalmente previstos.  Ninguna relación guarda, por tanto, dicho precepto con las cuestiones que ahora se plantean, que tienen su origen en la expulsión de un súbdito extranjero del territorio nacional y en la posterior negativa a autorizar su retorno, medidas que, en su caso, afectarían al régimen de extranjería establecido por el art.  13 de la Constitución y, en consecuencia, serían materia ajena al ámbito de protección del recurso de amparo, de conformidad con lo previsto en los artículos de la Constitución y de la LOTC anteriormente mencionados.</w:t>
      </w:r>
    </w:p>
    <w:p w:rsidR="00256EE9" w:rsidRDefault="00256EE9" w:rsidP="00256EE9">
      <w:pPr>
        <w:pStyle w:val="TextoNormal"/>
      </w:pPr>
      <w:r>
        <w:t>Teniendo en cuenta las consideraciones anteriores es preciso concluir que la presente demanda de amparo incurre en las causas de inadmisibilidad señaladas en nuestra providencia de 26 de diciembre de 1984.</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inadmisión del recurso de amparo interpuesto por el Procurador de los Tribunales don Alfonso Gil Meléndez, en nombre y representación de míster Harry Sidney Thomas Penning, y el archivo de las actuaciones.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44" w:name="AUTO_1985_183"/>
      <w:r>
        <w:lastRenderedPageBreak/>
        <w:t>AUTO 183/1985, de 13 de marzo de 1985</w:t>
      </w:r>
    </w:p>
    <w:bookmarkEnd w:id="244"/>
    <w:p w:rsidR="00256EE9" w:rsidRDefault="00256EE9" w:rsidP="00256EE9">
      <w:pPr>
        <w:pStyle w:val="TtuloResolucin"/>
      </w:pPr>
      <w:r>
        <w:t>Sala Primera</w:t>
      </w:r>
    </w:p>
    <w:p w:rsidR="00256EE9" w:rsidRDefault="00256EE9" w:rsidP="00256EE9">
      <w:pPr>
        <w:pStyle w:val="TtuloResolucin"/>
      </w:pPr>
    </w:p>
    <w:p w:rsidR="00256EE9" w:rsidRDefault="00256EE9" w:rsidP="00256EE9">
      <w:pPr>
        <w:pStyle w:val="SntesisDescriptiva"/>
      </w:pPr>
      <w:r>
        <w:t>ECLI:ES:TC:1985:183A</w:t>
      </w:r>
    </w:p>
    <w:p w:rsidR="00256EE9" w:rsidRDefault="00256EE9" w:rsidP="00256EE9">
      <w:pPr>
        <w:pStyle w:val="SntesisDescriptiva"/>
      </w:pPr>
    </w:p>
    <w:p w:rsidR="00256EE9" w:rsidRDefault="00256EE9" w:rsidP="00256EE9">
      <w:pPr>
        <w:pStyle w:val="SntesisDescriptiva"/>
      </w:pPr>
      <w:r>
        <w:t>Excms. Srs. don Ángel Latorre Segura, don Manuel Díez de Velasco Vallejo, doña Gloria Begué Cantón,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846/1984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En 3 de diciembre de 1984, el Procurador don Saturnino Estévez Rodríguez, en representación de don Gerardo Mejías García, formula recurso de amparo contra las Sentencias del Juzgado de Peligrosidad y Rehabilitación Social de Palma de Mallorca de 7 de febrero de 1984, y de la Sala Especial de Peligrosidad y Rehabilitación Social de la Audiencia Nacional de 17 de octubre de 1984, con la súplica de que se declare la nulidad de las mismas. </w:t>
      </w:r>
    </w:p>
    <w:p w:rsidR="00256EE9" w:rsidRDefault="00256EE9" w:rsidP="00256EE9">
      <w:pPr>
        <w:pStyle w:val="TextoNormal"/>
      </w:pPr>
      <w:r>
        <w:t>Por otrosí solicita la suspensión de la ejecución de la Sentencia que, a su juicio, supondría la pérdida de la finalidad del recurso de amparo, junto a graves perjuicios para el actor.</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Sentencia de 7 de febrero de 1984 aquí impugnada acordó declarar la peligrosidad social del solicitante del amparo y someterle a las medidas de seguridad siguientes: A) Para cumplimiento simultáneo: a) internamiento en centro de trabajo por tiempo no inferior a seis meses ni superior a un año; b) multa de 20.000 pesetas. B) Para cumplimiento sucesivo: prohibición de residir en Baleares y sumisión a la vigilancia de los delegados durante seis meses y pago de costas. </w:t>
      </w:r>
    </w:p>
    <w:p w:rsidR="00256EE9" w:rsidRDefault="00256EE9" w:rsidP="00256EE9">
      <w:pPr>
        <w:pStyle w:val="TextoNormal"/>
      </w:pPr>
      <w:r>
        <w:t>El actor interpuso recurso de apelación contra la mencionada Sentencia, que fue desestimado por Sentencia de la Sala Especial de Peligrosidad y Rehabilitación Social de la Audiencia Nacional de 17 de octubre de 1984, que confirmaba la emitida por el Tribunal de primera instancia.</w:t>
      </w:r>
    </w:p>
    <w:p w:rsidR="00256EE9" w:rsidRDefault="00256EE9" w:rsidP="00256EE9">
      <w:pPr>
        <w:pStyle w:val="TextoNormal"/>
      </w:pPr>
    </w:p>
    <w:p w:rsidR="00256EE9" w:rsidRDefault="00256EE9" w:rsidP="00256EE9">
      <w:pPr>
        <w:pStyle w:val="TextoNormal"/>
      </w:pPr>
      <w:r w:rsidRPr="00256EE9">
        <w:rPr>
          <w:rStyle w:val="NumeroAFNegritaCaracter"/>
        </w:rPr>
        <w:t>3</w:t>
      </w:r>
      <w:r>
        <w:t>. Por escrito presentado en 9 de febrero de 1985, el recurrente manifiesta que el Magistrado-Juez de Peligrosidad y Rehabilitación Social de Palma de Mallorca concedió la suspensión de la medida de internamiento hasta el 12 de febrero, sin posibilidad de moratoria si no se presenta la providencia de admisión del recurso de amparo interpuesto.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En 13 de febrero de 1985, la Sección acuerda admitir a trámite la demanda y formula la correspondiente pieza separada para la sustanciación del incidente de suspensión. Por providencia de la misma fecha se otorgó un plazo común de tres días al Ministerio Fiscal y </w:t>
      </w:r>
      <w:r>
        <w:lastRenderedPageBreak/>
        <w:t>al solicitante del amparo, para que aleguen lo que estimen procedente en orden a la suspensión solicitada.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22 de febrero de 1985 el Ministerio Fiscal formula escrito de alegaciones en el que interesa la suspensión de las medidas acordadas por el Juzgado de Peligrosidad de Palma de Mallorca, siempre que el propio Juzgado no la hubiera acordado ya y con la salvedad, en su caso, de la pena de multa que, si también se suspendiera, debería serlo con la caución adecuada. </w:t>
      </w:r>
    </w:p>
    <w:p w:rsidR="00256EE9" w:rsidRDefault="00256EE9" w:rsidP="00256EE9">
      <w:pPr>
        <w:pStyle w:val="TextoNormal"/>
      </w:pPr>
      <w:r>
        <w:t xml:space="preserve">El Ministerio Fiscal pone de manifiesto la suspensión provisional acordada hasta el día 12 de febrero, según el escrito presentado por el recurrente, por lo que parece aconsejable que se comunicara telegráficamente al Juzgado la resolución acordando admitir el amparo, dado que si se mantiene la suspensión acordada por el mismo la pretensión a resolver en la pieza carecería de sentido; el Juzgado de Palma, añade el Fiscal, así lo ha hecho en otros dos recursos que se sustanciaron ante la Sala Segunda del Tribunal con los núms. 746 y 821, ambos de 1984. </w:t>
      </w:r>
    </w:p>
    <w:p w:rsidR="00256EE9" w:rsidRDefault="00256EE9" w:rsidP="00256EE9">
      <w:pPr>
        <w:pStyle w:val="TextoNormal"/>
      </w:pPr>
      <w:r>
        <w:t xml:space="preserve">En todo caso, y ad cautelam, el Fiscal no se opone a la suspensión solicitada en lo que se refiere al internamiento en centro de trabajo y, en su consecuencia, como de cumplimiento sucesivo, a la prohibición de residir en Baleares porque, pese al interés general implícito en la ejecución de las resoluciones judiciales, para el hipotético caso de que la demanda prosperara, tal ejecución haría perder al amparo su finalidad. </w:t>
      </w:r>
    </w:p>
    <w:p w:rsidR="00256EE9" w:rsidRDefault="00256EE9" w:rsidP="00256EE9">
      <w:pPr>
        <w:pStyle w:val="TextoNormal"/>
      </w:pPr>
      <w:r>
        <w:t>No sucede lo mismo con la pena de multa, cuya ulterior devolución, si procediera, está garantizada por su propia naturaleza.</w:t>
      </w:r>
    </w:p>
    <w:p w:rsidR="00256EE9" w:rsidRDefault="00256EE9" w:rsidP="00256EE9">
      <w:pPr>
        <w:pStyle w:val="TextoNormal"/>
      </w:pPr>
    </w:p>
    <w:p w:rsidR="00256EE9" w:rsidRDefault="00256EE9" w:rsidP="00256EE9">
      <w:pPr>
        <w:pStyle w:val="TextoNormal"/>
      </w:pPr>
      <w:r w:rsidRPr="00256EE9">
        <w:rPr>
          <w:rStyle w:val="NumeroAFNegritaCaracter"/>
        </w:rPr>
        <w:t>6</w:t>
      </w:r>
      <w:r>
        <w:t>. En 22 de febrero de 1985 la representación del actor formula escrito de alegaciones en el que reitera su petición. En apoyo de la misma manifiesta que no ha intentado evadirse en ningún momento a la acción de la justicia, habiéndose presentado a todos los requerimientos y citaciones, tal como se desprende del expediente incoado; asimismo señala que, como consta en los Autos referidos, tiene a su cargo esposa e hija, del que dependen íntegramente; y finalmente añade que el Magistrado-Juez de Peligrosidad y Rehabilitación Social de Palma de Mallorca ha venido, en cierta manera, a corroborar cuanto antecede en el presente escrito, al dictar providencias de 14 de diciembre de 1985 y 4 de febrero de 1985, suspendiendo la medida de internamiento en vista de la situación familiar alegada, si bien ha decretado el internamiento para el día 1 de marzo, salvo que el Tribunal Constitucional decrete la suspensión de la ejecución de las medidas.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56 de la Ley Orgánica del Tribunal Constitucional (LOTC) establece en el núm.  1 que la Sala que conozca de un recurso de amparo suspenderá, de oficio o a instancia del recurrente, la ejecución del acto de los Poderes Públicos por razón del cual se reclama el amparo constitucional, cuando la ejecución haría perder al amparo su finalidad; no obstante, añade, podrá denegar la suspensión cuando de ésta pueda seguirse perturbación grave de los intereses generales o de los derechos fundamentales o libertades públicas de un tercero.</w:t>
      </w:r>
    </w:p>
    <w:p w:rsidR="00256EE9" w:rsidRDefault="00256EE9" w:rsidP="00256EE9">
      <w:pPr>
        <w:pStyle w:val="TextoNormal"/>
      </w:pPr>
      <w:r>
        <w:t xml:space="preserve">Por otra parte, el propio art. 56.2 establece que la suspensión podrá acordarse con o sin afianzamiento.  Y, finalmente, el art.  57 de la misma Ley señala que la suspensión o su denegación podrá ser modificada durante el curso del juicio de amparo constitucional, de </w:t>
      </w:r>
      <w:r>
        <w:lastRenderedPageBreak/>
        <w:t>oficio o a instancia de parte, en virtud de circunstancias sobrevenidas o que no pudieron ser conocidas al tiempo de sustanciarse el incidente de suspensión.</w:t>
      </w:r>
    </w:p>
    <w:p w:rsidR="00256EE9" w:rsidRDefault="00256EE9" w:rsidP="00256EE9">
      <w:pPr>
        <w:pStyle w:val="TextoNormal"/>
      </w:pPr>
      <w:r>
        <w:t>En el presente caso, no cabe duda de que la ejecución de la Sentencia haría perder al amparo su finalidad, con excepción de la multa, como pone de manifiesto el Ministerio Fiscal; sin que se observe, por otra parte, que tal suspensión vaya en contra de los intereses generales, en este caso concreto, en cuanto el propio Juez-Magistrado de Peligrosidad y Rehabilitación Social de Palma de Mallorca ha tomado en consideración las circunstancias familiares del recurrente, según manifiesta, a efectos de acordar la suspensión provisional.</w:t>
      </w:r>
    </w:p>
    <w:p w:rsidR="00256EE9" w:rsidRDefault="00256EE9" w:rsidP="00256EE9">
      <w:pPr>
        <w:pStyle w:val="TextoNormal"/>
      </w:pPr>
      <w:r>
        <w:t>Las afirmaciones anteriores se hacen sin perjuicio de lo que resulte de los antecedentes, por lo que la suspensión podrá ser modificada si de las actuaciones resultasen circunstancias que no pueden conocerse en este momento.</w:t>
      </w:r>
    </w:p>
    <w:p w:rsidR="00256EE9" w:rsidRDefault="00256EE9" w:rsidP="00256EE9">
      <w:pPr>
        <w:pStyle w:val="TextoNormal"/>
      </w:pPr>
      <w:r>
        <w:t>Por otra parte, en cuanto a la multa, puede accederse a la suspensión, valorando los intereses en presencia, siempre que no haya sido abonada y que el actor preste fianza a satisfacción del Juez-Magistrado de Peligrosidad y Rehabilitación Social de Palma de Mallorca.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Sala acuerda:</w:t>
      </w:r>
    </w:p>
    <w:p w:rsidR="00256EE9" w:rsidRDefault="00256EE9" w:rsidP="00256EE9">
      <w:pPr>
        <w:pStyle w:val="TextoNormal"/>
      </w:pPr>
      <w:r>
        <w:t>1.° Suspender la ejecución de la Sentencia del Juzgado de Peligrosidad y Rehabilitación Social de Palma de Mallorca de 7 de febrero de 1984, en el expediente 92/1983, salvo en lo que respecta a la multa de 20.000 pesetas.</w:t>
      </w:r>
    </w:p>
    <w:p w:rsidR="00256EE9" w:rsidRDefault="00256EE9" w:rsidP="00256EE9">
      <w:pPr>
        <w:pStyle w:val="TextoNormal"/>
      </w:pPr>
      <w:r>
        <w:t>2.° Suspender la ejecución en lo que respecta a la multa indicada, para el supuesto de que no haya sido pagada, y de forma condicionada a que se preste la correspondiente fianza a satisfacción del Juzgado mencionado.</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45" w:name="AUTO_1985_184"/>
      <w:r>
        <w:lastRenderedPageBreak/>
        <w:t>AUTO 184/1985, de 13 de marzo de 1985</w:t>
      </w:r>
    </w:p>
    <w:bookmarkEnd w:id="245"/>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ECLI:ES:TC:1985:184A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852/1984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Procurador de los Tribunales don Enrique Sorribes Torra presenta escrito ante este Tribunal Constitucional (T.C.) el día 5 de diciembre de 1984, por el que interpone recurso de amparo en nombre y representación de los cónyuges don Constancio Sánchez Martínez y doña Odilia del Molino Aranda, frente a la Sentencia de 29 de marzo de 1984, del Juzgado de Distrito número 13 de Valencia, que fue confirmada por la Audiencia Provincial de dicha capital, por Resolución de 25 de octubre de 1984, por entender que ambos pronunciamientos han vulnerado los derechos fundamentales consignados en los arts. 14 y 24 de la C. E., en cuanto garantizar la igualdad ante la Ley y la tutela efectiva de los Jueces y Tribunales.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en que se basa el presente recurso son los siguientes: </w:t>
      </w:r>
    </w:p>
    <w:p w:rsidR="00256EE9" w:rsidRDefault="00256EE9" w:rsidP="00256EE9">
      <w:pPr>
        <w:pStyle w:val="TextoNormal"/>
      </w:pPr>
      <w:r>
        <w:t xml:space="preserve">a) Los ahora recurrentes formularon demanda de juicio de cognición sobre resolución de contrato de arrendamiento de una vivienda de su propiedad, fundada en la causa tercera del art. 62 de la Ley de Arrendamientos Urbanos, que se refiere a la desocupación sin justa causa. </w:t>
      </w:r>
    </w:p>
    <w:p w:rsidR="00256EE9" w:rsidRDefault="00256EE9" w:rsidP="00256EE9">
      <w:pPr>
        <w:pStyle w:val="TextoNormal"/>
      </w:pPr>
      <w:r>
        <w:t>b) Celebrado el juicio, el Juzgado dictó Sentencia desestimando la demanda y absolviendo a los demandados. En trámite de apelación, la Audiencia Provincial de Valencia confirmó la resolución recurrida.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Solicitan los recurrentes la nulidad de la Sentencia del Juzgado de Instancia, así como de la dictada en apelación y que sea reconocida la plena constitucionalidad del Decreto de 31 de octubre de 1958 y su inaplicabilidad a las actuaciones recurridas, así como el derecho a obtener una resolución judicial no discriminatoria del derecho de igualdad ante la Ley y ajustada a las normas que resulten efectivamente aplicables dentro del ordenamiento jurídico, con los demás efectos procesales que se consideren procedentes. </w:t>
      </w:r>
    </w:p>
    <w:p w:rsidR="00256EE9" w:rsidRDefault="00256EE9" w:rsidP="00256EE9">
      <w:pPr>
        <w:pStyle w:val="TextoNormal"/>
      </w:pPr>
      <w:r>
        <w:t xml:space="preserve">Entienden los recurrentes que el derecho fundamental a la igualdad queda vulnerado al presumir la Sentencia la posible inconstitucionalidad del Decreto de 31 de octubre de 1958, ya que considera que los funcionarios civiles o militares gozan de un privilegio en relación con los demás ciudadanos. </w:t>
      </w:r>
    </w:p>
    <w:p w:rsidR="00256EE9" w:rsidRDefault="00256EE9" w:rsidP="00256EE9">
      <w:pPr>
        <w:pStyle w:val="TextoNormal"/>
      </w:pPr>
      <w:r>
        <w:lastRenderedPageBreak/>
        <w:t xml:space="preserve">Por otra parte, de mantenerse la plena validez de la Sentencia, y en una interpretación extensiva, se derivaría en unos supuestos de discriminación por razón de condición o circunstancia personal o social. </w:t>
      </w:r>
    </w:p>
    <w:p w:rsidR="00256EE9" w:rsidRDefault="00256EE9" w:rsidP="00256EE9">
      <w:pPr>
        <w:pStyle w:val="TextoNormal"/>
      </w:pPr>
      <w:r>
        <w:t>El derecho a la tutela efectiva quedaría afectado, en opinión de los recurrentes, por la aplicación en el caso del Decreto antes citado, omitiéndose la del Decreto de 13 de marzo de 1969 que, por analogía, resulta más aplicable.</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19 de diciembre de 1984, la Sección acordó tener por interpuesto el recurso de amparo y, a tenor de lo dispuesto en el art. 50 de la LOTC, conceder un plazo común de diez días al Ministerio Fiscal y a los solicitantes de amparo para que alegasen lo que estimasen procedente en relación con la posible concurrencia de los motivos de inadmisión de carácter subsanable consistentes en: a) no haberse invocado formalmente en el proceso el derecho constitucional vulnerado [art. 44.1 c) de la LOTC]; b) carecer la demanda manifiestamente de contenido que justifique una decisión por parte del T. C.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El Ministerio Fiscal, evacuando el trámite antes señalado, solicita la desestimación de la demanda por apreciar la concurrencia de los motivos puestos de manifiesto en la anterior providencia. Por su parte, los demandantes, en su escrito de alegaciones, reiteran los argumentos ya expuestos en la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multitud de ocasiones este T. C.  se ha pronunciado sobre la naturaleza misma del recurso constitucional de amparo, insistiendo en su carácter de remedio subsidiario frente a lesiones de derechos fundamentales y libertades públicas, lo que hace absolutamente necesario se haya intentado obtener de los órganos jurisdiccionales competentes la reparación del derecho fundamental que se considera vulnerado. De ahí la previsión que se contiene en el art. 44.1 c) de la LOTC, cuyo incumplimiento se convierte, en razón a lo dispuesto en el art. 50.1 b) de la citada Ley orgánica en causa de inadmisión de la demanda de amparo. Tal requisito constituye a su vez, como es obvio, una carga procesal que el demandante ha de asumir en términos suficientes (Auto de 6 de julio de 1983, en R. A. 331/1983).</w:t>
      </w:r>
    </w:p>
    <w:p w:rsidR="00256EE9" w:rsidRDefault="00256EE9" w:rsidP="00256EE9">
      <w:pPr>
        <w:pStyle w:val="TextoNormal"/>
      </w:pPr>
      <w:r>
        <w:t>De la documentación aportada no se desprende, en absoluto, que los demandantes hayan cumplido con la citada exigencia, puesto que no basta con la simple afirmación de tal cumplimiento, sino que, precisamente, al otorgarse un plazo para subsanar la posible deficiencia, corresponde a los demandantes aportar, a través de los medios probatorios de normal utilización, los datos mínimos pero suficientes para acreditar el cumplimiento de algo que, como hemos reiterado, no se trata de una mera formalidad, sino un requisito encaminado a hacer guardar estrictamente el carácter singular y subsidiario del procedimiento de amparo constitucional, que nada tiene que ver con una ulterior y definitiva instancia correctora, en su caso, de los pronunciamientos de los órganos judiciales.</w:t>
      </w:r>
    </w:p>
    <w:p w:rsidR="00256EE9" w:rsidRDefault="00256EE9" w:rsidP="00256EE9">
      <w:pPr>
        <w:pStyle w:val="TextoNormal"/>
      </w:pPr>
      <w:r>
        <w:t xml:space="preserve">En el presente caso, es claro que las dos Sentencias recurridas se han pronunciado en términos de Derecho, sin que se denote presencia alguna, especialmente en la Sentencia de apelación, de argumentos relativos a las pretendidas vulneraciones constitucionales ahora denunciadas, constando únicamente que los entonces demandantes interpusieron la apelación por considerar lesiva para sus intereses la Sentencia del Juez de Distrito, y que la </w:t>
      </w:r>
      <w:r>
        <w:lastRenderedPageBreak/>
        <w:t>cuestión planteada se ceñía a la determinación de si concurría o no justa causa para la desocupación de la vivienda, a los efectos de la aplicación o no de la cláusula resolutoria del contrato en vigor, sin que exista constancia alguna de invocación de una pretendida vulneración de los derechos constitucionales consignados en los arts.  14 y 24 de la C. E.</w:t>
      </w:r>
    </w:p>
    <w:p w:rsidR="00256EE9" w:rsidRDefault="00256EE9" w:rsidP="00256EE9">
      <w:pPr>
        <w:pStyle w:val="TextoNormal"/>
      </w:pPr>
      <w:r>
        <w:t>Resulta, por lo demás, claramente desechable la argumentación que pretenden ofrecer los demandantes, trayendo a colación la Sentencia de este Tribunal Constitucional de 13 de octubre de 1982, en el sentido de que la exigencia de la previa invocación del derecho constitucional vulnerado [artículo 44.1 c) de la LOTC] no puede predicarse respecto al derecho a la igualdad y a la tutela jurisdiccional, lo cual no demuestra otra cosa que una errónea comprensión y lectura de nuestra jurisprudencia.</w:t>
      </w:r>
    </w:p>
    <w:p w:rsidR="00256EE9" w:rsidRDefault="00256EE9" w:rsidP="00256EE9">
      <w:pPr>
        <w:pStyle w:val="TextoNormal"/>
      </w:pPr>
      <w:r>
        <w:t>Todo lo referido conduce a la conclusión de que no se ha dado cumplimiento al requisito impuesto por el art. 44.1 c) de la LOTC en el plazo concedido por nuestra providencia, por lo que procede declarar la inadmisión de la presente demanda por el motivo indicado.</w:t>
      </w:r>
    </w:p>
    <w:p w:rsidR="00256EE9" w:rsidRDefault="00256EE9" w:rsidP="00256EE9">
      <w:pPr>
        <w:pStyle w:val="TextoNormal"/>
      </w:pPr>
    </w:p>
    <w:p w:rsidR="00256EE9" w:rsidRDefault="00256EE9" w:rsidP="00256EE9">
      <w:pPr>
        <w:pStyle w:val="TextoNormal"/>
      </w:pPr>
      <w:r w:rsidRPr="00256EE9">
        <w:rPr>
          <w:rStyle w:val="NumeroAFNegritaCaracter"/>
        </w:rPr>
        <w:t>2</w:t>
      </w:r>
      <w:r>
        <w:t>. Además, la demanda carece manifiestamente de contenido constitucional que justifique un desarrollo procesal ulterior, debiéndose, por este motivo, expresado en el art.  50.2 b) de la LOTC, declararse también su inadmisibilidad.</w:t>
      </w:r>
    </w:p>
    <w:p w:rsidR="00256EE9" w:rsidRDefault="00256EE9" w:rsidP="00256EE9">
      <w:pPr>
        <w:pStyle w:val="TextoNormal"/>
      </w:pPr>
      <w:r>
        <w:t>En efecto, nada indica, antes al contrario, que los demandantes no hayan obtenido una tutela judicial efectiva, dado que han usado de una doble instancia en la que, mediante pronunciamientos debidamente motivados, los órganos jurisdiccionales competentes han resuelto, previa práctica de abundante prueba, conforme a Derecho, aplicando al caso las normas vigentes, sin que de las poco claras alegaciones de los demandantes pueda deducirse otra cosa que una disconformidad con la solución adoptada en ambas instancias coincidentes, que en nada afecta a los derechos y libertades fundamentales esgrimidas por los demandantes como cauce de acceso a este T. C.</w:t>
      </w:r>
    </w:p>
    <w:p w:rsidR="00256EE9" w:rsidRDefault="00256EE9" w:rsidP="00256EE9">
      <w:pPr>
        <w:pStyle w:val="TextoNormal"/>
      </w:pPr>
      <w:r>
        <w:t>Finalmente, la invocación del derecho a la igualdad no tiene una fundamentación con relación a los razonamientos que se hacen en las Sentencias recurridas, que se limitan a examinar si concurre en este supuesto la justa causa para la desocupación temporal de la vivienda, partiendo de los casos prevenidos en los Decretos de 31 de octubre de 1958 y de 13 de marzo de 1969, que establecen un numerus apertus en la apreciación por los órganos judiciales de otros supuestos análogos precisamente con el fin de eliminar posibles discriminaciones no ajustadas a la realidad social de nuestro tiempo.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anterior, la Sección acuerda la inadmisión del presente recurso, y el archivo de las actuaciones.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46" w:name="AUTO_1985_185"/>
      <w:r>
        <w:lastRenderedPageBreak/>
        <w:t>AUTO 185/1985, de 13 de marzo de 1985</w:t>
      </w:r>
    </w:p>
    <w:bookmarkEnd w:id="246"/>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ECLI:ES:TC:1985:185A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857/1984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Instituto Nacional de la Seguridad Social, representado por el Procurador de los Tribunales don Luis Pulgar Arroyo y asistido por el Letrado don Emilio Ruiz-Jarabo Ferrán, ha formulado demanda de amparo constitucional contra la Sentencia del Tribunal Central de Trabajo de 17 de octubre de 1984 por presunta vulneración del derecho reconocido en el art. 24 de la Constitución. La demanda se apoya en los siguientes hechos: </w:t>
      </w:r>
    </w:p>
    <w:p w:rsidR="00256EE9" w:rsidRDefault="00256EE9" w:rsidP="00256EE9">
      <w:pPr>
        <w:pStyle w:val="TextoNormal"/>
      </w:pPr>
      <w:r>
        <w:t xml:space="preserve">a) Doña Pilar Martínez Delgado y otras personas suscribieron el 12 de julio de 1983 una serie de contratos de trabajo con el Instituto Nacional de la Seguridad Social, como auxiliares administrativos, con una duración hasta el 31 de diciembre de dicho año, siendo prorrogados a su término hasta el 17 de abril de 1984. </w:t>
      </w:r>
    </w:p>
    <w:p w:rsidR="00256EE9" w:rsidRDefault="00256EE9" w:rsidP="00256EE9">
      <w:pPr>
        <w:pStyle w:val="TextoNormal"/>
      </w:pPr>
      <w:r>
        <w:t xml:space="preserve">b) Los interesados formularon reclamación previa y, posteriormente, demanda judicial por despido que fue desestimada por Sentencia de la Magistratura de Trabajo núm. 1 de Alicante de 18 de abril de 1984. Contra dicha Sentencia interpusieron recurso de suplicación denunciando la infracción del art. 2.3 de la Orden Ministerial de 28 de abril de 1978, que aprobó el Estatuto de Personal del extinguido Instituto Nacional de Previsión, en relación con el núm. 1 de la disposición transitoria primera y de la disposición adicional primera del Real Decreto-ley 36/1978, de 16 de noviembre, y en relación con la Orden Ministerial de 17 de marzo de 1980, que modificó aquel art. 2.3 del Estatuto de Personal. </w:t>
      </w:r>
    </w:p>
    <w:p w:rsidR="00256EE9" w:rsidRDefault="00256EE9" w:rsidP="00256EE9">
      <w:pPr>
        <w:pStyle w:val="TextoNormal"/>
      </w:pPr>
      <w:r>
        <w:t>c) El Tribunal Central de Trabajo, en Sentencia de 17 de octubre de 1984, estimó el recurso «aunque por razones jurídicas distintas a las que se exponen en el motivo», al entender que, siendo la relación de los actores con el Instituto Nacional de la Seguridad Social de carácter no estatutario, resultaba aplicable el art. 15.1 b) del Estatuto de los Trabajadores desarrollado por el Real Decreto 2303/1980, de 17 de octubre, habiendo sido vulneradas estas normas por mantener la eventualidad de los contratos por un tiempo superior al autorizado por ellas. En consecuencia, el Tribunal declara la improcedencia del despido, basando su estimación «en el razonamiento expuesto y no en la argumentación de los recurrentes».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de amparo denuncia la vulneración del art. 24.1 de la Constitución producida por haberse fundamentado la Sentencia del Tribunal Central en una cuestión que no fue manifestada ni en el procedimiento seguido ante la Magistratura de Trabajo ni en el correspondiente recurso de suplicación. El hecho de que el precepto en que se apoya el </w:t>
      </w:r>
      <w:r>
        <w:lastRenderedPageBreak/>
        <w:t xml:space="preserve">Tribunal Central no hubiera sido invocado por ninguna de las partes, ocasionó la imposibilidad de formular las oportunas alegaciones sobre el mismo, originando así la indefensión de la parte. </w:t>
      </w:r>
    </w:p>
    <w:p w:rsidR="00256EE9" w:rsidRDefault="00256EE9" w:rsidP="00256EE9">
      <w:pPr>
        <w:pStyle w:val="TextoNormal"/>
      </w:pPr>
      <w:r>
        <w:t>El «suplico» de la demanda solicita se declare la nulidad de la Sentencia del Tribunal Central de Trabajo de 17 de octubre de 1984, reponiendo los Autos al momento de dictarla a efectos de que la nueva resolución que concluya el recurso de suplicación no ocasione la lesión que se denuncia.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Cuarta de este Tribunal, en su reunión del día 30 de enero pasado, acordó poner de manifiesto la posible existencia de la causa de inadmisibilidad que regula el art. 50.2 b) de la Ley Orgánica de este Tribunal y otorgó un plazo común de diez días al solicitante del amparo y al Ministerio Fiscal para alegaciones. </w:t>
      </w:r>
    </w:p>
    <w:p w:rsidR="00256EE9" w:rsidRDefault="00256EE9" w:rsidP="00256EE9">
      <w:pPr>
        <w:pStyle w:val="TextoNormal"/>
      </w:pPr>
      <w:r>
        <w:t xml:space="preserve">La Entidad solicitante del amparo ha insistido en sus alegaciones iniciales señalando que la posible existencia de la causa de inadmisibilidad del recurso se refiere, únicamente, a la fundamentación de fondo de éste, por lo que da por reproducidos los antecedentes y fundamentos de Derecho que en su anterior escrito de interposición del recurso exponían, insistiendo o ampliando en el presente aquellos datos de hecho y jurídicos que se consideraran más significativos. </w:t>
      </w:r>
    </w:p>
    <w:p w:rsidR="00256EE9" w:rsidRDefault="00256EE9" w:rsidP="00256EE9">
      <w:pPr>
        <w:pStyle w:val="TextoNormal"/>
      </w:pPr>
      <w:r>
        <w:t xml:space="preserve">En el escrito de demanda laboral que doña Pilar Martínez Delgado y otras personas formularon ante la Magistratura de Trabajo de Alicante, el hecho primero decía que en 12 de julio de 1983 suscribió contrato para realizar servicios de auxiliar administrativa eventual, iniciándose los mismos el 18 de julio de 1983 con fecha de finalización del contrato el 31 de diciembre de 1983, y siendo prorrogado el mismo, antes de su vencimiento, hasta el 17 de abril de 1984. Y en el hecho segundo se añade que el 1 de abril de 1984 el Instituto le comunicó que a partir del día 18 de abril de 1984 quedaba resuelto el contrato de trabajo suscrito. </w:t>
      </w:r>
    </w:p>
    <w:p w:rsidR="00256EE9" w:rsidRDefault="00256EE9" w:rsidP="00256EE9">
      <w:pPr>
        <w:pStyle w:val="TextoNormal"/>
      </w:pPr>
      <w:r>
        <w:t xml:space="preserve">En los contratos de trabajo de referencia se distingue, como hacen los actores, entre la fecha de suscripción del contrato y el inicio de la prestación de servicios, cuestión inocua para los intereses de las partes intervinientes en el contrato, pues el cómputo de la duración del mismo comenzaba en el momento del inicio de la prestación de trabajo e, igualmente, en esa fecha la obligación de abono del salario correspondiente. </w:t>
      </w:r>
    </w:p>
    <w:p w:rsidR="00256EE9" w:rsidRDefault="00256EE9" w:rsidP="00256EE9">
      <w:pPr>
        <w:pStyle w:val="TextoNormal"/>
      </w:pPr>
      <w:r>
        <w:t xml:space="preserve">En las demandas presentadas por doña Pilar Martínez Delgado y otros se centra el planteamiento de la litis en estos términos: a) el despido es nulo e improcedente porque la contratación temporal era fraudulenta; b) el fraude aludido se prueba porque los demandantes fueron contratados entre el 1 de marzo y el 30 de noviembre de 1982 para realizar trabajos urgentes que no podía atender con funcionarios de plantilla; finalizados estos originarios contratos, para efectuar los mismos trabajos, fueron contratados otros trabajadores, igualmente con el carácter de eventuales; extinguidos éstos, se suscribieron con los demandantes nuevos contratos que finalizados dieron lugar a nuevas contrataciones del mismo carácter con otros trabajadores. </w:t>
      </w:r>
    </w:p>
    <w:p w:rsidR="00256EE9" w:rsidRDefault="00256EE9" w:rsidP="00256EE9">
      <w:pPr>
        <w:pStyle w:val="TextoNormal"/>
      </w:pPr>
      <w:r>
        <w:t xml:space="preserve">c) La norma defraudada es el Estatuto de Personal del I. N. S. S., que considera improrrogables los contratos de carácter eventual. </w:t>
      </w:r>
    </w:p>
    <w:p w:rsidR="00256EE9" w:rsidRDefault="00256EE9" w:rsidP="00256EE9">
      <w:pPr>
        <w:pStyle w:val="TextoNormal"/>
      </w:pPr>
      <w:r>
        <w:t xml:space="preserve">d) En conclusión, la relación jurídico-laboral existente, al haber sido prorrogada, según la tesis de los actores, adquiría carácter indefinido, por lo que el cese producido es un despido con causa justificada y, por tanto, improcedente o nulo. </w:t>
      </w:r>
    </w:p>
    <w:p w:rsidR="00256EE9" w:rsidRDefault="00256EE9" w:rsidP="00256EE9">
      <w:pPr>
        <w:pStyle w:val="TextoNormal"/>
      </w:pPr>
      <w:r>
        <w:t xml:space="preserve">La Sentencia de la Magistratura de Trabajo núm. 1 de las de Alicante entiende que el fraude alegado no existe; por el contrario, la contratación de los servicios de los demandantes efectuada por el Instituto Nacional de la Seguridad Social es perfectamente ajustada </w:t>
      </w:r>
      <w:r>
        <w:lastRenderedPageBreak/>
        <w:t xml:space="preserve">a Derecho. Las consideraciones y el fallo de la aludida Sentencia constituyen respuesta adecuada y directa a las cuestiones litigiosas deducidas por los actores. </w:t>
      </w:r>
    </w:p>
    <w:p w:rsidR="00256EE9" w:rsidRDefault="00256EE9" w:rsidP="00256EE9">
      <w:pPr>
        <w:pStyle w:val="TextoNormal"/>
      </w:pPr>
      <w:r>
        <w:t xml:space="preserve">Los actores anuncian recurso de suplicación contra la citada Sentencia, que posteriormente formalizan, insistiendo en las pretensiones ya manifestadas ante la Magistratura de Trabajo, es decir, la contratación temporal es fraudulenta y debe ser regulada con arreglo a las disposiciones del Estatuto de Personal del extinguido Instituto Nacional de Previsión y no desde el enfoque que presta la normativa laboral de carácter general. </w:t>
      </w:r>
    </w:p>
    <w:p w:rsidR="00256EE9" w:rsidRDefault="00256EE9" w:rsidP="00256EE9">
      <w:pPr>
        <w:pStyle w:val="TextoNormal"/>
      </w:pPr>
      <w:r>
        <w:t xml:space="preserve">La Sentencia del Tribunal Central de Trabajo, recurrida por medio de este amparo, está conforme en que la tesis de las recurrentes en suplicación no puede tener éxito, por las razones que adujo la Sentencia recurrida y que explicita en su considerando, pero acoge el recurso porque, entendiendo que el art. 15.1 b) del Estatuto de los Trabajadores y el Decreto de 17 de octubre de 1980 por el que se desarrolla, constituyen la normativa que debe regular las incidencias por las que atraviese la contratación objeto del procedimiento. </w:t>
      </w:r>
    </w:p>
    <w:p w:rsidR="00256EE9" w:rsidRDefault="00256EE9" w:rsidP="00256EE9">
      <w:pPr>
        <w:pStyle w:val="TextoNormal"/>
      </w:pPr>
      <w:r>
        <w:t xml:space="preserve">El tema, así planteado, le suscita al solicitante del amparo tres cuestiones: la primera, de carácter procesal y ligada a la que a continuación se expone, sobre la imposibilidad de recurrir una Sentencia absolutoria que no precisa con la debida matización una cuestión de hecho importante en el enjuiciamiento del litigio; la segunda, el problema de fondo, es decir, el Tribunal Central de Trabajo extrae de un hecho probado unas consecuencias excesivas que conducen al fallo de una pretensión adversa de la deducida en el procedimiento por tener una causa pretendi distinta (ne est iudex extra petita partium); y la tercera y última, si al considerar este cambio en la causa pretendi el Tribunal Central de Trabajo ha ocasionado indefensión en mi mandante. </w:t>
      </w:r>
    </w:p>
    <w:p w:rsidR="00256EE9" w:rsidRDefault="00256EE9" w:rsidP="00256EE9">
      <w:pPr>
        <w:pStyle w:val="TextoNormal"/>
      </w:pPr>
      <w:r>
        <w:t xml:space="preserve">La cuestión que le traemos a la consideración del Tribunal, la tercera, pues es la única que resulta trascendente desde un punto de vista constitucional, si bien el planteamiento se complica, dadas las especiales características del ordenamiento jurídico laboral y, también, al aparecer ligada esta tercera cuestión, de alguna manera, a las dos precedentes. </w:t>
      </w:r>
    </w:p>
    <w:p w:rsidR="00256EE9" w:rsidRDefault="00256EE9" w:rsidP="00256EE9">
      <w:pPr>
        <w:pStyle w:val="TextoNormal"/>
      </w:pPr>
      <w:r>
        <w:t xml:space="preserve">Se trata, pues, de saber si la Sentencia del Tribunal Central de Trabajo, de fecha 17 de octubre de 1984, al conceder lo pedido, si bien por un título o fundamento jurídico o causa pretendi distinto del argumentado por los actores en las respectivas demandas y en los escritos fundamentales del pleito ha producido en mi mandante la indefensión a que se refiere el artículo 24.1 de la Constitución. </w:t>
      </w:r>
    </w:p>
    <w:p w:rsidR="00256EE9" w:rsidRDefault="00256EE9" w:rsidP="00256EE9">
      <w:pPr>
        <w:pStyle w:val="TextoNormal"/>
      </w:pPr>
      <w:r>
        <w:t xml:space="preserve">Un último punto a tratar, según el recurrente, es el que se refiere a la especial consideración de la congruencia en el procedimiento laboral ante la presencia de la aplicación imperativa de la norma laboral por su carácter de Derecho necesario y el principio de su irrenunciabilidad, y ello por cuanto para llegar al concepto de indefensión es preciso mediar por el de congruencia, pues si ésta no se da es que el juzgador tiene potestad para intervenir activamente en el proceso aumentando, reduciendo o alterando las pretensiones y oposición de las partes. Que la incongruencia existe en la especializada jurisdicción laboral no admite duda, pues tal figura resulta aludida negativamente en el art. 167.2 de la Ley procedimental y constituye causa para acceder a la extraordinaria vía de la casación, de lo que ha de concluirse en un primer momento, que la naturaleza imperativa del Derecho laboral no es obstáculo para que la figura de que se trate pueda aparecer en el procedimiento que se siga ante la jurisdicción laboral. </w:t>
      </w:r>
    </w:p>
    <w:p w:rsidR="00256EE9" w:rsidRDefault="00256EE9" w:rsidP="00256EE9">
      <w:pPr>
        <w:pStyle w:val="TextoNormal"/>
      </w:pPr>
      <w:r>
        <w:t xml:space="preserve">La lógica no hace sino confirmar el criterio expuesto, pues resultaría absurdo el que discutiéndose en un procedimiento una prestación de Seguridad Social se concluyera con una declaración de despido, por mor de la irrenunciabilidad de los derechos del trabajador, o que solventándose una indemnización por despido, se conceda una indemnización al trabajador por incumplimiento de contrato. </w:t>
      </w:r>
    </w:p>
    <w:p w:rsidR="00256EE9" w:rsidRDefault="00256EE9" w:rsidP="00256EE9">
      <w:pPr>
        <w:pStyle w:val="TextoNormal"/>
      </w:pPr>
      <w:r>
        <w:lastRenderedPageBreak/>
        <w:t xml:space="preserve">La interrelación existente entre congruencia en el procedimiento laboral e imperatividad aplicativa del Derecho laboral y no renunciabilidad de los derechos del trabajador, recuerda a la presión que el principio iura novit curia ejerce sobre la pretensión procesal en cualquier otra rama del Derecho. </w:t>
      </w:r>
    </w:p>
    <w:p w:rsidR="00256EE9" w:rsidRDefault="00256EE9" w:rsidP="00256EE9">
      <w:pPr>
        <w:pStyle w:val="TextoNormal"/>
      </w:pPr>
      <w:r>
        <w:t xml:space="preserve">La incidencia que la figura de la congruencia tiene en el Derecho procesal laboral, dadas las especiales características del Derecho sustantivo que, por regla general, aplica se concreta, a nuestro parecer, en que los pedimentos deducidos se amplían a lo que les es accesorio por reconocimiento legal; es decir, el Juez o Tribunal está obligado no sólo a fallar sobre las pretensiones accionadas, en su caso por las partes, como ocurre en el procedimiento ordinario, sino también a resolver sobre las demás pretensiones, que aun cuando no hubieran sido reclamadas expresamente, se deriven directamente de la principal objeto del pleito por su carácter de accesorias (bases reguladoras de las prestaciones de la Seguridad Social, cuantías de las indemnizaciones por despido, etc.), pero nunca sobre aquellas otras pretensiones que, no deducidas en el procedimiento, no guardan relación alguna con la acción en la forma en que ha sido ejercitada, pues tal proceder puede ocasionar indefensión si se realiza en fase definitiva del procedimiento, como es el caso que se somete a consideración de ese Tribunal. </w:t>
      </w:r>
    </w:p>
    <w:p w:rsidR="00256EE9" w:rsidRDefault="00256EE9" w:rsidP="00256EE9">
      <w:pPr>
        <w:pStyle w:val="TextoNormal"/>
      </w:pPr>
      <w:r>
        <w:t>El Fiscal General del Estado ha pedido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infracción presuntamente cometida por el Tribunal Central de Trabajo consiste, según puede desprenderse de lo alegado por la Entidad demandante, en la transformación de lo debatido, pues versando el debate procesal sobre el cumplimiento o incumplimiento de otros determinados preceptos sustantivos, el Tribunal ha aplicado unos diversos que no fueron traídos a colación por ninguna de las partes, y sobre los que, por tanto, no existió pronunciamiento de éstas. En opinión del Instituto Nacional de la Seguridad Social, ello le ha originado indefensión. En el escrito de alegaciones se matiza esta inicial aseveración, en el sentido de que lo que quiere denunciarse es un vicio de incongruencia por haber modificado el juzgador el objeto del pleito. Es cierto, en tal sentido, que la vulneración del principio de congruencia puede en ocasiones significar una violación del derecho consagrado en el art. 24 de la Constitución, cuando, como dice la Sentencia de este Tribunal núm. 20/1982, de 5 de mayo («Boletín Oficial del Estado» de 15 de mayo), en su fundamento jurídico 1, «la desviación en que consiste la incongruencia es de tal naturaleza que supone una completa modificación de los términos en que se produjo el debate procesal», pues entonces «puede entrañar una vulneración del principio de contradicción y por ende del fundamental derecho de defensa», pero también lo es que no cabe confundir una modificación de los términos del debate con una modificación de la fundamentación jurídica del pronunciamiento.</w:t>
      </w:r>
    </w:p>
    <w:p w:rsidR="00256EE9" w:rsidRDefault="00256EE9" w:rsidP="00256EE9">
      <w:pPr>
        <w:pStyle w:val="TextoNormal"/>
      </w:pPr>
      <w:r>
        <w:t xml:space="preserve">Según declaró el Tribunal en la Sentencia citada, la doctrina sobre la congruencia «es perfectamente compatible con el principio tradicional, según el cual iura novit curia». «Los Tribunales -declara su fundamento jurídico 2no tienen necesidad, ni tampoco obligación, de ajustarse en los razonamientos jurídicos que les sirven para motivar sus fallos a las alegaciones de carácter jurídico aducidos por las partes y pueden basar sus decisiones en fundamentos jurídicos distintos», y ello no sólo en la actividad juzgadora de instancia sino también en los recursos, como admitió el Auto de 4 de abril de 1984 (A.  48/1984).  La libertad del Tribunal apoyada en el principio iura novit curia se limita, sin duda, en los </w:t>
      </w:r>
      <w:r>
        <w:lastRenderedPageBreak/>
        <w:t>recursos de carácter extraordinario, pero no se excluye tampoco en ellos especialmente si, como sucede en el recurso de suplicación, no están dotados de unos formalismos muy estrictos.</w:t>
      </w:r>
    </w:p>
    <w:p w:rsidR="00256EE9" w:rsidRDefault="00256EE9" w:rsidP="00256EE9">
      <w:pPr>
        <w:pStyle w:val="TextoNormal"/>
      </w:pPr>
    </w:p>
    <w:p w:rsidR="00256EE9" w:rsidRDefault="00256EE9" w:rsidP="00256EE9">
      <w:pPr>
        <w:pStyle w:val="TextoNormal"/>
      </w:pPr>
      <w:r w:rsidRPr="00256EE9">
        <w:rPr>
          <w:rStyle w:val="NumeroAFNegritaCaracter"/>
        </w:rPr>
        <w:t>2</w:t>
      </w:r>
      <w:r>
        <w:t>. En el presente caso es patente que no se ha producido una modificación del objeto del debate, ni de los términos en que éste se produjo, sino sólo de la argumentación jurídica. Los trabajadores demandantes solicitaron la declaración de nulidad de su despido por considerar que sus contratos de trabajo, inicialmente temporales, se habían transformado en contratos por tiempo indefinido, al prorrogarse indebidamente, y no cumplía el cese los requisitos exigidos para el despido en tales contratos, y es ello exactamente lo que reconoce el Tribunal Central de Trabajo y en los mismos términos.</w:t>
      </w:r>
    </w:p>
    <w:p w:rsidR="00256EE9" w:rsidRDefault="00256EE9" w:rsidP="00256EE9">
      <w:pPr>
        <w:pStyle w:val="TextoNormal"/>
      </w:pPr>
      <w:r>
        <w:t>Lo único que se modifica es el marco normativo de referencia.</w:t>
      </w:r>
    </w:p>
    <w:p w:rsidR="00256EE9" w:rsidRDefault="00256EE9" w:rsidP="00256EE9">
      <w:pPr>
        <w:pStyle w:val="TextoNormal"/>
      </w:pPr>
      <w:r>
        <w:t>Según la opinión que los demandantes en el proceso laboral sostuvieron en su recurso de suplicación, su pretensión se basaba en el incumplimiento de las normas sobre contratación eventual del Estatuto de Personal del Instituto Nacional de Previsión que consideraban aplicable, y el Tribunal Central considera infringidas las normas sobre contratación temporal del Estatuto de los Trabajadores y disposiciones de desarrollo por entender que no era aquel Estatuto, sino éste el aplicable. Con ello, sólo se modifica la referencia a la norma jurídica, pero ni la pretensión se altera ni se transforma el debate.</w:t>
      </w:r>
    </w:p>
    <w:p w:rsidR="00256EE9" w:rsidRDefault="00256EE9" w:rsidP="00256EE9">
      <w:pPr>
        <w:pStyle w:val="TextoNormal"/>
      </w:pPr>
      <w:r>
        <w:t>No es cierto que el Instituto Nacional de la Seguridad Social no haya tenido oportunidad de pronunciarse sobre el tema.</w:t>
      </w:r>
    </w:p>
    <w:p w:rsidR="00256EE9" w:rsidRDefault="00256EE9" w:rsidP="00256EE9">
      <w:pPr>
        <w:pStyle w:val="TextoNormal"/>
      </w:pPr>
      <w:r>
        <w:t>Puesto que lo debatido era el cumplimiento o incumplimiento de las normas sobre contratación temporal, su defensa pudo versar también sobre el argumento que ofrece el Tribunal Central. Más aún, resulta que la introducción de la normativa realmente aplicable -Estatuto de Trabajadores y Decreto de desarrollo en materia de contratación temporal- no se realiza por el Tribunal Central de Trabajo, sino previamente por la Magistratura que es la que estima válida la referencia a tales normas incluida en los contratos.</w:t>
      </w:r>
    </w:p>
    <w:p w:rsidR="00256EE9" w:rsidRDefault="00256EE9" w:rsidP="00256EE9">
      <w:pPr>
        <w:pStyle w:val="TextoNormal"/>
      </w:pPr>
      <w:r>
        <w:t>Los trabajadores demandantes, al recurrir contra la Sentencia de Magistratura, se oponen -inadvirtiendo que les resulta favorable- a la aplicación de dichas normas, considerando que era el Estatuto de Personal el que debía regir los contratos.  Así pues, tanto para defender la Sentencia de instancia como para oponerse al recurso, el Instituto Nacional de la Seguridad Social no sólo pudo alegar, sino que indudablemente alegó, sobre la aplicabilidad del Estatuto de los Trabajadores, que no es, por tanto, cuestión nueva en la Sentencia del Tribunal Central. Lo único que sucede es que, del mismo modo que los trabajadores no consideran que la aplicación del Estatuto también les favorece, la Entidad gestora no piensa que le perjudica. El Tribunal Central se limita, sin más, a extraer la consecuencia obligada de la argumentación sostenida por la Magistratura de instancia.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presente recurso de amparo.</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47" w:name="AUTO_1985_186"/>
      <w:r>
        <w:lastRenderedPageBreak/>
        <w:t>AUTO 186/1985, de 13 de marzo de 1985</w:t>
      </w:r>
    </w:p>
    <w:bookmarkEnd w:id="247"/>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ECLI:ES:TC:1985:186A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870/1984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presentado en el Juzgado de Guardia el 7 de diciembre de 1984, don Alfonso Blasco Fernández, Procurador de los Tribunales, interpone recurso de amparo constitucional en nombre y representación del súbdito marroquí Marzouk el Mabhouti, contra el Auto del Juzgado de Instrucción núm. 1 de Málaga, de 10 de noviembre de 1984, por el que se desestimó recurso de reforma interpuesto contra el Auto de dicho Juzgado de 18 de octubre de 1984; contra dicho Auto, en cuanto denegó la petición de declaración de nulidad del proceso; contra el Auto de firmeza de la Sentencia, que se dictó en dicho procedimiento y, finalmente, contra el acuerdo tomado en el referido proceso de celebrar el mismo en ausencia del procesado. </w:t>
      </w:r>
    </w:p>
    <w:p w:rsidR="00256EE9" w:rsidRDefault="00256EE9" w:rsidP="00256EE9">
      <w:pPr>
        <w:pStyle w:val="TextoNormal"/>
      </w:pPr>
      <w:r>
        <w:t>Pide que se declare la nulidad del juicio de que se ha hecho mérito y de las actuaciones posteriores para que el mismo pueda celebrarse con asistencia personal del recurrente. Como segunda pretensión solicita «en todo caso, y por lo menos, declaración de nulidad del Auto de firmeza de la Sentencia» «y actuaciones posteriores, singularmente de la orden de busca y captura librada» contra el recurrente al efecto de que la Sentencia sea notificada al mismo en forma personal y pueda apelarla ante la Audiencia Provincial de Málaga.</w:t>
      </w:r>
    </w:p>
    <w:p w:rsidR="00256EE9" w:rsidRDefault="00256EE9" w:rsidP="00256EE9">
      <w:pPr>
        <w:pStyle w:val="TextoNormal"/>
      </w:pPr>
    </w:p>
    <w:p w:rsidR="00256EE9" w:rsidRDefault="00256EE9" w:rsidP="00256EE9">
      <w:pPr>
        <w:pStyle w:val="TextoNormal"/>
      </w:pPr>
      <w:r w:rsidRPr="00256EE9">
        <w:rPr>
          <w:rStyle w:val="NumeroAFNegritaCaracter"/>
        </w:rPr>
        <w:t>2</w:t>
      </w:r>
      <w:r>
        <w:t>. Resulta probado que el día 12 de diciembre de 1981 el súbdito marroquí Marzouk el Mabhouti llegó a la estación de Renfe en Málaga, y tras estacionar su vehículo, marca Mercedes, matrícula marroquí 7230-57, fue amonestado por José María Gajo Enríquez, recriminándole la forma temeraria de conducir, puesto que momentos antes estuvo a punto de atropellar a dos peatones y de ocasionar un accidente por adelantamiento indebido, diciéndole que así no se conducía en España, por lo que iba a avisar a la Policía. A lo que contestó el señor Marzouk el Mabhouti que «España era una mierda y que la Policía, el Rey y todos los españoles eran unos maricones», momento en el cual José María Gajo requirió la intervención de la Policía Nacional, que estaba de servicio en la estación, que detuvo al referido Marzouk el Mabhouti para su traslado a la Comisaría, y éste, durante el trayecto en el vehículo policial, se opuso tenazmente a ser conducido, hasta el extremo que logró abrir la portezuela intentando huir, lo que la Policía evitó por la fuerza, reduciéndole. Una vez en Comisaría, se negó reiteradamente a identificarse.</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xml:space="preserve">. El 8 de febrero de 1982, ante el Juzgado de Instrucción núm. 1 de Málaga, se celebró el juicio oral correspondiente. Al acto del juicio oral no compareció el señor Marzouk el Mabhouti. Su defensa alegó que se encontraba enfermo e intentó la suspensión del juicio, presentando un documento acreditativo de la enfermedad, redactado en idioma francés. El Tribunal hizo constar la presentación de un documento ininteligible, redactado en idioma extranjero, sin que fuera acompañado de la correspondiente traducción al castellano, por lo que devolvió a la Letrado defensor dicho documento y acordó la prosecución del juicio sin la presencia del acusado. Por Sentencia de 11 de febrero de 1982, el acusado fue condenado como autor criminalmente responsable de un delito de injurias al Jefe del Estado y otro delito de resistencia a agentes de la autoridad, imponiéndosele un año de prisión menor por el primero y un mes y un día de arresto mayor y multa de 20.000 pesetas por el segundo, más accesorias. </w:t>
      </w:r>
    </w:p>
    <w:p w:rsidR="00256EE9" w:rsidRDefault="00256EE9" w:rsidP="00256EE9">
      <w:pPr>
        <w:pStyle w:val="TextoNormal"/>
      </w:pPr>
      <w:r>
        <w:t xml:space="preserve">La Sentencia fue notificada al Ministerio Fiscal el 11 de febrero de 1982 y al Procurador del condenado el día 15 siguiente, siendo declarada firme por Auto de 11 de marzo de 1982. </w:t>
      </w:r>
    </w:p>
    <w:p w:rsidR="00256EE9" w:rsidRDefault="00256EE9" w:rsidP="00256EE9">
      <w:pPr>
        <w:pStyle w:val="TextoNormal"/>
      </w:pPr>
      <w:r>
        <w:t xml:space="preserve">El 22 de marzo de 1982 se dictó orden de busca y captura de Marzouk el Mabhouti. </w:t>
      </w:r>
    </w:p>
    <w:p w:rsidR="00256EE9" w:rsidRDefault="00256EE9" w:rsidP="00256EE9">
      <w:pPr>
        <w:pStyle w:val="TextoNormal"/>
      </w:pPr>
      <w:r>
        <w:t xml:space="preserve">El 1 de octubre de 1984 el solicitante de amparo, a través de Abogado y Procurador, solicitó del Juzgado la nulidad del juicio, por haber sido condenado sin haber sido oído y alegó la indefensión que se le había causado y la discriminación por raza y nacionalidad, en contra de todos los presupuestos constitucionales españoles. Ante el silencio del Juzgado el 22 de octubre siguiente reiteró su petición insistiéndose en la vulneración del art. 24 de la Constitución y anunciándose la interposición de recurso de amparo. El 24 de octubre de 1984, el Juzgado dictó Auto por el que denegó la petición de nulidad solicitada, y a solicitud del Fiscal acordó remitir copia certificada del escrito de la Letrado y del informe del Ministerio Fiscal al Colegio de Abogados de Málaga a los efectos pertinentes por considerar improcedentes las alusiones de la Letrada a las pruebas de francés en la Escuela Judicial y otras ironías impropias de un escrito razonado. </w:t>
      </w:r>
    </w:p>
    <w:p w:rsidR="00256EE9" w:rsidRDefault="00256EE9" w:rsidP="00256EE9">
      <w:pPr>
        <w:pStyle w:val="TextoNormal"/>
      </w:pPr>
      <w:r>
        <w:t xml:space="preserve">Interpuesto recurso de reforma contra el citado Auto el 27 de octubre de 1984 fue desestimado por Auto de 14 de noviembre de 1984. </w:t>
      </w:r>
    </w:p>
    <w:p w:rsidR="00256EE9" w:rsidRDefault="00256EE9" w:rsidP="00256EE9">
      <w:pPr>
        <w:pStyle w:val="TextoNormal"/>
      </w:pPr>
      <w:r>
        <w:t xml:space="preserve">Los fundamentos jurídicos de la demanda son que se ha vulnerado el art. 24 de la Constitución al celebrarse el juicio oral sin presencia del acusado, no obstante su enfermedad, y al omitirse la notificación personal de la Sentencia que hubiere permitido al penado recurrir la misma ante un Tribunal Superior. </w:t>
      </w:r>
    </w:p>
    <w:p w:rsidR="00256EE9" w:rsidRDefault="00256EE9" w:rsidP="00256EE9">
      <w:pPr>
        <w:pStyle w:val="TextoNormal"/>
      </w:pPr>
      <w:r>
        <w:t xml:space="preserve">El derecho conculcado ha sido invocado formalmente al solicitarse el 1 de octubre de 1984 la nulidad del juicio y del Auto de firmeza de la Sentencia y, nuevamente, el 22 de octubre de 1984. </w:t>
      </w:r>
    </w:p>
    <w:p w:rsidR="00256EE9" w:rsidRDefault="00256EE9" w:rsidP="00256EE9">
      <w:pPr>
        <w:pStyle w:val="TextoNormal"/>
      </w:pPr>
      <w:r>
        <w:t xml:space="preserve">Se afirma que el documento presentado ante el Tribunal no era ininteligible, pues estaba redactado en francés, lengua que se estudia en el bachillerato, en el examen de ingreso en la Escuela Judicial y en la propia Escuela. </w:t>
      </w:r>
    </w:p>
    <w:p w:rsidR="00256EE9" w:rsidRDefault="00256EE9" w:rsidP="00256EE9">
      <w:pPr>
        <w:pStyle w:val="TextoNormal"/>
      </w:pPr>
      <w:r>
        <w:t xml:space="preserve">La obligación de traducir el documento al castellano no se encuentra en la Ley de Enjuiciamiento Criminal ni era procedente. </w:t>
      </w:r>
    </w:p>
    <w:p w:rsidR="00256EE9" w:rsidRDefault="00256EE9" w:rsidP="00256EE9">
      <w:pPr>
        <w:pStyle w:val="TextoNormal"/>
      </w:pPr>
      <w:r>
        <w:t xml:space="preserve">5. La Sección Cuarta de este Tribunal, en su reunión de 30 de enero pasado, acordó poner de manifiesto la posible existencia de las siguientes causas de inadmisibilidad: 1.ª la del art. 50.1 a) en relación con el 44.2, ambos de la Ley Orgánica de este Tribunal, por interposición tardía del recurso; 2.ª la del art. 50.1 b) en relación con el 44.1 a), ambos de la misma Ley Orgánica, por no haberse agotado los recursos procedentes; 3.ª la del art. 50.1 b) en relación con el 44.1 c), todos de la indicada Ley Orgánica, por no aparecer que se haya invocado en el previo proceso judicial el derecho que se supone vulnerado, y 4.ª la </w:t>
      </w:r>
      <w:r>
        <w:lastRenderedPageBreak/>
        <w:t xml:space="preserve">del art. 50.2 b) de la antes citada Ley Orgánica, por cuanto la demanda pudiera carecer manifiestamente de contenido que justifique una decisión por parte del Tribunal Constitucional. Por ello, en aplicación de lo dispuesto en el art. 50 de la Ley Orgánica más arriba citada, se otorga un plazo común de diez días al solicitante de amparo y al Ministerio Fiscal para alegaciones. </w:t>
      </w:r>
    </w:p>
    <w:p w:rsidR="00256EE9" w:rsidRDefault="00256EE9" w:rsidP="00256EE9">
      <w:pPr>
        <w:pStyle w:val="TextoNormal"/>
      </w:pPr>
      <w:r>
        <w:t xml:space="preserve">El Fiscal ha solicitado, en sus alegaciones, la inadmisión del recurso de amparo. Dice el Fiscal que la demanda hace descansar la petición de amparo en dos motivos enunciados sucesivamente: primero, que no se suspendió el juicio, cuando debió serlo a virtud del certificado médico de enfermedad del acusado, y segundo, que la Sentencia no fue notificada personalmente, como dispone el art. 160 de la Ley de Enjuiciamiento Criminal. De tales irregularidades hace derivar las vulneraciones que denuncia y que sitúa, sin preocuparse demasiado en diferenciarlas, en los apartados 1 (indefensión) y 2 (proceso público con las debidas garantías, utilización de medios de prueba y presunción de inocencia) del art. 24 de la Constitución. </w:t>
      </w:r>
    </w:p>
    <w:p w:rsidR="00256EE9" w:rsidRDefault="00256EE9" w:rsidP="00256EE9">
      <w:pPr>
        <w:pStyle w:val="TextoNormal"/>
      </w:pPr>
      <w:r>
        <w:t xml:space="preserve">Las resoluciones impugnadas, sin embargo, no son las que pudieron causar tales vulneraciones, sino las dictadas casi tres años más tarde, cuando se trató de rectificarlas. Ello justifica que haya que preguntarse si la demanda está traída a este Tribunal fuera de tiempo, con infracción de lo dispuesto en el art. 44.2 de la LOTC. </w:t>
      </w:r>
    </w:p>
    <w:p w:rsidR="00256EE9" w:rsidRDefault="00256EE9" w:rsidP="00256EE9">
      <w:pPr>
        <w:pStyle w:val="TextoNormal"/>
      </w:pPr>
      <w:r>
        <w:t xml:space="preserve">Mas como el recurrente aduce que tuvo conocimiento de la Sentencia, parece que al cursarse órdenes a la Dirección de Seguridad del Estado para su busca y captura (no explica cómo tuvo este conocimiento y no antes el de la Sentencia), puede pensarse que el momento inicial para recurrir debe contarse desde el mismo, con lo que la demanda estaría presentada en tiempo. </w:t>
      </w:r>
    </w:p>
    <w:p w:rsidR="00256EE9" w:rsidRDefault="00256EE9" w:rsidP="00256EE9">
      <w:pPr>
        <w:pStyle w:val="TextoNormal"/>
      </w:pPr>
      <w:r>
        <w:t xml:space="preserve">Según el Fiscal, partiendo de esta idea -conocimiento tardío del fallo-, puede aceptarse que se hizo la invocación formal de los derechos vulnerados en momento adecuado, es decir, cuando se conocieron, y por medio del escrito de 22 de octubre de 1984, por el que se solicitó la nulidad de todo lo actuado. Implícitamente en este escrito se contenía la denuncia de la lesión de los derechos constitucionales que ahora invoca. </w:t>
      </w:r>
    </w:p>
    <w:p w:rsidR="00256EE9" w:rsidRDefault="00256EE9" w:rsidP="00256EE9">
      <w:pPr>
        <w:pStyle w:val="TextoNormal"/>
      </w:pPr>
      <w:r>
        <w:t xml:space="preserve">Hay que entender, en cambio, que no se agotó la vía impugnativa procedente. Aunque el procedimiento utilizado fue el previsto en la Ley Orgánica 10/1980, al atípico recurso de nulidad intentado, no previsto en ésta, se aplica la Ley de Enjuiciamiento Criminal, de aplicación subsidiaria (disposición adicional primera), cuyo art. 218 establece el recurso de queja contra los Autos no apelables del Juez. Al no disponerse la apelación contra el Auto dictado, correspondía la queja, no utilizada. Por tanto, concurre la causa de inadmisión del art. 50.1 b) en relación con el 44,1 a), ambos de la LOTC. </w:t>
      </w:r>
    </w:p>
    <w:p w:rsidR="00256EE9" w:rsidRDefault="00256EE9" w:rsidP="00256EE9">
      <w:pPr>
        <w:pStyle w:val="TextoNormal"/>
      </w:pPr>
      <w:r>
        <w:t xml:space="preserve">Con todo, la razón fundamental de la inadmisión, según el Fiscal, reside en la falta de contenido constitucional de lo accionado, ya que no se dan las aducidas irregularidades procesales. Efectivamente, prescindiendo de que en la Ley de Enjuiciamiento Criminal no exista precepto análogo al del art. 601 de lo civil -traducción de los documentos no en castellano-, es evidente que la única lengua oficial (salvo algunos supuestos de Comunidades Autónomas) es el castellano (art. 3.1 de la C. E.) y sólo la misma es válida en un proceso judicial. Esto da cobertura formal a su rechazo por el Juez. Aun aceptando que el juzgador comprendiera su contenido, no puede vincularle un certificado expedido en el extranjero, en el que parece que ni siquiera consta la fecha de expedición, ni al procedimiento especial seguido, dotado de caracteres de sumariedad y rapidez, le es aplicable sin más los preceptos que sobre suspensión se contienen en la Ley de Enjuiciamiento Criminal: la excepcionalidad de la suspensión es un valor explícito de dicho procedimiento especial (ver art. 10, cuarta: «si excepcionalmente hubiera de suspenderse...»). El hecho de </w:t>
      </w:r>
      <w:r>
        <w:lastRenderedPageBreak/>
        <w:t xml:space="preserve">permitir la celebración del juicio oral sin la comparecencia personal del acusado, siempre que conste su citación personal, pone de relieve que se separa, en este punto, claramente de las prescripciones de la Ley de Enjuiciamiento Criminal. La «ausencia injustificada» del acusado es noción que corresponde valorar al Juez y éste entendió, dentro de sus facultades, que no era justificación admisible un documento extranjero en que se hacía constar una enfermedad (aclaración que, en cualquier caso e independientemente de los conocimientos de francés que pudieran tener, ló- gicamente, le facilitaría al Letrado defensor al interesar la suspensión). Piénsese, por último, que la ausencia del interesado no supone indefensión, ya que la prueba se practicó conforme a lo que las partes interesaron y el Abogado defensor intervino de modo regular. </w:t>
      </w:r>
    </w:p>
    <w:p w:rsidR="00256EE9" w:rsidRDefault="00256EE9" w:rsidP="00256EE9">
      <w:pPr>
        <w:pStyle w:val="TextoNormal"/>
      </w:pPr>
      <w:r>
        <w:t xml:space="preserve">Queda entonces lo relativo a la notificación personal de la Sentencia. No dice nada al efecto la Ley 10/1980. Es de aplicar lo dispuesto en el art. 160 de la Ley de Enjuiciamiento Criminal, o sea, notificación. personal a la parte. </w:t>
      </w:r>
    </w:p>
    <w:p w:rsidR="00256EE9" w:rsidRDefault="00256EE9" w:rsidP="00256EE9">
      <w:pPr>
        <w:pStyle w:val="TextoNormal"/>
      </w:pPr>
      <w:r>
        <w:t xml:space="preserve">Ahora bien, no es exigible al Juzgado un comportamiento inconsecuente: si el acusado no compareció al juicio tiene domicilio en el extranjero y dio sólo un domicilio para notificación donde ya dijo que no residía, no se puede razonablemente tratar de notificarle en persona la Sentencia. A nada conduce exigir una diligencia de notificación personal en lugar donde se sabe que no está el interesado, como así era. La garantía de la notificación queda suficientemente observada haciéndola a su Procurador, lo que permite el dicho art. 160 de la Ley de Enjuiciamiento Criminal, el cual pudo sin duda recurrir en apelación como era factible. </w:t>
      </w:r>
    </w:p>
    <w:p w:rsidR="00256EE9" w:rsidRDefault="00256EE9" w:rsidP="00256EE9">
      <w:pPr>
        <w:pStyle w:val="TextoNormal"/>
      </w:pPr>
      <w:r>
        <w:t xml:space="preserve">El solicitante del amparo ha insistido en su pretensión primera, alegando que en las tres primeras causas de inadmisibilidad propuestas en la resolución del Tribunal antes citada se incurre en una petición de principio, pues se reputan como causa de inadmisibilidad hechos que son precisamente la consecuencia directa e inmediata de la situación de indefensión originada a nuestro mandante, y en razón de la cual se interpuso el recurso de amparo. </w:t>
      </w:r>
    </w:p>
    <w:p w:rsidR="00256EE9" w:rsidRDefault="00256EE9" w:rsidP="00256EE9">
      <w:pPr>
        <w:pStyle w:val="TextoNormal"/>
      </w:pPr>
      <w:r>
        <w:t xml:space="preserve">Sobre la presunta causa de inadmisibilidad consistente en la tardía interposición del recurso de amparo, dice el recurrente que el recurso se ha interpuesto en el plazo que establece el art. 44.2 de la Ley Orgánica, por cuanto se interpuso contra la resolución que desestima el recurso de reforma interpuesto contra el Auto que deniega la declaración de nulidad de las actuaciones judiciales que vulneran el precepto constitucional que se invoca, resolución que fue notificada el 14 de noviembre de 1984. Y si la aducida causa de inadmisibilidad se refiere a que el recurrente no recurrió en vía de amparo la resolución del Juzgado de Instrucción de Málaga que ordenó la continuación del juicio oral, no obstante la ausencia del acusado, tal y como se describe en el hecho primero de la demanda de amparo, y a que no recurrió en tal vía de amparo frente a la omisión de notificación personal de la Sentencia, tal y como se describe en el hecho segundo, ello se debe, cabalmente, a que fue juzgado sin ser oído, y a que mal pudo conocer que se había omitido la notificación de una Sentencia lesiva que no le fue notificada, no obstante la imperativa dicción de la Ley de Enjuiciamiento Criminal, en su art. 160. </w:t>
      </w:r>
    </w:p>
    <w:p w:rsidR="00256EE9" w:rsidRDefault="00256EE9" w:rsidP="00256EE9">
      <w:pPr>
        <w:pStyle w:val="TextoNormal"/>
      </w:pPr>
      <w:r>
        <w:t xml:space="preserve">No puede pretenderse que debiera haberse recurrido en amparo frente a resoluciones judiciales, cuya existencia ignoraba por habérsele dejado indefenso en un juicio celebrado en su ausencia y con la omisión de la notificación de la Sentencia. </w:t>
      </w:r>
    </w:p>
    <w:p w:rsidR="00256EE9" w:rsidRDefault="00256EE9" w:rsidP="00256EE9">
      <w:pPr>
        <w:pStyle w:val="TextoNormal"/>
      </w:pPr>
      <w:r>
        <w:t xml:space="preserve">El recurso de amparo sólo pudo interponerse cuando, conocida la celebración del juicio y el contenido de la Sentencia, se intentó que el Juzgado de Instrucción rectificase su actuación procesal y el Juzgado se negó a ello en sus Autos de 18 de octubre de 1984 y de 10 de noviembre del mismo año. </w:t>
      </w:r>
    </w:p>
    <w:p w:rsidR="00256EE9" w:rsidRDefault="00256EE9" w:rsidP="00256EE9">
      <w:pPr>
        <w:pStyle w:val="TextoNormal"/>
      </w:pPr>
      <w:r>
        <w:lastRenderedPageBreak/>
        <w:t xml:space="preserve">Sobre la presunta causa de inadmisibilidad, consistente en no haberse agotado los recursos procedentes, dice el solicitante del amparo que el Auto de 18 de octubre de 1984, que deniega la nulidad de actuaciones solicitada, fue recurrido en reforma; que el Auto de 10 de noviembre de 1984 desestimando el recurso de reforma, es inapelable conforme al art. 217 de la Ley de Enjuiciamiento Criminal y sus concordantes; y que si la aducida causa de inadmisibilidad se refiere a que no se apeló la Sentencia en que se le condenaba, es porque no se pudo apelar por no haber sido notificada, originándose una indefensión, frente a la cual precisamente se demanda amparo en el presente recurso. </w:t>
      </w:r>
    </w:p>
    <w:p w:rsidR="00256EE9" w:rsidRDefault="00256EE9" w:rsidP="00256EE9">
      <w:pPr>
        <w:pStyle w:val="TextoNormal"/>
      </w:pPr>
      <w:r>
        <w:t xml:space="preserve">En cuanto a la presunta causa de inadmisibilidad, consistente en la falta de invocación del derecho vulnerado en el proceso judicial previo, dice el recurrente que el derecho constitucional de que se reputa conculcado fue expresamente invocado ante el Juzgado de Instrucción, en los escritos de 1 de octubre de 1984 y 22 del mismo mes, que formuló en cuanto tuvo conocimiento de estar reclamado por la justicia española, y en los que intentó que se rectificase la actuación procesal que le causaba indefensión. </w:t>
      </w:r>
    </w:p>
    <w:p w:rsidR="00256EE9" w:rsidRDefault="00256EE9" w:rsidP="00256EE9">
      <w:pPr>
        <w:pStyle w:val="TextoNormal"/>
      </w:pPr>
      <w:r>
        <w:t xml:space="preserve">Y si la aludida causa de inadmisibilidad se refiere a que no invocó el derecho constitucional conculcado cuando se le juzgó sin ser oído y cuando se omitió notificarle la Sentencia, es evidente que mal pudo invocar tal derecho constitucional si no conoció la realización del juicio en que se le juzgó, ni el contenido de la Sentencia en que se le condenó. </w:t>
      </w:r>
    </w:p>
    <w:p w:rsidR="00256EE9" w:rsidRDefault="00256EE9" w:rsidP="00256EE9">
      <w:pPr>
        <w:pStyle w:val="TextoNormal"/>
      </w:pPr>
      <w:r>
        <w:t xml:space="preserve">Por último, dice el recurrente que no es de aplicación el art. 50.2 b) de la Ley Orgánica que la decisión del Tribunal, si impone a los órganos jurisdiccionales la observancia de las normas procesales que amparan la presencia física del acusado en los juicios penales, es del mayor interés para todos los ciudadanos, pues respalda el principio de que nadie puede ser condenado sin ser oído. </w:t>
      </w:r>
    </w:p>
    <w:p w:rsidR="00256EE9" w:rsidRDefault="00256EE9" w:rsidP="00256EE9">
      <w:pPr>
        <w:pStyle w:val="TextoNormal"/>
      </w:pPr>
      <w:r>
        <w:t xml:space="preserve">Tal decisión, si impone a los órganos jurisdiccionales la observancia de las normas que obligan a la notificación personal de las Sentencias, es también del mayor interés, pues es el cumplimiento de tal requisito el que permite a los ciudadanos hacer uso de los recursos que la Ley les concede. </w:t>
      </w:r>
    </w:p>
    <w:p w:rsidR="00256EE9" w:rsidRDefault="00256EE9" w:rsidP="00256EE9">
      <w:pPr>
        <w:pStyle w:val="TextoNormal"/>
      </w:pPr>
      <w:r>
        <w:t>Cuando está en juego la indefensión de un hombre que no supo la celebración del juicio en que fue juzgado, ni del contenido de la Sentencia en que fue condenado, y que es ahora buscado por la justicia española, parece patente que el Tribunal Constitucional debe, cuando menos, conocer el contenido de los autos del procedimiento judicial del Juzgado de Instrucción número 1 de Málaga, por ser la única forma de ampararle frente a las irregularidades contenidas en él.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No se han agotado todos los recursos utilizables dentro de la vía judicial [art. 44.1 a) de la LOTC]. La vulneración del derecho a una tutela judicial efectiva se imputa a la Sentencia de 11 de febrero de 1982, Sentencia que devino firme a causa de la inactividad del solicitante de amparo. La pretensión, una vez transcurridos más de dos años y medio, de reabrir la vía procesal ordinaria mediante un escrito de petición de nulidad del juicio, no puede ser suficiente para entender agotados todos los recursos utilizables cuando por culpa del recurrente se omitió el remedio principal, que era el recurso de apelación.</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demandante alega que la Sentencia no le fue notificada personalmente, como previene el art.  160 de la Ley de Enjuiciamiento Criminal.  Tal circunstancia es claramente irrelevante, ya que consta que fue notificada al Procurador que le representó en el juicio, </w:t>
      </w:r>
      <w:r>
        <w:lastRenderedPageBreak/>
        <w:t>en el que, por consiguiente, estuvo presente a través de su mandatario.  Tal notificación (conforme establece el art.  182 de la Ley de Enjuiciamiento Criminal) es la que surte efectos para el cómputo del plazo para la interposición de recursos con independencia de la publicación de la Sentencia (lectura y notificación a las partes), que obviamente no se pudo producir en este caso por no encontrarse en ese momento el súbdito marroquí físicamente a disposición del Tribunal.  No eran necesarios certificados médicos para acreditar tal circunstancia, ya que el Tribunal poseía el dato objetivo de ser extranjero el condenado y haberse celebrado el juicio oral en su ausencia. Un comentarista de tanta tradición como Aguilera de Paz («Comentarios a la Ley de Enjuiciamiento Criminal», Tomo II, Madrid, Reus 1923) señalaba ya la diferencia entre notificación y publicación de la Sentencia penal, diciendo que consiste en que «notificación de las Sentencias se halla ordenada o estatuida, en beneficio exclusivo de las partes, a fin de que, teniendo conocimiento de la resolución recaída y apreciando exactamente los fundamentos de la misma, puedan formar juicio acerca de su procedencia o improcedencia para interponer o no contra ellas los recursos que estimen procedentes o que puedan convenirles.  Por dicha diligencia, y no por la publicación, es por la que adquieren conocimiento exacto de la Sentencia las partes interesadas para el ejercicio de sus derechos, y a partir de ella es desde cuando debe empezar a contarse el término concedido para entablar las reclamaciones procedentes».</w:t>
      </w:r>
    </w:p>
    <w:p w:rsidR="00256EE9" w:rsidRDefault="00256EE9" w:rsidP="00256EE9">
      <w:pPr>
        <w:pStyle w:val="TextoNormal"/>
      </w:pPr>
      <w:r>
        <w:t>«De lo expuesto resulta -según el autor citado- que no es requisito indispensable la presencia de las partes, en la publicación de las Sentencias, toda vez que luego han de serles notificadas y, por tanto, no es precisa su situación para aquel acto, pues de lo contrario holgaría dicha notificación; y si la publicación fuera, como se supone, el medio por el cual da a conocer a las partes el Tribunal sentenciador la resolución dictada, la lógica exigiría que desde la fecha de la publicación, y no desde la notificación, empezara a correr el término para recurrir las Sentencias, puesto que aquel trámite, y no éste, sería el que determinase el conocimiento oficial de la resolución recaída.» De todo lo anterior se desprende que, concretado por el recurrente el contenido constitucional de su recurso de amparo en que no conoció la celebración del juicio en que fue juzgado, ni el contenido de la Sentencia por la que resultó condenado y demostrada la falta de exactitud de una y otra alegación, se hace preciso concluir que en el presente caso se da la causa de inadmisión prevenida por el art. 50.2 b) de la Ley Orgánica de este Tribunal, con independencia de cualesquiera otras causas de inadmisión que se señalaron en las que no es necesario insistir.  En razón de ello, el recurso debe ser efectivamente inadmitido.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Sala acuerda declarar inadmisible el presente recurso.</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48" w:name="AUTO_1985_187"/>
      <w:r>
        <w:lastRenderedPageBreak/>
        <w:t>AUTO 187/1985, de 13 de marzo de 1985</w:t>
      </w:r>
    </w:p>
    <w:bookmarkEnd w:id="24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ECLI:ES:TC:1985:187A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876/1984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José Sánchez Jáuregui, en nombre de don José-Juan Martínez Gómez, don Francisco Domínguez Martín, don Tomás Paz Trenado, don Miguel Angel Millán Gros, don Juan Manuel Quesada Jibaja, don Cristóbal Valenzuela Marcos, don Jorge Valenzuela Marcos y don Alberto Ots Jiménez recurren en amparo ante este Tribunal Constitucional (T. C.) por escrito de demanda, que tuvo entrada en el Registro General el día 13 de diciembre de 1984, contra la Sentencia de la Sala Segunda del Tribunal Supremo de 12 de noviembre de 1984, que resuelve el recurso de casación núm. 82/1984, interpuesto contra la Sentencia de la Sección Tercera de la Sala de lo Penal de la Audiencia Nacional en la causa núm. 151/1981, procedente del Juzgado Central núm. 4 de Madrid. </w:t>
      </w:r>
    </w:p>
    <w:p w:rsidR="00256EE9" w:rsidRDefault="00256EE9" w:rsidP="00256EE9">
      <w:pPr>
        <w:pStyle w:val="TextoNormal"/>
      </w:pPr>
      <w:r>
        <w:t>La pretensión se formula para que se declare la nulidad de la Sentencia recurrida y la parte recurrente considera que ha sido vulnerado el art. 24.1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se contrae la demanda son, en extracto, los siguientes: </w:t>
      </w:r>
    </w:p>
    <w:p w:rsidR="00256EE9" w:rsidRDefault="00256EE9" w:rsidP="00256EE9">
      <w:pPr>
        <w:pStyle w:val="TextoNormal"/>
      </w:pPr>
      <w:r>
        <w:t xml:space="preserve">a) Los recurrentes fueron condenados por la Sección Tercera de lo Penal de la Audiencia Nacional, en Sentencia dictada en la causa sumario 151 de 1981, procedente del Juzgado Central núm. 4, como autores responsables de los delitos y a las penas que, a continuación, se mencionan: don José-Juan Martinez Gómez, don Tomás Paz Trenado, don Miguel Angel Millán Gros y don Alberto Ots Jiménez, a la pena de doce años de presidio mayor, como autores de un delito de robo con violencia e intimidación en las personas, con la agravante de disfraz y reincidencia; a la pena de veinticinco años de reclusión mayor, cada uno de ellos, como autores responsables de un delito masa de detención ilegal, con las agravantes de disfraz y reiteración y a la pena de cuatro años, dos meses y un día de prisión menor, como autores de un delito de tenencia ilícita de armas, con la concurrencia de la circunstancia agravante de reiteración. Don Cristóbal Valenzuela Marcos, don Jorge Valenzuela Marcos, don Juan Manuel Quesada Jibaja y don Francisco Domínguez Martín, a la pena, cada uno, de diez años y un día de presidio mayor, como autores responsables de un delito de robo con violencia e intimidación en las personas, con la agravante de disfraz; a la pena de veintitrés años, cuatro meses y un día de reclusión mayor, cada uno de ellos, como autores de un delito masa de detención ilegal, y a la pena de un </w:t>
      </w:r>
      <w:r>
        <w:lastRenderedPageBreak/>
        <w:t xml:space="preserve">año de prisión menor, cada uno, como autores de un delito de tenencia ilícita de armas, sin la concurrencia de circunstancias modificativas de la responsabilidad criminal. </w:t>
      </w:r>
    </w:p>
    <w:p w:rsidR="00256EE9" w:rsidRDefault="00256EE9" w:rsidP="00256EE9">
      <w:pPr>
        <w:pStyle w:val="TextoNormal"/>
      </w:pPr>
      <w:r>
        <w:t xml:space="preserve">b) Contra la expresada Sentencia de la Sección Tercera de lo Penal de la Audiencia Nacional, don José-Juan Martínez Gómez, don Tomás Paz Trenado y don Cristóbal Valenzuela Marco, interpusieron recurso de casación ante la Sala Segunda del Tribunal Supremo, arguyendo los tres que el Tribunal a quo había cometido error de derecho, al declararles autores responsables de un delito masa de detención ilegal de los arts. 480 y 481.1 del Código Penal, dado que a la vista de los hechos considerados como probados por la aludida Sentencia, su conducta era incardinable en los arts. 500 y 501.5 último párrafo del Código Penal en relación con el art. 506.3 del meritado texto punitivo. Por su parte, don Tomás Paz Trenado y don Cristóbal Valenzuela Marco, alegaron en el mentado recurso que el Tribunal de la Audiencia Nacional había cometido error de derecho al declararles autores responsables de un delito de robo con lesiones del art. 500 y 501.4 del Código Penal, exponiendo que, a la vista de la relación de hechos probados de la Sentencia recurrida, su hacer era subsumible en la figura del robo intimidatorio de los arts. 500, 501.5 y párrafo último, en relación también con el precitado Código Penal. </w:t>
      </w:r>
    </w:p>
    <w:p w:rsidR="00256EE9" w:rsidRDefault="00256EE9" w:rsidP="00256EE9">
      <w:pPr>
        <w:pStyle w:val="TextoNormal"/>
      </w:pPr>
      <w:r>
        <w:t xml:space="preserve">c) La Sala Segunda del Tribunal Supremo, en su Sentencia de 12 de noviembre de 1984, establece que por la fecha de comisión de los delitos de que fueron acusados los citados la normativa legal que les era aplicable, en principio, era la Ley de 28 de diciembre de 1978, si bien en virtud del principio de retroactividad de la Ley más favorable, debía de prevalecer la Ley de reforma parcial del Código Penal de 1983 y, en consecuencia, absolvía del delito de detención ilegal a los recurrentes, al no darse como autónomo e independiente, sino embebido o absorbido en el complejo de robo violento del núm. 4 del art. 501, situación que se hizo extensiva para los no recurrentes de acuerdo con lo previsto en el art. 903 de la Ley de Enjuiciamiento Criminal. </w:t>
      </w:r>
    </w:p>
    <w:p w:rsidR="00256EE9" w:rsidRDefault="00256EE9" w:rsidP="00256EE9">
      <w:pPr>
        <w:pStyle w:val="TextoNormal"/>
      </w:pPr>
      <w:r>
        <w:t>La Sentencia referida condenó a don José Juan Martínez Gómez, don Tomás Paz Trenado, don Miguel Angel Millán Gros y don Alberto Ots Jiménez, como autores de delito de robo violento con uso de armas y toma de rehenes, de un delito de lesiones graves y otros de tenencia ilícita de armas, con la concurrencia en todos ellos de la agravante de reincidencia, y la de disfraz en los dos primeros delitos, a las penas de doce años de prisión mayor por el delito de robo, seis años de prisión menor por el delito de lesiones y cuatro años, dos meses y un día de prisión menor por la tenencia ilícita de armas y de fuego, y a don Cristóbal Valenzuela Marco, don Jorge Valenzuela Marco, don Juan Manuel Quesada Jibaja y don Francisco Domínguez Martín, como autores de los delitos expresados en el párrafo anterior, con la concurrencia de la agravante de disfraz en los delitos de robo y lesiones, a las penas de doce años de prisión mayor por el delito de robo violento, cinco años de prisión menor por el delito de lesiones y un año de prisión menor por el delito de tenencia ilícita de armas.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en que se basan los recurrentes consisten en señalar sucintamente: </w:t>
      </w:r>
    </w:p>
    <w:p w:rsidR="00256EE9" w:rsidRDefault="00256EE9" w:rsidP="00256EE9">
      <w:pPr>
        <w:pStyle w:val="TextoNormal"/>
      </w:pPr>
      <w:r>
        <w:t xml:space="preserve">a) Los hechos de autos se produjeron el 23 de mayo de 1981, y en principio era de aplicación la Ley de 28 de diciembre de 1978, en la que no se contemplaba en su art. 501 la modalidad de la toma de rehenes en la perpetración del delito de robo; por lo que al entender el Tribunal Supremo que no era de apreciar la existencia de un delito de detención ilegal como autónomo e independiente, sino embebido y absorbido en el complejo de robo violento, tipo inexistente en la normativa que era de observar, entiende la parte recurrente </w:t>
      </w:r>
      <w:r>
        <w:lastRenderedPageBreak/>
        <w:t xml:space="preserve">que se aplicó con carácter retroactivo la Ley de Reforma Parcial del Código Penal de 1983, desfavorablemente para los recurrentes. </w:t>
      </w:r>
    </w:p>
    <w:p w:rsidR="00256EE9" w:rsidRDefault="00256EE9" w:rsidP="00256EE9">
      <w:pPr>
        <w:pStyle w:val="TextoNormal"/>
      </w:pPr>
      <w:r>
        <w:t>b) La obligada extensión del fallo tanto a los que recurrieron en casación como a los que no, de acuerdo con lo preceptuado en el art. 903 de la Ley de Enjuiciamiento Criminal, conlleva una vulneración del art. 24.1 de la C. E., que proclama el que todas las personas tienen derecho a obtener la tutela efectiva de los Jueces y Tribunales en el ejercicio de sus derechos e intereses legítimos, sin que, en ningún caso, pueda producirse indefensión, amén de lo contemplado en el art. 9.3 de la C. E.</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en providencia de 23 de enero de 1985, acuerda tener por recibido el escrito de demanda y por personado y parte, en nombre y repre entación de los recurrentes al Procurador don José Sánchez Jáuregui, y hace saber al expresado Procurador, en la representación que ostenta, la posible concurrencia de los siguientes motivos de inadmisión: </w:t>
      </w:r>
    </w:p>
    <w:p w:rsidR="00256EE9" w:rsidRDefault="00256EE9" w:rsidP="00256EE9">
      <w:pPr>
        <w:pStyle w:val="TextoNormal"/>
      </w:pPr>
      <w:r>
        <w:t xml:space="preserve">1.° No haberse invocado formalmente en el proceso el derecho constitucional vulnerado, tan pronto como, una vez conocida la violación, hubiere lugar para ello, según lo dispuesto en el art. 44.1 c), en relación con el 50.1 b), ambos de la Ley Orgánica del Tribunal Constitucional (LOTC). </w:t>
      </w:r>
    </w:p>
    <w:p w:rsidR="00256EE9" w:rsidRDefault="00256EE9" w:rsidP="00256EE9">
      <w:pPr>
        <w:pStyle w:val="TextoNormal"/>
      </w:pPr>
      <w:r>
        <w:t xml:space="preserve">2.° Deducirse la demanda en parte respecto de derechos y libertades no susceptibles de amparo, según lo preceptuado en el art. 50.2 a) de la LOTC. </w:t>
      </w:r>
    </w:p>
    <w:p w:rsidR="00256EE9" w:rsidRDefault="00256EE9" w:rsidP="00256EE9">
      <w:pPr>
        <w:pStyle w:val="TextoNormal"/>
      </w:pPr>
      <w:r>
        <w:t xml:space="preserve">3.° Carecer la demanda manifiestamente de contenido que justifique una decisión por parte del T. C. [art. 50.2 b) de la LOTC]. </w:t>
      </w:r>
    </w:p>
    <w:p w:rsidR="00256EE9" w:rsidRDefault="00256EE9" w:rsidP="00256EE9">
      <w:pPr>
        <w:pStyle w:val="TextoNormal"/>
      </w:pPr>
      <w:r>
        <w:t>Por lo que, según lo dispuesto en el art. 50 de la LOTC, se concedió a los recurrentes y al Ministerio Fiscal un plazo común de diez días, a fin de que, dentro del mismo, formulasen las alegaciones que estimaran pertinentes.</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 C., por escrito de 5 de febrero de 1985, formuló, en resumen, las siguientes alegaciones: </w:t>
      </w:r>
    </w:p>
    <w:p w:rsidR="00256EE9" w:rsidRDefault="00256EE9" w:rsidP="00256EE9">
      <w:pPr>
        <w:pStyle w:val="TextoNormal"/>
      </w:pPr>
      <w:r>
        <w:t xml:space="preserve">a) Entiende el Fiscal que no concurren los motivos de inadmisión previstos en los arts. 50.1 b) en conexión con el art. 44.1 c) y 50.2 a) de la LOTC, y señala que el problema que plantea el recurrente se ciñe a determinar si la nueva calificación que realiza el Tribunal Supremo de los hechos viola el art. 24 de la C. E., para concluir este punto indicado por el Tribunal Supremo ha realizado una nueva calificación en consonancia con su función y dentro de los límites de la misma, por lo que no existe conexión constitucional en esta labor. </w:t>
      </w:r>
    </w:p>
    <w:p w:rsidR="00256EE9" w:rsidRDefault="00256EE9" w:rsidP="00256EE9">
      <w:pPr>
        <w:pStyle w:val="TextoNormal"/>
      </w:pPr>
      <w:r>
        <w:t xml:space="preserve">b) La segunda cuestión objeto del debate es la referente a la aplicación, realizada por la Sentencia del Tribunal Supremo, dictada en sustitución de la casada, de la Ley de Reforma del Código Penal de 1983, ya que la Sentencia aplica esta Ley de Reforma a todos los condenados por la Sentencia de instancia, aunque varios no recurrieron en casación y respecto a éstos y a los que recurrieron, aumenta las penas respecto de uno de los delitos. </w:t>
      </w:r>
    </w:p>
    <w:p w:rsidR="00256EE9" w:rsidRDefault="00256EE9" w:rsidP="00256EE9">
      <w:pPr>
        <w:pStyle w:val="TextoNormal"/>
      </w:pPr>
      <w:r>
        <w:t xml:space="preserve">En el caso concreto, el Tribunal Supremo, que ha casado la Sentencia, por aplicación de la norma más favorable, al dictar la segunda Sentencia, rectifica la de instancia de acuerdo con la normativa reformadora, y dicta una nueva, de acuerdo con esa normativa, que por aplicación de la disposición transitoria, tiene que ser efectiva para todos los condenados en la misma. </w:t>
      </w:r>
    </w:p>
    <w:p w:rsidR="00256EE9" w:rsidRDefault="00256EE9" w:rsidP="00256EE9">
      <w:pPr>
        <w:pStyle w:val="TextoNormal"/>
      </w:pPr>
      <w:r>
        <w:t xml:space="preserve">c) Pretender, como intenta el recurrente, que se aplique la nueva legislación referida sólo al delito masa de detención ilegal, y se mantenga la legislación anterior al resto de las infracciones es desnaturalizar la esencia de las finalidades de las reformas y romper su </w:t>
      </w:r>
      <w:r>
        <w:lastRenderedPageBreak/>
        <w:t xml:space="preserve">unidad. No ha existido por parte del Tribunal Supremo violación constitucional, y su labor se ha realizado en el campo de la legalidad ordinaria que le es propio y exclusivo. </w:t>
      </w:r>
    </w:p>
    <w:p w:rsidR="00256EE9" w:rsidRDefault="00256EE9" w:rsidP="00256EE9">
      <w:pPr>
        <w:pStyle w:val="TextoNormal"/>
      </w:pPr>
      <w:r>
        <w:t>El Fiscal concluye interesando del T. C. que dicte Auto, de acuerdo con el art. 86.1 de la LOTC, desestimando la demanda de amparo por incurrir en la causa de inadmisión señalada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Procurador don José Sánchez Jáuregui, en nombre de los recurrentes, por escrito de 6 de febrero de 1985, formula, en sintesis, las siguientes alegaciones: </w:t>
      </w:r>
    </w:p>
    <w:p w:rsidR="00256EE9" w:rsidRDefault="00256EE9" w:rsidP="00256EE9">
      <w:pPr>
        <w:pStyle w:val="TextoNormal"/>
      </w:pPr>
      <w:r>
        <w:t xml:space="preserve">a) Si la falta es cometida por primera vez en la resolución casacional, entiende el recurrente que cerrar el paso del ciudadano a la jurisdicción del Tribunal Constitucional sería ir en contra de los principios de la super-Ley y conferir al Tribunal Supremo patente de corso para el desconocimiento de las normas por excelencia del nuevo Estado democrático de Derecho. </w:t>
      </w:r>
    </w:p>
    <w:p w:rsidR="00256EE9" w:rsidRDefault="00256EE9" w:rsidP="00256EE9">
      <w:pPr>
        <w:pStyle w:val="TextoNormal"/>
      </w:pPr>
      <w:r>
        <w:t xml:space="preserve">b) La demanda contiene un petitum que se ajusta a lo establecido por el art. 24.1 de la C. E., al argüir que el fallo de la Sentencia del Tribunal Supremo, en su Sala Segunda, a la que se contraen sus antecedentes, produjo indefensión, tanto para los que formalizaron recurso de casación contra la Sentencia dictada en la Sección Tercera de la Audiencia Nacional, como para los que no hicieron uso de su derecho, habida cuenta de que la Sala Segunda del Tribunal Supremo, a pesar de declarar que debía absolver a los recurrentes por el delito de detención ilegal, dado que no se daban sus notas de autonomía e independencia, condena a los solicitantes del amparo por un delito de lesiones, que no fue sancionado por el Tribunal de la Audiencia Nacional e incrementa en dos años la pena impuesta por el delito de robo a don Cristóbal Valenzuela Marcos, don Jorge Valenzuela Marcos, don Juan Manuel Quesada Jibaja y don Francisco Domínguez Martín, y ello no obstante haber recurrido en casación solamente don José-Juan Martínez Gómez, don Tomás Paz Trenado y don Cristóbal Valenzuela Marcos. </w:t>
      </w:r>
    </w:p>
    <w:p w:rsidR="00256EE9" w:rsidRDefault="00256EE9" w:rsidP="00256EE9">
      <w:pPr>
        <w:pStyle w:val="TextoNormal"/>
      </w:pPr>
      <w:r>
        <w:t xml:space="preserve">c) Entiende esta parte que la demanda posee contenido manifiesto que justifica una decisión por parte del T. C., dado que se solicita amparo por entender que la Sala Segunda del Tribunal Supremo vulneró el principio consagrado en el art. 24.1 de la C. E., de que no pueda producirse indefensión para el ciudadano. </w:t>
      </w:r>
    </w:p>
    <w:p w:rsidR="00256EE9" w:rsidRDefault="00256EE9" w:rsidP="00256EE9">
      <w:pPr>
        <w:pStyle w:val="TextoNormal"/>
      </w:pPr>
      <w:r>
        <w:t>La parte recurrente interesa del T. C. que se acuerde la admisión de este recurso y tras la práctica de los trámites legales pertinentes se dicte Sentencia en los términos interesados en el escrito de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recurso consiste en determinar si la resolución judicial recurrida, que es la Sentencia dictada por la Sala Segunda del Tribunal Supremo de 12 de noviembre de 1984 vulnera el art. 24.1 de la C. E. y, en consecuencia, si concurre la causa de inadmisión prevista en el art.  50.2 b) de la LOTC de la que se dio traslado a la parte solicitante del amparo y al Ministerio Fiscal en providencia de 23 de enero de 1985.</w:t>
      </w:r>
    </w:p>
    <w:p w:rsidR="00256EE9" w:rsidRDefault="00256EE9" w:rsidP="00256EE9">
      <w:pPr>
        <w:pStyle w:val="TextoNormal"/>
      </w:pPr>
      <w:r>
        <w:t>La parte recurrente entiende que se ha aplicado desfavorablemente en la Sentencia recurrida la Ley de Reforma Parcial del Código Penal de 1983 y que la obligada extensión del fallo a los que no concurrieron vulnera el artículo 24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razonamientos de la Sentencia recurrida son lo suficientemente fundados para que no se pueda estimar vulnerado el art.  24 de la C. E., ya que un examen de los mismos </w:t>
      </w:r>
      <w:r>
        <w:lastRenderedPageBreak/>
        <w:t>a los efectos de este recurso nos lleva a señalar que en el considerando segundo se reconoce que si bien las normas vigentes en el momento de cometerse los hechos eran las de la Ley de 28 de diciembre de 1978, las penas conforme a tal legislación eran notoriamente superiores a las derivadas de la Ley de Reforma Parcial de 1983, que prevalece sobre la anterior, teniendo en cuenta el art.  24 del Código Penal.  Por otra parte, en el tercer considerando el delito de lesiones se pena por separado, sin que, como reconoce la propia Sentencia, se quebrante el principio acusatorio, ya que las lesiones estaban embebidas en el tipo del art. 501.4 del Código Penal y finalmente en la Sentencia recurrida el delito de detención ilegal se encuentra absorbido en el delito de robo violento del núm. 4 del art. 501, por lo que la extensión de este pronunciamiento a los no recurrentes en casación, por aplicación del art. 903 de la Ley de Enjuiciamiento Criminal, según consta en el considerando cuarto de la resolución recurrida, es un efecto que aprovecha en lo favorable a los recurrentes en amparo y no puede entenderse que sea el origen de una vulneración constitucional, ya que el Tribunal Supremo, al rectificar la Sentencia de instancia, dicta una nueva resolución en consonancia con la Ley de Reforma del Código Penal de 1983, que por aplicación de la disposición transitoria se hace efectiva para todos los condenados.</w:t>
      </w:r>
    </w:p>
    <w:p w:rsidR="00256EE9" w:rsidRDefault="00256EE9" w:rsidP="00256EE9">
      <w:pPr>
        <w:pStyle w:val="TextoNormal"/>
      </w:pPr>
    </w:p>
    <w:p w:rsidR="00256EE9" w:rsidRDefault="00256EE9" w:rsidP="00256EE9">
      <w:pPr>
        <w:pStyle w:val="TextoNormal"/>
      </w:pPr>
      <w:r w:rsidRPr="00256EE9">
        <w:rPr>
          <w:rStyle w:val="NumeroAFNegritaCaracter"/>
        </w:rPr>
        <w:t>3</w:t>
      </w:r>
      <w:r>
        <w:t>. Ha sido la jurisprudencia penal del Tribunal Supremo (Sentencias de 16 de marzo de 1946, R.A. 453; 2 de junio de 1960, R.A. 2.518; 16 de abril de 1979, R.A.  1.641; 6 de marzo de 1964, R.A. 1.357; 30 de junio de 1980, R. A. 3.071, y 28 de marzo de 1981, R.A. 1.231), la que ha señalado que el sistema acusatorio constriñe a no imponer pena por delito más grave del que haya sido objeto de acusación (arts. 855.4 y 733 de la Ley de Enjuiciamiento Criminal) y no se quebrantan las formas de procedimiento cuando el Tribunal Supremo con fundamento en el art.  117.3 de la C. E.  hace una calificación distinta de la primera instancia al ejercer el control de legalidad casacional por existir homogeneidad entre el delito por el que acusa y el delito por el que se condena sin que en la resolución recurrida en amparo se aprecie vulneración constitucional.</w:t>
      </w:r>
    </w:p>
    <w:p w:rsidR="00256EE9" w:rsidRDefault="00256EE9" w:rsidP="00256EE9">
      <w:pPr>
        <w:pStyle w:val="TextoNormal"/>
      </w:pPr>
      <w:r>
        <w:t>Finalmente, hay que señalar que esta resolución no incurre en incongruencia por exceso, ni la pena resultante es superior a la impuesta por la Audiencia Nacional, pues se suprime la condena de este órgano jurisdiccional derivada del delito masa de detención ilegal como consecuencia de la aplicación de la Ley de Reforma Parcial del Código Penal en su integridad y no parcialmente como pretendía la parte recurrente, sin que incumba a este Tribunal Constitucional efectuar un pronunciamiento de mera legalidad que lo convierta en tercera instancia revisora.</w:t>
      </w:r>
    </w:p>
    <w:p w:rsidR="00256EE9" w:rsidRDefault="00256EE9" w:rsidP="00256EE9">
      <w:pPr>
        <w:pStyle w:val="TextoNormal"/>
      </w:pPr>
    </w:p>
    <w:p w:rsidR="00256EE9" w:rsidRDefault="00256EE9" w:rsidP="00256EE9">
      <w:pPr>
        <w:pStyle w:val="TextoNormal"/>
      </w:pPr>
      <w:r w:rsidRPr="00256EE9">
        <w:rPr>
          <w:rStyle w:val="NumeroAFNegritaCaracter"/>
        </w:rPr>
        <w:t>4</w:t>
      </w:r>
      <w:r>
        <w:t>. Los razonamientos anteriores conducen a la conclusión de que el recurso carece de contenido constitucional que justifique una decisión de fondo, en forma de Sentencia, con el desarrollo procesal consiguiente, por lo que en el recurso concurre el motivo de inadmisión previsto en el art. 50.2 b) de la LOTC y, a mayor abundamiento, la referencia que se contiene en el escrito de demanda al art.  9.3 de la C. E.  determina la concurrencia de la causa de inadmisión prevista en el art. 50.2 a) de la LOTC, sin que sea necesario examinar las restantes causas de inadmisión de las que se dio vista a la parte recurrente y al Ministerio Fiscal.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acuerda declarar inadmisible el recurso de amparo promovido por el Procurador de los Tribunales don José Sánchez Jáuregui en nombre de los solicitantes del amparo que constan en el encabezamiento de esta resolución, y</w:t>
      </w:r>
    </w:p>
    <w:p w:rsidR="00256EE9" w:rsidRDefault="00256EE9" w:rsidP="00256EE9">
      <w:pPr>
        <w:pStyle w:val="TextoNormal"/>
      </w:pPr>
      <w:r>
        <w:t>el archivo de las actuaciones.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49" w:name="AUTO_1985_188"/>
      <w:r>
        <w:lastRenderedPageBreak/>
        <w:t>AUTO 188/1985, de 13 de marzo de 1985</w:t>
      </w:r>
    </w:p>
    <w:bookmarkEnd w:id="249"/>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ECLI:ES:TC:1985:188A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887/1984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Tribunal Constitucional el 19 de diciembre de 1984, doña Dolores Girón Arjonilla, Procuradora de los Tribunales, interpone recurso de amparo constitucional en nombre y representación de los hermanos doña Ana María, don Manuel, doña María del Prado y doña María Isabel Sánchez Gómez, contra la Sentencia de la Audiencia Provincial de Ciudad Real de 24 de noviembre de 1984, que revocó la dictada por el Juzgado de Primera Instancia de Daimiel en autos de interdicto de recobrar la posesión. </w:t>
      </w:r>
    </w:p>
    <w:p w:rsidR="00256EE9" w:rsidRDefault="00256EE9" w:rsidP="00256EE9">
      <w:pPr>
        <w:pStyle w:val="TextoNormal"/>
      </w:pPr>
      <w:r>
        <w:t>Piden que se declare la nulidad de la resolución dictada por la Audiencia Provincial de Ciudad Real restableciendo a los recurrentes en su derecho a una tutela judicial efectiva.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siguientes hechos: </w:t>
      </w:r>
    </w:p>
    <w:p w:rsidR="00256EE9" w:rsidRDefault="00256EE9" w:rsidP="00256EE9">
      <w:pPr>
        <w:pStyle w:val="TextoNormal"/>
      </w:pPr>
      <w:r>
        <w:t xml:space="preserve">A) Doña Emiliana Huertas Ruiz ocupó una finca de los solicitantes de amparo mediante la instalación en ella de unos postes y un tendido de energía eléctrica. El Juzgado de Primera Instancia e Instrucción de Daimiel dictó Sentencia el 22 de mayo de 1984, estimando el interdicto de recobrar la posesión deducido por los afectados. </w:t>
      </w:r>
    </w:p>
    <w:p w:rsidR="00256EE9" w:rsidRDefault="00256EE9" w:rsidP="00256EE9">
      <w:pPr>
        <w:pStyle w:val="TextoNormal"/>
      </w:pPr>
      <w:r>
        <w:t xml:space="preserve">B) Doña Emiliana Huertas interpuso recurso de apelación contra la referida Sentencia para ante la Audiencia Provincial de Ciudad Real y procedió a retirar los postes y el tendido colocado sobre la finca de los recurrentes. </w:t>
      </w:r>
    </w:p>
    <w:p w:rsidR="00256EE9" w:rsidRDefault="00256EE9" w:rsidP="00256EE9">
      <w:pPr>
        <w:pStyle w:val="TextoNormal"/>
      </w:pPr>
      <w:r>
        <w:t>El 24 de noviembre de 1984, la Audiencia estimó el recurso de apelación interpuesto y declaró no haber lugar a entrar en el fondo de la cuestión planteada por no ser el interdicto de recobrar la posesión el cauce procesal adecuado, ya que la pretensión debería haberse presentado a través de un interdicto de obra nueva.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de la demanda son que se ha vulnerado el derecho a una tutela judicial efectiva que establece el art. 24 de la C.E. </w:t>
      </w:r>
    </w:p>
    <w:p w:rsidR="00256EE9" w:rsidRDefault="00256EE9" w:rsidP="00256EE9">
      <w:pPr>
        <w:pStyle w:val="TextoNormal"/>
      </w:pPr>
      <w:r>
        <w:t xml:space="preserve">El interdicto de recobrar la posesión ejercitado era totalmente legítimo, ya que cumplía -se afirma- todos los requisitos exigidos por la Ley. Se rechazan los argumentos de la Sentencia de la Audiencia en contrario. No ha existido tutela efectiva de los Tribunales, ya que si, como se dice, el interdicto de recobrar era el que procedía, los Tribunales están obligados a admitirlo; al no hacerlo han infringido el art. 24 de la Constitución. Finalmente se alega que se ha producido indefensión, ya que la Audiencia ha sentado -por primera </w:t>
      </w:r>
      <w:r>
        <w:lastRenderedPageBreak/>
        <w:t>vez y sin posibilidad de contradiccion- la presunción iuris tantum de que la parte apelada podría haberse apercibido de la realización de las obras, afirmación de «consecuencias tremendas».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Mediante providencia del pasado 6 de febrero, la Sección Tercera puso de manifiesto a los recurrentes y al Ministerio Fiscal la posible existencia de la causa de inadmisión a que se refiere el art. 50.2 b) de la LOTC, por carecer manifiestamente la demanda de contenido que justifique la decisión de este Tribunal en cuanto al fondo. </w:t>
      </w:r>
    </w:p>
    <w:p w:rsidR="00256EE9" w:rsidRDefault="00256EE9" w:rsidP="00256EE9">
      <w:pPr>
        <w:pStyle w:val="TextoNormal"/>
      </w:pPr>
      <w:r>
        <w:t xml:space="preserve">Dentro del plazo abierto por la indicada providencia, han alegado la representación de los recurrentes y el Ministerio Fiscal. </w:t>
      </w:r>
    </w:p>
    <w:p w:rsidR="00256EE9" w:rsidRDefault="00256EE9" w:rsidP="00256EE9">
      <w:pPr>
        <w:pStyle w:val="TextoNormal"/>
      </w:pPr>
      <w:r>
        <w:t xml:space="preserve">La citada representación argumenta extensamente la apariencia de vulneración del art. 24 de la C.E., que en el presente asunto se ofrece, apariencia que es, a su juicio, la única cuestión a considerar en este momento procesal. </w:t>
      </w:r>
    </w:p>
    <w:p w:rsidR="00256EE9" w:rsidRDefault="00256EE9" w:rsidP="00256EE9">
      <w:pPr>
        <w:pStyle w:val="TextoNormal"/>
      </w:pPr>
      <w:r>
        <w:t xml:space="preserve">Tal apariencia resulta, dice, de las siguientes razones: En primer lugar, la de que, no existiendo precepto alguno que obligue a ejercitar el interdicto de obra nueva o que prohíba utilizar el de recuperar la posesión si antes no se ha hecho uso de aquél, la Audiencia de Ciudad Real, al razonar como si tales preceptos existieran (y con ello imponiendo la consiguiente obligación a los hoy recurrentes) está privando a éstos injustamente de la posibilidad de defender sus intereses y su derecho mediante el ejercicio de una legítima y correcta acción, y violando por tanto su derecho a la tutela judicial efectiva. En segundo término, la aparente violación del art. 24 de la C.E. resulta del hecho de que al declarar que el interdicto de recobrar la posesión no era el adecuado, en virtud de un razonamiento que no puede apoyarse en precepto legal alguno, se está negando de forma arbitraria o irrazonable la concurrencia de un presupuesto procesal necesario (en el caso, el ejercicio de la acción correcta) y violando por tanto el derecho a la tutela judicial efectiva, como a sensu contrario se dice en la Sentencia de este Tribunal (Sala Primera, de 16 de junio de 1982). En tercer lugar, hay también cuando menos apariencia de vulneración del derecho a no ser colocado en situación de indefensión por el hecho de que, al introducir mediante presunción (y presunción que, por el momento en que se produce, no puede ser combatida con prueba en contrario) un hecho nuevo no debatido antes en el proceso, se rompe la igualdad entre las partes, con grave detrimento para los recurrentes. También hay vulneración aparente del derecho a que no se produzca indefensión por la incongruencia de la Sentencia, que se funda en un hecho (el de que los recurrentes conocían la realización de las obras), que es presumido por la Audiencia, pero que no fue alegado por la otra parte del litigio interdictal. Hay también, por último, apariencias de violación del derecho a la presunción de inocencia en cuanto que una mera presunción de conocimiento de las obras realizadas sirve para fundamentar una decisión que limita el derecho de los recurrentes a ejercitar una acción determinada y, por tanto, a la tutela judicial efectiva. </w:t>
      </w:r>
    </w:p>
    <w:p w:rsidR="00256EE9" w:rsidRDefault="00256EE9" w:rsidP="00256EE9">
      <w:pPr>
        <w:pStyle w:val="TextoNormal"/>
      </w:pPr>
      <w:r>
        <w:t xml:space="preserve">El Ministerio Fiscal, por su parte, tras recordar que la Sentencia impugnada se limita a declarar que el interdicto procedente en el caso contemplado era el de obra nueva, sin hacer pronunciamiento alguno sobre el fondo de la cuestión, afirma que dicha Sentencia no establece presunción alguna, limitándose a apreciar jurídicamente los hechos probados de manera distinta a como lo hizo el juzgador de instancia, utilizando para ello datos que se hallaban ya en el proceso. Tampoco pretende esa Sentencia imponer obligación alguna a los recurrentes de seguir un procedimiento determinado. Por todo ello entiende el Ministerio Fiscal que no hay apariencia alguna de lesión del derecho a la tutela judicial efectiva, ni situación de indefensión, pues, acertada o no, la Sentencia impugnada se limita a aplicar </w:t>
      </w:r>
      <w:r>
        <w:lastRenderedPageBreak/>
        <w:t>unos preceptos legales que interpreta en términos razonables y se mueve en los límites propios de una Sentencia de apelación.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bien trabada argumentación de los recurrentes se desarrolla en dos direcciones: de una parte, la de que, no existiendo precepto alguno que obligue a utilizar una determinada forma interdictal en lugar de otra, la Audiencia de Ciudad Real ha obrado de manera arbitraria (y por eso lesiva para su derecho a la tutela judicial efectiva) al anular la Sentencia dictada por el Juzgado de Daimiel, so pretexto de que la forma interdictal utilizada no era la adecuada al caso; de la otra, la de que la inadecuación en este caso del interdicto de obra nueva se apoya en una presunción incorrectamente establecida por la Audiencia en el momento final, cuando ya no podía ser destruida, con lo que se coloca a los recurrentes en situación de indefensión.</w:t>
      </w:r>
    </w:p>
    <w:p w:rsidR="00256EE9" w:rsidRDefault="00256EE9" w:rsidP="00256EE9">
      <w:pPr>
        <w:pStyle w:val="TextoNormal"/>
      </w:pPr>
      <w:r>
        <w:t>Son estos dos núcleos argumentales los que han de ser analizados para fundamentar nuestra decisión.</w:t>
      </w:r>
    </w:p>
    <w:p w:rsidR="00256EE9" w:rsidRDefault="00256EE9" w:rsidP="00256EE9">
      <w:pPr>
        <w:pStyle w:val="TextoNormal"/>
      </w:pPr>
    </w:p>
    <w:p w:rsidR="00256EE9" w:rsidRDefault="00256EE9" w:rsidP="00256EE9">
      <w:pPr>
        <w:pStyle w:val="TextoNormal"/>
      </w:pPr>
      <w:r w:rsidRPr="00256EE9">
        <w:rPr>
          <w:rStyle w:val="NumeroAFNegritaCaracter"/>
        </w:rPr>
        <w:t>2</w:t>
      </w:r>
      <w:r>
        <w:t>. Hemos afirmado en reiteradas ocasiones que la misión del join Constitucional -en sede de recurso de amparo- se limita a preservar o restablecer los derechos y libertades de los recurrentes, sin que nos sea posible revisar los criterios y decisiones sostenidos en los razonamientos de Sentencias judiciales salvo en la medida en que se haya vulnerado un derecho fundamental.  Esta aseveración concorde con la Constitución y nuestra propia Ley Orgánica (arts.  117.3 de la C. E.  y 41.3 y 54 de la LOTC, entre otros) es, además, obligada no sólo por la coherencia de nuestro sistema institucional, sino también por obvias razones de justicia. Como hemos dicho en nuestro Auto de 19 de octubre de 1983 (Recurso de amparo 456/1983), el art.  24 de la Constitución no confiere al Tribunal Constitucional la función de garantizar la justicia y ni siquiera la corrección jurídica de la actuación de todos los órganos judiciales, sino sólo la de velar por el respeto de todos los derechos procesales constitucionalmente garantizados.</w:t>
      </w:r>
    </w:p>
    <w:p w:rsidR="00256EE9" w:rsidRDefault="00256EE9" w:rsidP="00256EE9">
      <w:pPr>
        <w:pStyle w:val="TextoNormal"/>
      </w:pPr>
      <w:r>
        <w:t>Como sostienen los recurrentes, la Audiencia Provincial de Ciudad Real ha entendido en el presente caso que la forma interdictal utilizada no era la adecuada al caso, ya que procedía haber interpuesto un interdicto de obra nueva, en lugar del intentado de recobrar la posesión. Así planteada la cuestión podría ostentar contenido constitucional, en cuanto -como se mantiene- se hubiera privado al demandante de su derecho a obtener una resolución de fondo, siempre que la causa del rechazo formal de la pretensión fuera arbitraria o manifiestamente improcedente.  Pero el razonamiento de la Audiencia no es, al menos en su totalidad, el que con indiscutible habilidad nos plantean los recurrentes.  Ateniéndonos, como es necesario, al propio razonamiento de la resolución impugnada, encontramos que el juzgador entendió que el interdicto tuvo la posibilidad de haberse apercibido de la obra realizada antes de su terminación.  En tales circunstancias consideró que otorgar la tutela posesoria impetrada hubiera presupuesto «la causación de un perjuicio grave para el interdictado ante la contraposición de intereses jurídicamente protegibles que el derecho debe tutelar y que no deben ser acogidos en el presente caso en el interdicto propuesto» (considerando segundo de la Sentencia impugnada).</w:t>
      </w:r>
    </w:p>
    <w:p w:rsidR="00256EE9" w:rsidRDefault="00256EE9" w:rsidP="00256EE9">
      <w:pPr>
        <w:pStyle w:val="TextoNormal"/>
      </w:pPr>
      <w:r>
        <w:t>Un razonamiento de esta índole, ya sea de forma o de fondo, contenido en una resolución judicial que ha puesto fin a una segunda instancia, tras un procedimiento con todas las garantías en el que se ha verificado una intensa actividad probatoria, no debe ser recha</w:t>
      </w:r>
      <w:r>
        <w:lastRenderedPageBreak/>
        <w:t>zado o revisado por este Tribunal en vía de amparo. Es obvio que la conducta de los recurrentes perjudicaba los intereses de la interdictada. El interdicto de recobrar la posesión implica para el interdictado la obligación de demoler la obra realizada; tal obligación no resulta del interdicto de obra nueva del que sólo habría resultado la paralización de lo construido a reservas del correspondiente proceso declarativo.  No es arbitrario entender -como lo ha hecho la Audiencia que constituye abuso de Derecho consentir la terminación de la obra para, entonces, ejercitar el interdicto de recobrar.  Ello supone prejuzgar -mediante la tutela posesorial- o que, en otro caso, se debía haber dilucidado en el correspondiente juicio declarativo. Es obvio que cada ciudadano puede optar por los remedios procesales que estime convenientes, pero también es claro que, a la luz de los razonamientos y pruebas que han aflorado en el proceso ordinario, ha pesado en el ánimo del juzgador que la Ley no ampara el abuso de Derecho, conforme reza el art.  7.2 de nuestro Código Civil.  El Tribunal Constitucional no debe revisar este pronunciamiento.  Basta con afirmar que en él no hay indicio alguno que pueda alentar la sospecha de haberse producido una lesión en el derecho de los recurrentes a una tutela judicial efectiva.</w:t>
      </w:r>
    </w:p>
    <w:p w:rsidR="00256EE9" w:rsidRDefault="00256EE9" w:rsidP="00256EE9">
      <w:pPr>
        <w:pStyle w:val="TextoNormal"/>
      </w:pPr>
    </w:p>
    <w:p w:rsidR="00256EE9" w:rsidRDefault="00256EE9" w:rsidP="00256EE9">
      <w:pPr>
        <w:pStyle w:val="TextoNormal"/>
      </w:pPr>
      <w:r w:rsidRPr="00256EE9">
        <w:rPr>
          <w:rStyle w:val="NumeroAFNegritaCaracter"/>
        </w:rPr>
        <w:t>3</w:t>
      </w:r>
      <w:r>
        <w:t>. Carece también de consistencia el segundo núcleo argumental esgrimido por los recurrentes.  No es cierto que éstos hayan sido colocados en una situación de indefensión al establecer la Audiencia, se dice que en el momento final del proceso, la incorrecta presunción de que conocían desde sus comienzos la iniciación de las obras.  Y no es cierta tal indefensión en cuanto que resulta, con meridiana claridad, que los interdictados han esgrimido este razonamiento desde el mismo inicio del proceso en la primera instancia, junto con la alegación de que la obra había sido realizada «con permiso» (considerandos segundo y tercero de la Sentencia de Primera Instancia).  Negar que haya existido la suficiente contradicción sobre este punto implica negar una realidad palmaria que ha aflorado y se ha debatido a lo largo de todo el proceso.  Carecen, por tanto, de fundamento todas las censuras de incongruencia, indefensión o vulneración de una pretendida presunción de inocencia que se trata de imputar a la Sentencia de segunda instancia.  La demanda carece, también desde esta perspectiva, de contenido constitucional.</w:t>
      </w:r>
    </w:p>
    <w:p w:rsidR="00256EE9" w:rsidRDefault="00256EE9" w:rsidP="00256EE9">
      <w:pPr>
        <w:pStyle w:val="TextoNormal"/>
      </w:pPr>
    </w:p>
    <w:p w:rsidR="00256EE9" w:rsidRDefault="00256EE9" w:rsidP="00256EE9">
      <w:pPr>
        <w:pStyle w:val="TextoNormal"/>
      </w:pPr>
      <w:r w:rsidRPr="00256EE9">
        <w:rPr>
          <w:rStyle w:val="NumeroAFNegritaCaracter"/>
        </w:rPr>
        <w:t>4</w:t>
      </w:r>
      <w:r>
        <w:t>. Finalmente, ha de hacerse constar que los propios solicitantes de amparo nos dicen que la interdictada ha procedido a retirar los postes y el tendido colocado sobre la finca de los recurrentes.  Por ello no sólo cabe a los recurrentes acudir al juicio declarativo pertinente para que «la contraposición de intereses afectados puedan dilucidarse», como afirma expresamente la Sentencia impugnada.  También es posible, incluso, que los recurrentes planteen, si la interdictada reitera la colocación de los postes objeto del litigio, un nuevo interdicto.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méritos de lo expuesto, la Sección acuerda declarar la inadmisibilidad del recurso de amparo promovido por doña Dolores Girón Arjonilla, en la representación que ostenta, y el archivo de las actuaciones.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lastRenderedPageBreak/>
        <w:br w:type="page"/>
      </w:r>
    </w:p>
    <w:p w:rsidR="00256EE9" w:rsidRDefault="00256EE9" w:rsidP="00256EE9">
      <w:pPr>
        <w:pStyle w:val="TtuloResolucin"/>
      </w:pPr>
      <w:bookmarkStart w:id="250" w:name="AUTO_1985_189"/>
      <w:r>
        <w:lastRenderedPageBreak/>
        <w:t>AUTO 189/1985, de 13 de marzo de 1985</w:t>
      </w:r>
    </w:p>
    <w:bookmarkEnd w:id="250"/>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ECLI:ES:TC:1985:189A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892/1984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Luis Pinto Marabotto, Procurador de los Tribunales, interpuso ante este Tribunal, con fecha 20 de diciembre, recurso de amparo constitucional en nombre y representación de doña Dolores Huertes Villar, contra la Sentencia dictada por la Sección Segunda de la Audiencia Provincial de Córdoba el 26 de noviembre de 1984, revocando la dictada en 8 de marzo anterior por el Juzgado de Instrucción de Posadas, y condenando a la señora Huertes por un delito de lesiones; solicita la anulación de la referida Sentencia por entender que se ha infringido el art. 24.2 de la Constitución, en cuanto desconoce la presunción de inocencia. </w:t>
      </w:r>
    </w:p>
    <w:p w:rsidR="00256EE9" w:rsidRDefault="00256EE9" w:rsidP="00256EE9">
      <w:pPr>
        <w:pStyle w:val="TextoNormal"/>
      </w:pPr>
      <w:r>
        <w:t xml:space="preserve">De los documentos aportados se deduce, en síntesis, que la ahora recurrente, compareció como acusada de un delito de lesiones ante el Juzgado de Instrucción de Posadas (Córdoba), el cual dictó Sentencia absolutoria, por considerar probado que no cometió el mismo. </w:t>
      </w:r>
    </w:p>
    <w:p w:rsidR="00256EE9" w:rsidRDefault="00256EE9" w:rsidP="00256EE9">
      <w:pPr>
        <w:pStyle w:val="TextoNormal"/>
      </w:pPr>
      <w:r>
        <w:t>Apelada esta Sentencia por el Ministerio Fiscal y por la acusación particular, la Audiencia Provincial de Córdoba no aceptó el resultando primero de la anterior resolución, como tampoco el único considerando, declarando plenamente probada la comisión por la encartada de los hechos incriminados, por lo que estimó el recurso de apelación, revocó la Sentencia apelada y condenó a doña Dolores Huertes Villar como autora de un delito de lesiones.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6 de febrero se acordó oír a la parte demandante y al Ministerio Fiscal acerca de la posible inadmisión del recurso por las siguientes causas: 1.ª la que regula el art. 50.1 b) en relación con el 44.1 c) de la Ley Orgánica de este Tribunal, por no justificarse que se haya invocado en el previo proceso judicial el derecho constitucional que se supone vulnerado; 2.ª la del art. 50.2 b) de la misma Ley Orgánica, por cuanto pudiera la demanda carecer de contenido que justifique una decisión de este Tribunal. </w:t>
      </w:r>
    </w:p>
    <w:p w:rsidR="00256EE9" w:rsidRDefault="00256EE9" w:rsidP="00256EE9">
      <w:pPr>
        <w:pStyle w:val="TextoNormal"/>
      </w:pPr>
      <w:r>
        <w:t xml:space="preserve">La parte demandante ha alegado que en la vista pública de la apelación invocó la presunción de inocencia, y que la demanda guarda las formalidades y requisitos sustantivos exigidos legalmente. </w:t>
      </w:r>
    </w:p>
    <w:p w:rsidR="00256EE9" w:rsidRDefault="00256EE9" w:rsidP="00256EE9">
      <w:pPr>
        <w:pStyle w:val="TextoNormal"/>
      </w:pPr>
      <w:r>
        <w:t>El Ministerio Fiscal expone que la presunción de inocencia ha sido excluida por las pruebas que con amplitud se practicaron, refiriéndose la del Juzgado a dos o tres testigos presenciales. Entiende el Ministerio Fiscal que la parte demandante no ha tenido oportuni</w:t>
      </w:r>
      <w:r>
        <w:lastRenderedPageBreak/>
        <w:t>dad procesal de invocar el derecho fundamental vulnerado, al producir, según él, tal vulneración la última resolución judicial contra la que no cabría recurso alguno.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Absuelta la hoy recurrente en la Sentencia dictada por el Juzgado de Instrucción, y condenada en la recaída en grado de apelación emitida por la Audiencia Provincial, es claro que no tuvo oportunidad de invocar vulneración de derecho fundamental alguno, por lo que es improcedente aplicar la previsión establecida en el art. 44.1 c)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La recurrente entiende se ha producido la violación del derecho a la presunción de inocencia, consagrado en el art. 24.2 de la Constitución, ante la escasez de pruebas en las que se hubiera podido sustentar la Sentencia condenatoria proferida en su contra por la Audiencia Provincial al revocar la del Juzgado de Instrucción, mas es lo cierto que del propio escrito de demanda del recurso de amparo, así como de lo reflejado en aquellas resoluciones judiciales, resulta que se llevó a efecto una abundantísima prueba testifical, prestando declaración las personas directamente intervinientes en el hecho de autos, además de obrar en el proceso un informe de la Guardia Civil, circunstancias éstas que permiten aplicar la previsión del art.  50.2 b) de la LOTC, en el sentido de carecer manifiestamente de contenido constitucional la demanda de amparo de que se trata, ya que lo realmente sucedido no ha sido otra cosa que una diferente valoración de la prueba practicada por parte de los órganos que intervinieron en las dos instancias seguidas con ocasión del suceso denunciado.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51" w:name="AUTO_1985_190"/>
      <w:r>
        <w:lastRenderedPageBreak/>
        <w:t>AUTO 190/1985, de 13 de marzo de 1985</w:t>
      </w:r>
    </w:p>
    <w:bookmarkEnd w:id="251"/>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ECLI:ES:TC:1985:190A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894/1984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registrado en este Tribunal el 20 de diciembre de 1984, el Procurador don Jesús Verdasco Triguero, en representación de don José Herrera Fernández, formuló demanda de amparo constitucional contra la Sentencia del Tribunal Central de Trabajo de 16 de octubre de 1984, por presunta vulneración de los arts. 14 y 24.1 de la Constitución Española (C.E.). </w:t>
      </w:r>
    </w:p>
    <w:p w:rsidR="00256EE9" w:rsidRDefault="00256EE9" w:rsidP="00256EE9">
      <w:pPr>
        <w:pStyle w:val="TextoNormal"/>
      </w:pPr>
      <w:r>
        <w:t xml:space="preserve">Los hechos y fundamentos de Derecho que se exponen en la demanda son los siguientes: </w:t>
      </w:r>
    </w:p>
    <w:p w:rsidR="00256EE9" w:rsidRDefault="00256EE9" w:rsidP="00256EE9">
      <w:pPr>
        <w:pStyle w:val="TextoNormal"/>
      </w:pPr>
      <w:r>
        <w:t xml:space="preserve">a) El día 27 de marzo de 1981, la Magistratura de Trabajo núm. 1 de Vizcaya dictó Sentencia declarando nulo el despido de don Juan Durán Vital y condenando a la empresa «José Herrera Fernández» a su readmisión y al abono de los salarios dejados de percibir. </w:t>
      </w:r>
    </w:p>
    <w:p w:rsidR="00256EE9" w:rsidRDefault="00256EE9" w:rsidP="00256EE9">
      <w:pPr>
        <w:pStyle w:val="TextoNormal"/>
      </w:pPr>
      <w:r>
        <w:t xml:space="preserve">b) Habiendo solicitado don Juan Durán la ejecución de la Sentencia el día 22 de mayo de 1981, el Magistrado de Trabajo la denegó por Auto de 29 de junio, por considerar caducado el plazo del proceso de ejecución. Interpuesto recurso de reposición, el Magistrado lo desestimó por Auto de 13 de noviembre del mismo año. </w:t>
      </w:r>
    </w:p>
    <w:p w:rsidR="00256EE9" w:rsidRDefault="00256EE9" w:rsidP="00256EE9">
      <w:pPr>
        <w:pStyle w:val="TextoNormal"/>
      </w:pPr>
      <w:r>
        <w:t xml:space="preserve">c) El día 23 de marzo de 1982, el trabajador solicitó de nuevo la ejecución de la Sentencia, dictándose nuevo Auto denegatorio de 20 de abril de 1982. </w:t>
      </w:r>
    </w:p>
    <w:p w:rsidR="00256EE9" w:rsidRDefault="00256EE9" w:rsidP="00256EE9">
      <w:pPr>
        <w:pStyle w:val="TextoNormal"/>
      </w:pPr>
      <w:r>
        <w:t xml:space="preserve">Contra el mismo interpuso recurso de reposición, desestimado por Auto de 1 de diciembre de igual año. El 30 de diciembre formalizó, por fin, recurso de suplicación, que fue estimado por Sentencia de 12 de julio de 1983 del Tribunal Central de Trabajo, que declaró que el plazo de treinta días previsto por la Ley de Procedimiento Laboral para solicitar la readmisión tiene carácter indicativo y su incumplimiento sólo se traduce en la supresión de los salarios de tramitación correspondientes a la demora. </w:t>
      </w:r>
    </w:p>
    <w:p w:rsidR="00256EE9" w:rsidRDefault="00256EE9" w:rsidP="00256EE9">
      <w:pPr>
        <w:pStyle w:val="TextoNormal"/>
      </w:pPr>
      <w:r>
        <w:t xml:space="preserve">El Tribunal revocó el Auto recurrido, para que el Magistrado de Trabajo procediera a dictar otro ajustado a dicha doctrina. </w:t>
      </w:r>
    </w:p>
    <w:p w:rsidR="00256EE9" w:rsidRDefault="00256EE9" w:rsidP="00256EE9">
      <w:pPr>
        <w:pStyle w:val="TextoNormal"/>
      </w:pPr>
      <w:r>
        <w:t xml:space="preserve">d) El 8 de noviembre de 1983, la Magistratura de Trabajo dictó Auto por el que declaraba extinguida la relación laboral entre don Juan Durán y la empresa «José Herrera Fernández» y condenaba a ésta a abonar al actor 498.209 pesetas en concepto de indemnización y 59.615 pesetas por salarios de tramitación desde la fecha de la Sentencia de 27 de marzo de 1981 hasta los treinta días siguientes a su notificación. </w:t>
      </w:r>
    </w:p>
    <w:p w:rsidR="00256EE9" w:rsidRDefault="00256EE9" w:rsidP="00256EE9">
      <w:pPr>
        <w:pStyle w:val="TextoNormal"/>
      </w:pPr>
      <w:r>
        <w:t xml:space="preserve">e) El trabajador interpuso recurso de reposición, que fue desestimado por Auto de 11 de mayo de 1984. Contra el Auto de 8 de noviembre de 1983 formalizó posteriormente recurso de suplicación, solicitando que el abono de los salarios de tramitación comprendiese </w:t>
      </w:r>
      <w:r>
        <w:lastRenderedPageBreak/>
        <w:t xml:space="preserve">desde la fecha de presentación del escrito solicitando la ejecución de la Sentencia, el 22 de mayo de 1981, hasta la del Auto que declara la extinción de la relación laboral, el 8 de noviembre de 1983. El Tribunal Central de Trabajo dictó Sentencia de 16 de octubre de 1984, estimando parcialmente el recurso y condenando a la Empresa al abono de salarios desde que se solicitó por segunda vez la ejecución el 23 de marzo de 1982 al 8 de noviembre de 1983. </w:t>
      </w:r>
    </w:p>
    <w:p w:rsidR="00256EE9" w:rsidRDefault="00256EE9" w:rsidP="00256EE9">
      <w:pPr>
        <w:pStyle w:val="TextoNormal"/>
      </w:pPr>
      <w:r>
        <w:t xml:space="preserve">f) El demandante en amparo basa la denuncia de vulneración del articulo 24.1 de la Constitución Española en que el Tribunal Central de Trabajo admitió a trámite y resolvió un recurso presentado por el trabajador contra el Auto de la Magistratura de 8 de noviembre de 1983, cuando este Auto había sido previamente objeto de recurso de reposición, por lo que debió ser el Auto de resolución de este último, de fecha 11 de mayo de 1984, y no aquél el recurrido. Tal admisión a trámite supone, según el demandante, el incumplimiento absoluto de la tramitación legal, y por ello le niega la tutela judicial efectiva y le produce indefensión. El vicio cometido consiste en el incumplimiento de una garantía fundamental como es la seguridad jurídica, y pone un cambio indebido de procedimiento que conduce a una denegación de tutela. </w:t>
      </w:r>
    </w:p>
    <w:p w:rsidR="00256EE9" w:rsidRDefault="00256EE9" w:rsidP="00256EE9">
      <w:pPr>
        <w:pStyle w:val="TextoNormal"/>
      </w:pPr>
      <w:r>
        <w:t xml:space="preserve">g) La Sentencia del Tribunal Central vulnera también los arts. 14 y 24.1 de la Constitución, a juicio del demandante, al condenar a la Empresa a abonar los salarios de tramitación desde el 23 de marzo de 1982 al 8 de noviembre de 1983; el art. 14, porque la decisión judicial difiere totalmente de las Sentencias del Tribunal Central de 19 de mayo de 1982, 13 de septiembre de 1982, 29 de septiembre de 1982, 22 de marzo de 1983 y 12 de mayo de 1983; el art. 24.1, por cuanto produce indefensión, atentando contra la seguridad juridica al dejar a la libre voluntad del demandante el transcurrir del tiempo a efectos del cómputo para los salarios de tramitación, dejando vacío de contenido el art. 209 de la Ley de Procedimiento Laboral, que pretendía poner término al devengo de tales salarios fijando los plazos para solicitar la ejecución. </w:t>
      </w:r>
    </w:p>
    <w:p w:rsidR="00256EE9" w:rsidRDefault="00256EE9" w:rsidP="00256EE9">
      <w:pPr>
        <w:pStyle w:val="TextoNormal"/>
      </w:pPr>
      <w:r>
        <w:t>i) Mediante otrosí, el demandante solicita la suspensión de la ejecución de la Sentencia.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6 de febrero de 1985, la Sección acordó poner de manifiesto al solicitante de amparo y al Ministerio Fiscal la posible causa de inadmisión que regula el art. 50.2 b) de la Ley Orgánica del Tribunal Constitucional (LOTC), por cuanto la demanda pudiera carecer manifiestamente de contenido que justifique una decisión por parte de este Tribunal; otorgándoles (art. 50 de la LOTC) un plazo común de diez días para alegaciones. </w:t>
      </w:r>
    </w:p>
    <w:p w:rsidR="00256EE9" w:rsidRDefault="00256EE9" w:rsidP="00256EE9">
      <w:pPr>
        <w:pStyle w:val="TextoNormal"/>
      </w:pPr>
      <w:r>
        <w:t>Acordó asimismo formar pieza de suspensión en la cual se tramitará todo lo concerniente a tal pretensión incidental.</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cumplimiento de este trámite, el recurrente en amparo insistió en las razones que a su juicio dan pie a la interposición de recurso de amparo. </w:t>
      </w:r>
    </w:p>
    <w:p w:rsidR="00256EE9" w:rsidRDefault="00256EE9" w:rsidP="00256EE9">
      <w:pPr>
        <w:pStyle w:val="TextoNormal"/>
      </w:pPr>
      <w:r>
        <w:t>Se vulneró el art. 24 de la C E., por cuanto, al no haber sido recurrido en su momento el Auto de 11 de mayo de 1983 (único contra el que podía haberse interpuesto recurso de reposición), procedía declarar su firmeza y la nulidad de la Sentencia recurrida, y al no haberse cumplido los requisitos procesales, se ha causado indefensión al hoy recurrente en amparo. Reitera éste lo dicho en la demanda en cuanto a la violación del derecho a la igualdad del art. 14 de la C. E. y del derecho a no ser victima de indefensión del art. 24.1, por dejar a la libre voluntad del demandante el transcurrir del tiempo a efectos del cómputo para los salarios de tramitación. Por todo lo cual, entiende que su demanda de amparo no carece de contenido constitucional y solicita su admisión.</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En el mismo trámite el Fiscal ante el Tribunal Constitucional, tras un amplio resumen de los hechos, niega que se haya producido conculcación del art. 24.1 de la C. E., porque los argumentos aducidos por el demandante no encuentran apoyo en aquellos. </w:t>
      </w:r>
    </w:p>
    <w:p w:rsidR="00256EE9" w:rsidRDefault="00256EE9" w:rsidP="00256EE9">
      <w:pPr>
        <w:pStyle w:val="TextoNormal"/>
      </w:pPr>
      <w:r>
        <w:t xml:space="preserve">El recurso de suplicación que dio lugar a la Sentencia de 16 de octubre de 1984 no se interpuso contra el Auto de 8 de noviembre de 1983, sino contra la resolución confirmatoria de aquél, según declara la propia Sentencia. La supuesta irregularidad que se denuncia no puede entrañar violación del derecho a la tutela judicial efectiva cuando ésta se ha prestado al haber dispuesto las partes de un reiterado acceso a la jurisdicción y haberse contestado a sus pretensiones con resoluciones fundadas en Derecho, máxime cuando no constituye tampoco misión del Tribunal Constitucional corregir errores, equivocaciones o incorrecciones jurídicas (Auto de este Tribunal de 6 de junio de 1984). </w:t>
      </w:r>
    </w:p>
    <w:p w:rsidR="00256EE9" w:rsidRDefault="00256EE9" w:rsidP="00256EE9">
      <w:pPr>
        <w:pStyle w:val="TextoNormal"/>
      </w:pPr>
      <w:r>
        <w:t>En cuanto al derecho de igualdad del art. 14, la imprecisión de las resoluciones que se citan hace imposible, según el Ministerio Fiscal, establecer un término comparativo concreto, y en Sentencias como la de fecha 13 de septiembre de 1982, citada por el demandante, el supuesto tratado no corresponde con el que es objeto de este asunto: y la prueba de la desigualdad corresponde a quien la invoca. Si bien la cuestión de fondo puede ser discutible, no sobrepasa los límites de un problema de legalidad. Concluye el Ministerio Fiscal solicitando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largo proceso que culmina con la Sentencia impugnada se inició con el despido por el demandante de un trabajador, que obtuvo Sentencia de Magistratura del Trabajo declaratorio de su nulidad.  Al no haber sido readmitido el citado trabajador, se vio forzado a instar la ejecución de la Sentencia, que fue denegada por Magistratura, al haber transcurrido el plazo de treinta días que para ello dispone el art. 209 de la Ley de Procedimiento Laboral.  Confirmada la resolución judicial en reposición, el trabajador la consintió, hasta que un año después volvió a solicitar la ejecución antes denegada.  Al obtener igual respuesta, que fue confirmada también en reposición, interpuso recurso de suplicación, estimado por el Tribunal Central de Trabajo. Para este Tribunal, el plazo de treinta días es meramente indicativo y la ejecución de una Sentencia no puede quedar sometida a él como plazo de caducidad o prescripción, sino al plazo general de prescripción, de forma que el incumplimiento de dicho plazo no impide la ejecución, sino que solamente produce la supresión de los salarios de tramitación correspondientes al tiempo de demora. Devueltos los Autos a Magistratura para que ésta ejecutase la Sentencia de despido, el Magistrado condenó al abono de los salarios de tramitación correspondientes a treinta dias, obligando al trabajador a interponer reposición, también denegada, y suplicación, que fue estimada por el Tribunal, el cual condena a abonar los salarios del tiempo transcurrido entre el momento en que se instó la ejecución por segunda vez y el día que se dictó el Auto de ejecución.</w:t>
      </w:r>
    </w:p>
    <w:p w:rsidR="00256EE9" w:rsidRDefault="00256EE9" w:rsidP="00256EE9">
      <w:pPr>
        <w:pStyle w:val="TextoNormal"/>
      </w:pPr>
    </w:p>
    <w:p w:rsidR="00256EE9" w:rsidRDefault="00256EE9" w:rsidP="00256EE9">
      <w:pPr>
        <w:pStyle w:val="TextoNormal"/>
      </w:pPr>
      <w:r w:rsidRPr="00256EE9">
        <w:rPr>
          <w:rStyle w:val="NumeroAFNegritaCaracter"/>
        </w:rPr>
        <w:t>2</w:t>
      </w:r>
      <w:r>
        <w:t>. La primera de las vulneraciones que se imputan a esta última Sentencia consiste en haber admitido y resuelto un recurso de suplicación deficientemente planteado, pues el recurrente impugnó el Auto de ejecución de 8 de noviembre de 1983 y no el dictado en reposición de aquél, de 11 de mayo de 1984. Ahora bien, la alegación no ofrece la menor consistencia.  Es evidente, y así lo entendió el Tribunal Central, que cuando el recurrente impugnó el Auto de 8 de noviembre, estaba también haciéndolo del resolutorio de la repo</w:t>
      </w:r>
      <w:r>
        <w:lastRenderedPageBreak/>
        <w:t>sición, que se limitaba a confirmar el primero. La discusión sobre si debe ser el primer Auto impugnado, pues es el que creó la situación presuntamente infractora, y no el segundo, pues no tiene otro contenido que el meramente confirmatorio del anterior, o si, por el contrario, es el segundo el que, al asumir el primero, tiene transcendencia jurídica y debe ser recurrido, es una discusión irrelevante, y carece de sentido pretender construir un problema constitucional sobre una de tales opciones.</w:t>
      </w:r>
    </w:p>
    <w:p w:rsidR="00256EE9" w:rsidRDefault="00256EE9" w:rsidP="00256EE9">
      <w:pPr>
        <w:pStyle w:val="TextoNormal"/>
      </w:pPr>
    </w:p>
    <w:p w:rsidR="00256EE9" w:rsidRDefault="00256EE9" w:rsidP="00256EE9">
      <w:pPr>
        <w:pStyle w:val="TextoNormal"/>
      </w:pPr>
      <w:r w:rsidRPr="00256EE9">
        <w:rPr>
          <w:rStyle w:val="NumeroAFNegritaCaracter"/>
        </w:rPr>
        <w:t>3</w:t>
      </w:r>
      <w:r>
        <w:t>. Igualmente infundadas son las restantes alegaciones de la demanda.</w:t>
      </w:r>
    </w:p>
    <w:p w:rsidR="00256EE9" w:rsidRDefault="00256EE9" w:rsidP="00256EE9">
      <w:pPr>
        <w:pStyle w:val="TextoNormal"/>
      </w:pPr>
      <w:r>
        <w:t>La denuncia sobre la desigualdad en que presuntamente habría incurrido la Sentencia impugnada en comparación con otros pronunciamientos previos del Tribunal Central de Trabajo, no puede ser atendida, porque la afirmación es incierta.  La Sentencia recurrida no hace sino aplicar la previamente dictada por el propio Tribunal el 12 de julio de 1983, que no sólo no se aparta de los precedentes, sino que los reproduce, constituyendo la tesis aplicada doctrina consolidada del Tribunal Central. La opinión del recurrente de que el Tribunal Central de Trabajo contradice lo establecido en algunas de sus anteriores Sentencias es fruto de una errónea comprensión de tales pronunciamientos por el recurrente, que cree significan la exclusión de todo salario de tramitación que exceda de treinta días. Y tal errónea interpretación, que es también la que se efectúa en relación con la Sentencia del Tribunal Central de Trabajo de 12 de julio de 1983, en el proceso previo, hace que no exista en ella contradicción alguna sino, por el contrario, confirmación y aplicación de la misma doctrina.</w:t>
      </w:r>
    </w:p>
    <w:p w:rsidR="00256EE9" w:rsidRDefault="00256EE9" w:rsidP="00256EE9">
      <w:pPr>
        <w:pStyle w:val="TextoNormal"/>
      </w:pPr>
    </w:p>
    <w:p w:rsidR="00256EE9" w:rsidRDefault="00256EE9" w:rsidP="00256EE9">
      <w:pPr>
        <w:pStyle w:val="TextoNormal"/>
      </w:pPr>
      <w:r w:rsidRPr="00256EE9">
        <w:rPr>
          <w:rStyle w:val="NumeroAFNegritaCaracter"/>
        </w:rPr>
        <w:t>4</w:t>
      </w:r>
      <w:r>
        <w:t>. Tampoco existe, por último, vulneración alguna del art. 24 de la Constitución -ni en sí mismo ni en relación con el principio de seguridad juridica- en la Sentencia, que ordena el abono de unos determinados salarios de tramitación.  El Tribunal no hace en tal Sentencia sino ordenar la ejecución de otra anterior, dictada en estricta aplicación de la Ley.  Es incierto que ello suponga dejar en manos del ejecutante el tiempo al que corresponde el abono de salarios, pues expresamente declara el Tribunal que el período de demora no se computa. Afirmar, de otro lado, que la intención del art.  209 de la Ley de Procedimiento Laboral es limitar a treinta días los salarios de tramitación, por lo que la Sentencia lo vulnera, es algo ajeno al proceso constitucional de amparo, pues el problema es de interpretación y aplicación de la legalidad, materia en la que no debe entrar este Tribunal, que ha de acoger el resultado de la actuación judicial en la medida en que no afecta, como sucede en este caso, a derecho constitucional alguno. Si fuera cierta la interpretación ofrecida por el demandante, se habría producido una infracción de la legalidad, pero no la de un derecho susceptible de amparo, de modo que no podría ser corregida por el Tribunal Constitucional.</w:t>
      </w:r>
    </w:p>
    <w:p w:rsidR="00256EE9" w:rsidRDefault="00256EE9" w:rsidP="00256EE9">
      <w:pPr>
        <w:pStyle w:val="TextoNormal"/>
      </w:pPr>
      <w:r>
        <w:t>Se llega así a la conclusión de que la demanda incurre en el supuesto del art.  50.2 b) de la LOTC, como se había señalado en nuestra providencia de 6 de febrero último.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 por lo que no procede pronunciamiento alguno acerca de la suspensión solicitada.</w:t>
      </w:r>
    </w:p>
    <w:p w:rsidR="00256EE9" w:rsidRDefault="00256EE9" w:rsidP="00256EE9">
      <w:pPr>
        <w:pStyle w:val="TextoNormal"/>
      </w:pPr>
    </w:p>
    <w:p w:rsidR="00256EE9" w:rsidRDefault="00256EE9" w:rsidP="00256EE9">
      <w:pPr>
        <w:pStyle w:val="TextoNormal"/>
      </w:pPr>
      <w:r>
        <w:lastRenderedPageBreak/>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52" w:name="AUTO_1985_191"/>
      <w:r>
        <w:lastRenderedPageBreak/>
        <w:t>AUTO 191/1985, de 13 de marzo de 1985</w:t>
      </w:r>
    </w:p>
    <w:bookmarkEnd w:id="252"/>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ECLI:ES:TC:1985:191A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895/1984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Gregorio Puche Brun, Procurador de los Tribunales, en nombre de don Pablo Agudo Obregón, recurre en amparo ante este Tribunal por escrito de demanda que tuvo entrada en el Registro General el día 20 de diciembre de 1984 contra el Auto del Juzgado de Primera Instancia núm. 13 de Madrid, de 25 de junio de 1982, confirmado por Auto del mismo Juzgado de 19 de julio de 1982, que resuelve el recurso de reposición interpuesto y contra Auto de la Sala Segunda de lo Civil de la Audiencia Territorial de Madrid de 17 de noviembre de 1984, que desestimó el recurso de apelación interpuesto contra el anterior. </w:t>
      </w:r>
    </w:p>
    <w:p w:rsidR="00256EE9" w:rsidRDefault="00256EE9" w:rsidP="00256EE9">
      <w:pPr>
        <w:pStyle w:val="TextoNormal"/>
      </w:pPr>
      <w:r>
        <w:t>La pretensión se formula para que se declare la nulidad de las resoluciones judiciales recurridas y, en consecuencia, se consideren válidas y subsistentes todas las actuaciones del proceso anuladas ex officio. La parte recurrente considera que han sido vulnerados los arts. 14 y 24 de la C.E.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que se contrae la demanda son, en extracto, los siguientes: </w:t>
      </w:r>
    </w:p>
    <w:p w:rsidR="00256EE9" w:rsidRDefault="00256EE9" w:rsidP="00256EE9">
      <w:pPr>
        <w:pStyle w:val="TextoNormal"/>
      </w:pPr>
      <w:r>
        <w:t xml:space="preserve">a) El día 21 de abril de 1982 el recurrente en amparo formuló demanda de juicio de mayor cuantía contra Manuel Herrero Palacios como Presidente de la Comunidad de Propietarios de la casa núm. 11 de la plaza de España de Madrid, ejercitando la acción impugnatoria prevista en la norma cuarta del art. 16 de la Ley de Propiedad Horizontal, que fue admitida a trámite por providencia de 27 de abril de 1982. </w:t>
      </w:r>
    </w:p>
    <w:p w:rsidR="00256EE9" w:rsidRDefault="00256EE9" w:rsidP="00256EE9">
      <w:pPr>
        <w:pStyle w:val="TextoNormal"/>
      </w:pPr>
      <w:r>
        <w:t xml:space="preserve">b) Emplazado el demandado, el día 31 de mayo de 1982 el Juzgado dictó providencia en la que se daba por contestada la demanda al demandado, a quien se notificó esta providencia el día 8 de junio de 1982. Previamente, por diligencia de 28 de mayo de 1982, se hace constar por el Secretario del Juzgado que había transcurrido el término del emplazamiento del demandado en persona, sin comparecer en autos. La providencia de 31 de mayo de 1982 fue notificada al recurrente en amparo el día 1 de junio de 1982, y éste, en escrito de 3 de junio de 1982, suplicó al Juzgado que recibiese el pleito a prueba. </w:t>
      </w:r>
    </w:p>
    <w:p w:rsidR="00256EE9" w:rsidRDefault="00256EE9" w:rsidP="00256EE9">
      <w:pPr>
        <w:pStyle w:val="TextoNormal"/>
      </w:pPr>
      <w:r>
        <w:t xml:space="preserve">c) El Juzgado, en providencia de 14 de junio de 1982, declaraba en rebeldía al demandado don Manuel Herrero Palacios, acordando notificar esta providencia en los estrados del Juzgado. </w:t>
      </w:r>
    </w:p>
    <w:p w:rsidR="00256EE9" w:rsidRDefault="00256EE9" w:rsidP="00256EE9">
      <w:pPr>
        <w:pStyle w:val="TextoNormal"/>
      </w:pPr>
      <w:r>
        <w:t xml:space="preserve">d) El día 28 de junio de 1982 se notifica a la parte recurrente el Auto dictado por el Juzgado de Primera Instancia de 25 de junio de 1982, que acordó la nulidad de actuaciones desde la diligencia de 28 de mayo de 1982 y la providencia de 31 de mayo de 1982, </w:t>
      </w:r>
      <w:r>
        <w:lastRenderedPageBreak/>
        <w:t xml:space="preserve">así como las actuaciones subsiguientes comprensivas del escrito del Procurador recurrente de 3 de junio de 1982 y la providencia del día 14 de junio, en que se acuerda la rebeldía, teniéndose por personado al Procurador don Isacio Calleja en nombre de don Manuel Herrero Palacios. El Auto de 25 de junio de 1982 va precedido de una diligencia de fecha 22 de junio de 1982, en la que se acredita por el Secretario que ha sido hallado traspapelado con otros documentos en la Secretaría del Juzgado el documento de comparecencia del Procurador señor Calleja en los autos de referencia escrito que lleva fecha de 24 de mayo de 1982, según consta en el segundo resultando del Auto de 25 de junio de 1982. Este Auto fue recurrido en reposición por la parte recurrente en amparo, que transcribe en la demanda el recurso de reposición, y fue admitido por providencia de 8 de julio de 1982 y resuelto por Auto de 19 de julio de 1982, que ratifica el Auto de 25 de junio de 1982. </w:t>
      </w:r>
    </w:p>
    <w:p w:rsidR="00256EE9" w:rsidRDefault="00256EE9" w:rsidP="00256EE9">
      <w:pPr>
        <w:pStyle w:val="TextoNormal"/>
      </w:pPr>
      <w:r>
        <w:t>e) La parte recurrente promueve, por escrito de 22 de julio de 1982, recurso de apelación contra el Auto de 19 de julio de 1982, que se tiene por interpuesto en providencia de 27 de julio de 1982, y la Sala de lo Civil de la Audiencia Territorial de Madrid, por Auto de 17 de noviembre de 1984, desestima el recurso de apelación.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en que se basa el recurso consisten en señalar, sucintamente, lo siguiente: </w:t>
      </w:r>
    </w:p>
    <w:p w:rsidR="00256EE9" w:rsidRDefault="00256EE9" w:rsidP="00256EE9">
      <w:pPr>
        <w:pStyle w:val="TextoNormal"/>
      </w:pPr>
      <w:r>
        <w:t xml:space="preserve">a) Las resoluciones judiciales recurridas vulneran el art. 14 de la C. E., ya que a la parte demandada se le ha otorgado un trato privilegiado y la misma demandada, en los Autos del recurso de casación núm. 969/1983 de la Sala Primera del Tribunal Supremo, fue declarada en rebeldía, estando los citados Autos pendientes de resolución del recurso de casación. </w:t>
      </w:r>
    </w:p>
    <w:p w:rsidR="00256EE9" w:rsidRDefault="00256EE9" w:rsidP="00256EE9">
      <w:pPr>
        <w:pStyle w:val="TextoNormal"/>
      </w:pPr>
      <w:r>
        <w:t xml:space="preserve">b) Se han conculcado los principios recogidos en los arts. 9 y 10 de la C. E. </w:t>
      </w:r>
    </w:p>
    <w:p w:rsidR="00256EE9" w:rsidRDefault="00256EE9" w:rsidP="00256EE9">
      <w:pPr>
        <w:pStyle w:val="TextoNormal"/>
      </w:pPr>
      <w:r>
        <w:t>c) Finalmente se ha vulnerado el art. 24 de la C. E. por no haber obtenido el recurrente la tutela efectiva y haberse producido en el proceso dilaciones indebidas.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en el asunto de referencia, acordó, por providencia de 23 de enero de 1985, tener por personado y parte, en nombre y representación de don Pablo Agudo Obregón, al Procurador don Gregorio Puche Brun y hacer saber al expresado Procurador, en la representación que ostenta, la posible concurrencia de los siguientes motivos de inadmisión: 1.° No haberse invocado formalmente en el proceso el derecho constitucional vulnerado, tan pronto como, una vez conocida la violación, hubiere lugar para ello, según lo que establece el art. 44.1 c), en relación con el 50.1 b), ambos de la Ley Orgánica del Tribunal Constitucional (LOTC). 2.° Deducirse la demanda respecto de derechos no protegidos en amparo, al citarse como vulnerado el art. 9.3 de la Constitución [art. 50.2 a) de la LOTC]. 3.° Carecer la demanda manifiestamente de contenido que justifique una decisión por parte del Tribunal Constitucional [art. 50.2 b) de la LOTC]. </w:t>
      </w:r>
    </w:p>
    <w:p w:rsidR="00256EE9" w:rsidRDefault="00256EE9" w:rsidP="00256EE9">
      <w:pPr>
        <w:pStyle w:val="TextoNormal"/>
      </w:pPr>
      <w:r>
        <w:t>Por lo que, en virtud de lo dispuesto en el art. 50 de la citada Ley Orgánica, se concedió al recurrente y al Ministerio Fiscal un plazo común de diez días, a fin de que, dentro del mismo, formulasen las alegaciones que estimaran pertinentes.</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Tribunal Constitucional, por escrito de 1 de febrero de 1985, formuló, resumidamente, las siguientes alegaciones: </w:t>
      </w:r>
    </w:p>
    <w:p w:rsidR="00256EE9" w:rsidRDefault="00256EE9" w:rsidP="00256EE9">
      <w:pPr>
        <w:pStyle w:val="TextoNormal"/>
      </w:pPr>
      <w:r>
        <w:t xml:space="preserve">a) Se afirma la vulneración del art. 14 de la C. E. por dar la resolución judicial un trato más favorable al demandado y declarar ex officio la nulidad de la providencia del 31 de mayo de 1984. </w:t>
      </w:r>
    </w:p>
    <w:p w:rsidR="00256EE9" w:rsidRDefault="00256EE9" w:rsidP="00256EE9">
      <w:pPr>
        <w:pStyle w:val="TextoNormal"/>
      </w:pPr>
      <w:r>
        <w:lastRenderedPageBreak/>
        <w:t xml:space="preserve">El recurrente no ha aportado, a este escrito, el «término de comparación» que permita concluir la discriminación denunciada. </w:t>
      </w:r>
    </w:p>
    <w:p w:rsidR="00256EE9" w:rsidRDefault="00256EE9" w:rsidP="00256EE9">
      <w:pPr>
        <w:pStyle w:val="TextoNormal"/>
      </w:pPr>
      <w:r>
        <w:t xml:space="preserve">b) La falta «de tutela judicial efectiva» es fundamentada en el art. 408 de la Ley de Enjuiciamiento Civil, al afirmar que la demandada no recurrió la providencia del día 31 de mayo en que por el Juzgado se da por contestada la demanda y que le fue notificada por cédula. </w:t>
      </w:r>
    </w:p>
    <w:p w:rsidR="00256EE9" w:rsidRDefault="00256EE9" w:rsidP="00256EE9">
      <w:pPr>
        <w:pStyle w:val="TextoNormal"/>
      </w:pPr>
      <w:r>
        <w:t xml:space="preserve">El Juez, al acreditarse que el demandado contestó en plazo la demanda por ser las normas del proceso de orden público y velando por la pureza del procedimiento, declara nulo todo lo actuado, y entre lo declarado nulo se encuentra la providencia del 31 de mayo. </w:t>
      </w:r>
    </w:p>
    <w:p w:rsidR="00256EE9" w:rsidRDefault="00256EE9" w:rsidP="00256EE9">
      <w:pPr>
        <w:pStyle w:val="TextoNormal"/>
      </w:pPr>
      <w:r>
        <w:t xml:space="preserve">El recurrente podrá considerar que la declaración de nulidad viola el art. 24 de la C. E., pero no argumentar en base a la falta de recurso de la citada providencia que ha sido declarada nula y que por añadidura, al ser notificada por cédula, no conocemos si llegó a manos del demandado. </w:t>
      </w:r>
    </w:p>
    <w:p w:rsidR="00256EE9" w:rsidRDefault="00256EE9" w:rsidP="00256EE9">
      <w:pPr>
        <w:pStyle w:val="TextoNormal"/>
      </w:pPr>
      <w:r>
        <w:t xml:space="preserve">Para el Fiscal la declaración de nulidad de un acto judicial es materia que corresponde al ámbito de la interpretación de la legalidad, campo exclusivo de conocimiento del órgano judicial y la única medida que puede tomar el órgano judicial en caso de extravío de la contestación es la declaración de nulidad de lo actuado, para adecuar el proceso a la realidad de la actividad procesal. </w:t>
      </w:r>
    </w:p>
    <w:p w:rsidR="00256EE9" w:rsidRDefault="00256EE9" w:rsidP="00256EE9">
      <w:pPr>
        <w:pStyle w:val="TextoNormal"/>
      </w:pPr>
      <w:r>
        <w:t xml:space="preserve">c) Por otra parte, la alegación de dilación indebida no tiene fundamento en el campo constitucional y la actuación del órgano judicial siguió la normativa del proceso. </w:t>
      </w:r>
    </w:p>
    <w:p w:rsidR="00256EE9" w:rsidRDefault="00256EE9" w:rsidP="00256EE9">
      <w:pPr>
        <w:pStyle w:val="TextoNormal"/>
      </w:pPr>
      <w:r>
        <w:t xml:space="preserve">A juicio del Fiscal, concurre en el recurso la causa de inadmisión del art. 50.2 b) de la LOTC. </w:t>
      </w:r>
    </w:p>
    <w:p w:rsidR="00256EE9" w:rsidRDefault="00256EE9" w:rsidP="00256EE9">
      <w:pPr>
        <w:pStyle w:val="TextoNormal"/>
      </w:pPr>
      <w:r>
        <w:t xml:space="preserve">d) El recurrente alega la violación del art. 9 y del art. 10, que no se encuentran entre los artículos susceptibles de amparo, por lo que concurre la causa de inadmisión del art. 50.2 a) de la LOTC. </w:t>
      </w:r>
    </w:p>
    <w:p w:rsidR="00256EE9" w:rsidRDefault="00256EE9" w:rsidP="00256EE9">
      <w:pPr>
        <w:pStyle w:val="TextoNormal"/>
      </w:pPr>
      <w:r>
        <w:t xml:space="preserve">e) Finalmente, es necesario que el recurrente invoque formalmente el derecho cuando fue conocida su violación y en el momento procesal adecuado. </w:t>
      </w:r>
    </w:p>
    <w:p w:rsidR="00256EE9" w:rsidRDefault="00256EE9" w:rsidP="00256EE9">
      <w:pPr>
        <w:pStyle w:val="TextoNormal"/>
      </w:pPr>
      <w:r>
        <w:t xml:space="preserve">En el caso concreto, la violación se produjo en la resolución que declaraba la nulidad, luego la invocación debió ser realizada en la interposición del recurso de reposición contra la misma, y el recurrente no ha acreditado dicha invocación, por lo que concurre la causa de inadmisión del art. 50.1 b) en relación con el art. 44.1 c) de la LOTC. </w:t>
      </w:r>
    </w:p>
    <w:p w:rsidR="00256EE9" w:rsidRDefault="00256EE9" w:rsidP="00256EE9">
      <w:pPr>
        <w:pStyle w:val="TextoNormal"/>
      </w:pPr>
      <w:r>
        <w:t>El Fiscal interesa del Tribunal Constitucional que dicte Auto de acuerdo con el art. 86.1 de la LOTC, que desestime la demanda de amparo por concurrir las causas de inadmisión señaladas en el cuerpo del escrito.</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Don Gregorio Puche Brun, Procurador de los Tribunales, en nombre de don Pablo Agudo Obregón, formula por escrito de 9 de febrero de 1985 las siguientes alegaciones, de modo sucinto: </w:t>
      </w:r>
    </w:p>
    <w:p w:rsidR="00256EE9" w:rsidRDefault="00256EE9" w:rsidP="00256EE9">
      <w:pPr>
        <w:pStyle w:val="TextoNormal"/>
      </w:pPr>
      <w:r>
        <w:t xml:space="preserve">a) El derecho constitucional vulnerado fue invocado formalmente en el proceso al interponerse ante el propio Juzgado el recurso de apelación, por lo que el alegado primer motivo de inadmisión es contrario a la propia jurisprudencia del Tribunal Constitucional. </w:t>
      </w:r>
    </w:p>
    <w:p w:rsidR="00256EE9" w:rsidRDefault="00256EE9" w:rsidP="00256EE9">
      <w:pPr>
        <w:pStyle w:val="TextoNormal"/>
      </w:pPr>
      <w:r>
        <w:t xml:space="preserve">A este respecto, la parte recurrente cita las siguientes Sentencias de este Tribunal: 27 de mayo de 1983, R.A. núm. 124; 28 de julio de 1981; 29 de marzo de 1982; 12 de julio de 1982; 26 de enero de 1981; 24 de mayo de 1982, y 26 de enero de 1981. </w:t>
      </w:r>
    </w:p>
    <w:p w:rsidR="00256EE9" w:rsidRDefault="00256EE9" w:rsidP="00256EE9">
      <w:pPr>
        <w:pStyle w:val="TextoNormal"/>
      </w:pPr>
      <w:r>
        <w:t xml:space="preserve">b) El amparo que esta parte pretende se refiere a los derechos constitucionales consagrados en los arts. 14 y 24, que son susceptibles de amparo. </w:t>
      </w:r>
    </w:p>
    <w:p w:rsidR="00256EE9" w:rsidRDefault="00256EE9" w:rsidP="00256EE9">
      <w:pPr>
        <w:pStyle w:val="TextoNormal"/>
      </w:pPr>
      <w:r>
        <w:lastRenderedPageBreak/>
        <w:t xml:space="preserve">En la demanda se argumenta «complementaria o secundariamente» invocando los arts. 9.3 y 10 de la Constitución, lo que está admitido por la doctrina de este Tribunal Constitucional contenida en la Sentencia de 24 de mayo de 1982. </w:t>
      </w:r>
    </w:p>
    <w:p w:rsidR="00256EE9" w:rsidRDefault="00256EE9" w:rsidP="00256EE9">
      <w:pPr>
        <w:pStyle w:val="TextoNormal"/>
      </w:pPr>
      <w:r>
        <w:t xml:space="preserve">c) El contenido de la demanda manifiestamente justifica y obliga a una decisión por parte del Tribunal Constitucional. </w:t>
      </w:r>
    </w:p>
    <w:p w:rsidR="00256EE9" w:rsidRDefault="00256EE9" w:rsidP="00256EE9">
      <w:pPr>
        <w:pStyle w:val="TextoNormal"/>
      </w:pPr>
      <w:r>
        <w:t xml:space="preserve">El derecho a obtener la tutela efectiva de los Jueces y Tribunales en el ejercicio por cualquier persona de sus derechos e intereses legítimos implica la observancia estricta, neutral y objetiva de los arts. 117.3 y 118 de la propia Constitución. </w:t>
      </w:r>
    </w:p>
    <w:p w:rsidR="00256EE9" w:rsidRDefault="00256EE9" w:rsidP="00256EE9">
      <w:pPr>
        <w:pStyle w:val="TextoNormal"/>
      </w:pPr>
      <w:r>
        <w:t xml:space="preserve">La violación simultánea del art. 14, que ampara a los españoles como iguales ante la Ley, resulta manifiesta, porque precisamente la Ley impedía al Juzgado anular las actuaciones ex officio. El art. 408 de la Ley de Enjuiciamiento Civil infringido por el Juzgado ha otorgado un tratamiento privilegiado al demandado, ya que éste pudo recurrir en forma y plazo las resoluciones que le fueron notificadas. </w:t>
      </w:r>
    </w:p>
    <w:p w:rsidR="00256EE9" w:rsidRDefault="00256EE9" w:rsidP="00256EE9">
      <w:pPr>
        <w:pStyle w:val="TextoNormal"/>
      </w:pPr>
      <w:r>
        <w:t>La parte recurrente concluye solicitando de este Tribunal que se acuerde la admisión de este recurso, y tras la práctica de los trámites legales pertinentes se dicte Sentencia en los términos interesados en el escrito de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recurso consiste en determinar, si las resoluciones judiciales recurridas, que son los Autos dictados por el Juzgado de Primera Instancia núm. 13 de Madrid de 25 de junio de 1982 y 19 de julio de 1982, así como el Auto de la Sala de lo Civil de la Audiencia Territorial de Madrid, de 17 de noviembre de 1984, que declaran la nulidad de actuaciones en el proceso de mayor cuantia núm. 655/1982, seguidos ante dichos órganos jurisdiccionales, vulneran los artículos constitucionales que cita la parte recurrente como infringidos, es decir, los arts. 14 y 24 de la C. E., susceptibles de amparo constitucional, para determinar, en consecuencia, si concurre en el recurso interpuesto el motivo de inadmisión previsto en el art.  50.2 b) de la LOTC, del que se dio traslado a la parte recurrente y al Ministerio Fiscal en providencia de 23 de enero de 1985.</w:t>
      </w:r>
    </w:p>
    <w:p w:rsidR="00256EE9" w:rsidRDefault="00256EE9" w:rsidP="00256EE9">
      <w:pPr>
        <w:pStyle w:val="TextoNormal"/>
      </w:pPr>
    </w:p>
    <w:p w:rsidR="00256EE9" w:rsidRDefault="00256EE9" w:rsidP="00256EE9">
      <w:pPr>
        <w:pStyle w:val="TextoNormal"/>
      </w:pPr>
      <w:r w:rsidRPr="00256EE9">
        <w:rPr>
          <w:rStyle w:val="NumeroAFNegritaCaracter"/>
        </w:rPr>
        <w:t>2</w:t>
      </w:r>
      <w:r>
        <w:t>. La vulneración del art.  14 de la C. E. se produce, a juicio de la parte recurrente, por otorgarse a la parte demandada en el proceso civil un trato privilegiado, conculcando el derecho a la seguridad jurídica previsto en el art. 9.3 de la C. E. por anularse una resolución firme y consentida.</w:t>
      </w:r>
    </w:p>
    <w:p w:rsidR="00256EE9" w:rsidRDefault="00256EE9" w:rsidP="00256EE9">
      <w:pPr>
        <w:pStyle w:val="TextoNormal"/>
      </w:pPr>
      <w:r>
        <w:t>No existe privilegio cuando se actúa justamente, teniendo por personada la parte demandada en un proceso, luego de haberla declarado rebelde, por el error debido a que se estimaba por el órgano jurisdiccional que no habia comparecido, cuando lo había efectuado en el momento procesal oportuno y cumpliendo todas las garantías legales, habiéndose traspapelado el oportuno escrito en la Secretaria del Juzgado por causas no imputables al mismo, ya que resultaba enteramente procedente no causarle indefensión, que se remedió oportuna y legalmente por el Juzgado de Primera Instancia, anulando la declaración de rebeldía y admitiendo el personamiento, que confirmó, en resolución razonada, la Audiencia.</w:t>
      </w:r>
    </w:p>
    <w:p w:rsidR="00256EE9" w:rsidRDefault="00256EE9" w:rsidP="00256EE9">
      <w:pPr>
        <w:pStyle w:val="TextoNormal"/>
      </w:pPr>
      <w:r>
        <w:t xml:space="preserve">En la cuestión planteada no existe término de comparación que justifique la alegada vulneración del art. 14 de la C. E. y de su principio de igualdad, y tampoco se fundamenta por la referencia al principio de seguridad jurídica del art. 9.3 de la C. E., que está fuera </w:t>
      </w:r>
      <w:r>
        <w:lastRenderedPageBreak/>
        <w:t>del catálogo de derechos fundamentales protegidos, y que de actuar operaría en favor de la parte declarada rebelde indebidamente.</w:t>
      </w:r>
    </w:p>
    <w:p w:rsidR="00256EE9" w:rsidRDefault="00256EE9" w:rsidP="00256EE9">
      <w:pPr>
        <w:pStyle w:val="TextoNormal"/>
      </w:pPr>
      <w:r>
        <w:t>Tampoco posee significación de ninguna clase a los efectos de la supuesta vulneración la circunstancia alegada por la parte recurrente, de que en un anterior proceso la parte demandada fuera declarada rebelde por no comparecer en él, ni la creencia del demandante de que no comparecería tampoco en el posterior proceso, objeto del amparo, pues las conductas del demandado pudieron ser distintas, como lo fueron, en ambos procesos, y la opinión subjetiva del recurrente no supone existencia de derechos.</w:t>
      </w:r>
    </w:p>
    <w:p w:rsidR="00256EE9" w:rsidRDefault="00256EE9" w:rsidP="00256EE9">
      <w:pPr>
        <w:pStyle w:val="TextoNormal"/>
      </w:pPr>
    </w:p>
    <w:p w:rsidR="00256EE9" w:rsidRDefault="00256EE9" w:rsidP="00256EE9">
      <w:pPr>
        <w:pStyle w:val="TextoNormal"/>
      </w:pPr>
      <w:r w:rsidRPr="00256EE9">
        <w:rPr>
          <w:rStyle w:val="NumeroAFNegritaCaracter"/>
        </w:rPr>
        <w:t>3</w:t>
      </w:r>
      <w:r>
        <w:t>. La misma parte actora señala que la anulación ex officio de dos resoluciones firmes y consentidas no encuentra su justificación en un procedimiento legalmente establecido, por lo que se vulnera el art. 24.1 de la C. E., en lo que concierne a la tutela efectiva judicial.</w:t>
      </w:r>
    </w:p>
    <w:p w:rsidR="00256EE9" w:rsidRDefault="00256EE9" w:rsidP="00256EE9">
      <w:pPr>
        <w:pStyle w:val="TextoNormal"/>
      </w:pPr>
      <w:r>
        <w:t>La nulidad de actuaciones decretada por el órgano judicial es una medida que supervisa la validez del procedimiento y tiende a procurar que se deslice con la normalidad exigida en el orden público procesal, evitando indefensiones perjudiciales al sistema de contradicción y defensa obligado, incumbiendo al juzgador ordinario y no a este Tribunal el enjuiciamiento de la legalidad aplicable, salvo que se vulnere un derecho fundamental, lo que precisamente se trató de evitar y se consiguió por las decisiones judiciales, como reconoce el razonado Auto de la Sala de lo Civil de la Audiencia Territorial de Madrid de 17 de noviembre de 1984, que funda su argumentación en el respeto a la necesidad de defensa que proclama el art. 24 de la C. E.</w:t>
      </w:r>
    </w:p>
    <w:p w:rsidR="00256EE9" w:rsidRDefault="00256EE9" w:rsidP="00256EE9">
      <w:pPr>
        <w:pStyle w:val="TextoNormal"/>
      </w:pPr>
      <w:r>
        <w:t>En el propio sentido, y antes de la vigencia de la Constitución, la jurisprudencia del Tribunal Supremo (Sentencias de 3 de noviembre de 1911, 9 de enero de 1918 y 21 de febrero de 1942) ha declarado que es admisible dicha nulidad en el caso de defectos de forma de los actos procesales, pues las formas del procedimiento son la mayor garantía para los litigantes, y por ser las normas de procedimiento de orden público los Tribunales tienen el deber inexcusable de velar por la pureza de aquél. Por consecuencia, resulta claramente inexistente el derecho a la tutela judicial efectiva, que se ha otorgado con la diligente y razonada actuación de los Tribunales de Justicia ordinarios, aunque sus decisiones no fueron favorables al recurrente, lo que en absoluto garantiza dicho art. 24.1 de la Constitución.</w:t>
      </w:r>
    </w:p>
    <w:p w:rsidR="00256EE9" w:rsidRDefault="00256EE9" w:rsidP="00256EE9">
      <w:pPr>
        <w:pStyle w:val="TextoNormal"/>
      </w:pPr>
    </w:p>
    <w:p w:rsidR="00256EE9" w:rsidRDefault="00256EE9" w:rsidP="00256EE9">
      <w:pPr>
        <w:pStyle w:val="TextoNormal"/>
      </w:pPr>
      <w:r w:rsidRPr="00256EE9">
        <w:rPr>
          <w:rStyle w:val="NumeroAFNegritaCaracter"/>
        </w:rPr>
        <w:t>4</w:t>
      </w:r>
      <w:r>
        <w:t>. La supuesta dilación indebida protegida en el art. 24.2 de la C. E.  resulta inexistente, cuando no consta haya sido denunciada previamente por quien alega ante los Tribunales ordinarios, como ha sucedido en el caso de examen, y cuando de existir sería debida a la actuación del recurrente, con sus recursos de reforma y apelación, que se desarrollaron dentro de tiempo razonable, y que no puede ser objeto, por tanto, de apreciación por este Tribunal.</w:t>
      </w:r>
    </w:p>
    <w:p w:rsidR="00256EE9" w:rsidRDefault="00256EE9" w:rsidP="00256EE9">
      <w:pPr>
        <w:pStyle w:val="TextoNormal"/>
      </w:pPr>
    </w:p>
    <w:p w:rsidR="00256EE9" w:rsidRDefault="00256EE9" w:rsidP="00256EE9">
      <w:pPr>
        <w:pStyle w:val="TextoNormal"/>
      </w:pPr>
      <w:r w:rsidRPr="00256EE9">
        <w:rPr>
          <w:rStyle w:val="NumeroAFNegritaCaracter"/>
        </w:rPr>
        <w:t>5</w:t>
      </w:r>
      <w:r>
        <w:t>. Los razonamientos anteriores conducen a la conclusión de que el recurso está comprendido en el art.  50.2 b) de la LOTC, por carecer la demanda de contenido constitucional que justifique una decisión de fondo, en forma de Sentencia, con el desarrollo procesal consiguiente y la estimación de esta causa de inadmisión hace innecesario examinar los restantes motivos de inadmisión de los que se dio traslado a la parte solicitante del amparo y al Ministerio Fiscal.</w:t>
      </w:r>
    </w:p>
    <w:p w:rsidR="00256EE9" w:rsidRDefault="00256EE9" w:rsidP="00256EE9">
      <w:pPr>
        <w:pStyle w:val="TextoNormal"/>
      </w:pPr>
      <w:r>
        <w:lastRenderedPageBreak/>
        <w:t>La Sección estima que la interposición temeraria de este recurso de amparo determina la imposición al solicitante de la multa de 25.000 pesetas, a tenor del art. 95.3 de la LOTC, puesto que carece de argumentación válida y razonable, y se opone a la rectificación justa de una indefensión causada indebidamente por el Juzgado de Primera Instancia, a través de la aplicación de normas y procedimientos legales.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acuerda declarar inadmisible el recurso de amparo interpuesto por el Procurador de los Tribunales don Gregorio Puche Brun, en nombre de don Pablo Agudo Obregón, el archivo de las actuaciones y la imposición al actor</w:t>
      </w:r>
    </w:p>
    <w:p w:rsidR="00256EE9" w:rsidRDefault="00256EE9" w:rsidP="00256EE9">
      <w:pPr>
        <w:pStyle w:val="TextoNormal"/>
      </w:pPr>
      <w:r>
        <w:t>de la multa de 25.000 pesetas por su temeridad.</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53" w:name="AUTO_1985_192"/>
      <w:r>
        <w:lastRenderedPageBreak/>
        <w:t>AUTO 192/1985, de 13 de marzo de 1985</w:t>
      </w:r>
    </w:p>
    <w:bookmarkEnd w:id="253"/>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ECLI:ES:TC:1985:192A</w:t>
      </w:r>
    </w:p>
    <w:p w:rsidR="00256EE9" w:rsidRDefault="00256EE9" w:rsidP="00256EE9">
      <w:pPr>
        <w:pStyle w:val="SntesisDescriptiva"/>
      </w:pPr>
    </w:p>
    <w:p w:rsidR="00256EE9" w:rsidRDefault="00256EE9" w:rsidP="00256EE9">
      <w:pPr>
        <w:pStyle w:val="SntesisDescriptiva"/>
      </w:pPr>
      <w:r>
        <w:t>Excms. Srs. don Jerónimo Arozamena Sierra,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910/1984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pasado día 26 de diciembre quedó registrado en el Tribunal Constitucional un escrito mediante el cual don Federico Pinilla Peco, Procurador de los Tribunales de Madrid, interpuso recurso de amparo en nombre del poderdante, don Antonio Trigueros Molina, contra la Sentencia de la Sala Primera del Tribunal Supremo de fecha 30 de noviembre de 1984, dictada en recurso de casación interpuesto en su día por el hoy recurrente en amparo. </w:t>
      </w:r>
    </w:p>
    <w:p w:rsidR="00256EE9" w:rsidRDefault="00256EE9" w:rsidP="00256EE9">
      <w:pPr>
        <w:pStyle w:val="TextoNormal"/>
      </w:pPr>
      <w:r>
        <w:t>Se fundamenta la demanda en las siguientes consideraciones de hecho: a) Con fecha 11 de febrero de 1971, el actor vendió a la empresa «Vegarada» ciertas parcelas de terrenos, quedando el precio de la cosa a determinar en virtud -se dice en la demanda- del «caudal que se obtuviera, según los aforos que habrían de practicarse en el tiempo y en las condiciones expresamente pactadas, a razón de 45.000 pesetas por litro y segundo». b) No habiéndose efectuado los cálculos necesarios para la determinación del precio así convenido, el actor promovió juicio de mayor cuantía pidiendo la resolución del contrato de compraventa y alegando el incumplimiento de la obligación fundamental de abonar el precio por el comprador. Desestimada la demanda en primera instancia y recurrida ésta en apelación, la Sala Primera de lo Civil de la Audiencia Territorial de Madrid dictó Sentencia con fecha 25 de enero de 1974 por la que se confirmaba la del Juzgado de Primera Instancia, desestimándose el recurso contra ella interpuesto. Entendió entonces la Sala sentenciadora de la Audiencia Territorial que no hubo incumplimiento de contrato, toda vez que «no se puede determinar el precio de la compraventa por faltar aquel dato esencial para determinarlo». c) Posteriormente, y al no producirse el pago no obstante requerimientos judiciales y notariales, el señor Trigueros interpuso otra demanda, esta vez solicitando la declaración de nulidad del contrato mismo por indeterminación de precio. Se dice en la demanda de amparo que esta nueva acción se promovió en la confianza de que sería estimada por existir ya una declaración en el sentido de dicha indeterminación por parte de la Audiencia Territorial de Madrid (Sentencia citada de 25 de enero de 1974). El Juzgado de Primera Instancia núm. 4 de Madrid dictó así Sentencia el 9 de enero de 1980, en la que se declaraba nulo y sin valor ni efecto legal alguno el contrato de compraventa en cuestión. Recurrida la Sentencia en apelación, ésta fue resuelta por la Sala Primera de lo Civil de la Audiencia Territorial de Madrid con fecha 16 de noviembre de 1981, estimándose el recurso. d) Frente a esta última Sentencia dedujo el recurrente en amparo recurso de casación por in</w:t>
      </w:r>
      <w:r>
        <w:lastRenderedPageBreak/>
        <w:t xml:space="preserve">fracción de Ley y de doctrina legal, recurso resuelto por la Sentencia hoy impugnada de la Sala Primera del Tribunal Supremo, en la que se declaró no haber lugar al mismo. </w:t>
      </w:r>
    </w:p>
    <w:p w:rsidR="00256EE9" w:rsidRDefault="00256EE9" w:rsidP="00256EE9">
      <w:pPr>
        <w:pStyle w:val="TextoNormal"/>
      </w:pPr>
      <w:r>
        <w:t xml:space="preserve">La fundamentación en Derecho de la demanda de amparo puede resumirse como sige: a) El recurrente invoca, como conculcado, su derecho fundamental reconocido en el art. 24.1 de la Constitución, afirmando que se le ha deparado indefensión por el fallo de la Sentencia recurrida. b) La fundamentación de dicha presunta lesión la hace el actor afirmando que si en su dia se le negó la rescisión del contrato por incumplimiento de la prestación, ahora debiera de habérsele estimado la acción de nulidad, por indeterminación del precio, tanto más -añade cuanto que en la Sentencia anterior de la Audiencia Territorial de Madrid de 25 de enero de 1974 se apreció tal vicio contractual. Por ello, observa la «contradicción» entre Sentencias, que aquí se habría producido en su perjuicio. En su opinión, en fin, la Sentencia recurrida del Tribunal Supremo implica una «verdadera abstención de los Tribunales en resolver la controversia jurídica que tiene planteada el señor Trigueros Molina». </w:t>
      </w:r>
    </w:p>
    <w:p w:rsidR="00256EE9" w:rsidRDefault="00256EE9" w:rsidP="00256EE9">
      <w:pPr>
        <w:pStyle w:val="TextoNormal"/>
      </w:pPr>
      <w:r>
        <w:t>En el «suplico» de la demanda se solicita del Tribunal la declaración de la nulidad de la Sentencia recurrida.</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Cuarta puso de manifiesto a las partes la posible concurrencia de los dos siguientes motivos de inadmisibilidad: a) el del art. 50.1 b) en relación con el 44.1 c) y b) el del 50.2 b), todos de la LOTC. Dentro del plazo concedido al efecto, la parte actora alegó que no se da el primer motivo porque la violación de sus derechos fundamentales ha sido producida por la Sentencia de la Sala Primera del Tribunal Supremo, por lo que no ha habido término hábil para denunciarla; alega también que su demanda sí que tiene contenido constitucional, porque en ella se dice con claridad cuál ha de ser el contenido de la Sentencia que pide, «que no es otro que el de hacer efectivo, directamente, sin reservas ni disimulos, el derecho que asiste al demandante como vendedor de parcelas y sondeos, de percibir el precio o de que se decrete la nulidad de la compraventa». El Ministerio Fiscal aprecia las dos causas de inadmisibilidad y pide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lo que al primer motivo de inadmisibilidad [el del art. 50.1 b) en relación con el 44.1 c) de la LOTC] se refiere, hay que tener en cuenta que aunque el recurrente plantea queja contra la Sentencia dictada en casación por el Tribunal Supremo, es lo cierto que esta resolución no hizo sino confirmar, desestimando el recurso, una Sentencia anterior de la Audiencia Territorial de Madrid en la que se contrariaron ya las tesis expuestas por el recurrente y hoy reiteradas ante este Tribunal. Si lesión hubo, ésta se habria producido ya en tal resolución judicial porque en ella -acogiendo hipotéticamente ahora la tesis del actor- se ignoró el pronunciamiento anterior (Sentencia de 25 de enero de 1974) en orden, según cree el recurrente, a la indeterminación del precio en el contrato en el que fue parte.  Siendo esto así, el recurrente pudo y debió haber invocado la lesión aducida con ocasión de la interposición de su recurso de casación, como exige, en mérito del carácter subsidiario de este amparo, el art. 44.1 c) de la LOTC.  Al no haberlo hecho así (y nada en su demanda evita la constatación de esta omisión) ha hecho incurrir a su recurso en la causa de inadmisibilidad a que se refiere el art. 50.1 b) de la misma Ley Orgánica.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Sin perjuicio de lo anterior, la demanda sería ya inadmisible por su carencia de contenido.  De acuerdo con una muy reiterada doctrina de este Tribunal, el amparo constitucional no es cauce adecuado para discutir a su través las decisiones de los Jueces ordinarios a no ser que estas resoluciones hayan violado «de modo inmediato y directo» (art. 44.1 de la LOTC) uno de los derechos fundamentales protegidos mediante este recurso.  Nada de esto se presenta como verosímil en el presente caso porque, aunque el actor invoca lo que llama su «indefensión», es lo cierto que tal lesión no puede considerarse producida, de acuerdo también con constante doctrina de este Tribunal, cuando, como en el presente supuesto, el recurrente pudo llevar su pretensión hasta los Tribunales en diversas instancias, obteniendo de éstos resoluciones fundadas y motivadas en Derecho, con independencia de que las mismas no acogieran en el fondo sus tesis, lo que es cuestión diferente y que en nada mengua las garantías recogidas en el art. 24.1 de la norma fundamental. Sin entrar, por lo tanto, en el examen de la cuestión civil subyacente a la demanda -cuyo conocimiento no es competencia de este Tribunal por lo dicho en el art. 44.1 b) de su Ley Orgánica reguladora- sí cabe constatar cómo el derecho a la jurisdicción del recurrente no ha sido conculcado por la Sentencia impugnada.  Por lo demás, bastaría leer las alegaciones al respecto presentadas por el recurrente en el trámite del art.  50 de la LOTC, reproducidas en el antecedente 2, para comprobar que su pretensión no tiene ningún alcance constitucional y sólo trata de que este Tribunal resuelva como si fuese un órgano judicial en última instancia civil, lo que no es una pretensión de contenido puramente civil, para lo cual carece de competencia.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Concurriendo los dos motivos de inadmisibilidad citados, la Sección acuerda la inadmisión del recurso.</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54" w:name="AUTO_1985_193"/>
      <w:r>
        <w:lastRenderedPageBreak/>
        <w:t>AUTO 193/1985, de 13 de marzo de 1985</w:t>
      </w:r>
    </w:p>
    <w:bookmarkEnd w:id="254"/>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ECLI:ES:TC:1985:193A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914/1984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entidad mercantil «Aspla-Plásticos Españoles, S. A.», representada por el Procurador don Isidoro Argos Simón y asistido del Letrado don Antonio Sarabia Gómez, formula demanda de amparo constitucional contra la Sentencia del Tribunal Central de Trabajo de 26 de noviembre de 1984, dictada en recurso especial de suplicación en Autos de conflicto colectivo, por presunta vulneración del derecho a la seguridad jurídica consagrado en el art. 9.3 de la Constitución. </w:t>
      </w:r>
    </w:p>
    <w:p w:rsidR="00256EE9" w:rsidRDefault="00256EE9" w:rsidP="00256EE9">
      <w:pPr>
        <w:pStyle w:val="TextoNormal"/>
      </w:pPr>
      <w:r>
        <w:t xml:space="preserve">La demanda de amparo no va acompañada de una relación ordenada de hechos sino que consiste en una exposición del desacuerdo con la Sentencia que se impugna -que tampoco se acompaña-, por lo que no resulta fácil descubrir los términos exactos del conflicto planteado y el sentido exacto de la resolución recurrida. </w:t>
      </w:r>
    </w:p>
    <w:p w:rsidR="00256EE9" w:rsidRDefault="00256EE9" w:rsidP="00256EE9">
      <w:pPr>
        <w:pStyle w:val="TextoNormal"/>
      </w:pPr>
      <w:r>
        <w:t>Aparentemente esta resolución se produce como consecuencia de un conflicto colectivo promovido por el Comité de Empresa de la recurrente en solicitud de aplicación de la jornada de cuarenta horas fijada en la Ley 4/1983 de 29 de junio al personal de jornada continuada. La discusión se centró en si el período de descanso en el interior de la jornada había de considerarse como de trabajo efectivo, cuestión de la que dependía la decisión sobre la jornada que tales trabajadores venían realizando. La Magistratura de Trabajo falló en favor de los trabajadores -en términos y por fundamentos que no se conocen- y el Tribunal Central de Trabajo confirmó la Sentencia de instancia, aparentemente por estimar que dicho período de descanso debía estimarse como de trabajo efectivo para ser retribuido.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alega que tales resoluciones infringen tanto la propia Ley de Jornada 4/1983, que expresamente admite la posibilidad de que el descanso en jornada continuada no sea tiempo de trabajo efectivo si no se establece así en acuerdo individual o colectivo, como el convenio colectivo aplicable. </w:t>
      </w:r>
    </w:p>
    <w:p w:rsidR="00256EE9" w:rsidRDefault="00256EE9" w:rsidP="00256EE9">
      <w:pPr>
        <w:pStyle w:val="TextoNormal"/>
      </w:pPr>
      <w:r>
        <w:t xml:space="preserve">Al estimar la demanda los Tribunales y establecer una jornada, no sólo diferente de la voluntariamente pactada por las representaciones social y económica, sino también de la que resulta de aplicar la Ley 4/1983, vulneran el principio de seguridad jurídica consagrado en el art. 9.3 de la Constitución y al que las partes se remitieron en el Convenio al vincularse a la totalidad de lo pactado. </w:t>
      </w:r>
    </w:p>
    <w:p w:rsidR="00256EE9" w:rsidRDefault="00256EE9" w:rsidP="00256EE9">
      <w:pPr>
        <w:pStyle w:val="TextoNormal"/>
      </w:pPr>
      <w:r>
        <w:lastRenderedPageBreak/>
        <w:t xml:space="preserve">Por ello, aun en el improbable supuesto de que se considerase al tiempo de descanso como de trabajo efectivo, la aplicabilidad de la Ley 4/1983 deberá diferirse necesariamente a la terminación de la vigencia del Convenio. </w:t>
      </w:r>
    </w:p>
    <w:p w:rsidR="00256EE9" w:rsidRDefault="00256EE9" w:rsidP="00256EE9">
      <w:pPr>
        <w:pStyle w:val="TextoNormal"/>
      </w:pPr>
      <w:r>
        <w:t>Solicita se revoque la Sentencia recurrida declarando ajustada a Derecho la jornada establecida en el IV Convenio Colectivo de la Empresa por determinar para el personal de jornada continuada treinta y nueve horas y cuarenta y cinco minutos.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Mediante providencia del pasado 6 de febrero, la Sección Tercera puso de manifiesto a la recurrente y al Ministerio Fiscal la posible existencia de las siguientes causas de inadmisión: </w:t>
      </w:r>
    </w:p>
    <w:p w:rsidR="00256EE9" w:rsidRDefault="00256EE9" w:rsidP="00256EE9">
      <w:pPr>
        <w:pStyle w:val="TextoNormal"/>
      </w:pPr>
      <w:r>
        <w:t xml:space="preserve">1.ª La regulada por el art. 50.1 b) en relación con el 49.2 b) de la LOTC, por no aportarse copia, traslado o certificación de la resolución recurrida. </w:t>
      </w:r>
    </w:p>
    <w:p w:rsidR="00256EE9" w:rsidRDefault="00256EE9" w:rsidP="00256EE9">
      <w:pPr>
        <w:pStyle w:val="TextoNormal"/>
      </w:pPr>
      <w:r>
        <w:t xml:space="preserve">2.ª La regulada por el art. 50.1 b) en relación con el 44.1 a) de la LOTC, por no justificarse que se haya invocado en el previo proceso judicial el derecho constitucional que se supone vulnerado. </w:t>
      </w:r>
    </w:p>
    <w:p w:rsidR="00256EE9" w:rsidRDefault="00256EE9" w:rsidP="00256EE9">
      <w:pPr>
        <w:pStyle w:val="TextoNormal"/>
      </w:pPr>
      <w:r>
        <w:t xml:space="preserve">3.ª La del art. 50.2 a) de la LOTC por deducirse la demanda respecto de derechos no susceptibles de amparo. </w:t>
      </w:r>
    </w:p>
    <w:p w:rsidR="00256EE9" w:rsidRDefault="00256EE9" w:rsidP="00256EE9">
      <w:pPr>
        <w:pStyle w:val="TextoNormal"/>
      </w:pPr>
      <w:r>
        <w:t xml:space="preserve">4.ª La del art. 50.2 b) de la LOTC, por cuanto la demanda pudiera carecer de contenido que justifique una decisión de este Tribunal. </w:t>
      </w:r>
    </w:p>
    <w:p w:rsidR="00256EE9" w:rsidRDefault="00256EE9" w:rsidP="00256EE9">
      <w:pPr>
        <w:pStyle w:val="TextoNormal"/>
      </w:pPr>
      <w:r>
        <w:t xml:space="preserve">Dentro del plazo establecido por la mencionada providencia han presentado alegaciones la recurrente y el Ministerio Fiscal. </w:t>
      </w:r>
    </w:p>
    <w:p w:rsidR="00256EE9" w:rsidRDefault="00256EE9" w:rsidP="00256EE9">
      <w:pPr>
        <w:pStyle w:val="TextoNormal"/>
      </w:pPr>
      <w:r>
        <w:t xml:space="preserve">Aquella acompaña a su escrito sendas copias de las Sentencias dictadas por la Magistratura de Trabajo núm. 2 de Santander y por el Tribunal Central de Trabajo y afirma que el derecho constitucional implícitamente invocado en los procesos judiciales previos es el de la seguridad jurídica y la proporcionalidad entre trabajo y salario. </w:t>
      </w:r>
    </w:p>
    <w:p w:rsidR="00256EE9" w:rsidRDefault="00256EE9" w:rsidP="00256EE9">
      <w:pPr>
        <w:pStyle w:val="TextoNormal"/>
      </w:pPr>
      <w:r>
        <w:t xml:space="preserve">Suplica que se tengan por subsanadas con ello las posibles causas de inadmisión y se dé trámite al recurso. </w:t>
      </w:r>
    </w:p>
    <w:p w:rsidR="00256EE9" w:rsidRDefault="00256EE9" w:rsidP="00256EE9">
      <w:pPr>
        <w:pStyle w:val="TextoNormal"/>
      </w:pPr>
      <w:r>
        <w:t>El Ministerio Fiscal, por su parte, entiende que es patente la existencia de todas las causas de inadmisión señaladas en nuestra providencia, pues ni a la demanda se acompañan copias de las Sentencias recurridas ni hay indicio alguno de que en el proceso previo se invocasen los derechos fundamentales que ahora se dicen vulnerados, ni los que se mencionan en la demanda (en rigor sólo el principio de seguridad jurídica, consagrado por el art. 9.3 de la C. E.) pueden fundamentar la petición de amparo ni, por último, se pretende de este Tribunal otra cosa que un mero pronunciamiento sobre la controversia de Derecho Laboral, sin connotación constitucional alguna.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 xml:space="preserve">Unico.  La remisión, con el escrito de alegaciones, de copia simple de las Sentencias impugnadas subsana la primera de las causas de inadmisión que indicábamos en nuestra providencia, pero la lectura de estas decisiones judiciales y la del brevísimo escrito con el que se nos envían, confirman, sin lugar a dudas, lo bien fundado de nuestra hipótesis en cuanto a la existencia de todas las restantes, pues ni en las mencionadas Sentencias hay traza alguna de que ante los órganos judiciales del orden laboral se invocase la vulneración de ningún derecho fundamental, ni la «invocación implícita» que, según el escrito de alegaciones, efectivamente se hizo, versó sobre otro derecho que no fuese (según siempre las aseveraciones del recurrente) el de seguridad jurídica, consagrado por el art. 9.3 de la C. E.  </w:t>
      </w:r>
      <w:r>
        <w:lastRenderedPageBreak/>
        <w:t>(y que no pertenece por tanto a aquellos protegidos por el amparo constitucional) y un «derecho a la proporcionalidad entre trabajo y remuneración» del que lo menos que puede decirse es que no aparece mencionado en precepto constitucional alguno ni, por último, lo que se pide de nosotros es otra cosa que una interpretación de un Convenio Colectivo que ninguna relación guarda con la justicia constitucional que este Tribunal administra.</w:t>
      </w:r>
    </w:p>
    <w:p w:rsidR="00256EE9" w:rsidRDefault="00256EE9" w:rsidP="00256EE9">
      <w:pPr>
        <w:pStyle w:val="TextoNormal"/>
      </w:pPr>
      <w:r>
        <w:t>De lo dicho se sigue la necesidad de declarar inadmisible el presente recurso, con la consecuencia que ello entraña en cuanto a la solicitud de suspensión de la Sentencia recurrida, pero no sólo ello. La demanda de amparo y las subsiguientes alegaciones evidencian también, por la ligereza de los argumentos, la ignorancia o el desprecio de la naturaleza y la finalidad del amparo constitucional, una actitud temeraria que este Tribunal no puede dejar sin censura, haciendo uso para ello de las facultades que le confiere el art.  95.3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razón de lo dicho, la Sección acuerda declarar inadmisible el presente recurso e imponer al recurrente las costas y una multa de 25.000 pesetas. La inadmisión acordada hace innecesario el pronunciamiento sobre la suspensión.</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55" w:name="AUTO_1985_194"/>
      <w:r>
        <w:lastRenderedPageBreak/>
        <w:t>AUTO 194/1985, de 13 de marzo de 1985</w:t>
      </w:r>
    </w:p>
    <w:bookmarkEnd w:id="255"/>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ECLI:ES:TC:1985:194A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918/1984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Argimiro Vázquez Guillén presentó en este Tribunal, el día 28 de diciembre de 1984, demanda de amparo constitucional en nombre y representación de don Ricardo Casal Piñeiro, exponiendo que el día 17 de diciembre de 1984 llegó a poder del referido señor Casal, en su actual domicilio, un sobre certificado procedente de la Magistratura de Trabajo núm. 10 de Madrid, que contenía una cédula de notificación y un acta de subasta, ambos sin firmar, relativas a unos autos sobre despido seguidos ante dicha Magistratura contra un denominado «Club Español, en la persona de don Ricardo Casal», procedimiento del que afirma no haber tenido conocimiento alguno. De un modo informal ha recibido información en la propia Magistratura y, con posterioridad a tal notificación, de la existencia de un procedimiento laboral (221-24/1980) por despido, en el que ha sido demandado, y de unos autos de ejecución 225/1981, de la Sentencia firme, con embargo de unos bienes, adjudicados a los actores, así como de un expediente 3814/17/1980, de conciliación en el Instituto de Mediación, Arbitraje y Conciliación, en el que afirma el recurrente igualmente que no fue citado jamás. </w:t>
      </w:r>
    </w:p>
    <w:p w:rsidR="00256EE9" w:rsidRDefault="00256EE9" w:rsidP="00256EE9">
      <w:pPr>
        <w:pStyle w:val="TextoNormal"/>
      </w:pPr>
      <w:r>
        <w:t xml:space="preserve">Con cita de diferentes preceptos y Sentencias, tanto del orden laboral como de este Tribunal, el solicitante de amparo entiende que se ha producido una indefensión proscrita por el art. 24.1 de la C. E., dado que se ha llevado a término todo un proceso laboral, hasta su práctica culminación, sin conocimiento del protagonista esencial, esto es, el demandado, que ha quedado en total indefensión. </w:t>
      </w:r>
    </w:p>
    <w:p w:rsidR="00256EE9" w:rsidRDefault="00256EE9" w:rsidP="00256EE9">
      <w:pPr>
        <w:pStyle w:val="TextoNormal"/>
      </w:pPr>
      <w:r>
        <w:t xml:space="preserve">Consecuentemente se solicita que se declare la nulidad de todo lo actuado a partir de la recepción en el IMAC de la demanda conciliatoria, por no haberse notificado con arreglo a Derecho los distintos procedimientos ante la jurisdicción laboral. </w:t>
      </w:r>
    </w:p>
    <w:p w:rsidR="00256EE9" w:rsidRDefault="00256EE9" w:rsidP="00256EE9">
      <w:pPr>
        <w:pStyle w:val="TextoNormal"/>
      </w:pPr>
      <w:r>
        <w:t>Por otrosí se solicita, en su momento, el recibimiento a prueba y la suspensión de la ejecución de las resoluciones judiciales.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6 de febrero se acordó oír al demandante y el Ministerio Fiscal acerca de la posible concurrencia de las dos siguientes causas de inadmisión: 1.ª la que regula el art. 50.1 b) en relación con el 49.1 de la Ley Orgánica de este Tribunal por falta de precisión del amparo que se solicita y de su fundamentación e identificación de la resolución o resoluciones recurridas; 2.ª la del art. 50.1 b) en relación con el 44.1 a) y c) de la misma Ley Orgánica, por no haberse deducido recurso alguno en la vía judicial. </w:t>
      </w:r>
    </w:p>
    <w:p w:rsidR="00256EE9" w:rsidRDefault="00256EE9" w:rsidP="00256EE9">
      <w:pPr>
        <w:pStyle w:val="TextoNormal"/>
      </w:pPr>
      <w:r>
        <w:lastRenderedPageBreak/>
        <w:t xml:space="preserve">La parte demandante ha alegado que es inteligible la pretensión de amparo sustancialmente vinculada a un proceso seguido en su contra sin su conocimiento; siendo igualmente clara la fundamentación. En cuanto a los recursos utilizables, el proceso judicial se halla en vía de apremio, en subasta ya, no cabiendo recurso alguno al estar en su final. </w:t>
      </w:r>
    </w:p>
    <w:p w:rsidR="00256EE9" w:rsidRDefault="00256EE9" w:rsidP="00256EE9">
      <w:pPr>
        <w:pStyle w:val="TextoNormal"/>
      </w:pPr>
      <w:r>
        <w:t>El Ministerio Fiscal ha expuesto que concurren, efectivamente, las dos causas referidas de inadmisión.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el proveído dictado inicialmente en este recurso se puso de manifiesto la posible concurrencia de la causa de inadmisión establecida en el art.  50.1 b) de la LOTC, en relación con el 49.1 de la misma, por falta de precisión del amparo solicitado y de su fundamentación, así como de la identificación de la resolución o resoluciones recurridas, posibilidad de inadmisión que ahora se traduce en realidad cierta, puesto que no obstante las alegaciones de la parte al respecto, es lo cierto que se solicita de este Tribunal Constitucional, en la súplica de la demanda, que se declare en su momento el amparo solicitado «en los términos explicitados precedentemente, que se tendrán por consignados íntegra y expresamente en este suplico», lo que obliga a un esforzado análisis del cuerpo del escrito de demanda, cuyo resultado no puede ser otro -atendidos los términos de su redacción- que el inferir que lo denunciado es el seguimiento, hasta dictarse Sentencia e iniciarse la ejecución de ésta, de un proceso ante la jurisdicción laboral, en el trámite del cual se han cometido ciertas irregularidades, tales como carencia de firmas, citación defectuosa y fallo incongruente, condenatorio para el recurrente en amparo, mas sin poderse concretar en manera alguna si la pretensión actual está enderezada contra esta o aquella resolución judicial o contra actos procesales de menor rango o de otra índole o, incluso, si de lo que se trata es de accionar globalmente contra todo un proceso, así en su fase de cognición como de ejecución.</w:t>
      </w:r>
    </w:p>
    <w:p w:rsidR="00256EE9" w:rsidRDefault="00256EE9" w:rsidP="00256EE9">
      <w:pPr>
        <w:pStyle w:val="TextoNormal"/>
      </w:pPr>
    </w:p>
    <w:p w:rsidR="00256EE9" w:rsidRDefault="00256EE9" w:rsidP="00256EE9">
      <w:pPr>
        <w:pStyle w:val="TextoNormal"/>
      </w:pPr>
      <w:r w:rsidRPr="00256EE9">
        <w:rPr>
          <w:rStyle w:val="NumeroAFNegritaCaracter"/>
        </w:rPr>
        <w:t>2</w:t>
      </w:r>
      <w:r>
        <w:t>. Sucede lo propio en cuanto a la segunda causa o motivo de inadmisibilidad en su día puesto también de manifiesto, cual la establecida en el art. 50.1 b) de la LOTC, en relación al 44.1 a) y c) de la misma, concurrencia de motivo que se pone de relieve tomando como base la consideración que incluye el fundamento precedente y, por supuesto, los «antecedentes» en su lugar consignados, ya que se clama consecuentemente a una violación del derecho fundamental establecido en el art. 24.1 de la C. E. cometida por una Magistratura de Trabajo en el seguimiento de un proceso ante la misma, y parece claro que no puede acudirse directamente ante este Tribunal Constitucional sin instar previamente del órgano de la jurisdicción ordinaria pretendidamente causante del quebranto o violación que repare el mismo, y tan sólo al no ser atendida tal petición será lícito promover el remedio del amparo constitucional, posibilidad de instar aquella reparación en la vía ordinaria -con la consiguiente invocación del derecho vulneradoque no desaparece por la circunstancia de haberse dictado ya una Sentencia en el proceso, situación ante la cual las posibilidades son plurales, sin que sea éste el lugar y ocasión adecuados para su exhaustiva referencia, bien que quepa señalar las de una personación del afectado, con deducción de pretensiones de nulidad por vía incidental o de recursos o, mínimamente, de una puesta de relieve ante el órgano jurisdiccional de la situación creada, del derecho de que se crea asistido el interesado marginado en el proceso y de la petición que estime pertinente, determinante todo ello de la resolución o resoluciones que aquel juzgador crea adecuadas.</w:t>
      </w:r>
    </w:p>
    <w:p w:rsidR="00256EE9" w:rsidRDefault="00256EE9" w:rsidP="00256EE9">
      <w:pPr>
        <w:pStyle w:val="TextoNormal"/>
      </w:pPr>
    </w:p>
    <w:p w:rsidR="00256EE9" w:rsidRDefault="00256EE9" w:rsidP="00256EE9">
      <w:pPr>
        <w:pStyle w:val="TextoNormal"/>
      </w:pPr>
      <w:r w:rsidRPr="00256EE9">
        <w:rPr>
          <w:rStyle w:val="NumeroAFNegritaCaracter"/>
        </w:rPr>
        <w:t>3</w:t>
      </w:r>
      <w:r>
        <w:t>. En la demanda de amparo y alegaciones subsiguientes se aprecia que el recurso se ha interpuesto temerariamente; conducta que este Tribunal no puede dejar sin censura haciendo uso de las facultades que le confiere el art. 95.2 de la LOTC, imponiendo al recurrente las costas causadas.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inadmisibilidad de este recurso de amparo, sin necesidad, por lo tanto, de pronunciamiento alguno acerca de la solicitud de suspensión de ejecución, e imponer al recurrente las costas del recurso.</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56" w:name="AUTO_1985_195"/>
      <w:r>
        <w:lastRenderedPageBreak/>
        <w:t>AUTO 195/1985, de 13 de marzo de 1985</w:t>
      </w:r>
    </w:p>
    <w:bookmarkEnd w:id="256"/>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ECLI:ES:TC:1985:195A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5/1985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Doña María Fernández-Villaverde Miranda, doña María Luisa y doña Mercedes Friginal Fernández-Villaverde, hoy demandantes de amparo, promovieron contra doña Angeles Sanjuán Matesanz, juicio de desahucio por falta de pago en el Juzgado de Distrito núm. 24 de los de Madrid, alegando el impago de los recibos del alquiler correspondientes a los meses de marzo, abril y mayo de 1984. Planteada la demanda, la arrendataria procedió a la consignación de las rentas reclamadas ante el Juzgado, razón por la cual, y con fecha de 28 de junio del mismo año, el Juez de Distrito dictó Sentencia en la que declaró enervada la acción de desahucio. Entendiendo las demandantes que tal resolución no procedía, toda vez que la citada consignación fue parcial, no integrándose en la misma algunas de las cantidades reclamadas (por consumo de agua y por el importe de la tasa municipal de recogida de basuras), interpusieron contra la Sentencia recurso de apelación que fue resuelto por el Juzgado de Primera Instancia núm. 16 de los de Madrid, en Sentencia de 7 de diciembre de 1984, por la que se confirmó la recurrida, rechazándose las tesis de las actoras, sobre la base, por lo que aquí importa, de que las cantidades no consignadas no fueron debidamente reclamadas a la arrendataria.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Contra la referida Sentencia se interpuso el presente recurso de amparo mediante demanda presentada el día 3 de enero pasado, en la que se invoca la vulneración del art. 14 de la Constitución. Las tesis de las demandantes consisten sustancialmente en la discrepancia con la decisión del Juzgado de Distrito que entendió enervada la acción de desahucio por razón de consignación, por entender que no cabe exigir notificación previa para exigir después la tasa municipal, toda vez que la misma fue regulada en la correspondiente Ordenanza Municipal, de general conocimiento, y teniendo en cuenta que el art. 6 de la misma considera como sujetos pasivos de la tasa a los arrendatarios, ya directamente, ya porque el arrendador repercuta en ellos el pago efectuado. Otro tanto cabría señalar respecto de la cantidad reclamada por consumo de agua, pues no cabe alegar por la arrendataria ignorancia del consumo efectuado ni del precio al que el agua se factura. </w:t>
      </w:r>
    </w:p>
    <w:p w:rsidR="00256EE9" w:rsidRDefault="00256EE9" w:rsidP="00256EE9">
      <w:pPr>
        <w:pStyle w:val="TextoNormal"/>
      </w:pPr>
      <w:r>
        <w:t>En relación con tal entendimiento judicial de la cuestión, alegan en esta sede constitucional que la Sentencia impugnada «viola el principio de igualdad ante la Ley al aplicar en la forma en que lo ha hecho el ordenamiento jurídico vigente en materia arrendataria urbana» y que «se infringe el principio de igualdad al aplicar de forma discriminatoria la legis</w:t>
      </w:r>
      <w:r>
        <w:lastRenderedPageBreak/>
        <w:t xml:space="preserve">lación arrendaticia urbana, haciendo de peor calidad a la propiedad arrendadora condenándola a un formalismo que carece de toda apoyatura». </w:t>
      </w:r>
    </w:p>
    <w:p w:rsidR="00256EE9" w:rsidRDefault="00256EE9" w:rsidP="00256EE9">
      <w:pPr>
        <w:pStyle w:val="TextoNormal"/>
      </w:pPr>
      <w:r>
        <w:t>En el «suplico» de la demanda se pide del Tribunal dicte Sentencia declarando que la propiedad de la vivienda no está obligada legalmente a notificar a la arrendataria, como trámite previo al cobro, los importes de los recibos por la tasa municipal señalada y por el consumo de agua.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6 de febrero se acordó oír a la parte demandante y al Ministerio Fiscal acerca de la posible inadmisión de la demanda de amparo por carecer la misma de contenido que justifique una decisión de este Tribunal. </w:t>
      </w:r>
    </w:p>
    <w:p w:rsidR="00256EE9" w:rsidRDefault="00256EE9" w:rsidP="00256EE9">
      <w:pPr>
        <w:pStyle w:val="TextoNormal"/>
      </w:pPr>
      <w:r>
        <w:t xml:space="preserve">La representación de las demandantes ha reiterado, resumiéndola, la argumentación de la demanda en la que considera es patente y manifiesto su contenido constitucional. </w:t>
      </w:r>
    </w:p>
    <w:p w:rsidR="00256EE9" w:rsidRDefault="00256EE9" w:rsidP="00256EE9">
      <w:pPr>
        <w:pStyle w:val="TextoNormal"/>
      </w:pPr>
      <w:r>
        <w:t>El Ministerio Fiscal ha expuesto que a la afirmación de discriminación le falta el término de comparación; siendo todos los restantes razonamientos extraños a esta jurisdicción.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Ante la invocación del art. 14 de la Constitución como amparador del derecho fundamental que se estima violado por las resoluciones judiciales, con marcada dificultad puede hallarse en los dos escritos producidos hasta el presente por quien ahora recurre ante este Tribunal Constitucional una motivación ni siquiera medianamente merecedora de consideración, lo que se pone de relieve sin más que reflejar de entre los prolijos argumentos que discurren por el campo de la aplicación que el juzgador del orden civil realizó de la normativa pertinente, aquellos en los que se trata de la violación del fundamental derecho de igualdad, y que no son otros que -partiendo siempre de su personal disentimiento acerca de la forma en que se hizo la aplicación del ordenamiento vigentese ha colocado en inferioridad de condiciones al propietario arrendador del edificio compuesto de varias viviendas, constituyendo a la propiedad del edificio en recaudadora forzosa de una exacción municipal sin defensa frente al Ayuntamiento, mientras que a otros efectos, en sus relaciones con los inquilinos, se la intenta medir por el rasero de las repercusiones, por ejemplo, en las obras de mejora o reparación, violación del derecho de igualdad que se produce porque evidentemente la propiedad va a tener unos gastos producidos por la notificación del importe de la tasa, gastos que no va a recuperar, exponiendo en definitiva (seguimos con el contenido de los escritos de la parte recurrente) que se infringe el principio de igualdad al aplicar de forma discriminatoria la legislación arrendaticia urbana, haciendo de peor calidad a la propiedad arrendadora condenándola a un formulismo que carece de toda apoyatura.</w:t>
      </w:r>
    </w:p>
    <w:p w:rsidR="00256EE9" w:rsidRDefault="00256EE9" w:rsidP="00256EE9">
      <w:pPr>
        <w:pStyle w:val="TextoNormal"/>
      </w:pPr>
      <w:r>
        <w:t>Ni de cerca ni de lejos cabe emparentar cuanto queda anotado -y el recurso no da más de sí- con el derecho de igualdad consagrado en el artículo 14 de la C.  E., puesto que, de un lado, la queja que se trae es de estricta legalidad, concretándose en una discrepancia con el modo de interpretar y aplicar la norma por el juzgador civil, y de otro, la demanda de amparo no es, en definitiva, otra cosa que un estudio sobre los problemas, ciertos o supuestos, que la legislación de arrendamientos urbanos puede crear al arrendador, viniéndose a atacar las consecuencias que surgen de tal regulación, pero que en lo que aquí interesa no pueden comportar la apreciación de un tratamiento discriminatorio del arrendador de finca urbana respecto del arrendatario de la misma, ya que en esa relación contrac</w:t>
      </w:r>
      <w:r>
        <w:lastRenderedPageBreak/>
        <w:t>tual ostentan posiciones distintas, con surgimiento de reciprocos derechos y obligaciones, no mensurables en este caso bajo el prisma de la exigencia de respeto al derecho fundamental de constante referencia.</w:t>
      </w:r>
    </w:p>
    <w:p w:rsidR="00256EE9" w:rsidRDefault="00256EE9" w:rsidP="00256EE9">
      <w:pPr>
        <w:pStyle w:val="TextoNormal"/>
      </w:pPr>
      <w:r>
        <w:t>Por ello es de aplicación lo establecido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 e imponer a la recurrente las costas del recurso.</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57" w:name="AUTO_1985_196"/>
      <w:r>
        <w:lastRenderedPageBreak/>
        <w:t>AUTO 196/1985, de 13 de marzo de 1985</w:t>
      </w:r>
    </w:p>
    <w:bookmarkEnd w:id="257"/>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ECLI:ES:TC:1985:196A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 los recursos de amparo 49 y 108/1985 (acumulados)</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Luciano Rosch Nadal, en representación de don Daniel Colombo Monte, encausado en el procedimiento que se dirá con el nombre de Vito Badalamenti, formuló demanda de amparo el 18 de enero de 1985, que originó el recurso de igual denominación núm. 49/1985, contra la resolución de la Sección Tercera de lo Penal de la Audiencia Nacional, recaída en el procedimiento de extradición 14/1984 y acumulados del Juzgado Central de Instrucción núm. 4, seguido contra dicho actor, por la que el 14 de diciembre de 1984, mediante providencia, no se dio lugar a tramitar el recurso de súplica interpuesto frente a la anterior providencia de 5 de diciembre de igual año, rechazando la resolución de otro recurso de súplica contra la providencia admitiendo a trámite un recurso del Fiscal. </w:t>
      </w:r>
    </w:p>
    <w:p w:rsidR="00256EE9" w:rsidRDefault="00256EE9" w:rsidP="00256EE9">
      <w:pPr>
        <w:pStyle w:val="TextoNormal"/>
      </w:pPr>
      <w:r>
        <w:t xml:space="preserve">En tal demanda se establecieron los siguientes antecedentes: </w:t>
      </w:r>
    </w:p>
    <w:p w:rsidR="00256EE9" w:rsidRDefault="00256EE9" w:rsidP="00256EE9">
      <w:pPr>
        <w:pStyle w:val="TextoNormal"/>
      </w:pPr>
      <w:r>
        <w:t xml:space="preserve">1.° El 19 de mayo de 1983 el Pleno de la Sala de lo Penal de la Audiencia Nacional, atribuyéndose facultades de promoción, sanción, promulgación y publicación legislativas de las que carece, creó un recurso de súplica, pero que es de alzada, con lo que creó un nuevo Tribunal de alzada, alterando las pertinentes disposiciones de la Ley Orgánica del Poder Judicial y concordantes. </w:t>
      </w:r>
    </w:p>
    <w:p w:rsidR="00256EE9" w:rsidRDefault="00256EE9" w:rsidP="00256EE9">
      <w:pPr>
        <w:pStyle w:val="TextoNormal"/>
      </w:pPr>
      <w:r>
        <w:t xml:space="preserve">Siendo aplicables tales normas a partir del día siguiente del acuerdo. </w:t>
      </w:r>
    </w:p>
    <w:p w:rsidR="00256EE9" w:rsidRDefault="00256EE9" w:rsidP="00256EE9">
      <w:pPr>
        <w:pStyle w:val="TextoNormal"/>
      </w:pPr>
      <w:r>
        <w:t xml:space="preserve">2.° En los citados expedientes de extradición acumulados, se dictó Auto el 23 de noviembre de 1984, denegando la extradición del actor, y aplicando dicho acuerdo especificó que contra dicha resolución cabría el recurso de súplica arbitrado. </w:t>
      </w:r>
    </w:p>
    <w:p w:rsidR="00256EE9" w:rsidRDefault="00256EE9" w:rsidP="00256EE9">
      <w:pPr>
        <w:pStyle w:val="TextoNormal"/>
      </w:pPr>
      <w:r>
        <w:t xml:space="preserve">Al denegar el Auto las extradiciones solicitadas, era de aplicación el artículo 19 de la Ley de 26 de diciembre de 1958 sobre extradición, y debía haberse puesto en libertad a la persona del recurrente, o bien, dado que se apreciaba una posible existencia de delitos en España, antes de las setenta y dos horas, haber remitido los testimonios al Juzgado Central competente para instruir el sumario, a fin de que declarase lo procedente sobre su situación. Aunque esto se dice y se dispone en el Auto, quedó pendiente de que se interpusiese recurso contra él, por lo que la aplicación del acuerdo repercutió en la firmeza del Auto. </w:t>
      </w:r>
    </w:p>
    <w:p w:rsidR="00256EE9" w:rsidRDefault="00256EE9" w:rsidP="00256EE9">
      <w:pPr>
        <w:pStyle w:val="TextoNormal"/>
      </w:pPr>
      <w:r>
        <w:t xml:space="preserve">3.° El Fiscal interpuso el recurso de súplica contra dicho Auto, recayendo providencia que lo admitió a trámite. Contra esa resolución se interpuso recurso de súplica, porque la admisión contrariaba lo dispuesto en el citado art. 19, recayendo providencia de 5 de diciembre de 1984 en la que se rechazaba resolverlo por carecer de jurisdicción al haberse elevado los Autos al Pleno. Se formuló recurso de súplica contra esta providencia que se </w:t>
      </w:r>
      <w:r>
        <w:lastRenderedPageBreak/>
        <w:t xml:space="preserve">resolvió por providencia de 14 de diciembre de 1984, elevando el escrito al Pleno, que carece por completo de jurisdicción y generaba indefensión. </w:t>
      </w:r>
    </w:p>
    <w:p w:rsidR="00256EE9" w:rsidRDefault="00256EE9" w:rsidP="00256EE9">
      <w:pPr>
        <w:pStyle w:val="TextoNormal"/>
      </w:pPr>
      <w:r>
        <w:t xml:space="preserve">En los fundamentos jurídicos se alegó la infracción del art. 17 de la Constitución, porque el art. 19 de la Ley de 26 de diciembre de 1958 establece que contra los Autos en que se declare haber lugar o no a la extradición no se dará recurso alguno, y si fuese denegatorio, se pondrá en libertad al inculpado, por lo que al no hacerse así, en virtud de las actuaciones procesales que entorpecen el normal desarrollo del precepto, atacando la firmeza del Auto, se produce un retraso en la declaración sobre la situación del encartado que viola tal norma constitucional. </w:t>
      </w:r>
    </w:p>
    <w:p w:rsidR="00256EE9" w:rsidRDefault="00256EE9" w:rsidP="00256EE9">
      <w:pPr>
        <w:pStyle w:val="TextoNormal"/>
      </w:pPr>
      <w:r>
        <w:t xml:space="preserve">También entiende violado el art. 24 de la C. E., porque el Auto era firme desde que se dictó y debía producirse la libertad del arrestado, y si bien se enviaban testimonios al Juez Central competente para perseguir delitos cometidos en España, debía tenerse en cuenta el párrafo segundo del art. 17 de la C. E. y el 496 de la Ley de Enjuiciamiento Criminal. Esto no sucedió, porque el Auto en virtud del ilegal «acuerdo del Pleno» dejó pendiente su firmeza por tres días, y el Fiscal recurrió en súplica, pasando al Pleno de la Sala la jurisdicción. El recurrente debió ser puesto en libertad el 26 de noviembre de 1984, y desde esa fecha está en situación de privación de libertad de modo irregular e ilegal. Además, se ve sometido forzosamente a un procedimiento irregular el recurso de súplica-alzada derivado de dicho «acuerdo». </w:t>
      </w:r>
    </w:p>
    <w:p w:rsidR="00256EE9" w:rsidRDefault="00256EE9" w:rsidP="00256EE9">
      <w:pPr>
        <w:pStyle w:val="TextoNormal"/>
      </w:pPr>
      <w:r>
        <w:t xml:space="preserve">Se trata de un procedimiento «espurio» que provoca máxima indefensión. </w:t>
      </w:r>
    </w:p>
    <w:p w:rsidR="00256EE9" w:rsidRDefault="00256EE9" w:rsidP="00256EE9">
      <w:pPr>
        <w:pStyle w:val="TextoNormal"/>
      </w:pPr>
      <w:r>
        <w:t>Y después de alegar sobre los presupuestos procesales del recurso de amparo, suplicó: se dicte Sentencia otorgando el amparo con declaración de nulidad de la decisión y del proceso subsecuente, asi como la declaración de la firmeza del Auto denegatorio de la extradición, con todas las consecuencias legales derivadas de ello y, en especial, la de libertad del recurrente, al que se debe restablecer en la integridad de su derecho; y en relación al «acuerdo del Pleno de la Sala de lo Penal de la Audiencia Nacional de 19 de mayo de 1983» aplicado y del que se deriva la resolución que se recurre, darle el curso procedente según el art. 55.2 de la LOTC para su declaración de inconstitucionalidad.</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Segunda, por providencia, acordó tener por personado al Procurador nombrado, con el que se entendería sucesivas diligencias, abriendo el trámite de inadmisión de la demanda por la posible presencia de faltar la invocación formal en el proceso penal previo de la infracción del art. 17 de la C. E., según el art. 44.1 c), en conexión con el 50.1 b) de la Ley Orgánica del Tribunal Constitucional (LOTC); y, además, por carecer la demanda manifiestamente de contenido constitucional, que justifique una decisión por parte de este Tribunal, según el art. 50.2 b) de la misma Ley, y otorgando un plazo de diez días a la parte actora y al Ministerio Fiscal para que realizare las oportunas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parte actora, evacuando tal trámite, alega que el recurso se motiva en la violación del art. 24 de la C. E., al someter al actor a un proceso inexistente y ante un Tribunal sin atribuciones, por una disposición emanada del mismo contraria a las normas de la Constitución. Seguidamente hace una recapitulación de los hechos en el mismo sentido que constan en la demanda. </w:t>
      </w:r>
    </w:p>
    <w:p w:rsidR="00256EE9" w:rsidRDefault="00256EE9" w:rsidP="00256EE9">
      <w:pPr>
        <w:pStyle w:val="TextoNormal"/>
      </w:pPr>
      <w:r>
        <w:t xml:space="preserve">A continuación se refiere al alcance de la indefensión, debida a no respetarse las normas de procedimiento ni las garantías procesales, al arbitrarse un recurso inexistente, por un procedimiento inexistente y ante un Tribunal inexistente, originando una indefensión grave y total, y señalando que la Audiencia Nacional, a través de la Sala de lo Penal, aceptó el recurso de súplica del Fiscal, dando lugar a la extradición, pudiendo ser extraditado el </w:t>
      </w:r>
      <w:r>
        <w:lastRenderedPageBreak/>
        <w:t xml:space="preserve">actor sin posible remedio de evitar la situación de hecho que se cree. También alega que la indefensión denunciada es motivo del recurso de amparo en relación al derecho a la tutela judicial efectiva. </w:t>
      </w:r>
    </w:p>
    <w:p w:rsidR="00256EE9" w:rsidRDefault="00256EE9" w:rsidP="00256EE9">
      <w:pPr>
        <w:pStyle w:val="TextoNormal"/>
      </w:pPr>
      <w:r>
        <w:t xml:space="preserve">Después de realizar estas consideraciones, se refiere a la falta de invocación formal en el proceso penal de la infracción del art. 17 de la Constitución, entendiendo que no se produce el motivo de inadmisión, por no ser la cuestión básica del recurso de amparo y por haberse invocado el derecho, aun cuando fuera sin cita del número, amparado por el art. 17 de la C. E. </w:t>
      </w:r>
    </w:p>
    <w:p w:rsidR="00256EE9" w:rsidRDefault="00256EE9" w:rsidP="00256EE9">
      <w:pPr>
        <w:pStyle w:val="TextoNormal"/>
      </w:pPr>
      <w:r>
        <w:t xml:space="preserve">En relación al segundo motivo de inadmisión establecido en el art. 50.2 b) de la LOTC, cita el art. 118 de la Constitución para manifestar que no fue respetado al olvidar que el Auto denegando la extradición era firme, y que no podía ser objeto del recurso arbitrado por el acuerdo tan referido. A su vez, cita el art. 117.3 de la C. E., que somete a los Jueces y Tribunales a las normas de jurisdicción, competencia y procedimiento establecidas por las Leyes, que no ha sido respetado por el tan referido acuerdo. Alega el artículo 53.2 de la C. E., en relación al derecho a ser protegido en el recurso de amparo respetando la legalidad vigente. </w:t>
      </w:r>
    </w:p>
    <w:p w:rsidR="00256EE9" w:rsidRDefault="00256EE9" w:rsidP="00256EE9">
      <w:pPr>
        <w:pStyle w:val="TextoNormal"/>
      </w:pPr>
      <w:r>
        <w:t>Y termina suplicando una decisión del Tribunal, declarando el legítimo derecho a exigir el cumplimiento del Auto firme, denegando la extradición y a no estar obligado a pasar por un procedimiento ilegal y una decisión que produce la indefensión repudiada por el art. 24 de la Constitución, decretando los demás pronunciamientos que sean consecuencia del otorgamiento de la misma. Por otrosí se solicita, se recabe de la Audiencia Nacional, la inmediata remisión de expedientes y actuaciones de extradición, con prevención de que se abstenga de dar cumplimiento a la decisión, hasta tanto se resuelva el recurso de amparo.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Ministerio Fiscal, evacuando tal trámite, asegura que se incumple la exigencia del art. 44.1 c) de la LOTC en relación al derecho de libertad garantizado en el art. 17.1 y 2 de la C. E., por no haberse realizado en la vía judicial previa la invocación formal del derecho constitucional violado, que opera con carácter previo haciendo subsidiario al amparo. En orden a la falta de tutela judicial que se demanda por la existencia de un proceso «espurio» debido al «acuerdo» que se denomina ilegal de 19 de mayo de 1983, y que pretende acercar las disposiciones relativas a la extradición pasiva, a las garantías previstas en el Pacto Internacional de derechos civiles y politicos, arbitrando un recurso de súplica ante el Pleno, afirma que tal recurso no produce una «máxima indefensión», porque está concebido en garantía de la persona que puede ser objeto de la extradición, y tiene su base en el art. 236 de la Ley de Enjuiciamiento Criminal que admite contra todos los Autos de los Tribunales de lo Criminal la posibilidad de recurrir en súplica, garantía que se refuerza al permitir que la súplica se conozca por el Tribunal en Pleno y no sólo por la Sección que dictó el Auto. No puede ser materia del derecho a la tutela judicial la ordenación de dicho recurso de súplica. </w:t>
      </w:r>
    </w:p>
    <w:p w:rsidR="00256EE9" w:rsidRDefault="00256EE9" w:rsidP="00256EE9">
      <w:pPr>
        <w:pStyle w:val="TextoNormal"/>
      </w:pPr>
      <w:r>
        <w:t xml:space="preserve">Tampoco admite que se lesionara la tutela judicial con la providencia de inadmisión del recurso de súplica, por ser la única que podía adoptar la Sección, al estar admitido el recurso de súplica del Fiscal, siendo competencia del Pleno la resolución de aquél. No existe indefensión cuando se hace uso de los medios de defensa pertinentes. </w:t>
      </w:r>
    </w:p>
    <w:p w:rsidR="00256EE9" w:rsidRDefault="00256EE9" w:rsidP="00256EE9">
      <w:pPr>
        <w:pStyle w:val="TextoNormal"/>
      </w:pPr>
      <w:r>
        <w:t>El Fiscal entiende que concurren las dos causas de inadmisión propuestas por la Sección.</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indicado Procurador Rosch, en la propia representación de don Daniel Colombo Monte, encausado en el procedimiento que se dirá, con el nombre de Vito Badalamenti, </w:t>
      </w:r>
      <w:r>
        <w:lastRenderedPageBreak/>
        <w:t xml:space="preserve">interpuso el 12 de febrero de 1985 recurso de amparo núm. 108/1985, contra el Auto de 4 de febrero del propio año, del Pleno de la Sala de lo Penal de la Audiencia Nacional, recaído en el rollo 13/1984 de la Sección Tercera, dimanante en el proceso de extradición 14/1984 y acumulados del Juzgado Central de Instrucción núm. 4, por el que se revoca el Auto firme núm. 28/1984 de la Sección Tercera, de 23 de noviembre de 1984 por violación del segundo párrafo del art. 19 de la Ley de 26 de diciembre de 1958, que regula el procedimiento de extradición, y con ello los derechos del actor a exigir el cumplimiento del mismo, en que se denegó las extradiciones instadas, dejándole indefenso, y culminando la indefensión producida con anterioridad, por haberle sometido a un procedimiento ilegal arbitrado contra la C. E. por el Pleno de la Sala indicada, y que es de fecha 19 de mayo de 1983. </w:t>
      </w:r>
    </w:p>
    <w:p w:rsidR="00256EE9" w:rsidRDefault="00256EE9" w:rsidP="00256EE9">
      <w:pPr>
        <w:pStyle w:val="TextoNormal"/>
      </w:pPr>
      <w:r>
        <w:t xml:space="preserve">En los hechos de la demanda expone lo siguiente: </w:t>
      </w:r>
    </w:p>
    <w:p w:rsidR="00256EE9" w:rsidRDefault="00256EE9" w:rsidP="00256EE9">
      <w:pPr>
        <w:pStyle w:val="TextoNormal"/>
      </w:pPr>
      <w:r>
        <w:t xml:space="preserve">1.° Seguido el procedimiento de extradición por el cauce de la Ley de 26 de diciembre de 1984, recayó Auto de la Sección Tercera de lo Penal de la Audiencia Nacional, el 23 de noviembre de 1984, denegándola. </w:t>
      </w:r>
    </w:p>
    <w:p w:rsidR="00256EE9" w:rsidRDefault="00256EE9" w:rsidP="00256EE9">
      <w:pPr>
        <w:pStyle w:val="TextoNormal"/>
      </w:pPr>
      <w:r>
        <w:t xml:space="preserve">2.° El Fiscal, amparándose en el «acuerdo» del Pleno de la Sala de lo Penal de la propia Audiencia, interpuso recurso de súplica contra dicho Auto que era firme, y que fue admitido por providencia. </w:t>
      </w:r>
    </w:p>
    <w:p w:rsidR="00256EE9" w:rsidRDefault="00256EE9" w:rsidP="00256EE9">
      <w:pPr>
        <w:pStyle w:val="TextoNormal"/>
      </w:pPr>
      <w:r>
        <w:t xml:space="preserve">3.° Contra dicha providencia, que se debía considerar como Auto, interpuso recurso de súplica por la ilegalidad del recurso y por la indefensión que le producía. </w:t>
      </w:r>
    </w:p>
    <w:p w:rsidR="00256EE9" w:rsidRDefault="00256EE9" w:rsidP="00256EE9">
      <w:pPr>
        <w:pStyle w:val="TextoNormal"/>
      </w:pPr>
      <w:r>
        <w:t xml:space="preserve">4.° Por providencia de 5 de diciembre de 1984, la Sección Tercera se niega a resolver el recurso de súplica por pérdida de competencia, al haber admitido el recurso el Fiscal. </w:t>
      </w:r>
    </w:p>
    <w:p w:rsidR="00256EE9" w:rsidRDefault="00256EE9" w:rsidP="00256EE9">
      <w:pPr>
        <w:pStyle w:val="TextoNormal"/>
      </w:pPr>
      <w:r>
        <w:t xml:space="preserve">5.° Entendido que se confirmaba la indefensión, interpuso nuevo recurso de súplica contra dicha providencia, por las propias causas de ilegalidad e indefensión. </w:t>
      </w:r>
    </w:p>
    <w:p w:rsidR="00256EE9" w:rsidRDefault="00256EE9" w:rsidP="00256EE9">
      <w:pPr>
        <w:pStyle w:val="TextoNormal"/>
      </w:pPr>
      <w:r>
        <w:t xml:space="preserve">6.° Por providencia de 14 de diciembre de 1984, fue rechazado este segundo recurso de súplica. </w:t>
      </w:r>
    </w:p>
    <w:p w:rsidR="00256EE9" w:rsidRDefault="00256EE9" w:rsidP="00256EE9">
      <w:pPr>
        <w:pStyle w:val="TextoNormal"/>
      </w:pPr>
      <w:r>
        <w:t xml:space="preserve">7.° Ante la situación creada, recurrió en amparo ante el Tribunal Constitucional contra la providencia anterior y actuaciones posteriores al Auto de 23 de noviembre de 1984. denunciando la indefensión y sus consecuencias, que se halla en trámite bajo el núm. 49/1985. </w:t>
      </w:r>
    </w:p>
    <w:p w:rsidR="00256EE9" w:rsidRDefault="00256EE9" w:rsidP="00256EE9">
      <w:pPr>
        <w:pStyle w:val="TextoNormal"/>
      </w:pPr>
      <w:r>
        <w:t xml:space="preserve">8.° También planteó una cuestión de inconstitucionalidad ante la Audiencia Nacional, por aplicar con rango de Ley el «acuerdo» ilegal del Pleno, que quedó pendiente para ser resuelta juntamente con el recurso de súplica del Fiscal. </w:t>
      </w:r>
    </w:p>
    <w:p w:rsidR="00256EE9" w:rsidRDefault="00256EE9" w:rsidP="00256EE9">
      <w:pPr>
        <w:pStyle w:val="TextoNormal"/>
      </w:pPr>
      <w:r>
        <w:t xml:space="preserve">9.° El 4 de febrero de 1985 recayó Auto, que motiva este recurso, donde se resuelven conjuntamente todas las cuestiones planteadas en los dos recursos de súplica, cuestión de inconstitucionalidad y el recurso de súplica del Fiscal, dando lugar al mismo y revocando el Auto firme, accediendo a la extradición pedida por Estados Unidos de Norteamérica. </w:t>
      </w:r>
    </w:p>
    <w:p w:rsidR="00256EE9" w:rsidRDefault="00256EE9" w:rsidP="00256EE9">
      <w:pPr>
        <w:pStyle w:val="TextoNormal"/>
      </w:pPr>
      <w:r>
        <w:t xml:space="preserve">En los fundamentos de Derecho alega la violación del art. 24.1 y 2 de la C. E., en relación al derecho a obtener la tutela efectiva de la Administración de Justicia, en el ejercicio de los derechos e intereses legítimos sin que se produzca indefensión; y también en relación a la legalidad del procedimiento como garantía fundamental, al decir que «tienen derecho al Juez ordinario predeterminado por la Ley» y «con todas las garantías» los ciudadanos. </w:t>
      </w:r>
    </w:p>
    <w:p w:rsidR="00256EE9" w:rsidRDefault="00256EE9" w:rsidP="00256EE9">
      <w:pPr>
        <w:pStyle w:val="TextoNormal"/>
      </w:pPr>
      <w:r>
        <w:t xml:space="preserve">Desarrollando estas infracciones precisa que los órganos judiciales deben ejercer su función según las normas de competencia y procedimiento establecidas en las Leyes, sin crear otros órganos no determinados en ellas. En el caso concreto, la Audiencia Nacional, a través del Pleno de lo Penal, ha ordenado un procedimiento inexistente, que ha dado lugar a revocar un Auto firme, dictado conforme a la Ley, siendo causa remota de todo </w:t>
      </w:r>
      <w:r>
        <w:lastRenderedPageBreak/>
        <w:t xml:space="preserve">ello el acuerdo tan referido. Tal Pleno se atribuye facultades legislativas de las que carece, no respetando la legalidad vigente, ni el orden de competencias del proceso dejando indefenso al recurrente. </w:t>
      </w:r>
    </w:p>
    <w:p w:rsidR="00256EE9" w:rsidRDefault="00256EE9" w:rsidP="00256EE9">
      <w:pPr>
        <w:pStyle w:val="TextoNormal"/>
      </w:pPr>
      <w:r>
        <w:t xml:space="preserve">En definitiva, se han violado los derechos a no ser juzgado por órgano incompetente, siendo impulsados a tolerar un procedimiento inexistente, y obligado, con total indefensión, a no poder exigir el cumplimiento del Auto firme que puso fin al procedimiento de extradición. </w:t>
      </w:r>
    </w:p>
    <w:p w:rsidR="00256EE9" w:rsidRDefault="00256EE9" w:rsidP="00256EE9">
      <w:pPr>
        <w:pStyle w:val="TextoNormal"/>
      </w:pPr>
      <w:r>
        <w:t xml:space="preserve">Justifica luego el cumplimiento de los requisitos procesales para poder entablar el recurso de amparo, y termina suplicando se dicte Sentencia, concediendo el amparo y declarando la nulidad de la decisión y procedimiento y la firmeza del Auto indicado, con todas las consecuencias legales, y restableciendo al recurrente en la integridad de sus derechos, haciendo cuantas otras declaraciones estimen pertinentes respecto al «acuerdo» del Pleno de la Sala de lo Penal de la Audiencia Nacional de 19 de mayo de 1983. </w:t>
      </w:r>
    </w:p>
    <w:p w:rsidR="00256EE9" w:rsidRDefault="00256EE9" w:rsidP="00256EE9">
      <w:pPr>
        <w:pStyle w:val="TextoNormal"/>
      </w:pPr>
      <w:r>
        <w:t>En el primer otrosí, solicita la acumulación de este amparo al número 49/1985. En el segundo otrosí, pide la suspensión de la ejecución del Auto citando el art. 56.1 de la LOTC. En el tercer otrosí, solicita que se requiera a la Audiencia Nacional para la inmediata remisión de las actuaciones originales. Y en el cuarto otrosí, la celebración de la vista oral.</w:t>
      </w:r>
    </w:p>
    <w:p w:rsidR="00256EE9" w:rsidRDefault="00256EE9" w:rsidP="00256EE9">
      <w:pPr>
        <w:pStyle w:val="TextoNormal"/>
      </w:pPr>
    </w:p>
    <w:p w:rsidR="00256EE9" w:rsidRDefault="00256EE9" w:rsidP="00256EE9">
      <w:pPr>
        <w:pStyle w:val="TextoNormal"/>
      </w:pPr>
      <w:r w:rsidRPr="00256EE9">
        <w:rPr>
          <w:rStyle w:val="NumeroAFNegritaCaracter"/>
        </w:rPr>
        <w:t>6</w:t>
      </w:r>
      <w:r>
        <w:t>. La Sección, por providencia, acordó tener por interpuesto el recurso de amparo y por personado y parte en nombre del actor al Procurador señor Rosch, con el que se entenderían sucesivas diligencias, y abriendo un plazo común de alegaciones al Ministerio Fiscal y al solicitante de amparo, en relación a la posible existencia del motivo de inadmisión del art. 50.2 b) de la LOTC, por carecer manifiestamente la demanda de contenido constitucional que justifique una decisión por parte de este Tribunal. Se dejó pendiente la petición de suspensión para la decisión sobre la inadmisión acordada. Se mandó comunicar al Presidente de la Sección Tercera de lo Penal de la Audiencia Nacional el estado del proceso de amparo, contestando a su escrito de 8 del corriente mes. Y se fijó el plazo de cinco días para la realización por las partes de las indicadas alegaciones, así como las que estimasen pertinentes sobre la acumulación de este recurso al seguido ante la Sala bajo el núm. 49/1985.</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El Ministerio Fiscal, evacuando dicho trámite precisa que el presente recurso es una repetición del 49/1985, pues las alegaciones de lesiones de derechos constitucionales son las mismas, salvo la agregación en el presente del derecho al Juez ordinario predeterminado por la Ley que determina el art. 24.2 de la C. E. </w:t>
      </w:r>
    </w:p>
    <w:p w:rsidR="00256EE9" w:rsidRDefault="00256EE9" w:rsidP="00256EE9">
      <w:pPr>
        <w:pStyle w:val="TextoNormal"/>
      </w:pPr>
      <w:r>
        <w:t xml:space="preserve">Entre uno y otro recurso se ha producido la estimación de la pretensión del Fiscal, y se acordó la extradición del actor que antes había sido denegada. La demanda no impugna el fallo del Auto en si mismo, sino la presencia del Tribunal «espurio» que le dejó indefenso, lesionando además el derecho a Juez ordinario. El Fiscal reitera el informe presentado en el recurso 49/1985, resumiendo su argumentación y agregando que no hay quebrantamiento de Juez ordinario, puesto que se trata del mismo órgano judicial, la Audiencia Nacional, y que el exceso de garantías no puede suponer una indefensión jamás, puesto que la Sala del Pleno está concebida para reforzar las garantías de la súplica, permitiendo conocer de ella no sólo a la misma Sección que falló, sino por la Sala formada por todas las Secciones de la Sala de lo Penal. El que se revocara el Auto dando lugar a la extradición no ocasiona la indefensión que se alega, pues igual resolución hubiera podido recaer de conocer de la súplica la misma Sección a quo. </w:t>
      </w:r>
    </w:p>
    <w:p w:rsidR="00256EE9" w:rsidRDefault="00256EE9" w:rsidP="00256EE9">
      <w:pPr>
        <w:pStyle w:val="TextoNormal"/>
      </w:pPr>
      <w:r>
        <w:lastRenderedPageBreak/>
        <w:t>El Fiscal aboga por la acumulación de los dos procesos indicados y por la inadmisión del recurso 108/1985, por la presencia de la causa establecida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8</w:t>
      </w:r>
      <w:r>
        <w:t xml:space="preserve">. La parte actora del recurso de amparo 108/1985 alega, en orden a la causa de inadmisión de referencia, unas consideraciones previas en relación al principio de legalidad -arts. 9 y 13 de la C. E.-, que todos los Poderes Públicos y el Judicial deben respetar según el art. 117.1, 3 y 4 de la propia C. E. El derecho procesal es una garantia que da seguridad al proceso y el art. 24 de la C. E. recoge este principio de legalidad para los órganos del Poder Judicial. No cabe someter a un órgano judicial incompetente un proceso y menos si éste no está regulado, porque se produce indefensión. Se ataca ese principio de legalidad, cuando se somete a una persona a un procedimiento no previsto en la Ley, ante un Tribunal sin competencia para ello, produciendo la revocación de una decisión firme emanada de un órgano judicial competente y conforme a las Leyes vigentes. </w:t>
      </w:r>
    </w:p>
    <w:p w:rsidR="00256EE9" w:rsidRDefault="00256EE9" w:rsidP="00256EE9">
      <w:pPr>
        <w:pStyle w:val="TextoNormal"/>
      </w:pPr>
      <w:r>
        <w:t xml:space="preserve">A continuación relata de nuevo los hechos base del recurso en la misma forma que la demanda. Precisa que el contenido de la demanda son un conjunto de actos ilegales realizados en el procedimiento, sometiendo al actor a un procedimiento ilegal y haciéndole pasar por una resolución también ilegal que le produce indefensión. </w:t>
      </w:r>
    </w:p>
    <w:p w:rsidR="00256EE9" w:rsidRDefault="00256EE9" w:rsidP="00256EE9">
      <w:pPr>
        <w:pStyle w:val="TextoNormal"/>
      </w:pPr>
      <w:r>
        <w:t xml:space="preserve">Precisa el amparo que solicita del Tribunal Constitucional para que declare violados los derechos del art. 24 de la C. E. y se pronuncie sobre los extremos del art. 55 de la LOTC. </w:t>
      </w:r>
    </w:p>
    <w:p w:rsidR="00256EE9" w:rsidRDefault="00256EE9" w:rsidP="00256EE9">
      <w:pPr>
        <w:pStyle w:val="TextoNormal"/>
      </w:pPr>
      <w:r>
        <w:t xml:space="preserve">Por último, precisa que el contenido de la demanda justifica una decisión del Tribunal Constitucional ante la notoria indefensión padecida, y en orden a la acumulación se muestra favorable a la misma, por ser los dos recursos homogéneos y existir conexión entre ambos. </w:t>
      </w:r>
    </w:p>
    <w:p w:rsidR="00256EE9" w:rsidRDefault="00256EE9" w:rsidP="00256EE9">
      <w:pPr>
        <w:pStyle w:val="TextoNormal"/>
      </w:pPr>
      <w:r>
        <w:t>Suplica que se acuerde la admisión del recurso, por tener la demanda contenido idóneo que justifique una decisión del Tribunal Constitucional, y la aceptación de la acumulación.</w:t>
      </w:r>
    </w:p>
    <w:p w:rsidR="00256EE9" w:rsidRDefault="00256EE9" w:rsidP="00256EE9">
      <w:pPr>
        <w:pStyle w:val="TextoNormal"/>
      </w:pPr>
    </w:p>
    <w:p w:rsidR="00256EE9" w:rsidRDefault="00256EE9" w:rsidP="00256EE9">
      <w:pPr>
        <w:pStyle w:val="TextoNormal"/>
      </w:pPr>
      <w:r w:rsidRPr="00256EE9">
        <w:rPr>
          <w:rStyle w:val="NumeroAFNegritaCaracter"/>
        </w:rPr>
        <w:t>9</w:t>
      </w:r>
      <w:r>
        <w:t>. La Sala, por Auto de 27 de febrero último, acordó la acumulación del recurso de amparo núm. 108/1985 al recurso de amparo núm. 49 de igual año y que se tramitasen en un solo proceso y se decidiesen en una misma resolución.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Según muy reiterada doctrina de este Tribunal, el recurso de amparo es de condición subsidiaria, por no poderse plantear ante aquellas presuntas infracciones de derechos fundamentales o libertades públicas, que no hayan sido objeto de invocación formal en el previo procedimiento ordinario, impidiendo que los Tribunales de la jurisdicción común puedan decidir sobre su existencia o inexistencia, porque esta exigencia opera como presupuesto indispensable para la decisión final del Tribunal Constitucional revisora de la denegación de la previa protección, y su omisión determina la inadmisión del proceso de amparo, de conformidad con lo dispuesto en el art. 44.1 c) en conexión con el 50.1 b) de la LOTC.</w:t>
      </w:r>
    </w:p>
    <w:p w:rsidR="00256EE9" w:rsidRDefault="00256EE9" w:rsidP="00256EE9">
      <w:pPr>
        <w:pStyle w:val="TextoNormal"/>
      </w:pPr>
      <w:r>
        <w:t xml:space="preserve">Esta falta de invocación formal se manifiesta en relación con el recurso de amparo núm.  49/1985, porque en los dos recursos de súplica entablados por el actor como antecedentes del amparo sólo se alegó la lesión del art. 24 de la C. E., y ni directa ni indirectamente se efectuó la del art. 17 de la propia Ley superior, como admite el recurrente, aunque intentando justificar la omisión, por no ser la cuestión básica de su pretensión, si no </w:t>
      </w:r>
      <w:r>
        <w:lastRenderedPageBreak/>
        <w:t>mera consecuencia de ella, lo que no puede admitirse, al poseer el citado art. 17 entidad propia y autónoma para su plena efectividad, sin actuar como derivación de la alegación de indefensión, por lo que ha de estimarse incumplido el presupuesto del art. 44.1 c) de la LOTC en relación al art. 17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Los dos recursos de amparo acumulados poseen el mismo objeto, aunque ataquen resoluciones escalonadas en el tiempo en primer lugar y en el recurso 49/1985, las dictadas admitiendo un recurso de súplica, y en segundo término y en el recurso 108/1985, para combatir la resolución de lo decidido.</w:t>
      </w:r>
    </w:p>
    <w:p w:rsidR="00256EE9" w:rsidRDefault="00256EE9" w:rsidP="00256EE9">
      <w:pPr>
        <w:pStyle w:val="TextoNormal"/>
      </w:pPr>
      <w:r>
        <w:t>Siendo la cuestión esencialmente formulada en ambos procesos de amparo, la dirigida a precisar si el Auto de la Sección Tercera de lo Penal de la Audiencia Nacional denegando la extradición del recurrente, pudo ser objeto del recurso de suplica entablado por el Ministerio Fiscal, apoyado en el acuerdo del Pleno de la Sala de lo Penal de la propia Audiencia, de 19 de mayo de 1983, que lo admitía, a pesar de lo establecido en el art. 19.2 de la Ley de Extradición Pasiva de 26 de diciembre de 1958, y si al tramitarse y resolverse tal recurso de súplica otorgándose la extradición por Auto de 4 de febrero de 1985, se infringió el art.  24.1 y 2 de la C. E., al lesionarse el derecho a la tutela judicial efectiva por originarle indefensión así como el derecho al Juez ordinario predeterminado por la Ley dentro de un proceso con todas las garantías, por habérsele sometido a un recurso y procedimiento inexistente y ante un Tribunal no señalado por la Ley y por lo tanto incompetente, con la consecuencia de ser nulo todo lo actuado después del Auto firme denegatorio de la extradición.  Cuestión que es preciso examinar en relación a la posible presencia de la causa de inadmisión de la demanda, establecida en el art. 50.2 b) de la LOTC y que se puso de manifiesto en trámite previo del proceso.</w:t>
      </w:r>
    </w:p>
    <w:p w:rsidR="00256EE9" w:rsidRDefault="00256EE9" w:rsidP="00256EE9">
      <w:pPr>
        <w:pStyle w:val="TextoNormal"/>
      </w:pPr>
    </w:p>
    <w:p w:rsidR="00256EE9" w:rsidRDefault="00256EE9" w:rsidP="00256EE9">
      <w:pPr>
        <w:pStyle w:val="TextoNormal"/>
      </w:pPr>
      <w:r w:rsidRPr="00256EE9">
        <w:rPr>
          <w:rStyle w:val="NumeroAFNegritaCaracter"/>
        </w:rPr>
        <w:t>3</w:t>
      </w:r>
      <w:r>
        <w:t>. El indicado acuerdo cuya procedencia material se debe a las competencias específicas que pueda poseer el Poder Judicial, ha sido indudablemente asumido por reiterada jurisprudencia de la Sala de lo Penal, que lo adoptó, y concretamente por el Auto recurrido de 4 de febrero de 1985, que establece las razones jurídicas que tiene el acuerdo para otorgar el impugnado recurso de súplica, en contra de lo dispuesto en el art.  19.2 de la Ley de 26 de diciembre de 1958, que literalmente no otorga recurso alguno contra los Autos que concedan o no la extradición.</w:t>
      </w:r>
    </w:p>
    <w:p w:rsidR="00256EE9" w:rsidRDefault="00256EE9" w:rsidP="00256EE9">
      <w:pPr>
        <w:pStyle w:val="TextoNormal"/>
      </w:pPr>
      <w:r>
        <w:t xml:space="preserve">Como precisa el Ministerio Fiscal, el recurso de súplica concedido por el acuerdo y, en definitiva, por la resolución recurrida, a pesar de lo establecido en el art.  19.2 indicado, se puede fundamentar en las disposiciones generales y omnicomprensivas que rigen para todos los procedimientos penales y que se hallan establecidas en los arts. 236 y 237 de la Ley de Eniuiciamiento Criminal, en cuanto admiten contra todos los Autos de los Tribunales de lo Criminal la interposición del recurso de súplica, ante el mismo órgano que los hubiera dictado, siempre que no se otorgue expresamente otro recurso por la Ley; con lo que se concede un cauce para la reconsideración del contenido de resoluciones importantes dentro del proceso penal a instancia de la parte a quien perjudica, para conocer si debe dejarse sin efecto, no pudiendo estimarse que esa normativa general esté rechazada por el referido art.  19.2 de la Ley de Extradición Pasiva, dado también el contenido peculiar de la súplica, y que el alcance de la prohibición de recursos se refiere sólo indudablemente al de apelación o casación, ante otro órgano e instancia distinta del que resolvió, y aunque ello suponga la anomalía de establecer un criterio diferente del señalado en el art.  830 de la Ley de Enjuiciamiento Criminal para la extradición activa, que concede recurso de apelación contra igual decisión o denegación de la extradición de un español, con un criterio </w:t>
      </w:r>
      <w:r>
        <w:lastRenderedPageBreak/>
        <w:t>de superiores garantías y discriminatorio en relación al extranjero, y que en parte se elimina o palía a través de la interpretación expuesta de conceder en los supuestos de extradición pasiva el recurso de súplica.</w:t>
      </w:r>
    </w:p>
    <w:p w:rsidR="00256EE9" w:rsidRDefault="00256EE9" w:rsidP="00256EE9">
      <w:pPr>
        <w:pStyle w:val="TextoNormal"/>
      </w:pPr>
      <w:r>
        <w:t>Además, con el otorgamiento de tal recurso de súplica, se consigue fina lísticamente la protección de la seguridad jurídica, con la garantía de certeza que supone la jurisprudencia unitaria de las tres Secciones de lo Penal, que componen la Sala del Pleno de lo Criminal de la Audiencia Nacional, que evita criterios dispares o contradictorios entre supuestos de hecho idénticos o muy similares, lo que justifica aún más el otorgamiento con el recurso de súplica de mayores garantías de acierto en la resolución transcendente siempre y complicada, por ser muy variada la legislación que regula la extra ición; recurso que se encuentra a su vez concebido, por regla general, en favor del extraditurus, aunque excepcionalmente pueda también ejercitarlo el Ministerio Fiscal, en defensa de los intereses generales que representa, al tener que otorgarse un trato igual a todas las partes procesales.</w:t>
      </w:r>
    </w:p>
    <w:p w:rsidR="00256EE9" w:rsidRDefault="00256EE9" w:rsidP="00256EE9">
      <w:pPr>
        <w:pStyle w:val="TextoNormal"/>
      </w:pPr>
      <w:r>
        <w:t>En otro sentido, no puede estimarse que al concederse el recurso de súplica al Pleno de la Sala de lo Penal, y no sólo a la Sección que dictó el Auto, se atribuya el nuevo enjuiciamiento a un Tribunal distinto del que dictó la resolución recurrida, porque no sólo la práctica judicial conocida, sino in fine el art.  8 de la Ley Adicional a la Orgánica del Poder Judicial y también la Sentencia de este Tribunal núm. 47/1983, de 31 de mayo (recurso de amparo 148/1981), admiten que toda Sala de lo Penal compuesta de diversas Secciones es un mismo órgano a los efectos de alcanzar el desarrollo de su función y por derivación el establecimiento de la jurisprudencia unificada, que regule con caracteres de seguridad y certeza la interpretación jurídica en materias determinadas, cual la extradición, y en el caso de examen la composición del Pleno se realizó con los mismos Magistrados que dictaron el Auto recurrido en la Sección, a los que se agregaron los Magistrados que componían las demás Secciones, y aquellos estimaron procedente -en unión de los últimos- rectificar su criterio otorgando la extradición antes denegada, por lo que, a su vez, su sola voluntad hubiera, en todo caso, conducido al propio efecto determinado en el Auto de 4 de febrero de 1985, objeto del recurso.</w:t>
      </w:r>
    </w:p>
    <w:p w:rsidR="00256EE9" w:rsidRDefault="00256EE9" w:rsidP="00256EE9">
      <w:pPr>
        <w:pStyle w:val="TextoNormal"/>
      </w:pPr>
    </w:p>
    <w:p w:rsidR="00256EE9" w:rsidRDefault="00256EE9" w:rsidP="00256EE9">
      <w:pPr>
        <w:pStyle w:val="TextoNormal"/>
      </w:pPr>
      <w:r w:rsidRPr="00256EE9">
        <w:rPr>
          <w:rStyle w:val="NumeroAFNegritaCaracter"/>
        </w:rPr>
        <w:t>4</w:t>
      </w:r>
      <w:r>
        <w:t>. Por todo lo expuesto debe entenderse que el tema planteado en el recurso de amparo no incide en el derecho a la tutela judicial efectiva, ni tampoco en el Juez predeterminado por la Ley, al no concurrir indefensión alguna, ni falta de garantías por la admisión del recurso de súplica y la decisión del mismo, ni tampoco se alteró el órgano jurisdiccional competente, tratándose en definitiva de cuestiones de mera legalidad las alegadas que encajan en las facultades de los Tribunales ordinarios, según lo dispuesto en el art. 117.3 de la Constitución, y que se hallan al margen de dichos derechos fundamentales que no han sido conculcados, por lo que resulta necesario aplicar la causa de inadmisión referida, que establece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 la inadmisión a trámite de los recursos de amparo números 49/1985 y 108/1985, interpuestos por el Procurador don Luciano Rosch Nadal en nombre y representación de don Daniel Colombo Monte, designado en las resoluciones judiciales</w:t>
      </w:r>
    </w:p>
    <w:p w:rsidR="00256EE9" w:rsidRDefault="00256EE9" w:rsidP="00256EE9">
      <w:pPr>
        <w:pStyle w:val="TextoNormal"/>
      </w:pPr>
      <w:r>
        <w:t>recurridas como Vito Badalamenti, y el archivo de las actuaciones.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58" w:name="AUTO_1985_197"/>
      <w:r>
        <w:lastRenderedPageBreak/>
        <w:t>AUTO 197/1985, de 13 de marzo de 1985</w:t>
      </w:r>
    </w:p>
    <w:bookmarkEnd w:id="258"/>
    <w:p w:rsidR="00256EE9" w:rsidRDefault="00256EE9" w:rsidP="00256EE9">
      <w:pPr>
        <w:pStyle w:val="TtuloResolucin"/>
      </w:pPr>
      <w:r>
        <w:t>Sala Segunda</w:t>
      </w:r>
    </w:p>
    <w:p w:rsidR="00256EE9" w:rsidRDefault="00256EE9" w:rsidP="00256EE9">
      <w:pPr>
        <w:pStyle w:val="TtuloResolucin"/>
      </w:pPr>
    </w:p>
    <w:p w:rsidR="00256EE9" w:rsidRDefault="00256EE9" w:rsidP="00256EE9">
      <w:pPr>
        <w:pStyle w:val="SntesisDescriptiva"/>
      </w:pPr>
      <w:r>
        <w:t>ECLI:ES:TC:1985:197A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don Luis Díez-Picazo y Ponce de León, don Francisco Tomás y Valiente, don Antonio Truyol Serra y don Francisco Pera Verdaguer.</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56/1985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pasado día 23 de enero quedó registrado en el Tribunal un escrito mediante el que don José Luis Granizo García-Cuenca, Procurador de los Tribunales de Madrid, interpuso recurso de amparo en nombre de su poderdante don Claudio Gallardo López, contra la Sentencia de la Sala Primera del Tribunal Supremo de 3 de diciembre de 1984. </w:t>
      </w:r>
    </w:p>
    <w:p w:rsidR="00256EE9" w:rsidRDefault="00256EE9" w:rsidP="00256EE9">
      <w:pPr>
        <w:pStyle w:val="TextoNormal"/>
      </w:pPr>
      <w:r>
        <w:t xml:space="preserve">La demanda de amparo se basa en que el recurrente avaló ante el Banco de España el redescuento de unas letras de cambio, por un montante conjunto de 25.000.000 de pesetas, que las «Cooperativas de Viviendas San Patricio y Virgen del Mar», de Málaga, habían descontado en la Caja de Créditos del Sur, Sociedad Cooperativa, de la propia ciudad de Málaga. Llegado el momento del vencimiento y resultando impagadas las letras, el Banco de España inició un juicio ejecutivo contra el señor Gallardo López, dictándose, a resultas de esta acción, Sentencia de remate y embargándose determinados bienes al ejecutado. Ejercitada por el señor Gallardo López la acción de resarcimiento del fiador, recayó Sentencia del Juzgado de Primera Instancia núm. 4 de los de Málaga, condenándose a las «Cooperativas de Viviendas San Patricio y Virgen del Mar» a consignar en el Juzgado las cantidades reclamadas, que quedarían a disposición del Banco de España si el actor aún no hubiere pagado o de este último si tal pago se hubiese ya efectuado. </w:t>
      </w:r>
    </w:p>
    <w:p w:rsidR="00256EE9" w:rsidRDefault="00256EE9" w:rsidP="00256EE9">
      <w:pPr>
        <w:pStyle w:val="TextoNormal"/>
      </w:pPr>
      <w:r>
        <w:t xml:space="preserve">Interpuesto recurso de apelación contra la Sentencia de Primera Instancia por la parte demandada, el mismo fue resuelto por Sentencia de la Sala de lo Civil de la Audiencia Territorial de Granada, confirmándose -por lo que al presente recurso de amparo interesa- lo fallado por el Juez de Instancia. Contra esta resolución recurrieron en casación las Cooperativas condenadas, invocando al efecto infracción de la Ley en la antedicha Sentencia de la Audiencia Territorial, toda vez -se alegaba- que los aceptantes de las letras ejecutadas fueron los Presidentes de dichas Cooperativas, quienes carecían de poder para ello según la legalidad aplicable. Por ello no podría legalmente el Presidente comprometer a la Sociedad Cooperativa si no fuera con el acuerdo de su Consejo Rector, sin que pueda tampoco producirse una apariencia engañosa para los terceros que se relacionan con el mismo, pues por imperativo legal carece de autonomía funcional externa. </w:t>
      </w:r>
    </w:p>
    <w:p w:rsidR="00256EE9" w:rsidRDefault="00256EE9" w:rsidP="00256EE9">
      <w:pPr>
        <w:pStyle w:val="TextoNormal"/>
      </w:pPr>
      <w:r>
        <w:t>Con fecha de 3 de diciembre de 1984 dictó Sentencia la Sala Primera del Tribunal Supremo, en la que, estimando que en la resolución recurrida se había cometido infracción de Ley por no haberse apreciado de oficio la situación obtativa de litis-consorcio pasivo ne</w:t>
      </w:r>
      <w:r>
        <w:lastRenderedPageBreak/>
        <w:t xml:space="preserve">cesario, se casó dicha resolución, disponiéndose la devolución a los recurrentes del depósito constituido. </w:t>
      </w:r>
    </w:p>
    <w:p w:rsidR="00256EE9" w:rsidRDefault="00256EE9" w:rsidP="00256EE9">
      <w:pPr>
        <w:pStyle w:val="TextoNormal"/>
      </w:pPr>
      <w:r>
        <w:t xml:space="preserve">Apreció así la Sala Primera que debían de haber sido demandados, junto con las mencionadas Cooperativas, sus propios Presidentes, al venir éstos directamente afectados por el objeto del proceso, ya que «de apreciarse que su actividad al respecto no era vinculante a las Cooperativas tan citadas, indudablemente llevaría a que fuesen personalmente responsables». En segunda Sentencia, la misma Sala, y sobre la base de la decisión anterior, declaró no haber lugar a pronunciarse en orden a las pretensiones formuladas en el «suplico» de la demanda inicial por don Claudio Gallardo López. </w:t>
      </w:r>
    </w:p>
    <w:p w:rsidR="00256EE9" w:rsidRDefault="00256EE9" w:rsidP="00256EE9">
      <w:pPr>
        <w:pStyle w:val="TextoNormal"/>
      </w:pPr>
      <w:r>
        <w:t>En virtud de todo ello, se pide del Tribunal que acuerde la suspensión de las Sentencias recurridas. Afirma el actor que, habiéndose trabado embargo preventivo sobre ciertos bienes de las Cooperativas recurrentes en casación, el levantamiento de tal medida a resultas de las Sentencias impugnadas provocaría «el consiguiente perjuicio para el aquí recurrente».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de este Tribunal, en su reunión del día 13 de febrero pasado, acordó formar la oportuna pieza para la tramitación de la suspensión de la ejecución de la Sentencia recurrida en amparo y, de conformidad con lo determinado en el art. 56 de la Ley Orgánica, conceder un plazo común de tres días a la representación del solicitante del amparo y al Ministerio Fiscal, para que aleguen lo que estimen conveniente en orden a la suspensión solicitada. </w:t>
      </w:r>
    </w:p>
    <w:p w:rsidR="00256EE9" w:rsidRDefault="00256EE9" w:rsidP="00256EE9">
      <w:pPr>
        <w:pStyle w:val="TextoNormal"/>
      </w:pPr>
      <w:r>
        <w:t xml:space="preserve">Dentro del mencionado término, el solicitante del amparo alega que la firmeza de la Sentencia recurrida en amparo podría dar lugar a que, recibida la correspondiente certificación en el Juzgado de Instancia, ordenase éste alzar los embargos preventivos que en su día se realizaron sobre determinados bienes de las Cooperativas que fueron demandadas en el proceso a quo de manera que, dada la situación precaria de tales Cooperativas que en su día puso de manifiesto en el incidente y que posteriormente ha debido agravarse por haberse enajenado numerosos bienes, puede lícitamente suponerse que la solvencia patrimonial de tales Entidades se volatizaría, haciendo en su día ilusorias las posibilidades de resarcimiento del solicitante del amparo. </w:t>
      </w:r>
    </w:p>
    <w:p w:rsidR="00256EE9" w:rsidRDefault="00256EE9" w:rsidP="00256EE9">
      <w:pPr>
        <w:pStyle w:val="TextoNormal"/>
      </w:pPr>
      <w:r>
        <w:t>El Fiscal General del Estado, en su escrito, manifiesta que no se opone a la suspensión solicitada.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56 de la Ley Orgánica de este Tribunal establece que la Sala que conozca de un recurso de amparo suspenderá de oficio o a instancia del recurrente la ejecución del acto de los Poderes Públicos, por razón del cual se reclame el amparo constitucional, cuando la ejecución del mismo hubiera de ocasionar un perjuicio que hiciese perder al amparo su finalidad.</w:t>
      </w:r>
    </w:p>
    <w:p w:rsidR="00256EE9" w:rsidRDefault="00256EE9" w:rsidP="00256EE9">
      <w:pPr>
        <w:pStyle w:val="TextoNormal"/>
      </w:pPr>
      <w:r>
        <w:t xml:space="preserve">En el presente caso, la Sentencia objeto del recurso de amparo, al casar y anular la Sentencia de la Audiencia Territorial de Granada, la deja sin efecto, por lo que es probable que las medidas ejecutorias acordadas en favor del solicitante del amparo sobre los bienes de los demandados en el proceso a quo sean levantadas, con merma evidente de los derechos de garantía acordados en su favor. Se estima procedente, pues, la suspensión, si bien condicionada a la constitución de afianzamiento bastante para asegurar la cobertura de los perjuicios que pudieran causarse a la otra parte civil, debiendo fijarse en la cantidad de </w:t>
      </w:r>
      <w:r>
        <w:lastRenderedPageBreak/>
        <w:t>2.188.000 pesetas, equivalente al interés, al 8 por 100, sobre el total por el que se instó el embargo, según los datos de que disponemos.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su virtud, la Sala acuerda dejar en suspenso la ejecutividad de la Sentencia de la Sala Primera del Tribunal Supremo de Justicia, de 3 de diciembre de 1984, dictada en el proceso de que el presente recurso de amparo trae causa, previa constitución de</w:t>
      </w:r>
    </w:p>
    <w:p w:rsidR="00256EE9" w:rsidRDefault="00256EE9" w:rsidP="00256EE9">
      <w:pPr>
        <w:pStyle w:val="TextoNormal"/>
      </w:pPr>
      <w:r>
        <w:t>afianzamiento en cualquiera de las formas admitidas en Derecho, por cuantía de 2.188.000 pesetas.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59" w:name="AUTO_1985_198"/>
      <w:r>
        <w:lastRenderedPageBreak/>
        <w:t>AUTO 198/1985, de 13 de marzo de 1985</w:t>
      </w:r>
    </w:p>
    <w:bookmarkEnd w:id="259"/>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ECLI:ES:TC:1985:198A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58/1985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registrado en este Tribunal el 25 de enero del año en curso, don Fernando Aragón Martín, Procurador de los Tribunales, en representación de don Erich Wacha, interpuso recurso de amparo constitucional contra el Auto 25/1984, de 7 de diciembre (rollo de Sala núm. 20/1984), resolviendo el recurso de súplica contra el Auto 21/1984, de 30 de octubre, de la Sección Primera de lo Penal de la Audiencia Nacional en el expediente gubernativo sobre extradición núm. 20/1984 del Juzgado Central de Instrucción núm. 1. </w:t>
      </w:r>
    </w:p>
    <w:p w:rsidR="00256EE9" w:rsidRDefault="00256EE9" w:rsidP="00256EE9">
      <w:pPr>
        <w:pStyle w:val="TextoNormal"/>
      </w:pPr>
      <w:r>
        <w:t xml:space="preserve">La demanda se basa en los siguientes hechos y fundamentos de Derecho. </w:t>
      </w:r>
    </w:p>
    <w:p w:rsidR="00256EE9" w:rsidRDefault="00256EE9" w:rsidP="00256EE9">
      <w:pPr>
        <w:pStyle w:val="TextoNormal"/>
      </w:pPr>
      <w:r>
        <w:t xml:space="preserve">a) El Juzgado Central de Instrucción núm. 1 abrió expediente gubernativo de extradición núm. 20/1984 contra don Erich Wacha, en virtud de una orden de detención de la Audiencia de lo Penal de Viena, de 29 de mayo de 1984, en la que se imputaba al citado señor Wacha que en connivencia con otro, también súbdito austríaco, contra el que se sigue procedimiento penal en Viena, el 25 de enero de 1984, portando armas de fuego, en Johanesburgo (Africa del Sur), abordaron al súbdito griego Pantelis Giannaras, y amedrentándole con las armas que portaban primero, y pulverizándole después la cara con un gas lacrimógeno, cegándole temporalmente, se apoderaron de dinero y joyas que la víctima llevaba por un importe de unos 6.000.000 de chelines austríacos y, además, le dispararon varias veces, infiriéndole heridas graves en el vientre y muslos. El perjudicado, señor Giannaras, presentó denuncia en Viena, que originó el proceso penal austríaco, por el que se produjo la petición de extradición. </w:t>
      </w:r>
    </w:p>
    <w:p w:rsidR="00256EE9" w:rsidRDefault="00256EE9" w:rsidP="00256EE9">
      <w:pPr>
        <w:pStyle w:val="TextoNormal"/>
      </w:pPr>
      <w:r>
        <w:t xml:space="preserve">b) A los efectos del cumplimiento del art. 17.2 de la Ley de 26 de diciembre de 1958, la representación del reclamado presentó escrito, pidiendo que se solicitara del Tribunal regional de Viena testimonio literal de las declaraciones que tenga prestadas el otro acusado, en lo que a su autoría se refiere y en lo que pueda afectar al señor Wacha, y que no se accediera a su extradición. </w:t>
      </w:r>
    </w:p>
    <w:p w:rsidR="00256EE9" w:rsidRDefault="00256EE9" w:rsidP="00256EE9">
      <w:pPr>
        <w:pStyle w:val="TextoNormal"/>
      </w:pPr>
      <w:r>
        <w:t xml:space="preserve">La referida prueba no fue atendida y se celebró la vista, dando lugar al Auto 21/1984, de 30 de octubre, por el que la Audiencia Nacional accedió a la extradición, rechazando los motivos de oposición aducidos por la defensa del señor Wacha. </w:t>
      </w:r>
    </w:p>
    <w:p w:rsidR="00256EE9" w:rsidRDefault="00256EE9" w:rsidP="00256EE9">
      <w:pPr>
        <w:pStyle w:val="TextoNormal"/>
      </w:pPr>
      <w:r>
        <w:t xml:space="preserve">c) Contra la anterior resolución se interpuso recurso de súplica en el que se solicitaba su anulación y que se ordenara recabar del Tribunal Regional de Viena testimonio de cuantas declaraciones se hubieran prestado en el procedimiento abierto contra el señor Wacha y demás pruebas documentales, pertinentes para el conocimiento más exacto de los hechos </w:t>
      </w:r>
      <w:r>
        <w:lastRenderedPageBreak/>
        <w:t xml:space="preserve">que se imputaban, así como que se comprobase debidamente si el hecho por el que se pide la extradición resultaba punible en la República de Suráfrica. </w:t>
      </w:r>
    </w:p>
    <w:p w:rsidR="00256EE9" w:rsidRDefault="00256EE9" w:rsidP="00256EE9">
      <w:pPr>
        <w:pStyle w:val="TextoNormal"/>
      </w:pPr>
      <w:r>
        <w:t xml:space="preserve">La Audiencia Nacional, reunida en Pleno en Sala de lo Penal, dictó Auto el 7 de diciembre de 1984, por el que desestimaba el recurso de súplica interpuesto. </w:t>
      </w:r>
    </w:p>
    <w:p w:rsidR="00256EE9" w:rsidRDefault="00256EE9" w:rsidP="00256EE9">
      <w:pPr>
        <w:pStyle w:val="TextoNormal"/>
      </w:pPr>
      <w:r>
        <w:t xml:space="preserve">d) En la demanda, antes de las alegaciones jurídico-materiales, en el punto 3 de los antecedentes, se dice que en el expediente de extradición consta que al demandante se le intervinieron cartas escritas y enviadas por él o recibidas en la prisión, sin que conste que lo fueron por orden del Director, notificada al interno y comunicada a la Autoridad judicial, como preceptúa el art. 96.4 del Reglamento de Servicios Penitenciarios, por lo que la utilización de dichas cartas como medios de prueba, tal y como se ha hecho para fundamentar la concesión de la extradición, vulnera lo dispuesto en los artículos 17.3 y 17.5 de la C. E. y, en concreto, el derecho de toda persona detenida de ser informada de sus derechos y el derecho a no ser privado o limitado en su libertad si no es según corresponde a «el sentido de la pena y la Ley penitenciaria». </w:t>
      </w:r>
    </w:p>
    <w:p w:rsidR="00256EE9" w:rsidRDefault="00256EE9" w:rsidP="00256EE9">
      <w:pPr>
        <w:pStyle w:val="TextoNormal"/>
      </w:pPr>
      <w:r>
        <w:t xml:space="preserve">e) La demanda de amparo entiende que el Auto del Pleno de la Audiencia Nacional infringe el derecho fundamental a «utilizar los medios de prueba pertinentes para su defensa», por cuanto la prueba solicitada de que se recabara información del Tribunal Regional de Viena, resultaba esencial para saber si se cumplían los condicionamientos de la extradición. En concreto, con la documentación requerida, el ahora demandante trataba de probar que había actuado como simple cómplice de delito previsto en el art. 501.4 del Código Penal, por lo que, en virtud de lo dispuesto en los arts. 16 y 53 del mismo Código, la pena prevista en la Ley penal sería la de prisión menor, no equiparable a la pena grave requerida en el art. 340 de la Ley Orgánica del Poder Judicial (L. O. P. J.), pues a tenor de lo dispuesto en los arts. 6.26 y 29 del Código Penal de 1870, delitos graves eran los castigados con penas superiores a los seis años. </w:t>
      </w:r>
    </w:p>
    <w:p w:rsidR="00256EE9" w:rsidRDefault="00256EE9" w:rsidP="00256EE9">
      <w:pPr>
        <w:pStyle w:val="TextoNormal"/>
      </w:pPr>
      <w:r>
        <w:t xml:space="preserve">f) También estima el demandante que le produce indefensión el hecho de que en el Auto recurrido no se haya atendido a su observación de que no consta en el expediente de extradición que el hecho sea delito en Sudáfrica, cuando el art. 341 de la L. O. P. J. requiere que, efectivamente, lo sea en el país en que se perpetró. </w:t>
      </w:r>
    </w:p>
    <w:p w:rsidR="00256EE9" w:rsidRDefault="00256EE9" w:rsidP="00256EE9">
      <w:pPr>
        <w:pStyle w:val="TextoNormal"/>
      </w:pPr>
      <w:r>
        <w:t xml:space="preserve">g) Por último, denuncia el recurrente la vulneración del derecho a obtener la tutela efectiva de Jueces y Tribunales, en razón a que la Audiencia Nacional, en el Auto recurrido parece entender que la facultad del art. 7.2 del Convenio europeo de Extradición puede ser ejercida sin motivación alguna, siendo así que el arbitrio judicial a que se refiere el mencionado precepto debe ser ejercido tras el estudio y conocimiento exacto del cumplimiento o no de los requisitos precisos para la concesión de la extradición, que es lo que no se ha hecho en el repetido Auto, porque no admitir las pruebas solicitadas significa que la Audiencia Nacional considera indiferente que el demandante actuara como autor, coautor, partícipe o simple cómplice del hecho que se le imputa. </w:t>
      </w:r>
    </w:p>
    <w:p w:rsidR="00256EE9" w:rsidRDefault="00256EE9" w:rsidP="00256EE9">
      <w:pPr>
        <w:pStyle w:val="TextoNormal"/>
      </w:pPr>
      <w:r>
        <w:t>Por todo ello, el promovente del amparo suplica Sentencia en la que se acuerde anular el Auto recurrido y ordenar la práctica de las pruebas solicitadas.</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13 de febrero de 1985, la Sección acordó poner de manifiesto al solicitante y al Ministerio Fiscal la posible existencia de la causa de inadmisibilidad que regula el art. 50.2 b) de la LOTC, y en aplicación de lo dispuesto en el art. 50 de la indicada Ley Orgánica, otorgarles un plazo común de diez días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El demandante, en escrito ingresado el 28 de febrero, señaló que no realizaría en él una ampliación o profundización de las alegaciones ya presentadas en su recurso de re</w:t>
      </w:r>
      <w:r>
        <w:lastRenderedPageBreak/>
        <w:t>forma, sino «una exposición sintética y más clara de aquellas alegaciones para poner de relieve que nuestra demanda contiene elementos suficientes que justifiquen una decisión por parte del Tribunal Constitucional». De hecho, insiste el escrito en las razones ya dadas en la demanda, subrayando que, al no haber atendido a las pruebas solicitadas, el juzgador no puede conocer si la Ley penal española hubiera sido aplicable a un delito del mismo género cometido fuera del territorio español y por lo tanto no puede ejercer la facultad arbitral que establece el art. 7.2 del Convenio europeo, y concluye solicitando la admisión del recurso.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Fiscal ante el Tribunal Constitucional, por su parte, despachó el trámite con escrito de 25 de febrero. Empieza con la observación de que el amparo tiene por objeto el Auto de la Sala de lo Penal de la Audiencia Nacional y no el Auto resolviendo el recurso de súplica, ya que fue en aquél en el que se dieron, según el recurrente, las violaciones denunciadas. Entrando en el estudio de dichas violaciones, sus alegaciones al respecto pueden resumirse como sigue: </w:t>
      </w:r>
    </w:p>
    <w:p w:rsidR="00256EE9" w:rsidRDefault="00256EE9" w:rsidP="00256EE9">
      <w:pPr>
        <w:pStyle w:val="TextoNormal"/>
      </w:pPr>
      <w:r>
        <w:t xml:space="preserve">a) La extradición, institución de auxilio jurídico internacional, no es un juicio sobre el delito imputado, sino un examen de la concurrencia de los requisitos, y el Tribunal no puede, pues, entrar en el fondo del problema sin desnaturalizarla. Aquí, el Tribunal aduce que entrar, como se solicita, en la determinación del grado de participación, es conocer del fondo, a lo que no está llamado el órgano que entiende de la extradición. La autorización que el art. 13 del Convenio europeo de Extradición da al Tribunal de solicitar información complementaria deja, con carácter discrecional, la determinación de la eventual insuficiencia al propio Tribunal, que aquí entendió que la prueba solicitada se refería al delito como hecho. Y la ponderación necesaria en la potestad del Tribunal para conceder o denegar la extradición aparece acreditada en su resolución, situada en el campo de la legalidad ordinaria. </w:t>
      </w:r>
    </w:p>
    <w:p w:rsidR="00256EE9" w:rsidRDefault="00256EE9" w:rsidP="00256EE9">
      <w:pPr>
        <w:pStyle w:val="TextoNormal"/>
      </w:pPr>
      <w:r>
        <w:t xml:space="preserve">b) En cuanto a la alegación de no haberse acreditado por el Estado requirente que el delito de robo a mano armada, con heridas graves a una persona con armas de fuego lo sea en la República Sudafricana, el delito imputado es de tal entidad que la falta de constancia de que lo sea no afecta a los derechos fundamentales del recurrente. La evidencia que manifiesta el Tribunal hace que considere cumplido el requisito exigido por la Ley. Una omisión formal razonada no significa aquí indefensión. </w:t>
      </w:r>
    </w:p>
    <w:p w:rsidR="00256EE9" w:rsidRDefault="00256EE9" w:rsidP="00256EE9">
      <w:pPr>
        <w:pStyle w:val="TextoNormal"/>
      </w:pPr>
      <w:r>
        <w:t>c) En conclusión, la resolución no infringe el art. 7.2 del Convenio europeo de Extradición ni el 24.1 de la Constitución; está fundada racionalmente en Derecho en el ejercicio de la facultad del Tribunal, por lo que se solicita la desestimación de la demanda, al incidir en la causa del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recurrente hace una referencia a una intervención de cartas escritas y enviadas por él o recibidas en la prisión, sin que conste la observancia del art.  96.4 del Reglamento de Servicios Penitenciarios, referencia previa a las alegaciones propiamente dichas de su demanda.  Con respecto a la misma, tras observar que no se insiste en ella ni se reproduce para fundamentar el amparo, cabe señalar, de conformidad con el considerando quinto del Auto impugnado, que el acuerdo de entrega del demandante no aparece fundado en la existencia de las mencionadas cartas y que, de haberse producido alguna irregularidad en la intervención de las mismas, debió denunciarse en su momento, no ahora, cuando lo que </w:t>
      </w:r>
      <w:r>
        <w:lastRenderedPageBreak/>
        <w:t>se cuestiona es la concesión de la extradición, que se efectuó, como se acaba de señalar, al margen de tales hechos.</w:t>
      </w:r>
    </w:p>
    <w:p w:rsidR="00256EE9" w:rsidRDefault="00256EE9" w:rsidP="00256EE9">
      <w:pPr>
        <w:pStyle w:val="TextoNormal"/>
      </w:pPr>
    </w:p>
    <w:p w:rsidR="00256EE9" w:rsidRDefault="00256EE9" w:rsidP="00256EE9">
      <w:pPr>
        <w:pStyle w:val="TextoNormal"/>
      </w:pPr>
      <w:r w:rsidRPr="00256EE9">
        <w:rPr>
          <w:rStyle w:val="NumeroAFNegritaCaracter"/>
        </w:rPr>
        <w:t>2</w:t>
      </w:r>
      <w:r>
        <w:t>. La violación del derecho a utilizar los medios de prueba pertinentes para la defensa, reconocida en el art.  24.2 de la Constitución, que el recurrente pretende verificada, carece de fundamento.  En efecto, con independencia de que el Convenio europeo de Extradición, en su art.  2, consiente la extradición por hechos castigados con pena privativa de libertad, cuya duración máxima sea de un año por lo menos, lo que se perseguía por la defensa del solicitante al pedir unas pruebas, a cuya denegación atribuye la vulneración constitucional invocada, era comprobar el grado de la participación criminal del reclamado en los hechos que se le imputan, pues, a su juicio, de las pruebas utilizadas en el expediente de extradición se podía constatar que la suya era una conducta de simple complicidad, con pena prevista de prisión menor en el Código Penal español, que no autoriza a la extradición, y es claro que a la Audiencia Nacional no le competía admitir ni practicar prueba alguna sobre los hechos, por vedárselo el art.  18 de la Ley de 26 de diciembre de 1958 de extradición. La valoración de los hechos, su subsunción en uno u otro tipo penal, la determinación de la participación delictiva, son materias que corresponden al órgano judicial que los enjuicia, no al órgano que sólo ha de velar por el cumplimiento de los requisitos y condiciones exigidos para la concesión de la extradición.  Si la Audiencia Nacional ha estimado que de la información remitida por las Autoridades austríacas se deriva que se cumplen tales condiciones, y se ha abstenido de entrar en el fondo del asunto, no ha hecho sino cumplir lo establecido por la citada disposición. Por lo demás, la Audiencia Nacional, en el Auto impugnado, advierte que la imputación que se hace al reclamado, del delito de robo con intimidación en las personas, uso de armas y causación de lesiones, «por ahora, y sin perjuicio de lo que resuelva el Tribunal austríaco competente, lo es por el concepto de coautoría», que lleva emparejada pena superior a la aflictiva.</w:t>
      </w:r>
    </w:p>
    <w:p w:rsidR="00256EE9" w:rsidRDefault="00256EE9" w:rsidP="00256EE9">
      <w:pPr>
        <w:pStyle w:val="TextoNormal"/>
      </w:pPr>
    </w:p>
    <w:p w:rsidR="00256EE9" w:rsidRDefault="00256EE9" w:rsidP="00256EE9">
      <w:pPr>
        <w:pStyle w:val="TextoNormal"/>
      </w:pPr>
      <w:r w:rsidRPr="00256EE9">
        <w:rPr>
          <w:rStyle w:val="NumeroAFNegritaCaracter"/>
        </w:rPr>
        <w:t>3</w:t>
      </w:r>
      <w:r>
        <w:t>. Tampoco presenta consistencia la denunciada indefensión que se vincula a no haberse atendido a la observación del demandante sobre la no constancia en el expediente de si el hecho que motiva la solicitud de extradición es delito en Sudáfrica, presumiéndose que lo es, por cuanto el Pleno de la Audiencia Nacional consideró que «hubiera resultado por lo menos extravagante» el interesar de las autoridades austríacas la prueba de la inclusión del robo con violencia en el catálogo delictivo existente en la República de Sudáfrica.  No es preciso acudir al denominado delito natural, que carece de apoyo legal, para llegar a la convicción de que tal conducta está penada en cualquier país.</w:t>
      </w:r>
    </w:p>
    <w:p w:rsidR="00256EE9" w:rsidRDefault="00256EE9" w:rsidP="00256EE9">
      <w:pPr>
        <w:pStyle w:val="TextoNormal"/>
      </w:pPr>
    </w:p>
    <w:p w:rsidR="00256EE9" w:rsidRDefault="00256EE9" w:rsidP="00256EE9">
      <w:pPr>
        <w:pStyle w:val="TextoNormal"/>
      </w:pPr>
      <w:r w:rsidRPr="00256EE9">
        <w:rPr>
          <w:rStyle w:val="NumeroAFNegritaCaracter"/>
        </w:rPr>
        <w:t>4</w:t>
      </w:r>
      <w:r>
        <w:t>. Por último, la vulneración que se alega del derecho a la tutela efectiva de Jueces y Tribunales, que el recurrente entiende producida al no haber motivado la Audiencia Nacional su resolución, dado que no admitió ni practicó las pruebas solicitadas que habrían permitido llegar a la conclusión de que había intervenido como cómplice, aparece claramente emparentada con la invocación ya analizada, del derecho a utilizar los medios de prueba pertinentes.  En consecuencia, las consideraciones hechas al tratar aquel extremo son reproducibles aquí. En todo caso, cabe aducir que el Auto de la Audiencia Nacional está motivado y en él se da respuesta a las diferentes cuestiones planteadas en el escrito mediante el que se interpuso el recurso de súplica.</w:t>
      </w:r>
    </w:p>
    <w:p w:rsidR="00256EE9" w:rsidRDefault="00256EE9" w:rsidP="00256EE9">
      <w:pPr>
        <w:pStyle w:val="TextoNormal"/>
      </w:pPr>
      <w:r>
        <w:t xml:space="preserve">De lo dicho se sigue la necesidad de declarar inadmisible el presente recurso por falta de contenido constitucional conforme al art.  50.2 b) de la LOTC. La demanda de amparo </w:t>
      </w:r>
      <w:r>
        <w:lastRenderedPageBreak/>
        <w:t>y las subsiguientes alegaciones evidencian que este recurso se ha interpuesto temerariamente, conducta que este Tribunal no puede dejar sin censura, haciendo uso de las facultades que le confiere el art. 95.3 de la Ley Orgánica de este Tribunal, imponiendo al recurrente las costas causadas y una sanción pecuniaria de 25.000 pesetas.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declarar inadmisible el presente recurso de amparo y condenar al recurrente a las costas y a una sanción pecuniaria de 25.000 pesetas.</w:t>
      </w:r>
    </w:p>
    <w:p w:rsidR="00256EE9" w:rsidRDefault="00256EE9" w:rsidP="00256EE9">
      <w:pPr>
        <w:pStyle w:val="TextoNormal"/>
      </w:pPr>
    </w:p>
    <w:p w:rsidR="00256EE9" w:rsidRDefault="00256EE9" w:rsidP="00256EE9">
      <w:pPr>
        <w:pStyle w:val="TextoNormal"/>
      </w:pPr>
      <w:r>
        <w:t>Madrid, a trece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0" w:name="AUTO_1985_199"/>
      <w:r>
        <w:lastRenderedPageBreak/>
        <w:t>AUTO 199/1985, de 14 de marzo de 1985</w:t>
      </w:r>
    </w:p>
    <w:bookmarkEnd w:id="260"/>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ECLI:ES:TC:1985:199A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256EE9" w:rsidRDefault="00256EE9" w:rsidP="00256EE9">
      <w:pPr>
        <w:pStyle w:val="SntesisDescriptiva"/>
      </w:pPr>
    </w:p>
    <w:p w:rsidR="00256EE9" w:rsidRDefault="00256EE9" w:rsidP="00256EE9">
      <w:pPr>
        <w:pStyle w:val="SntesisDescriptiva"/>
      </w:pPr>
      <w:r>
        <w:t>Acordando la acumulación de los conflictos positivos de competencia 838, 839, 840 y 841/1984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30 de noviembre de 1984, el Letrado don Heriberto García Seijo, en nombre del Gobierno de la Nacionalidad Gallega, formula conflicto positivo de competencia contra el Gobierno de la Nación que, a través del Ministerio de Transportes, Turismo y Comunicaciones, ha dictado la Orden de 19 de julio de 1984, sobre convocatoria de concurso de subvenciones a fondo perdido para el fomento de las ofertas turísticas especializadas. El planteamiento del conflicto se deduce frente a todos los preceptos de la expresada Orden de 19 de julio de 1984, con la pretensión de que se dicte Sentencia en la que se declare que la competencia controvertida está atribuida a la Comunidad Autónoma de Galicia dentro de su ámbito territorial, que la Orden objeto del conflicto es nula de pleno Derecho y, asimismo, que las dotaciones económicas que convoca la Orden impugnada constituyen una competencia de la Comunidad Autónoma en cuanto a su ejecución y administración, con la obligada derivación de su convocatoria, concesión, gestión e inspección en el ámbito territorial autónomo.</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la Sección Segunda, de 5 de diciembre de 1984, se acordó admitir a trámite el conflicto, dar traslado del mismo al Gobierno de la Nación, dirigir comunicación al Presidente de la Audiencia Nacional y publicar la formalización del conflicto.</w:t>
      </w:r>
    </w:p>
    <w:p w:rsidR="00256EE9" w:rsidRDefault="00256EE9" w:rsidP="00256EE9">
      <w:pPr>
        <w:pStyle w:val="TextoNormal"/>
      </w:pPr>
    </w:p>
    <w:p w:rsidR="00256EE9" w:rsidRDefault="00256EE9" w:rsidP="00256EE9">
      <w:pPr>
        <w:pStyle w:val="TextoNormal"/>
      </w:pPr>
      <w:r w:rsidRPr="00256EE9">
        <w:rPr>
          <w:rStyle w:val="NumeroAFNegritaCaracter"/>
        </w:rPr>
        <w:t>3</w:t>
      </w:r>
      <w:r>
        <w:t>. Por escrito de 20 de diciembre de 1984, el Abogado del Estado solicita la acumulación de los conflictos núms. 838/1984, 839/1984, 840/1984 y 841/1984, promovidos por la Junta de Galicia, con suspensión del plazo. El Abogado del Estado manifiesta que, aun cuando los conflictos que se reseñan se refieren a diferentes Ordenes ministeriales, todas ellas revisten una evidente semejanza tanto por el órgano del que emanan y la materia a que se refieren como por la técnica y finalidad de sus preceptos; esta semejanza se acusa en los escritos de promoción de los referidos conflictos, hasta el punto de ser prácticamente idénticos, por lo que concurren las razones para su acumulación que contempla el art. 83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15 de enero de 1985, la Sección acordó otorgar un plazo de diez días al representante de la Junta de Galicia para que alegara lo que estimara conveniente acerca de la acumulación solicitada.</w:t>
      </w:r>
    </w:p>
    <w:p w:rsidR="00256EE9" w:rsidRDefault="00256EE9" w:rsidP="00256EE9">
      <w:pPr>
        <w:pStyle w:val="TextoNormal"/>
      </w:pPr>
    </w:p>
    <w:p w:rsidR="00256EE9" w:rsidRDefault="00256EE9" w:rsidP="00256EE9">
      <w:pPr>
        <w:pStyle w:val="TextoNormal"/>
      </w:pPr>
      <w:r w:rsidRPr="00256EE9">
        <w:rPr>
          <w:rStyle w:val="NumeroAFNegritaCaracter"/>
        </w:rPr>
        <w:t>5</w:t>
      </w:r>
      <w:r>
        <w:t>. Por escrito de 28 de enero de 1985, la representación de la Junta de Galicia manifiesta su conformidad con la acumulación solicitada, por concurrir los presupuestos que contempla el art. 83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Los conflictos núms. 838/1984, 839/1984 y 840/1984 fueron promovidos por la Junta de Galicia en relación con las siguientes Ordenes ministeriales del Ministerio de Transportes, Turismo y Comunicaciones: </w:t>
      </w:r>
    </w:p>
    <w:p w:rsidR="00256EE9" w:rsidRDefault="00256EE9" w:rsidP="00256EE9">
      <w:pPr>
        <w:pStyle w:val="TextoNormal"/>
      </w:pPr>
      <w:r>
        <w:t xml:space="preserve">a) El conflicto núm. 838/1984 se promovió por escrito presentado en 30 de noviembre de 1984, respecto de la Orden ministerial de 19 de julio de 1984 sobre la convocatoria de concurso de subvenciones a fondo perdido para la promoción y comercialización del turismo rural, siendo admitido por providencia de la Sección Cuarta de 5 de diciembre de 1984. </w:t>
      </w:r>
    </w:p>
    <w:p w:rsidR="00256EE9" w:rsidRDefault="00256EE9" w:rsidP="00256EE9">
      <w:pPr>
        <w:pStyle w:val="TextoNormal"/>
      </w:pPr>
      <w:r>
        <w:t xml:space="preserve">b) El conflicto núm. 839/1984 se promovió por escrito presentado en 30 de noviembre de 1984, respecto de la Orden ministerial de 19 de julio de 1984 sobre concurso de subvenciones a fondo perdido para reforma de establecimientos hoteleros de explotación familiar, siendo admitido por providencia de la Sección Tercera de 5 de diciembre de 1984. </w:t>
      </w:r>
    </w:p>
    <w:p w:rsidR="00256EE9" w:rsidRDefault="00256EE9" w:rsidP="00256EE9">
      <w:pPr>
        <w:pStyle w:val="TextoNormal"/>
      </w:pPr>
      <w:r>
        <w:t>c) El conflicto núm. 840/1984 se promovió por escrito presentado en 30 de noviembre de 1984, respecto de la Orden ministerial de 19 de julio de 1984 sobre concurso para la concesión de ayudas a los proyectos de construcción de campings a realizar en el año 1984, siendo admitido por providencia de la Sección Segunda de 5 de diciembre de 1984.</w:t>
      </w:r>
    </w:p>
    <w:p w:rsidR="00256EE9" w:rsidRDefault="00256EE9" w:rsidP="00256EE9">
      <w:pPr>
        <w:pStyle w:val="TextoNormal"/>
      </w:pPr>
    </w:p>
    <w:p w:rsidR="00256EE9" w:rsidRDefault="00256EE9" w:rsidP="00256EE9">
      <w:pPr>
        <w:pStyle w:val="TextoNormal"/>
      </w:pPr>
      <w:r w:rsidRPr="00256EE9">
        <w:rPr>
          <w:rStyle w:val="NumeroAFNegritaCaracter"/>
        </w:rPr>
        <w:t>7</w:t>
      </w:r>
      <w:r>
        <w:t>. Por Auto de 21 de febrero de 1985, el Pleno del Tribunal acordó acumular al conflicto núm. 838/1984 el conflicto núm. 891/1984, promovido por la Generalidad de Cataluña en relación con la Orden ministerial de 19 de julio de 1984, por la que se convoca concurso de subvenciones a fondo perdido para la promoción y comercialización del turismo rural.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acumulación de procesos, esto es, la reunión de dos o más procesos ya incoados a fin de que, viniendo a formar uno solo, se continúen y decidan en un solo juicio, está admitida por el art. 83 de la LOTC, cuando entre los objetos de cada uno de ellos se dé una conexión que justifique la unidad de tramitación y decisión.</w:t>
      </w:r>
    </w:p>
    <w:p w:rsidR="00256EE9" w:rsidRDefault="00256EE9" w:rsidP="00256EE9">
      <w:pPr>
        <w:pStyle w:val="TextoNormal"/>
      </w:pPr>
      <w:r>
        <w:t>En el presente caso, como pone de relieve el Abogado del Estado y el representante de la Junta de Galicia, existe una conexión entre las Ordenes ministeriales objeto del conflicto que justifica la unidad de tramitación y decisión, dado que los escritos de promoción de cada conflicto son prácticamente idénticos y evidencian que los títulos competenciales en que se fundamenta la posición de la Junta son los mismos en cada uno de ellos.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Por lo expuesto, el Tribunal acuerda la acumulación de los conflictos números 839/1984, 840/1984 y 841/1984 al 838/1984, todos ellos promovidos por la Junta de Galicia, y asimismo alzar la suspensión del plazo que se concedió al Gobierno para formular</w:t>
      </w:r>
    </w:p>
    <w:p w:rsidR="00256EE9" w:rsidRDefault="00256EE9" w:rsidP="00256EE9">
      <w:pPr>
        <w:pStyle w:val="TextoNormal"/>
      </w:pPr>
      <w:r>
        <w:t>alegaciones en los mismos, otorgándole un plazo de veinte días para que aporte cuantos documentos y alegaciones considere convenientes.</w:t>
      </w:r>
    </w:p>
    <w:p w:rsidR="00256EE9" w:rsidRDefault="00256EE9" w:rsidP="00256EE9">
      <w:pPr>
        <w:pStyle w:val="TextoNormal"/>
      </w:pPr>
    </w:p>
    <w:p w:rsidR="00256EE9" w:rsidRDefault="00256EE9" w:rsidP="00256EE9">
      <w:pPr>
        <w:pStyle w:val="TextoNormal"/>
      </w:pPr>
      <w:r>
        <w:t>Madrid, a catorce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1" w:name="AUTO_1985_200"/>
      <w:r>
        <w:lastRenderedPageBreak/>
        <w:t>AUTO 200/1985, de 14 de marzo de 1985</w:t>
      </w:r>
    </w:p>
    <w:bookmarkEnd w:id="261"/>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ECLI:ES:TC:1985:200A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Denegando la solicitud de recibimiento a prueba en el conflicto positivo de competencia 883/1984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Mediante escrito presentado ante este Tribunal Constitucional (T. C.) el día 17 de diciembre de 1984, el Abogado del Estado, en la representación que ostenta, planteó en nombre del Gobierno de la Nación conflicto constitucional positivo de competencia frente al Consejo de Gobierno de Cantabria, en relación con la Orden de 24 de junio de 1984, de la Consejería de Industria, Transportes, Comunicaciones y Turismo, publicada en el «Boletín Oficial de Cantabria» de 15 de agosto de 1984, de convocatoria de exámenes para guías y guías-intérpretes, con la solicitud de que se dicte Sentencia por la que se declare la titularidad estatal de la competencia controvertida, con anulación de la disposición impugnada, haciendo invocación expresa del art. 161.2 de la Constitución Española (C. E.).</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Segunda del Pleno de este Tribunal Constitucional acordó, por providencia de 19 de diciembre de 1984, admitir a trámite el conflicto positivo de competencia planteado por el Abogado del Estado, en representación del Gobierno, y dar traslado de la demanda y documentos presentados al Consejo de Gobierno de Cantabria para que, en el plazo de veinte días, aportara cuantos documentos y alegaciones considerase convenientes.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29 de enero de 1985 tuvo entrada en este Tribunal Constitucional escrito de don José Palacios Landazábal, quien comparece en nombre y representación del Consejo de Gobierno de Cantabria, para formular las alegaciones que estimó procedentes con arreglo a lo prevenido en el art. 64.1 de la LOTC y aportar la documentación pertinente, interesando por otrosí el recibimiento del procedimiento a prueba. </w:t>
      </w:r>
    </w:p>
    <w:p w:rsidR="00256EE9" w:rsidRDefault="00256EE9" w:rsidP="00256EE9">
      <w:pPr>
        <w:pStyle w:val="TextoNormal"/>
      </w:pPr>
      <w:r>
        <w:t>Por providencia de 30 de enero de 1985 se acordó tener por formuladas las alegaciones antedichas en nombre del Consejo de Gobierno de Cantabria y requerir, con carácter previo al acuerdo sobre recibimiento del procedimiento a prueba, al representante del mencionado Consejo de Gobierno, para que concrete lo que ha de ser objeto de la misma y los medios de que pretende valerse.</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En el plazo concedido, el representante del Consejo de Gobierno señala como objeto de la prueba: 1.° la existencia de disposiciones similares o incluso idénticas de otras Comunidades Autónomas, como Cataluña, a probar mediante el «Boletín Oficial del Estado», y 2.° las circulares de la Secretaría General de Turismo en materia de guías y guías-intérpretes de turismo, según la documentación que obre en dicha Secretaría y en la Consejería de Industria, Transportes y Comunicaciones y Turismo de la Diputación Regional de Cantabria.</w:t>
      </w:r>
    </w:p>
    <w:p w:rsidR="00256EE9" w:rsidRDefault="00256EE9" w:rsidP="00256EE9">
      <w:pPr>
        <w:pStyle w:val="TextoNormal"/>
      </w:pPr>
    </w:p>
    <w:p w:rsidR="00256EE9" w:rsidRDefault="00256EE9" w:rsidP="00256EE9">
      <w:pPr>
        <w:pStyle w:val="TextoNormal"/>
      </w:pPr>
      <w:r w:rsidRPr="00256EE9">
        <w:rPr>
          <w:rStyle w:val="NumeroAFNegritaCaracter"/>
        </w:rPr>
        <w:t>5</w:t>
      </w:r>
      <w:r>
        <w:t>. Dado traslado del anterior escrito al Abogado del Estado por providencia de 27 de febrero de 1985, dicha representación formula sus alegaciones oponiéndose a la prueba que se solicita por tratarse, en un caso, de normas jurídicas ajenas a los hechos y en otro por no justificarse su relación o trascendencia con respecto a las alegaciones de fondo, por lo que deben estimarse gratuitas.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art. 89.1 de la LOTC dispone que el Tribunal Constitucional, de oficio o a instancia de parte, podrá acordar la práctica de prueba cuando lo estime necesario.</w:t>
      </w:r>
    </w:p>
    <w:p w:rsidR="00256EE9" w:rsidRDefault="00256EE9" w:rsidP="00256EE9">
      <w:pPr>
        <w:pStyle w:val="TextoNormal"/>
      </w:pPr>
      <w:r>
        <w:t>La representación del Consejo de Gobierno de Cantabria propone, en primer lugar, como objeto de prueba la existencia de disposiciones similares a la ahora impugnada dictadas por otras Comunidades Autónomas, y en concreto, por el Departamento de Comunicaciones y Turismo de la Generalidad de Cataluña. A este respecto ha de señalarse que tanto en los procesos ordinarios como en los constitucionales, la prueba debe versar sobre hechos, por lo que no es pertinente probar normas cualquiera que sea su rango o naturaleza.</w:t>
      </w:r>
    </w:p>
    <w:p w:rsidR="00256EE9" w:rsidRDefault="00256EE9" w:rsidP="00256EE9">
      <w:pPr>
        <w:pStyle w:val="TextoNormal"/>
      </w:pPr>
    </w:p>
    <w:p w:rsidR="00256EE9" w:rsidRDefault="00256EE9" w:rsidP="00256EE9">
      <w:pPr>
        <w:pStyle w:val="TextoNormal"/>
      </w:pPr>
      <w:r w:rsidRPr="00256EE9">
        <w:rPr>
          <w:rStyle w:val="NumeroAFNegritaCaracter"/>
        </w:rPr>
        <w:t>2</w:t>
      </w:r>
      <w:r>
        <w:t>. En cuanto a las circulares de la Secretaría General de Turismo en materia de guías y guías-intérpretes de turismo, nada impide a la parte requerida aportar, como ya lo ha hecho en su escrito de alegaciones, la documentación que estime conveniente, al objeto de que sea valorada, en lo que proceda, por este Tribunal Constitucional, sin que para ello deba habilitarse un cauce o trámite específico de carácter probatorio.  Por otra parte, no existe obstáculo alguno a que el Tribunal Constitucional recabe conforme al art. 88 de la LOTC los informes que juzgue convenientes, en cualquier momento, sobre determinados puntos que considere de interés para la decisión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lo expuesto, se acuerda denegar el recibimiento a prueba de la solicitada por la representación del Consejo de Gobierno de Cantabria.</w:t>
      </w:r>
    </w:p>
    <w:p w:rsidR="00256EE9" w:rsidRDefault="00256EE9" w:rsidP="00256EE9">
      <w:pPr>
        <w:pStyle w:val="TextoNormal"/>
      </w:pPr>
    </w:p>
    <w:p w:rsidR="00256EE9" w:rsidRDefault="00256EE9" w:rsidP="00256EE9">
      <w:pPr>
        <w:pStyle w:val="TextoNormal"/>
      </w:pPr>
      <w:r>
        <w:t>Madrid, a catorce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2" w:name="AUTO_1985_201"/>
      <w:r>
        <w:lastRenderedPageBreak/>
        <w:t>AUTO 201/1985, de 14 de marzo de 1985</w:t>
      </w:r>
    </w:p>
    <w:bookmarkEnd w:id="262"/>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ECLI:ES:TC:1985:201A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la acumulación de los conflictos positivos de competencia 652 y 923/1984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28 de diciembre de 1984 tiene entrada en este Tribunal escrito del Abogado del Estado que, en representación del Gobierno de la Nación, promueve conflicto positivo de competencia, registrado con el núm. 923/1984, frente al Decreto 182/1984, de 14 de agosto, dictado por la Diputación Foral de Navarra «sobre normalización de situaciones para vehículos de viajeros y mercancías cuya residencia haya sido fijada en Navarra», haciendo invocación expresa del art. 161.2 de la Constitución a efectos de la suspensión del Decreto impugnado en su art. 2.1. </w:t>
      </w:r>
    </w:p>
    <w:p w:rsidR="00256EE9" w:rsidRDefault="00256EE9" w:rsidP="00256EE9">
      <w:pPr>
        <w:pStyle w:val="TextoNormal"/>
      </w:pPr>
      <w:r>
        <w:t>Por providencia de la Sección Segunda de 15 de enero del corriente, se admitió a trámite dicho conflicto, acordándose la suspensión del art. 2.1 del Decreto Foral y otorgándose el correspondiente traslado a la Diputación Foral de Navarra para que pudiera aportar cuantos documentos y alegaciones considerase convenientes.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Abogado del Estado, en la representación del Gobierno de la Nación, interpuso conflicto positivo de competencia el 3 de septiembre de 1984, registrado con el núm. 652/1984, contra el Decreto Foral 24/1984, de 18 de abril, «por el que se regula el régimen jurídico del otorgamiento, modificación y extinción de las autorizaciones del transporte público discrecional de mercancias y viajeros por carretera para vehículos con residencia en Navarra», invocando expresamente el art. 161.2 de la Constitución a efectos de suspensión. </w:t>
      </w:r>
    </w:p>
    <w:p w:rsidR="00256EE9" w:rsidRDefault="00256EE9" w:rsidP="00256EE9">
      <w:pPr>
        <w:pStyle w:val="TextoNormal"/>
      </w:pPr>
      <w:r>
        <w:t>Mediante providencia de 5 de septiembre de 1984, de la Sección Tercera del Tribunal, se admitió a trámite el conflicto, acordándose la suspensión de los preceptos impugnados del Decreto Foral 24/1984, de 18 de abril, y dar traslado al Gobierno de Navarra para que aportara cuantos documentos y alegaciones considerara convenientes.</w:t>
      </w:r>
    </w:p>
    <w:p w:rsidR="00256EE9" w:rsidRDefault="00256EE9" w:rsidP="00256EE9">
      <w:pPr>
        <w:pStyle w:val="TextoNormal"/>
      </w:pPr>
    </w:p>
    <w:p w:rsidR="00256EE9" w:rsidRDefault="00256EE9" w:rsidP="00256EE9">
      <w:pPr>
        <w:pStyle w:val="TextoNormal"/>
      </w:pPr>
      <w:r w:rsidRPr="00256EE9">
        <w:rPr>
          <w:rStyle w:val="NumeroAFNegritaCaracter"/>
        </w:rPr>
        <w:t>3</w:t>
      </w:r>
      <w:r>
        <w:t>. En ambos procesos se ha personado y formulado alegaciones el Gobierno de Navarra oponiéndose a los conflictos de competencia promovidos por el Abogado del Estado, solicitando que en su día se dicte Sentencia declarando la inadmisibilidad del registrado con el núm. 652/1984 o en su caso declarando que los preceptos impugnados no están vi</w:t>
      </w:r>
      <w:r>
        <w:lastRenderedPageBreak/>
        <w:t>ciados de incompetencia y respecto del 923/1984, que el Decreto objeto del mismo está dictado dentro del marco de las competencias que tiene reconocidas la Comunidad Foral de Navarra.</w:t>
      </w:r>
    </w:p>
    <w:p w:rsidR="00256EE9" w:rsidRDefault="00256EE9" w:rsidP="00256EE9">
      <w:pPr>
        <w:pStyle w:val="TextoNormal"/>
      </w:pPr>
    </w:p>
    <w:p w:rsidR="00256EE9" w:rsidRDefault="00256EE9" w:rsidP="00256EE9">
      <w:pPr>
        <w:pStyle w:val="TextoNormal"/>
      </w:pPr>
      <w:r w:rsidRPr="00256EE9">
        <w:rPr>
          <w:rStyle w:val="NumeroAFNegritaCaracter"/>
        </w:rPr>
        <w:t>4</w:t>
      </w:r>
      <w:r>
        <w:t>. En escrito del Gobierno de Navarra, fechado el 11 de febrero último, se solicita la acumulación de los procesos 652/1984 y 923/1984, dada la identidad de partes, de cosas y de acción, a fin de que sean tramitados conjuntamente, conforme previene el art. 83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La Sección Segunda, en providencia de 20 de febrero último, acordó oír al Abogado del Estado para que expusiera lo que estimase conveniente en orden a la acumulación solicitada por el Gobierno de Navarra. </w:t>
      </w:r>
    </w:p>
    <w:p w:rsidR="00256EE9" w:rsidRDefault="00256EE9" w:rsidP="00256EE9">
      <w:pPr>
        <w:pStyle w:val="TextoNormal"/>
      </w:pPr>
      <w:r>
        <w:t>Evacuando el traslado conferido mediante escrito de 27 de febrero último, manifiesta el Abogado del Estado que, atendida la conexión objetiva que entre ambos asuntos existe está justificada la tramitación y resolución unitaria, por lo que está conforme con la acumulación solicitada.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acumulación de los procesos constitucionales se condiciona en el art. 83 de la Ley Orgánica de este Tribunal a que tengan objetos conexos que justifiquen la unidad de tramitación y decisión. Conexión que entendida como identidad o íntima relación de las pretensiones por su contenido y de la causa de pedir, afectantes a las propias partes, se produce entre los conflictos positivos de competencia núms.  652/1984 y 923/1984, porque en el primero de ellos se solicita la declaración de competencia a favor del Estado, para regular el régimen jurídico de las autorizaciones de transportes públicos de mercancías y viajeros por carretera de ámbito superior al del territorio foral de Navarra, y la nulidad por vicio de incompetencia del Decreto 24/1984, de 18 de abril, que desarrollaba tal régimen jurídico, en cuanto se extendiese a dichas autorizaciones; y en el segundo se solicita idéntica declaración de competencias por la propia causa y la nulidad por vicio de incompetencia de una norma contenida en el Decreto Foral 182/1984, de 14 de agosto, sobre normalización de situaciones para vehículos de viajeros y mercancías cuya residencia haya sido fijada en Navarra, siendo así que este último Decreto deriva del anteriormente indicado y es consecuencia del mismo, como lo demuestra su preámbulo, y está en relación de causa a efecto con el 24/1984, por lo que indudablemente existe la conexión objetiva que genera la acumulación entre ambos procesos, por existir identidad de partes, de pretensiones y de causas de pedir, lo que justifica la unitaria tramitación y resolución de los mismos.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El Pleno del Tribunal Constitucional acordó la acumulación al conflicto positivo de competencia núm.  652/1984, del conflicto de igual condición número 923/1984, para su tramitación y resolución conjunta.</w:t>
      </w:r>
    </w:p>
    <w:p w:rsidR="00256EE9" w:rsidRDefault="00256EE9" w:rsidP="00256EE9">
      <w:pPr>
        <w:pStyle w:val="TextoNormal"/>
      </w:pPr>
    </w:p>
    <w:p w:rsidR="00256EE9" w:rsidRDefault="00256EE9" w:rsidP="00256EE9">
      <w:pPr>
        <w:pStyle w:val="TextoNormal"/>
      </w:pPr>
      <w:r>
        <w:t>Madrid, a catorce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3" w:name="AUTO_1985_202"/>
      <w:r>
        <w:lastRenderedPageBreak/>
        <w:t>AUTO 202/1985, de 20 de marzo de 1985</w:t>
      </w:r>
    </w:p>
    <w:bookmarkEnd w:id="263"/>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ECLI:ES:TC:1985:202A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805/1983</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Miguel Angel Vélez Ferris y su esposa doña Emilia Rodríguez Reyes, dirigieron escrito a este Tribunal, solicitando se les designare Abogado y Procurador en turno de oficio por ser pobres, para interponer recurso de amparo, al haber ya agotado la vía jurisdiccional ordinaria, entendiendo haberse violado por el Tribunal Tutelar de Menores los derechos de guarda y custodia de un hijo suyo.</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la Sección acordó hacer saber a los comparecientes que debían justificar haber sido defendidos como pobres en el proceso judicial precedente, o en otro caso presentar relación circunstanciada de los hechos en que fundaran el amparo y de sus condiciones personales, para apreciar la notoriedad de estar incursos en pobreza legal. Habiendo presentado una certificación de haber sido defendidos como pobres ante los Tribunales comunes, por lo que se acordó solicitar la designación de Procurador y Abogado del turno de oficio, lo que realizaron el Colegio de Procuradores, en favor del Procurador don Antonio Morilla Valdivia, y el Consejo General de la Abogacía Española, en favor de don Juan Carlos Medrano Pizarro, solicitando este último la ampliación de los hechos que pudieran fundamentar el amparo, lo que motivó recabar las actuaciones relativas al expediente número 474/1982 del Tribunal Tutelar de Menores de Madrid, que fueron enviadas, otorgando al Letrado un plazo de diez días para que formulara la demanda, que se excusó de realizarla en escrito, por entender que la pretensión que se deseaba ejercitar carecía de viabilidad, aceptándose la excusa y solicitándose del Consejo General de la Abogacía informe de dos Letrados dictaminando si la acción podía o no sostenerse, lo que hizo el Letrado don José Angel Blasco Figueroa, estimando procedía entablar el recurso de amparo, y el Letrado don Juan del Buey de la Fuente, que era procedente entablar la acción o que es al menos dudoso el derecho que pretenden el matrimonio declarado pobre. En virtud de ello se acordó por la Sección solicitar del Consejo General de la Abogacía la designación de un Letrado del turno de oficio, que se encargara obligatoriamente de la defensa de los comparecidos, recayendo la designación en el Abogado don José María Herrero San Miguel, a quien hizo saber su designación, y mandando que formulara la demanda en el plazo de diez días.</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Dicho Letrado designado en turno de oficio presentó escrito, razonando que la pretensión deducida carecía de viabilidad, por no advertirse la vulneración de derecho o normas que permitieran acudir a la instancia constitucional. La Sección acordó por providencia no admitir la excusa del Letrado al resultar para el mismo obligatoria la defensa según el art. 47 de la Ley de Enjuiciamiento Civil, concediendo un nuevo plazo de diez días para que la formulara, y haciéndole la advertencia de que de no formular dicha demanda se le podría exigir la responsabilidad a que hubiera lugar. Siéndole notificada esa resolución al Procurador el 7 de diciembre de 1984.</w:t>
      </w:r>
    </w:p>
    <w:p w:rsidR="00256EE9" w:rsidRDefault="00256EE9" w:rsidP="00256EE9">
      <w:pPr>
        <w:pStyle w:val="TextoNormal"/>
      </w:pPr>
    </w:p>
    <w:p w:rsidR="00256EE9" w:rsidRDefault="00256EE9" w:rsidP="00256EE9">
      <w:pPr>
        <w:pStyle w:val="TextoNormal"/>
      </w:pPr>
      <w:r w:rsidRPr="00256EE9">
        <w:rPr>
          <w:rStyle w:val="NumeroAFNegritaCaracter"/>
        </w:rPr>
        <w:t>4</w:t>
      </w:r>
      <w:r>
        <w:t>. El referido Letrado de oficio formuló nuevo escrito, solicitando se le concediera un nuevo plazo de diez días, con fecha de 22 de diciembre de dicho año, que la Sección le concedió con carácter de improrrogable, para que formulara la demanda, como anteriormente se le había ordenado. Siéndole notificada esta providencia al Procurador señor Morilla Valdivia el día 17 de enero de 1985, y formulando la demanda indicada por escrito que tuvo entrada en este Tribunal el día 2 de febrero siguiente.</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dicha demanda se formulan dieciocho hechos, que en síntesis vienen a expresar que el hijo de los actores Abraham estuvo ingresado en un Centro de Puericultura de Madrid, por no poderlo tener con sus padres, por ser el padre alcohólico y carecer de vivienda, en donde fue curado de una enfermedad que padecía aquél. El padre ingresó en un establecimiento para curar su enfermedad. Que el matrimonio tiene otros tres hijos internados en un Colegio donde gratuitamente los atienden. Manifiestan los hechos que una Asistente Social les prohibió ver al niño Abraham, y que sólo el Tribunal Tutelar de Menores podía autorizar a verlo, acudiendo a este organismo, donde les dijeron estaban formando un expediente y más tarde les informaron que el caso estaba archivado. La propia Asistenta Social le dijo a la madre del niño que había unos señores que querían educar al niño, con el que no querían quedarse, por tener seis hijos, lo que aceptaron por parecer honrados cuando los visitaron, permitiendo visitarlo, accediendo a que le dieran una carrera y realizando visitas en el domicilio de los señores García Yagüe. El Tribunal Tutelar de Menores mandó a su casa antigua una citación diciéndole que le iban a quitar el niño. Relata a continuación extremos incoherentes, y afirma además que los señores que tienen al niño se negaron desde hace dos años a dejarles ver al hijo a los demandantes en su casa, y sólo pueden hacerlo una vez al mes en las dependencias del Tribunal Tutelar citado. Creen que este órgano, para actuar así, se basó en una denuncia de la esposa actora por abandono de familia de su marido, denuncia que luego retiró, pero a pesar de ello tal Tribunal dice que la mujer es una persona que no quiere a sus hijos. Creen que esto se debe a informes de la Asistenta Social referida. Termina afirmando que don Francisco García Yagüe, Catedrático, y su esposa, que es Profesora, tienen con ellos a su hijo, al que no han visto desde hace dos años, y que el Tribunal Tutelar tiene al resto de sus hijos bajo su protección, «confiando que el Tribunal Constitucional le puede resolver el asunto de mis hijos, es por lo que acudimos a él a través de este recurso de amparo». </w:t>
      </w:r>
    </w:p>
    <w:p w:rsidR="00256EE9" w:rsidRDefault="00256EE9" w:rsidP="00256EE9">
      <w:pPr>
        <w:pStyle w:val="TextoNormal"/>
      </w:pPr>
      <w:r>
        <w:t xml:space="preserve">En los fundamentos de Derecho, copia el art. 53.2 de la Ley Orgánica de este Tribunal (LOTC), y también el 41, citando luego el 48 y siguientes, para preservar los derechos fundamentales. Citan sin más los Autos del Tribunal Constitucional de 29 de septiembre, 22 de julio, 3 de octubre y 10 de diciembre de 1982. Y, por fin, copia los arts. </w:t>
      </w:r>
    </w:p>
    <w:p w:rsidR="00256EE9" w:rsidRDefault="00256EE9" w:rsidP="00256EE9">
      <w:pPr>
        <w:pStyle w:val="TextoNormal"/>
      </w:pPr>
      <w:r>
        <w:t xml:space="preserve">39.2, 3 y 4 de la Constitución, sin decir nada más. </w:t>
      </w:r>
    </w:p>
    <w:p w:rsidR="00256EE9" w:rsidRDefault="00256EE9" w:rsidP="00256EE9">
      <w:pPr>
        <w:pStyle w:val="TextoNormal"/>
      </w:pPr>
      <w:r>
        <w:lastRenderedPageBreak/>
        <w:t>En la súplica solicita se dicte Sentencia reconociendo a los recurrentes el derecho a la protección, guarda y asistencia de su hijo Abraham Vélez Rodríguez, que legalmente les corresponde.</w:t>
      </w:r>
    </w:p>
    <w:p w:rsidR="00256EE9" w:rsidRDefault="00256EE9" w:rsidP="00256EE9">
      <w:pPr>
        <w:pStyle w:val="TextoNormal"/>
      </w:pPr>
    </w:p>
    <w:p w:rsidR="00256EE9" w:rsidRDefault="00256EE9" w:rsidP="00256EE9">
      <w:pPr>
        <w:pStyle w:val="TextoNormal"/>
      </w:pPr>
      <w:r w:rsidRPr="00256EE9">
        <w:rPr>
          <w:rStyle w:val="NumeroAFNegritaCaracter"/>
        </w:rPr>
        <w:t>6</w:t>
      </w:r>
      <w:r>
        <w:t>. Por el Procurador don José Luis Granizo y García-Cuenca, en nombre y representación de don Francisco García Yagüe y de su esposa doña Teresa Elisa Marín Aráez, se presentó escrito el 26 de abril de 1984, solicitando ser tenidos por parte en el presente recurso.</w:t>
      </w:r>
    </w:p>
    <w:p w:rsidR="00256EE9" w:rsidRDefault="00256EE9" w:rsidP="00256EE9">
      <w:pPr>
        <w:pStyle w:val="TextoNormal"/>
      </w:pPr>
    </w:p>
    <w:p w:rsidR="00256EE9" w:rsidRDefault="00256EE9" w:rsidP="00256EE9">
      <w:pPr>
        <w:pStyle w:val="TextoNormal"/>
      </w:pPr>
      <w:r w:rsidRPr="00256EE9">
        <w:rPr>
          <w:rStyle w:val="NumeroAFNegritaCaracter"/>
        </w:rPr>
        <w:t>7</w:t>
      </w:r>
      <w:r>
        <w:t>. La Sección, por providencia, acordó tener por personado y parte al Procurador señor Granizo, en la representación citada y acreditada, y entender con el mismo ésta y las sucesivas actuaciones.</w:t>
      </w:r>
    </w:p>
    <w:p w:rsidR="00256EE9" w:rsidRDefault="00256EE9" w:rsidP="00256EE9">
      <w:pPr>
        <w:pStyle w:val="TextoNormal"/>
      </w:pPr>
    </w:p>
    <w:p w:rsidR="00256EE9" w:rsidRDefault="00256EE9" w:rsidP="00256EE9">
      <w:pPr>
        <w:pStyle w:val="TextoNormal"/>
      </w:pPr>
      <w:r w:rsidRPr="00256EE9">
        <w:rPr>
          <w:rStyle w:val="NumeroAFNegritaCaracter"/>
        </w:rPr>
        <w:t>8</w:t>
      </w:r>
      <w:r>
        <w:t xml:space="preserve">. La Sección, por providencia, abrió el trámite de inadmisión de la demanda por los motivos siguientes: </w:t>
      </w:r>
    </w:p>
    <w:p w:rsidR="00256EE9" w:rsidRDefault="00256EE9" w:rsidP="00256EE9">
      <w:pPr>
        <w:pStyle w:val="TextoNormal"/>
      </w:pPr>
      <w:r>
        <w:t xml:space="preserve">a) Por formularse la demanda fuera de plazo [art. 50.1 a) de la Ley Orgánica del Tribunal Constitucional -LOTC-]. </w:t>
      </w:r>
    </w:p>
    <w:p w:rsidR="00256EE9" w:rsidRDefault="00256EE9" w:rsidP="00256EE9">
      <w:pPr>
        <w:pStyle w:val="TextoNormal"/>
      </w:pPr>
      <w:r>
        <w:t xml:space="preserve">b) Por falta de claridad en la demanda, sin precisar incluso la resolución contra la que se recurre [art. 50.1 b) de la LOTC]. </w:t>
      </w:r>
    </w:p>
    <w:p w:rsidR="00256EE9" w:rsidRDefault="00256EE9" w:rsidP="00256EE9">
      <w:pPr>
        <w:pStyle w:val="TextoNormal"/>
      </w:pPr>
      <w:r>
        <w:t xml:space="preserve">c) Y por carecer la demanda manifiestamente de contenido constitucional que justifique una decisión por parte de este Tribunal, según el art. 50.2 b) de la LOTC. </w:t>
      </w:r>
    </w:p>
    <w:p w:rsidR="00256EE9" w:rsidRDefault="00256EE9" w:rsidP="00256EE9">
      <w:pPr>
        <w:pStyle w:val="TextoNormal"/>
      </w:pPr>
      <w:r>
        <w:t>Otorgando un plazo común de diez días a los Procuradores personados y al Ministerio Fiscal, para que alegaren sobre tales causas de inadmisión.</w:t>
      </w:r>
    </w:p>
    <w:p w:rsidR="00256EE9" w:rsidRDefault="00256EE9" w:rsidP="00256EE9">
      <w:pPr>
        <w:pStyle w:val="TextoNormal"/>
      </w:pPr>
    </w:p>
    <w:p w:rsidR="00256EE9" w:rsidRDefault="00256EE9" w:rsidP="00256EE9">
      <w:pPr>
        <w:pStyle w:val="TextoNormal"/>
      </w:pPr>
      <w:r w:rsidRPr="00256EE9">
        <w:rPr>
          <w:rStyle w:val="NumeroAFNegritaCaracter"/>
        </w:rPr>
        <w:t>9</w:t>
      </w:r>
      <w:r>
        <w:t>. El Ministerio Fiscal, evacuando dicho trámite, estimó que la demanda formulada era extemporánea. Que no concretaba la resolución contra la que se recurría, limitándose a exponer unos hechos y formular una improcedente petición en sede constitucional, sin articular ni con el más mínimo rigor, por mucha que sea la flexibilidad de los procesos constitucionales, unos fundamentos de Derecho que la haga viable, invocando el art. 39 de la C. E. en sus cuatro apartados, que no contienen ningún derecho constitucional protegible por el recurso de amparo, conforme al art. 53.2 de la misma, que se menciona indebidamente. Solicitó el Fiscal se dictare Auto estimando la concurrencia de los tres motivos señalados por la Sección como causas de inadmisión.</w:t>
      </w:r>
    </w:p>
    <w:p w:rsidR="00256EE9" w:rsidRDefault="00256EE9" w:rsidP="00256EE9">
      <w:pPr>
        <w:pStyle w:val="TextoNormal"/>
      </w:pPr>
    </w:p>
    <w:p w:rsidR="00256EE9" w:rsidRDefault="00256EE9" w:rsidP="00256EE9">
      <w:pPr>
        <w:pStyle w:val="TextoNormal"/>
      </w:pPr>
      <w:r w:rsidRPr="00256EE9">
        <w:rPr>
          <w:rStyle w:val="NumeroAFNegritaCaracter"/>
        </w:rPr>
        <w:t>10</w:t>
      </w:r>
      <w:r>
        <w:t>. Los Procuradores señores Morilla Valdivia y Granizo García-Cuenca no presentaron escrito de alegaciones al respecto.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demanda de amparo es defectuosa por carecer de requisitos legales, según el art.  50.1 b) de la LOTC, cuando, entre otros supuestos, carece en absoluto de claridad en la exposición de los hechos y fundamentos de Derecho, al realizar su manifestación con total incoherencia y falta de posible comprensión, refiriéndose a circunstancias personales indemostrables y carentes de lógica, pues se limita a reproducir la conducta seguida por los padres recurrentes para conseguir la protección v guarda de un hijo, de la que fueron privados por un acuerdo del Tribunal Tutelar de Menores, que no se cita en momento alguno </w:t>
      </w:r>
      <w:r>
        <w:lastRenderedPageBreak/>
        <w:t>y contra el que no se entabla el recurso de amparo, aunque constaba en los antecedentes solicitados por este Tribunal; copiándose en los fundamentos de Derecho el contenido de los arts. 53 y 39 de la Constitución y el 41 y 48 de la LOTC, sin otras precisiones. Faltando, por tanto, una articulación coherente de hechos, estando ausente la determinación de resoluciones recurribles, y no citándose directa ni indirectamente derechos fundamentales presuntamente violados, pues el art. 39 de la C. E. no pertenece al catálogo de los protegibles en el recurso de amparo, según el art. 53.2 de la misma, por lo que recurre en definitiva la causa de inadmisión indicada.</w:t>
      </w:r>
    </w:p>
    <w:p w:rsidR="00256EE9" w:rsidRDefault="00256EE9" w:rsidP="00256EE9">
      <w:pPr>
        <w:pStyle w:val="TextoNormal"/>
      </w:pPr>
    </w:p>
    <w:p w:rsidR="00256EE9" w:rsidRDefault="00256EE9" w:rsidP="00256EE9">
      <w:pPr>
        <w:pStyle w:val="TextoNormal"/>
      </w:pPr>
      <w:r w:rsidRPr="00256EE9">
        <w:rPr>
          <w:rStyle w:val="NumeroAFNegritaCaracter"/>
        </w:rPr>
        <w:t>2</w:t>
      </w:r>
      <w:r>
        <w:t>. Además, la demanda de amparo estaría, en todo caso, entablada fuera del plazo de veinte días señalado en el art. 44.1 de la LOTC, si se entendiera que lo que se había querido recurrir fueran los acuerdos del Tribunal Tutelar de Menores de 23 de mayo de 1983 y el que lo confirmó del Tribunal de apelaciones de 28 de septiembre del mismo año, puesto que habiéndose notificado este último a los recurrentes el 11 de noviembre siguiente, la formulación del escrito inicial del amparo y su presentación en el registro de este Tribunal tuvo lugar el 5 de diciembre, fuera ya del plazo indicado; y, además, se incumplió el plazo señalado por la Sección para formular la demanda, luego de varias y excepcionales prórrogas, por el Letrado de oficio, ya que otorgado el de diez días por la providencia de 10 de enero de 1985 para tal fin, que fue notificada al Procurador el 17 siguiente, la demanda se presentó en el registro el 2 de febrero del corriente año, es decir, cuatro días después de vencer el plazo de caducidad, siendo de aplicar la causa de inadmisión estableqida en el art. 50.1 a) de la LOTC.</w:t>
      </w:r>
    </w:p>
    <w:p w:rsidR="00256EE9" w:rsidRDefault="00256EE9" w:rsidP="00256EE9">
      <w:pPr>
        <w:pStyle w:val="TextoNormal"/>
      </w:pPr>
    </w:p>
    <w:p w:rsidR="00256EE9" w:rsidRDefault="00256EE9" w:rsidP="00256EE9">
      <w:pPr>
        <w:pStyle w:val="TextoNormal"/>
      </w:pPr>
      <w:r w:rsidRPr="00256EE9">
        <w:rPr>
          <w:rStyle w:val="NumeroAFNegritaCaracter"/>
        </w:rPr>
        <w:t>3</w:t>
      </w:r>
      <w:r>
        <w:t>. Por último, la demanda incurre en la causa de inadmisión del artículo 50.2 b) de la LOTC, toda vez que, la pretensión ejercitada para que este Tribunal dictara Sentencia, se circunscribe, a la declaración del derecho de guarda y asistencia de un hijo en favor de los actores, sin recurrir contra las decisiones indicadas de la jurisdicción de menores, que decidieron la suspensión de tales derechos, presentando ante este Tribunal una cuestión sin contenido constitucional, más aún, cuando no se precisan los derechos fundamentales infringidos, que ni se hicieron valer en instancia ni ante este Tribunal, que está imposibilitado a decidir sobre una materia singular, pero que por su misma condición no permanente, pudiera ser objeto de peticiones nuevas ante el Tribunal Tutelar de Menores, si las circunstancias que motivaron su decisión y la del Tribunal de apelación hubieran cambiado, como pretenden exponer los recurrentes.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en virtud de todo lo expuesto, acordó:</w:t>
      </w:r>
    </w:p>
    <w:p w:rsidR="00256EE9" w:rsidRDefault="00256EE9" w:rsidP="00256EE9">
      <w:pPr>
        <w:pStyle w:val="TextoNormal"/>
      </w:pPr>
      <w:r>
        <w:t>Inadmitir a trámite la demanda formulada por el Procurador don Antonio Morilla Valdivia en representación de don Miguel Angel Vélez Ferris y de doña Emilia Rodríguez Reyes, y el archivo de las actuaciones.</w:t>
      </w:r>
    </w:p>
    <w:p w:rsidR="00256EE9" w:rsidRDefault="00256EE9" w:rsidP="00256EE9">
      <w:pPr>
        <w:pStyle w:val="TextoNormal"/>
      </w:pPr>
    </w:p>
    <w:p w:rsidR="00256EE9" w:rsidRDefault="00256EE9" w:rsidP="00256EE9">
      <w:pPr>
        <w:pStyle w:val="TextoNormal"/>
      </w:pPr>
      <w:r>
        <w:t>Madrid, a veinte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4" w:name="AUTO_1985_203"/>
      <w:r>
        <w:lastRenderedPageBreak/>
        <w:t>AUTO 203/1985, de 20 de marzo de 1985</w:t>
      </w:r>
    </w:p>
    <w:bookmarkEnd w:id="264"/>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ECLI:ES:TC:1985:203A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479/1984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presentado en el Juzgado de Guardia de Madrid el 28 de junio de 1984, el Procurador de los Tribunales don Javier Domínguez López, en nombre y representación de don Marciano González Díez, interpuso recurso de amparo constitucional frente a la Sentencia dictada por el Juzgado de Primera Instancia núm. 18 de Madrid, el 1 de junio de 1984 (notificado el 4 siguiente), en autos de apelación dimanantes de juicio verbal de desahucio seguido ante el Juzgado de Distrito núm. 35 de esta capital, por estimar vulnerados los derechos fundamentales consagrados en los arts. 14 y 24 de la Constitución, y en concreto el derecho a la tutela efectiva de Jueces y Tribunales, evitando que se produzca indefensión. </w:t>
      </w:r>
    </w:p>
    <w:p w:rsidR="00256EE9" w:rsidRDefault="00256EE9" w:rsidP="00256EE9">
      <w:pPr>
        <w:pStyle w:val="TextoNormal"/>
      </w:pPr>
      <w:r>
        <w:t>Por sendos otrosíes solicita la suspensión de la ejecución de la Sentencia dictada en apelación y la acumulación del presente recurso al similar interpuesto por la representación de don Víctor Pérez Urdiales.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De las alegaciones y antecedentes aportados se deduce, en síntesis, lo siguiente: </w:t>
      </w:r>
    </w:p>
    <w:p w:rsidR="00256EE9" w:rsidRDefault="00256EE9" w:rsidP="00256EE9">
      <w:pPr>
        <w:pStyle w:val="TextoNormal"/>
      </w:pPr>
      <w:r>
        <w:t xml:space="preserve">La Compañía Inmobiliaria «Darsa de Praga, S. A.» formuló demanda de juicio verbal de desahucio contra el ahora demandante, en cuyo procedimiento el Juzgado de Distrito núm. 35 de Madrid dictó Sentencia absolviendo a don Marciano González y declarando no haber lugar al desahucio solicitado. </w:t>
      </w:r>
    </w:p>
    <w:p w:rsidR="00256EE9" w:rsidRDefault="00256EE9" w:rsidP="00256EE9">
      <w:pPr>
        <w:pStyle w:val="TextoNormal"/>
      </w:pPr>
      <w:r>
        <w:t xml:space="preserve">Interpuesto recurso de apelación, el Juzgado de Primera Instancia núm. 18 de esta capital estimó el recurso declarando «haber lugar al desahucio... y condenando al demandado a estar y pasar por la anterior declaración y a desalojar la referida vivienda». </w:t>
      </w:r>
    </w:p>
    <w:p w:rsidR="00256EE9" w:rsidRDefault="00256EE9" w:rsidP="00256EE9">
      <w:pPr>
        <w:pStyle w:val="TextoNormal"/>
      </w:pPr>
      <w:r>
        <w:t xml:space="preserve">Alega el demandante, como fundamento de la invocación del art. 14 de la C. E., la existencia de una discriminación por causa de la aplicación en este caso de lo establecido en el art. 30.3 de la Ley de Viviendas de Protección Oficial de 1976 y en el art. 138 de su Reglamento, normas que a su juicio conculcan los más elementales principios de justicia social y están en pugna con la Constitución, así como por la interpretación de las cláusulas del contrato tripartito que está en base de la relación arrendaticia. </w:t>
      </w:r>
    </w:p>
    <w:p w:rsidR="00256EE9" w:rsidRDefault="00256EE9" w:rsidP="00256EE9">
      <w:pPr>
        <w:pStyle w:val="TextoNormal"/>
      </w:pPr>
      <w:r>
        <w:t xml:space="preserve">La vulneración del art. 24.1 y 2 de la C. E. se aprecia a juicio del demandante en el hecho de no haberse admitido la excepción de inadecuación del procedimiento por aplicación de la doctrina jurisprudencial de la cuestión compleja, ya que el procedimiento de desahucio no era el adecuado para solventar el caso en cuestión, debiéndose haber optado </w:t>
      </w:r>
      <w:r>
        <w:lastRenderedPageBreak/>
        <w:t xml:space="preserve">por el procedimiento declarativo. No se hizo así, ni se admitió en ninguna de las dos instancias tanto la excepción citada como una segunda, relativa al incumplimiento del plazo concedido al demandado para el desalojo, por lo que se ha producido indefensión para los derechos e intereses legítimos del ahora demandante. </w:t>
      </w:r>
    </w:p>
    <w:p w:rsidR="00256EE9" w:rsidRDefault="00256EE9" w:rsidP="00256EE9">
      <w:pPr>
        <w:pStyle w:val="TextoNormal"/>
      </w:pPr>
      <w:r>
        <w:t>Añade el demandante que se ha producido una vulneración del art. 24.2 de la C. E., en cuanto se desconoce el derecho al Juez ordinario, por haberse producido un reparto irregular de las varias y similares demandas de desahucio, en claro perjuicio de los intereses legítimos de las partes.</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18 de julio de 1984, la Sección acordó tener por recibido el escrito de demanda, haciendo saber a la representación del recurrente la posible concurrencia del motivo de inadmisión consistente en carecer la demanda manifiestamente de contenido que justifique una decisión por parte del Tribunal Constitucional, y concedió un plazo común de diez días al Ministerio Fiscal y al solicitante del amparo para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En el plazo otorgado, el Ministerio Fiscal solicitó la inadmisión de la demanda por el motivo contemplado en el art. 50.2 b) de la Ley Orgánica del Tribunal Constitucional (LOTC), ya que no cabe apreciar vulneración alguna de los derechos constitucionales invocados en las resoluciones impugnadas. </w:t>
      </w:r>
    </w:p>
    <w:p w:rsidR="00256EE9" w:rsidRDefault="00256EE9" w:rsidP="00256EE9">
      <w:pPr>
        <w:pStyle w:val="TextoNormal"/>
      </w:pPr>
      <w:r>
        <w:t xml:space="preserve">No se ha vulnerado el art. 24 de la C. E., por sustanciarse el juicio de desahucio por el procedimiento del juicio verbal; ni la alegación que se planteó por el demandado sobre incumplimiento del plazo para demandar es una auténtica excepción; ni se aprecia en el reparto judicial vulneración alguna del derecho al Juez ordinario; ni, en fin la diferencia en el tratamiento de situaciones distintas, establecido por la Ley, supone per se violación del art. 14 de la C. E., siendo así que se trata en este caso de un arrendamiento nacido de la relación laboral, distinto al que surge de la libre voluntad de las partes. </w:t>
      </w:r>
    </w:p>
    <w:p w:rsidR="00256EE9" w:rsidRDefault="00256EE9" w:rsidP="00256EE9">
      <w:pPr>
        <w:pStyle w:val="TextoNormal"/>
      </w:pPr>
      <w:r>
        <w:t>Por su parte, el recurrente insiste en sus referencias a la dudosa constitucionalidad de la legislación aplicada y a la inadecuación del procedimiento seguido en este caso, que no se acomoda a la doctrina jurisprudencial sobre la cuestión compleja, dando por reproducidas las alegaciones contenidas en el resultando de la Sentencia del Juzgado de Distrito.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objeto de este Auto es determinar si en el presente recurso de amparo concurre el motivo de inadmisión señalado en nuestra providencia de 18 de julio de 1984, consistente en la carencia manifiesta de contenido que justifique una decisión por parte de este Tribunal Constitucional [art. 50.2 b) de la LOTC].  en el sentido de que no sea necesario el desarrollo procesal que conduzca a una resolución por Sentencia, por ser suficientes los datos conocidos en el trámite de inadmisión para su decisión por Auto. El recurso se plantea con ocasión de un desahucio por cese de relación laboral, en aplicación de la legislación especial sobre construcción de viviendas a personal de Empresas y del contrato de arrendamiento que de acuerdo con esa legislación celebró el recurrente.  Promovido el desahucio, se opuso el recurrente en amparo invocando diversas excepciones procesales. El Juzgado de Distrito rechazó esas excepciones, pero no dio lugar al desahucio por entender que la Empresa propietaria obraba con abuso de Derecho. Apelada la Sentencia por la Empresa, el Juzgado de Primera Instancia revocó la Sentencia del Juzgado de Distrito, por estimar que no se había producido abuso de Derecho por parte de la Empresa, pero </w:t>
      </w:r>
      <w:r>
        <w:lastRenderedPageBreak/>
        <w:t>hizo también un examen de las excepciones procesales alegadas en la primera instancia para considerarlas inaceptables.</w:t>
      </w:r>
    </w:p>
    <w:p w:rsidR="00256EE9" w:rsidRDefault="00256EE9" w:rsidP="00256EE9">
      <w:pPr>
        <w:pStyle w:val="TextoNormal"/>
      </w:pPr>
      <w:r>
        <w:t>El solicitante del amparo entiende que ambas Sentencias, la del Juzgado de Distrito y la de apelación, vulneran el art.  14 y 24.1 de la Constitución.</w:t>
      </w:r>
    </w:p>
    <w:p w:rsidR="00256EE9" w:rsidRDefault="00256EE9" w:rsidP="00256EE9">
      <w:pPr>
        <w:pStyle w:val="TextoNormal"/>
      </w:pPr>
    </w:p>
    <w:p w:rsidR="00256EE9" w:rsidRDefault="00256EE9" w:rsidP="00256EE9">
      <w:pPr>
        <w:pStyle w:val="TextoNormal"/>
      </w:pPr>
      <w:r w:rsidRPr="00256EE9">
        <w:rPr>
          <w:rStyle w:val="NumeroAFNegritaCaracter"/>
        </w:rPr>
        <w:t>2</w:t>
      </w:r>
      <w:r>
        <w:t>. Las Sentencias impugnadas vulnerarían el art.  14 de la Constitución, ya que por la legislación especial correspondiente se niega al recurrente el derecho a la prórroga del arrendamiento y a la subrogación arrendaticia, olvidando que tales derechos son esenciales e irrenunciables. La invocación del art.  14 hace pensar que el recurrente entiende que existe una discriminación con los arrendatarios sometidos al régimen de la Ley de Arrendamientos Urbanos.  Pero como acertadamente señala el Ministerio Fiscal, la discriminación no existe cuando se dan supuestos distintos en las relaciones tratadas desigualmente que justifiquen esa desigualdad, y el arrendamiento que nace de la libre voluntad de las partes es distinto del que nace en contemplación de una relación laboral determinada.  Cuestión distinta sobre la que no procede que se pronuncie este Tribunal Constitucional, por no ser de su competencia, el que se busquen por los Poderes Públicos soluciones a los problemas humanos que plantean los desahucios por cese de la relación laboral.</w:t>
      </w:r>
    </w:p>
    <w:p w:rsidR="00256EE9" w:rsidRDefault="00256EE9" w:rsidP="00256EE9">
      <w:pPr>
        <w:pStyle w:val="TextoNormal"/>
      </w:pPr>
    </w:p>
    <w:p w:rsidR="00256EE9" w:rsidRDefault="00256EE9" w:rsidP="00256EE9">
      <w:pPr>
        <w:pStyle w:val="TextoNormal"/>
      </w:pPr>
      <w:r w:rsidRPr="00256EE9">
        <w:rPr>
          <w:rStyle w:val="NumeroAFNegritaCaracter"/>
        </w:rPr>
        <w:t>3</w:t>
      </w:r>
      <w:r>
        <w:t>. Respecto a la vulneración del art.  24.1 de la Constitución se habría producido, según el recurrente, en primer lugar, porque tanto el Juzgado de Distrito como el de la Primera Instancia desestimaron la excepción alegada por el recurrente de la llamada «cuestión compleja», basada en la doctrina jurisprudencial según la cual el carácter especial y sumario que tiene el juicio de desahucio lo harían inadecuado cuando las cuestiones planteadas sean de tal complejidad que su decisión no es posible dentro del reducido marco de ese procedimiento.  Pero es lo cierto que tanto la Sentencia del Juzgado de Distrito como la del Juzgado de Primera Instancia consideraron la excepción y la rechazaron razonadamente. No cabe, pues, hablar de indefensión como hace el recurrente, ya que éste alegó lo que estimó oportuno sobre la excepción por él opuesta y los Tribunales desestimaron razonadamente su pretensión. Incluso es de señalar que en la apelación el Juzgado de Primera Instancia examinó la excepción de la cuestión compleja con otras alegadas por el recurrente ante el Juzgado de Distrito, a pesar de que en la vista de la segunda instancia el recurrente no los reprodujo, sino que se limitó a pedir lisa y llanamente la confirmación de la Sentencia recurrida.</w:t>
      </w:r>
    </w:p>
    <w:p w:rsidR="00256EE9" w:rsidRDefault="00256EE9" w:rsidP="00256EE9">
      <w:pPr>
        <w:pStyle w:val="TextoNormal"/>
      </w:pPr>
      <w:r>
        <w:t>El Juez entendió, sin embargo, que debía examinar esas excepciones por referirse a elementos fundamentales del proceso que son de orden público, susceptibles de ser apreciados de oficio. Tampoco cabe apreciar indefensión por la falta de respuesta a una alegación de la parte, puesto que si bien ésta la califica como «excepción», lo cierto es, como señala el Fiscal, que el plazo al que alude el demandante no se acredita que fuese de carácter legal o contractual, sino una pura situación de hecho que el Juez, dentro de sus facultades, no ha considerado relevante tanto en una como en otra instancia, sin que este Tribunal Constitucional haya de entrar a juzgar de la interpretación de los hechos o de la legalidad ordinaria.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Igual valoración negativa ha de hacerse con respecto a la alegada vulneración del art. 24.2 de la C. E., en cuanto no se ha respetado el derecho al Juez ordinario predeterminado por la Ley. Que un grupo de asuntos similares hayan sido conocidos por un solo Juez en la instancia inicial y en la instancia de apelación haya conocido de tales asuntos una </w:t>
      </w:r>
      <w:r>
        <w:lastRenderedPageBreak/>
        <w:t>pluralidad de Jueces para nada afecta a los intereses legítimos de las partes, ni representan un perjuicio que, en ningún caso, ha sido probado, ni las imprecisas alegaciones del demandante en relación con el sistema de reparto tienen conexión alguna, directa ni indirectamente, con el derecho constitucional invocado.</w:t>
      </w:r>
    </w:p>
    <w:p w:rsidR="00256EE9" w:rsidRDefault="00256EE9" w:rsidP="00256EE9">
      <w:pPr>
        <w:pStyle w:val="TextoNormal"/>
      </w:pPr>
      <w:r>
        <w:t>En definitiva, lo que en realidad se pide a este Tribunal Constitucional es que revise las Sentencias de los Tribunales por no ser su decisión conforme a las pretensiones del recurrente. Pero ya hemos dicho en reiteradísimas ocasiones que el recurso de amparo contra resoluciones judiciales no es una tercera instancia y que los derechos consagrados en el art. 24 de la Constitución son esencialmente el de acceso a la jurisdicción y el de obtener una decisión judicial fundada en Derecho, siempre que se hayan seguido los cauces procesales legalmente establecidos, con independencia de que esa decisión sea conforme o no a las pretensiones del recurrente.</w:t>
      </w:r>
    </w:p>
    <w:p w:rsidR="00256EE9" w:rsidRDefault="00256EE9" w:rsidP="00256EE9">
      <w:pPr>
        <w:pStyle w:val="TextoNormal"/>
      </w:pPr>
    </w:p>
    <w:p w:rsidR="00256EE9" w:rsidRDefault="00256EE9" w:rsidP="00256EE9">
      <w:pPr>
        <w:pStyle w:val="TextoNormal"/>
      </w:pPr>
      <w:r w:rsidRPr="00256EE9">
        <w:rPr>
          <w:rStyle w:val="NumeroAFNegritaCaracter"/>
        </w:rPr>
        <w:t>5</w:t>
      </w:r>
      <w:r>
        <w:t>. De todo lo expuesto resulta que concurre en el recurso planteado la causa de inadmisión señalada en nuestra providencia de 18 de agosto de 1984, consistente en carecer la demanda manifiestamente de contenido que justifique una decisión (entiéndase por Sentencia) por parte de este Tribunal Constitucional de acuerdo con el art. 50.2 b) de la LOTC, lo que también hace innecesario pronunciarse sobre la suspensión solicitada.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inadmisión del recurso, y el archivo de las actuaciones.</w:t>
      </w:r>
    </w:p>
    <w:p w:rsidR="00256EE9" w:rsidRDefault="00256EE9" w:rsidP="00256EE9">
      <w:pPr>
        <w:pStyle w:val="TextoNormal"/>
      </w:pPr>
    </w:p>
    <w:p w:rsidR="00256EE9" w:rsidRDefault="00256EE9" w:rsidP="00256EE9">
      <w:pPr>
        <w:pStyle w:val="TextoNormal"/>
      </w:pPr>
      <w:r>
        <w:t>Madrid, a veinte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5" w:name="AUTO_1985_204"/>
      <w:r>
        <w:lastRenderedPageBreak/>
        <w:t>AUTO 204/1985, de 20 de marzo de 1985</w:t>
      </w:r>
    </w:p>
    <w:bookmarkEnd w:id="265"/>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ECLI:ES:TC:1985:204A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843/1984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Dependencia de Relaciones con los Contribuyentes de la Delegación de Hacienda de Palencia practicó, en virtud de acuerdo de la oficina gestora de 15 de noviembre de 1983, diversas liquidaciones por el concepto «Tasas fiscales sobre juegos de azar. Tasa complementaria Ley 5/1983, de 29 de junio», una por cada máquina recreativa, en número total de 44 máquinas, referidas todas aquéllas a un mismo sujeto pasivo, don Evaristo Miguel Villamediana Trigueros, y por un importante total de 3.927.000 pesetas.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interesado interpuso reclamación económico-administrativa, alegando la inconstitucionalidad de la Ley 5/1983, de 29 de junio, que estableció el gravamen complementario de la Tasa Fiscal para 1983, y del Real Decreto 2570/1983, de 21 de septiembre, regulador de dicho gravamen, así como falta de determinación del hecho imponible en tales disposiciones. </w:t>
      </w:r>
    </w:p>
    <w:p w:rsidR="00256EE9" w:rsidRDefault="00256EE9" w:rsidP="00256EE9">
      <w:pPr>
        <w:pStyle w:val="TextoNormal"/>
      </w:pPr>
      <w:r>
        <w:t>El Tribunal Económico-Administrativo Provincial de Palencia desestimó la reclamación interpuesta por Resolución de 31 de enero de 1984, considerando, por lo que respecta a la inconstitucionalidad alegada, no ser competente dicho Tribunal Económico Administrativo para examinar tal cuestión.</w:t>
      </w:r>
    </w:p>
    <w:p w:rsidR="00256EE9" w:rsidRDefault="00256EE9" w:rsidP="00256EE9">
      <w:pPr>
        <w:pStyle w:val="TextoNormal"/>
      </w:pPr>
    </w:p>
    <w:p w:rsidR="00256EE9" w:rsidRDefault="00256EE9" w:rsidP="00256EE9">
      <w:pPr>
        <w:pStyle w:val="TextoNormal"/>
      </w:pPr>
      <w:r w:rsidRPr="00256EE9">
        <w:rPr>
          <w:rStyle w:val="NumeroAFNegritaCaracter"/>
        </w:rPr>
        <w:t>3</w:t>
      </w:r>
      <w:r>
        <w:t>. Interpuesto recurso contencioso-administrativo, éste fue desestimado por Sentencia de la correspondiente Sala de la Audiencia Territorial de Valladolid de 6 de noviembre de 1984. La Sala consideró, por lo que respecta a la alegada inconstitucionalidad de la Ley 5/1983, no poder «adoptar resolución alguna sobre esta pretensión del demandante», por no alcanzar su jurisdicción a la impugnación de normas con rango de Ley.</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Don Evaristo Miguel Villamediana Trigueros, representado por Procurador y asistido de Letrado, ha interpuesto recurso de amparo mediante escrito presentado en el Juzgado de Guardia el 30 de noviembre de 1984 y que ha tenido su entrada en el Tribunal Constitucional el 1 de diciembre. Se citan como infringidos, aparte de los arts. 9, 31, 33.3, 38 y 137.7 de la Constitución -que se entienden vulnerados por la Ley 5/1983 y el Real Decreto 257/1983-, los arts. 14 -por la situación de desigualdad jurídica del recurrente «respecto a las restantes personas individuales o jurídicas que se dediquen o estén inmersos en el sector empresarial del juego, caso de los bingos, casinos, etc.»- y 17 -por la falta de libertad y </w:t>
      </w:r>
      <w:r>
        <w:lastRenderedPageBreak/>
        <w:t>la inseguridad que le habrían ocasionado la elevación de la cuantía de la tasa y creación del gravamen complementario efectuadas por la Ley 5/1983-. Y se solicita como amparo la no aplicación al recurrente del gravamen complementario de la Tasa Fiscal aplicable a las máquinas de tipo «B» o recreativas con premio, creado por la disposición adicional sexta de la Ley 5/1983, de 29 de junio, y del Real Decreto 2570/1983, de 21 de septiembre, que le desarrolla.</w:t>
      </w:r>
    </w:p>
    <w:p w:rsidR="00256EE9" w:rsidRDefault="00256EE9" w:rsidP="00256EE9">
      <w:pPr>
        <w:pStyle w:val="TextoNormal"/>
      </w:pPr>
    </w:p>
    <w:p w:rsidR="00256EE9" w:rsidRDefault="00256EE9" w:rsidP="00256EE9">
      <w:pPr>
        <w:pStyle w:val="TextoNormal"/>
      </w:pPr>
      <w:r w:rsidRPr="00256EE9">
        <w:rPr>
          <w:rStyle w:val="NumeroAFNegritaCaracter"/>
        </w:rPr>
        <w:t>5</w:t>
      </w:r>
      <w:r>
        <w:t>. La Sección Cuarta de este Tribunal, en su reunión del día 23 de enero pasado, acordó poner de manifiesto la posible existencia de las siguientes causas de inadmisibilidad del recurso de amparo: 1.ª la regulada en el artículo 50.2 a) de la Ley Orgánica del Tribunal, en lo que se refiere a derechos no comprendidos en la remisión del art. 53.2 de la Constitución, y 2.ª la regulada por el art. 50.2 b) de la referida Ley por cuanto la demanda pudiera carecer de contenido que justifique una decisión por parte del Tribunal; y en virtud de todo ello concedió un plazo de diez días al solicitante del amparo y al Ministerio Fiscal a fin de que dentro de él pudieran alegar lo que a su derecho conviniera.</w:t>
      </w:r>
    </w:p>
    <w:p w:rsidR="00256EE9" w:rsidRDefault="00256EE9" w:rsidP="00256EE9">
      <w:pPr>
        <w:pStyle w:val="TextoNormal"/>
      </w:pPr>
    </w:p>
    <w:p w:rsidR="00256EE9" w:rsidRDefault="00256EE9" w:rsidP="00256EE9">
      <w:pPr>
        <w:pStyle w:val="TextoNormal"/>
      </w:pPr>
      <w:r w:rsidRPr="00256EE9">
        <w:rPr>
          <w:rStyle w:val="NumeroAFNegritaCaracter"/>
        </w:rPr>
        <w:t>6</w:t>
      </w:r>
      <w:r>
        <w:t>. El solicitante del amparo en sus alegaciones manifestó que presentó ante el Tribunal Constitucional recurso de amparo ad cautelam al conocer la Sentencia de la Sala de lo Contencioso-Administrativo de Valladolid y entender que no cabía recurso alguno contra la misma; que no sucedió así, ya que la Sala de lo Contencioso-Administrativo de Valladolid le emplazó para comparecer ante el Tribunal Supremo, como así ha hecho, y que en el caso de que el correspondiente recurso de apelación ante el Tribunal Supremo no cupiere, se reserva el derecho a proseguir el presente recurso, que se presentó ad cautelam, por entender que así era lo procedente.</w:t>
      </w:r>
    </w:p>
    <w:p w:rsidR="00256EE9" w:rsidRDefault="00256EE9" w:rsidP="00256EE9">
      <w:pPr>
        <w:pStyle w:val="TextoNormal"/>
      </w:pPr>
    </w:p>
    <w:p w:rsidR="00256EE9" w:rsidRDefault="00256EE9" w:rsidP="00256EE9">
      <w:pPr>
        <w:pStyle w:val="TextoNormal"/>
      </w:pPr>
      <w:r w:rsidRPr="00256EE9">
        <w:rPr>
          <w:rStyle w:val="NumeroAFNegritaCaracter"/>
        </w:rPr>
        <w:t>7</w:t>
      </w:r>
      <w:r>
        <w:t>. El Fiscal ha solicitado la inadmisión del recurso, señalando que en lo que respecta al art. 17, la invocación carece de cualquier fundamento -y, en rigor, no pasa de formularia-, ya que el precepto se refiere a la seguridad personal y no a la seguridad jurídica; y la del art. 14, porque se limita a alegar la supuesta desigualdad jurídica entre los que, como el recurrente, eran «Empresas operadoras de máquinas recreativas» y otros colectivos del sector, como casinos y bingos, pero en el fondo lo que se combate es el incremento de la cuota fija y el gravamen complementario de la tasa fiscal, establecidos por la disposición adicional sexta de la Ley 5/1983, que la Administración aplicó correctamente, como razona la Audiencia Territorial de Valladolid en el considerando tercero de su Sentencia. Que ello es así lo demuestra claramente el petitum, que no pide la anulación de actos o resoluciones de órganos administrativos o judiciales, por la vía de los arts. 43 ó 44 de la LOTC, sino frontalmente a pedir «la no aplicación... del gravamen complementario de la Tasa Fiscal aplicable a las máquinas de tipo «B», o recreativas con premio, creado por la disposición adicional sexta de la Ley 5/1983, de 9 de junio, y del Real Decreto 2570/1983, de 21 de septiembre, que la desarrolla», lo que, a nuestro juicio, no es materia constitucional que justifique una resolución de fondo de este alto Tribunal.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su escrito de alegaciones, el solicitante del amparo manifiesta que la interposición del recurso la realizó ad cautelam, al conocer la Sentencia de la Sala de lo Contencio</w:t>
      </w:r>
      <w:r>
        <w:lastRenderedPageBreak/>
        <w:t>so-Administrativo de la Audiencia Territorial de Valladolid y entender que no cabía contra ella recurso alguno, pero que como ha comparecido ante la Sala Tercera del Tribunal Supremo, se reserva el derecho a proseguir el presente recurso de amparo.</w:t>
      </w:r>
    </w:p>
    <w:p w:rsidR="00256EE9" w:rsidRDefault="00256EE9" w:rsidP="00256EE9">
      <w:pPr>
        <w:pStyle w:val="TextoNormal"/>
      </w:pPr>
      <w:r>
        <w:t>La primera de las citadas alegaciones debe entenderse como un palmario reconocimiento del carácter inadmisible que el recurso de amparo originariamente tenía, y la Sección, por las razones expuestas y por las que en los apartados subsiguientes se expondrán coincide en este criterio.</w:t>
      </w:r>
    </w:p>
    <w:p w:rsidR="00256EE9" w:rsidRDefault="00256EE9" w:rsidP="00256EE9">
      <w:pPr>
        <w:pStyle w:val="TextoNormal"/>
      </w:pPr>
    </w:p>
    <w:p w:rsidR="00256EE9" w:rsidRDefault="00256EE9" w:rsidP="00256EE9">
      <w:pPr>
        <w:pStyle w:val="TextoNormal"/>
      </w:pPr>
      <w:r w:rsidRPr="00256EE9">
        <w:rPr>
          <w:rStyle w:val="NumeroAFNegritaCaracter"/>
        </w:rPr>
        <w:t>2</w:t>
      </w:r>
      <w:r>
        <w:t>. En la demanda de amparo insiste el demandante, en primer lugar, en la alegación formulada en su día ante el Tribunal Económico-Administrativo Provincial y reiterada ante la Sala de lo Contencioso-Administrativo, de ser inconstitucionales tanto la Ley 5/1983, de 29 de junio, como el Real Decreto 2570/1983, de 21 de septiembre, por los que se creó y reguló el gravamen complementario para 1983 de la Tasa Fiscal sobre juegos de suerte, envite y azar, citando al respecto diversos preceptos constitucionales (arts. 9, 31, 33.3, 38 y 137.7); pero es evidente que el recurrente carece de legitimación para interponer recurso de inconstitucionalidad, de conformidad con los artículos 162. 1 a) de la C. E. y 32 de la LOTC, así como de competencia para plantear cuestión de inconstitucionalidad, conforme al art. 35 de la LOTC, aparte de que no tendría sentido hacerlo con respecto a una disposición reglamentaria, como lo es el Real Decreto 2570/1983.</w:t>
      </w:r>
    </w:p>
    <w:p w:rsidR="00256EE9" w:rsidRDefault="00256EE9" w:rsidP="00256EE9">
      <w:pPr>
        <w:pStyle w:val="TextoNormal"/>
      </w:pPr>
      <w:r>
        <w:t>El demandante añade la alegación de haber sido violados los derechos reconocidos en los arts. 14 y 17 de la Constitución, a los que considera como «base» del presente recurso de amparo.</w:t>
      </w:r>
    </w:p>
    <w:p w:rsidR="00256EE9" w:rsidRDefault="00256EE9" w:rsidP="00256EE9">
      <w:pPr>
        <w:pStyle w:val="TextoNormal"/>
      </w:pPr>
      <w:r>
        <w:t>Por lo que se refiere al primero de dichos derechos, entiende el recurrente que se le ha producido una desigualdad jurídica en relación con otras personas individuales o jurídicas del sector empresarial del juego. Sin embargo, las personas frente a las que se siente discriminado no son de las que, como él, se dedican a la explotación de máquinas recreativas y, por lo tanto, están sujetas a la misma tasa o gravamen complementario creado y regulado con carácter general por las disposiciones antes indicadas.  El recurrente estima que ha sido discriminado frente a titulares de otras actividades o establecimientos de juego, tales como bingos o casinos. Es obvio que no existe identidad de base alguna entre el solicitante de amparo y aquellas personas frente a las que se siente discriminado, sobre las que, por otro lado, no aporta datos concretos.  A mayor abundamiento, lo que realmente solicita el recurrente al respecto no es el restablecimiento en situación de igualdad alguna, sino, por el contrario, un auténtico privilegio. Pues, en efecto, si se accediese a lo solicitado en la demanda y se declarase la no aplicación al recurrente del gravamen complementario indicado, serían los restantes titulares de máquinas recreativas los que podrían sentirse discriminados con respecto a él.</w:t>
      </w:r>
    </w:p>
    <w:p w:rsidR="00256EE9" w:rsidRDefault="00256EE9" w:rsidP="00256EE9">
      <w:pPr>
        <w:pStyle w:val="TextoNormal"/>
      </w:pPr>
    </w:p>
    <w:p w:rsidR="00256EE9" w:rsidRDefault="00256EE9" w:rsidP="00256EE9">
      <w:pPr>
        <w:pStyle w:val="TextoNormal"/>
      </w:pPr>
      <w:r w:rsidRPr="00256EE9">
        <w:rPr>
          <w:rStyle w:val="NumeroAFNegritaCaracter"/>
        </w:rPr>
        <w:t>3</w:t>
      </w:r>
      <w:r>
        <w:t>. Es manifiesto que la libertad y la seguridad a que el recurrente tiene derecho en virtud del art. 17 de la C. E. no han sido afectados por la creación del gravamen complementario del que desea ser eximido, pues no cabe confundir la libertad con la ausencia de cualesquiera deberes u obligaciones que las Leyes establezcan, ni tampoco es posible identificar, como parece pretenderse en la demanda, el ámbito de la seguridad personal, al que se refiere dicho art.  17 de la C. E., con el más amplio de la «seguridad jurídica», al que lo hace el art. 9.3 de la C. E.</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Como conclusión de todo ello, ha de decirse que en el presente recurso de amparo concurren los siguientes motivos de inadmisión: a) la carencia de legitimación del recurrente para interponer o promover recurso o cuestión de inconstitucionalidad algunos (como viene a serlo realmente el presente, frente a la Ley 5/1983 y el Real Decreto 2570/1983 que la desarrolla), según se desprende de los arts.  162.1 a) de la C. E. y 32 y 35 de la LOTC; b) deducirse realmente la demanda, con independencia de los preceptos que formalmente se citan como infringidos, respecto de derechos o libertades no susceptibles de amparo constitucional, como lo son, en principio, los relativos a la justicia en la tributación, a la no privación de bienes o derechos o a la libertad de Empresa. Motivo de inadmisión al que se refiere el art. 50.2 b) de la LOTC; c) en cuanto a las violaciones de derechos fundamentales que formalmente se invocan, carencia manifiesta de la demanda de todo contenido que justifique una decisión por parte del Tribunal Constitucional [artículo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No puede la Sección coincidir en absoluto con la idea que el interesado manifiesta de que se reserva el derecho a proseguir (sic) el presente recurso de amparo, por cuanto tal recurso en esta decisión queda inadmitido, con todas las consecuencias inherentes a ello.</w:t>
      </w:r>
    </w:p>
    <w:p w:rsidR="00256EE9" w:rsidRDefault="00256EE9" w:rsidP="00256EE9">
      <w:pPr>
        <w:pStyle w:val="TextoNormal"/>
      </w:pPr>
    </w:p>
    <w:p w:rsidR="00256EE9" w:rsidRDefault="00256EE9" w:rsidP="00256EE9">
      <w:pPr>
        <w:pStyle w:val="TextoNormal"/>
      </w:pPr>
      <w:r w:rsidRPr="00256EE9">
        <w:rPr>
          <w:rStyle w:val="NumeroAFNegritaCaracter"/>
        </w:rPr>
        <w:t>6</w:t>
      </w:r>
      <w:r>
        <w:t>. De cuanto se expone en los precedentes fundamentos jurídicos aparecen razones bastantes para considerar que la presente demanda de amparo es temeraria en virtud de lo dispuesto en el art. 95.2 de la LOTC, y debemos imponer las costas al solicitante del amparo.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declarar inadmisible el recurso de amparo promovido por don Evaristo Miguel Villamediana Trigueros, e imponer a éste las costas causadas.</w:t>
      </w:r>
    </w:p>
    <w:p w:rsidR="00256EE9" w:rsidRDefault="00256EE9" w:rsidP="00256EE9">
      <w:pPr>
        <w:pStyle w:val="TextoNormal"/>
      </w:pPr>
    </w:p>
    <w:p w:rsidR="00256EE9" w:rsidRDefault="00256EE9" w:rsidP="00256EE9">
      <w:pPr>
        <w:pStyle w:val="TextoNormal"/>
      </w:pPr>
      <w:r>
        <w:t>Madrid, a veinte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6" w:name="AUTO_1985_205"/>
      <w:r>
        <w:lastRenderedPageBreak/>
        <w:t>AUTO 205/1985, de 20 de marzo de 1985</w:t>
      </w:r>
    </w:p>
    <w:bookmarkEnd w:id="266"/>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ECLI:ES:TC:1985:205A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868/1984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«Agrupación de Envasadores de Aceites Comestibles» (A. N. E. A. C.) -actualmente «Asociación Nacional de Envasadores de Aceites Comestibles»-, representada por Procuradora y asistida de Letrado, interpone recurso de amparo, mediante escrito que ha tenido su entrada el 10 de diciembre de 1984, contra la Sentencia de la Sala Tercera de lo Contencioso-Administrativo del Tribunal Supremo de 12 de noviembre de 1984, notificada -se dice- el día 15 del mismo mes, por pretendida violación de los derechos reconocidos en los arts. 14, 22 y 24 de la Constitución Española (C. E.). La demanda se fundamenta en los hechos siguientes: La A. N. E. A. C. se constituyó al amparo de la Ley 19/1977, de 1 de abril, y quedó registrada en el Ministerio de Relaciones Sindicales el 23 de mayo de 1977. Sus Estatutos iniciales fueron modificados en julio de 1982 y junio de 1984, habiendo pasado a partir de esta última fecha a denominarse «Asociación Nacional de Envasadores de Aceites Comestibles». Los Estatutos de 1977, en vigor cuando se produjeron los hechos que dieron lugar al proceso, establecían (art. 1) que la «misión» de la A. N. E. A. C. era «la defensa y el fomento del envasado de dichos aceites con arreglo a estos Estatutos y la de sus industriales asociados»; el art. 2 de los mismos, que la A. N. E. A. C. «actuará en representación de todas las Empresas encuadradas en la misma y de las unidades económicas de ámbito territorial menores de ella dependientes»; y su art. 6, que «están encuadrados dentro de la Agrupación Nacional aquellos industriales que legalmente ejercen el envasado de los aceites comestibles para el mercado interior de España, que dan contenido y denominación a la Agrupación y que les interese voluntariamente pertenecer». La A. N. E. A. C. «ha mantenido, desde que se constituyó, numerosos y continuos contactos con la Administración del Estado», habiendo seguido numerosos procedimientos judiciales, tanto ante la Audiencia Nacional como ante el Tribunal Supremo. </w:t>
      </w:r>
    </w:p>
    <w:p w:rsidR="00256EE9" w:rsidRDefault="00256EE9" w:rsidP="00256EE9">
      <w:pPr>
        <w:pStyle w:val="TextoNormal"/>
      </w:pPr>
      <w:r>
        <w:t xml:space="preserve">La Comisaría de Abastecimientos y Transportes (C. A. T.) alteró, a partir -según se desprende de los resultandos de las Sentencias cuyas copias se acompañan- del mes de julio de 1978 el precio de venta del aceite crudo de girasol a las Empresas envasadoras, mediante «decisión administrativa» que se desprendía «de las 'comunicaciones' u oficios de la C. A. T. a las Delegaciones Provinciales y de éstas a las Empresas envasadoras». La A. N. E. A. C. dirigió el 30 de septiembre de 1978 un escrito a la Comisaría General de Abastecimientos y Transportes con la petición de que le fuese notificado en forma legal el texto íntegro del acto administrativo que entrañaba la modificación de dicho precio. Contra la desestimación presunta por silencio administrativo de tal petición, la A. N. E. A. C. </w:t>
      </w:r>
      <w:r>
        <w:lastRenderedPageBreak/>
        <w:t>interpuso, con fecha 18 de junio de 1979, recurso de alzada ante el Ministro de Comercio. Contra la desestimación presunta, por silencio administrativo, del recurso de alzada, la A. N. E. A. C. interpuso recurso contencioso-administrativo que fue estimado en parte por Sentencia de la Sala de lo Contencioso-Administrativo de la Audiencia Nacional, Sección Cuarta, de 2 de julio de 1982. Interpuestos sendos recursos de apelación por la A. N. E. A. C. y el Abogado del Estado, la Sala Tercera del Tribunal Supremo, por Sentencia de 12 de noviembre de 1984, desestimó el formulado por la primera y estimó el promovido por el representante de la Administración, revocando la Sentencia apelada «en el particular que estima parcialmente el recurso contencioso-administrativo entablado por la Agrupación indicada contra denegación presunta de la petición que formulara en escrito presentado el día 30 de septiembre de 1978 y el recurso de alzada subsiguiente».</w:t>
      </w:r>
    </w:p>
    <w:p w:rsidR="00256EE9" w:rsidRDefault="00256EE9" w:rsidP="00256EE9">
      <w:pPr>
        <w:pStyle w:val="TextoNormal"/>
      </w:pPr>
    </w:p>
    <w:p w:rsidR="00256EE9" w:rsidRDefault="00256EE9" w:rsidP="00256EE9">
      <w:pPr>
        <w:pStyle w:val="TextoNormal"/>
      </w:pPr>
      <w:r w:rsidRPr="00256EE9">
        <w:rPr>
          <w:rStyle w:val="NumeroAFNegritaCaracter"/>
        </w:rPr>
        <w:t>2</w:t>
      </w:r>
      <w:r>
        <w:t>. En la demanda se estiman violados por la Sentencia impugnada el art. 14 de la C. E., por el plano de inferioridad jurídica en que se coloca a la A. N. E. A. C., al mermarse sus facultades y derechos; el art. 22 de la C. E., no negando el derecho de asociación «palmaria y expresamente», pero sí «de un modo incompleto, soslayado, tácito», al trasladarse a cada asociado individual y particularmente los derechos y facultades que éstos habían delegado en la Agrupación o Asociación, y producirse «una especie de descomposición» de la Asociación; y el art. 24 de la C. E., al haberse estimado que la Agrupación demandante no puede ostentar la condición de interesada en los actos de asignación de aceite crudo de girasol a los industriales envasadores, pues la falta de notificación por el órgano administrativo correspondiente coloca a dicha Agrupación en la situación de indefensión. Se solicita se declare la nulidad de la Sentencia de la Sala Tercera del Tribunal Supremo de 12 de noviembre de 1984 y se restablezca a la demandante en la integridad de los derechos fundamentales invocados y en sus consecuencias concretas, como el derecho a ser notificada de los actos administrativos que la puedan afectar, tanto a ella como a las Empresas asociadas.</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Cuarta abrió un trámite de alegaciones para que la recurrente y el Ministerio Fiscal pudieran presentarlas sobre la posible concurrencia en este caso del motivo de inadmisibilidad del art. 50.2 b) de la Ley Orgánica de este Tribunal (LOTC). El Fiscal aprecia su existencia en relación con los tres derechos fundamentales presuntamente lesionados y pide la inadmisión del recurso. La parte actora pide la admisión. Alega en tal sentido que para apreciar el motivo del art. 50.2 b) de la LOTC el Tribunal debe atenerse en la fase actual del proceso, «como único elemento de juicio» a la forma de la demanda, si bien cabría «repeler la demanda de interposición» cuando estuviera carente de sentido y vacía de razonamientos y fundamentos de orden constitucional, lo que, a su juicio, no ocurre en su caso.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Es verdad que el motivo de inadmisibilidad del art. 50.2 b) de la LOTC no implica el incumplimiento de alguno de los requisitos formales de la demanda, como dice la representación de quien recurre en este caso, sino que obliga a un examen del fondo o de la pretensión contenida en la demanda de amparo, si bien tal examen puede no ser definitivo [pues planteada la concurrencia del art. 50.2 b) en el trámite del art. 50 de la LOTC, no por ello ha de inadmitirse forzosamente la demanda en ese momento] y, desde luego, tampoco </w:t>
      </w:r>
      <w:r>
        <w:lastRenderedPageBreak/>
        <w:t>ha de ser exhaustivo, pues ha de consistir tan sólo en comprobar, para lo cual se abre el trámite de alegaciones, si la demanda carece manifiestamente de contenido, id est, de contenido constitucional, carencia que la Sección puede apreciar (art.  8 de la LOTC) cuando, oídas las partes y el Ministerio Fiscal, entienda que la pretensión deducida no atañe a la violación de algunos de los derechos fundamentales y libertades públicas invocadas por la recurrente, cuya posible lesión, por decirlo con palabras de la actora, carezca de sentido o no esté mínimamente fundada, a pesar de que se hayan esgrimido, como ocurre en este caso, algunos argumentos a tal efecto.  Esto es precisamente lo que sucede con el recurso presente.</w:t>
      </w:r>
    </w:p>
    <w:p w:rsidR="00256EE9" w:rsidRDefault="00256EE9" w:rsidP="00256EE9">
      <w:pPr>
        <w:pStyle w:val="TextoNormal"/>
      </w:pPr>
    </w:p>
    <w:p w:rsidR="00256EE9" w:rsidRDefault="00256EE9" w:rsidP="00256EE9">
      <w:pPr>
        <w:pStyle w:val="TextoNormal"/>
      </w:pPr>
      <w:r w:rsidRPr="00256EE9">
        <w:rPr>
          <w:rStyle w:val="NumeroAFNegritaCaracter"/>
        </w:rPr>
        <w:t>2</w:t>
      </w:r>
      <w:r>
        <w:t>. Nada hay que permita advertir en qué puede consistir la denunciada lesión de igualdad (art. 14 de la C. E.), porque ni hay otra u otras Sentencias en que en caso idéntico o sustancialmente igual se hubiera llegado por el mismo órgano judicial a una decisión contraria, ni siquiera se menciona por la recurrente un supuesto que pudiera servir de referente o de tertium comparationis.</w:t>
      </w:r>
    </w:p>
    <w:p w:rsidR="00256EE9" w:rsidRDefault="00256EE9" w:rsidP="00256EE9">
      <w:pPr>
        <w:pStyle w:val="TextoNormal"/>
      </w:pPr>
    </w:p>
    <w:p w:rsidR="00256EE9" w:rsidRDefault="00256EE9" w:rsidP="00256EE9">
      <w:pPr>
        <w:pStyle w:val="TextoNormal"/>
      </w:pPr>
      <w:r w:rsidRPr="00256EE9">
        <w:rPr>
          <w:rStyle w:val="NumeroAFNegritaCaracter"/>
        </w:rPr>
        <w:t>3</w:t>
      </w:r>
      <w:r>
        <w:t>. Lo mismo hay que decir respecto al derecho de asociación, cuya violación, según la parte recurrente, ni siquiera se habría producido «palmaria y expresamente», sino «de un modo incompleto, soslayado, tácito».  No es cosa de matizar si estos tres adjetivos últimos son idénticos entre sí, ni tampoco si una posible lesión incompleta, pero no tácita, podría ser objeto de un recurso de amparo, porque lo que aquí ocurre es que, manifiestamente, el derecho de asociación no ha sido lesionado en modo alguno, puesto que la Sentencia impugnada no desconoce ni niega la existencia de la Asociación, ni impide a sus miembros que se asocien, pues asociados están, ni se ha limitado el contenido esencial de tal derecho, antes bien se constriñe a negar que la Administración esté obligada a notificarle ciertos actos, y ello porque, según la Sentencia, «su (el de la A. N. E. A. C.)  cometido o función es el fomento y defensa de los intereses corporativos o de grupo profesional y nada más, pero no tiene representación de los mismos (léase, de los empresarios asociados) para inferirse en su nombre en las operaciones individuales de cada uno...». Al razonar así, la Sentencia no lesiona el derecho de asociación, sino que interpreta, sin salirse de la legalidad ni trascender al plano de los derechos fundamentales, en qué consiste «el cometido y función» de una Asociación determinada.</w:t>
      </w:r>
    </w:p>
    <w:p w:rsidR="00256EE9" w:rsidRDefault="00256EE9" w:rsidP="00256EE9">
      <w:pPr>
        <w:pStyle w:val="TextoNormal"/>
      </w:pPr>
    </w:p>
    <w:p w:rsidR="00256EE9" w:rsidRDefault="00256EE9" w:rsidP="00256EE9">
      <w:pPr>
        <w:pStyle w:val="TextoNormal"/>
      </w:pPr>
      <w:r w:rsidRPr="00256EE9">
        <w:rPr>
          <w:rStyle w:val="NumeroAFNegritaCaracter"/>
        </w:rPr>
        <w:t>4</w:t>
      </w:r>
      <w:r>
        <w:t>. Tampoco hay vestigio de lesión del derecho a una tutela judicial efectiva.  Lo que sucede es que la Sentencia del Tribunal Supremo contraría las expectativas de la recurrente que ya había obtenido una resolución parcialmente favorable.  Pero, aparte de que esto pueda suceder en cualquier recurso, es lo cierto que la Sentencia impugnada atiende al problema que se le planteó, lo resuelve de modo congruente y razona con cita de preceptos legales y con expresa interpretación de los mismos su fallo. Al actuar así lo ha hecho en términos satisfactorios respecto a la tutela judicial debida, y es manifiesto que por el hecho de que su decisión sea adversa a la parte hoy recurrente en amparo no puede ésta sin más considerar lesionado alguno de los derechos que le reconoce el art. 24 de la Constitución.</w:t>
      </w:r>
    </w:p>
    <w:p w:rsidR="00256EE9" w:rsidRDefault="00256EE9" w:rsidP="00256EE9">
      <w:pPr>
        <w:pStyle w:val="TextoNormal"/>
      </w:pPr>
      <w:r>
        <w:t>Concurre, pues, en los tres supuestos el motivo del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lo expuesto, la Sección acuerda la inadmisión del recurso.</w:t>
      </w:r>
    </w:p>
    <w:p w:rsidR="00256EE9" w:rsidRDefault="00256EE9" w:rsidP="00256EE9">
      <w:pPr>
        <w:pStyle w:val="TextoNormal"/>
      </w:pPr>
    </w:p>
    <w:p w:rsidR="00256EE9" w:rsidRDefault="00256EE9" w:rsidP="00256EE9">
      <w:pPr>
        <w:pStyle w:val="TextoNormal"/>
      </w:pPr>
      <w:r>
        <w:t>Madrid, a veinte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7" w:name="AUTO_1985_206"/>
      <w:r>
        <w:lastRenderedPageBreak/>
        <w:t>AUTO 206/1985, de 20 de marzo de 1985</w:t>
      </w:r>
    </w:p>
    <w:bookmarkEnd w:id="267"/>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ECLI:ES:TC:1985:206A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899/1984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Ismael Diéguez Vázquez, representado por la Procuradora doña Beatriz Ruano Casanova y asistido del Letrado don J. Barja de Quiroga, formula demanda de amparo constitucional contra la resolución administrativa de 26 de mayo de 1981 y contra la Sentencia de 7 de mayo de 1984, de la Sala Cuarta de la Audiencia Territorial de Madrid, por vulneración de los derechos de tutela judicial efectiva, por habérsele producido indefensión y haberle tenido por culpable de hechos que no le han sido comunicados y desconoce. Según puede desprenderse de la demanda y especialmente de la documentación que acompaña, pues aquella adolece de imprecisiones y omisiones, los hechos de trascendencia para el conocimiento y resolución del recurso son los siguientes: </w:t>
      </w:r>
    </w:p>
    <w:p w:rsidR="00256EE9" w:rsidRDefault="00256EE9" w:rsidP="00256EE9">
      <w:pPr>
        <w:pStyle w:val="TextoNormal"/>
      </w:pPr>
      <w:r>
        <w:t xml:space="preserve">a) En fecha que no se determina en la demanda, don Ismael Diéguez Vázquez causó baja en el servicio activo en el Ejército como Teniente de Complemento, al no prorrogársele su relación debido a informe desfavorable de la Junta de Jefes de la Unidad donde estuvo destinado. Desestimado el recurso de reposición, que interpuso contra la decisión correspondiente, por resolución del Director General de Personal de la Jefatura Superior de Personal del Ejército, de 22 de agosto de 1978, parece haberse seguido procedimiento judicial cuyo resultado se desconoce. </w:t>
      </w:r>
    </w:p>
    <w:p w:rsidR="00256EE9" w:rsidRDefault="00256EE9" w:rsidP="00256EE9">
      <w:pPr>
        <w:pStyle w:val="TextoNormal"/>
      </w:pPr>
      <w:r>
        <w:t xml:space="preserve">b) El actor solicitó del Ejército le pusiera de manifiesto el informe que motivó su cese y ante la negativa formuló rccurso contencioso, que fue desestimado por Sentencia de la Audiencia Nacional de 27 de mayo de 1983, por tratarse de un acto de trámite no recurrible. Contra dicha Sentencia, pero impugnando realmente el acto que acuerda su no continuidad en el servicio activo, interpuso recurso de amparo (núm. de registro 546/1983) que fue inadmitido por Auto de la Sección Cuarta, de 16 de noviembre de 1983. </w:t>
      </w:r>
    </w:p>
    <w:p w:rsidR="00256EE9" w:rsidRDefault="00256EE9" w:rsidP="00256EE9">
      <w:pPr>
        <w:pStyle w:val="TextoNormal"/>
      </w:pPr>
      <w:r>
        <w:t xml:space="preserve">c) El demandante solicitó posteriormente vacante de Capitán que fue denegada por Acuerdo de la Dirección General de Personal de 3 de marzo de 1981, confirmado en alzada por Resolución de 26 de mayo de 1981. En esta última, que se acompaña, se fundamenta la denegación en el hecho de que el recurrente no obtuvo el informe favorable de la Junta de Jefes, como exige la Orden de 30 de octubre de 1978 para permitir la continuación en el servicio activo, y en que carecía de la titulación académica reclamada por el art. 2 de la convocatoria. </w:t>
      </w:r>
    </w:p>
    <w:p w:rsidR="00256EE9" w:rsidRDefault="00256EE9" w:rsidP="00256EE9">
      <w:pPr>
        <w:pStyle w:val="TextoNormal"/>
      </w:pPr>
      <w:r>
        <w:t xml:space="preserve">d) Contra dicha resolución interpuso recurso contencioso, que fue desestimado por Sentencia de la Audiencia Territorial de Madrid de 7 de mayo de 1984. La Sentencia expone que, al margen del informe desfavorable y con independencia de él, el actor no posee la </w:t>
      </w:r>
      <w:r>
        <w:lastRenderedPageBreak/>
        <w:t>titulación universitaria que exige la Orden 362/15037/1980. que convocó las vacantes, y la Orden de 10 de junio de 1980, por lo que no puede accederse a su pretensión. El actor interpuso recurso de apelación al que se declaró no haber lugar por providencia de 6 de noviembre.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actor impugna la resolución de 26 de mayo de 1981 y la Sentencia de 7 de mayo de 1984 por vulneración del art. 24 de la Constitución por no haber sido informado de la acusación formulada contra él, así como por indefensión por falta de prueba, motivado todo ello por haberse fundado las resoluciones recurridas en un informe secreto y reservado al que no se le ha permitido tener acceso. También se ha vulnerado el derecho a la tutela efectiva, pues estando exento de la exigencia de titulación universitaria según la Orden de 10 de junio de 1980, se le ha denegado la vacante argumentando carecer de dicha titulación. </w:t>
      </w:r>
    </w:p>
    <w:p w:rsidR="00256EE9" w:rsidRDefault="00256EE9" w:rsidP="00256EE9">
      <w:pPr>
        <w:pStyle w:val="TextoNormal"/>
      </w:pPr>
      <w:r>
        <w:t>Solicita se declare la nulidad de las resoluciones impugnadas y se retrotraiga el procedimiento «al momento en que la Constitución debió ser observada, a fin de que se puedan seguir nuevas actuaciones en las que, a la vista del informe reservado y secreto, pueda solicitar (el actor) nuevas diligencias que le permitan defender sus derechos».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Mediante providencia del pasado 13 de febrero, la Sección Tercera puso de manifiesto al recurrente y al Ministerio Fiscal la posible existencia de las siguientes causas de inadmisión: </w:t>
      </w:r>
    </w:p>
    <w:p w:rsidR="00256EE9" w:rsidRDefault="00256EE9" w:rsidP="00256EE9">
      <w:pPr>
        <w:pStyle w:val="TextoNormal"/>
      </w:pPr>
      <w:r>
        <w:t xml:space="preserve">a) La que señala el art. 50.1 b) en relación con el 49.1, ambos de la LOTC, por no determinarse con precisión cuál sea el acto recurrido y su naturaleza respecto de lo dispuesto en los arts. 43 y 44 de la LOTC, no expresar con precisión los hechos en los que fundamenta la petición de amparo y no concretar ésta. </w:t>
      </w:r>
    </w:p>
    <w:p w:rsidR="00256EE9" w:rsidRDefault="00256EE9" w:rsidP="00256EE9">
      <w:pPr>
        <w:pStyle w:val="TextoNormal"/>
      </w:pPr>
      <w:r>
        <w:t xml:space="preserve">b) La señalada en el art. 50.1 a) en relación con los arts. 43.2 ó 44.2 de la LOTC. </w:t>
      </w:r>
    </w:p>
    <w:p w:rsidR="00256EE9" w:rsidRDefault="00256EE9" w:rsidP="00256EE9">
      <w:pPr>
        <w:pStyle w:val="TextoNormal"/>
      </w:pPr>
      <w:r>
        <w:t xml:space="preserve">c) La expresada en el art. 50.2 b) de la LOTC. </w:t>
      </w:r>
    </w:p>
    <w:p w:rsidR="00256EE9" w:rsidRDefault="00256EE9" w:rsidP="00256EE9">
      <w:pPr>
        <w:pStyle w:val="TextoNormal"/>
      </w:pPr>
      <w:r>
        <w:t xml:space="preserve">Dentro del plazo común concedido por la citada providencia han alegado la representación del recurrente y el Ministerio Fiscal. </w:t>
      </w:r>
    </w:p>
    <w:p w:rsidR="00256EE9" w:rsidRDefault="00256EE9" w:rsidP="00256EE9">
      <w:pPr>
        <w:pStyle w:val="TextoNormal"/>
      </w:pPr>
      <w:r>
        <w:t xml:space="preserve">La representación del recurrente precisa que el acto recurrido es la Sentencia de la Sala Cuarta de lo Contencioso-Administrativo de la Audiencia Territorial de Madrid, de 7 de mayo de 1984. Señala que dicha Sentencia ha producido la indefensión del recurrente por haberse dictado sin haber tenido conocimiento de un informe secreto, frente a cuyo contenido el recurrente no ha podido defenderse. Sostiene que se ha sancionado al recurrente por una omisión (hay que entender la no posesión de título universitario) que en el momento de producirse no constituía infracción alguna, lo que implica una vulneración de los arts. 25.1 y 24.1 de la Constitución. Precisa que el amparo que se solicita se concreta en la retroacción del procedimiento al momento en que la Constitución debió ser observada y a que se declare nula la sanción de «no poder obtener vacantes por omisión de titularidad». Alega, por último, que no existe extemporaneidad del recurso puesto que fue interpuesto dentro de los veinte días siguientes a la fecha de notificación de la providencia de 3 de diciembre de 1984. </w:t>
      </w:r>
    </w:p>
    <w:p w:rsidR="00256EE9" w:rsidRDefault="00256EE9" w:rsidP="00256EE9">
      <w:pPr>
        <w:pStyle w:val="TextoNormal"/>
      </w:pPr>
      <w:r>
        <w:t xml:space="preserve">El Ministerio Fiscal, por su parte, tras remitirse a lo ya expuesto en el informe emitido en el recurso de amparo 546/1983, presentado por el mismo recurrente, afirma que, efectivamente, la demanda es confusa e imprecisa, puesto que invoca indistintamente los arts. 43 y 44 de la LOTC; no aclara en qué consiste la infracción del art. 24 en el que se fundamenta, ni permite saber con exactitud cuál es el agravio constitucional cuya reparación se interesa. </w:t>
      </w:r>
    </w:p>
    <w:p w:rsidR="00256EE9" w:rsidRDefault="00256EE9" w:rsidP="00256EE9">
      <w:pPr>
        <w:pStyle w:val="TextoNormal"/>
      </w:pPr>
      <w:r>
        <w:lastRenderedPageBreak/>
        <w:t>Añade que salvo que la notificación de la Sentencia recurrida se hiciera muy tardíamente, el recurso de amparo se ha interpuesto fuera del plazo señalado por el art. 44.2 de la LOTC y concluye afirmando que, aunque dada la falta de claridad no es fácil precisar el objeto de la demanda, el recurso carece de contenido constitucional, por lo que solicita su inadmisión.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Las alegaciones presentadas en este trámite por el recurrente no han contribuido a dotar a su demanda de la precisión y claridad que la Ley exige y cuya carencia señalábamos en nuestra providencia como posible causa de inadmisión.  No obstante ello, no insistiremos ahora en esa falta de precisión y aceptando en su simple literalidad las afirmaciones que se hacen, tanto en la demanda como en el posterior escrito de alegaciones, analizaremos el recurso exclusivamente desde las otras dos causas de inadmisión señaladas.</w:t>
      </w:r>
    </w:p>
    <w:p w:rsidR="00256EE9" w:rsidRDefault="00256EE9" w:rsidP="00256EE9">
      <w:pPr>
        <w:pStyle w:val="TextoNormal"/>
      </w:pPr>
      <w:r>
        <w:t>En primer lugar, y en lo que toca a la extemporaneidad, es patente que el recurrente conoció la Sentencia que ahora impugna en fecha que es innecesario precisar, pero que es, en todo caso, muy anterior a la del 6 de noviembre de 1984, en la que se dicta la providencia que declaró no haber lugar al recurso de apelación intentado contra dicha Sentencia. Siendo ello así, es evidente que el recurso de amparo se ha interpuesto meses después de concluido el plazo de veinte días que el art.  44.2 de la LOTC señala, pues ese plazo se inicia a partir del momento en que se recibe notificación en forma del acto contra el que se quiere recurrir y de ningún modo puede considerarse que se reabre cada vez que los órganos del Poder Judicial dicten una decisión por la que se cierra el paso a recursos inexistentes.</w:t>
      </w:r>
    </w:p>
    <w:p w:rsidR="00256EE9" w:rsidRDefault="00256EE9" w:rsidP="00256EE9">
      <w:pPr>
        <w:pStyle w:val="TextoNormal"/>
      </w:pPr>
      <w:r>
        <w:t>Con lo dicho bastaría, como es obvio, para considerar inadmisible el presente recurso. A mayor abundamiento, examinaremos también, antes de adoptar nuestra decisión, la última de las causas de inadmisión cuya posible existencia detectábamos, esto es, la de la falta manifiesta de contenido que justifique una decisión de este Tribunal en cuanto al fondo.</w:t>
      </w:r>
    </w:p>
    <w:p w:rsidR="00256EE9" w:rsidRDefault="00256EE9" w:rsidP="00256EE9">
      <w:pPr>
        <w:pStyle w:val="TextoNormal"/>
      </w:pPr>
      <w:r>
        <w:t>Se indica en el escrito de alegaciones que el acto que se impugna, la Sentencia de 7 de mayo de 1984, ha violado el art. 24.1 de la Constitución colocando al recurrente en situación de indefensión, por haberse dictado sin conocer el informe secreto respecto de cuyo contenido el recurrente no podía defenderse.  El hecho es, sin embargo, que en dicha Sentencia ese informe secreto tantas veces citado por el recurrente no juega papel alguno, pues se limita en ella el Tribunal a considerar ajustada a Derecho una decisión administrativa por la que se denegaba al señor Diéguez Vázquez una plaza de Capitán por no haber obtenido informe favorable de la Junta de Jefes y por carecer, sobre todo, de la titulación académica requerida para ocuparla.</w:t>
      </w:r>
    </w:p>
    <w:p w:rsidR="00256EE9" w:rsidRDefault="00256EE9" w:rsidP="00256EE9">
      <w:pPr>
        <w:pStyle w:val="TextoNormal"/>
      </w:pPr>
      <w:r>
        <w:t>De otra parte, se alega también la infracción del art.  25.1 (y aparentemente en conexión con él, del 24.1, ambos de la Constitución), alegación que se sostiene con el peregrino argumento de que al aplicársele lo dispuesto en la Orden 311/8142/1980 se le ha sancionado por una omisión que en el momento de producirse no constituía infracción alguna. Es claro que sólo una ignorancia radical de preceptos jurídicos elementales o un temerario desdén en su utilización hacen posible un argumento de este género. La no posesión de la titulación académica requerida para ocupar determinados empleos civiles o militares no es, en modo alguno, una omisión y la no atribución de tales empleos a quienes carecen de título no es tampoco, en modo alguno, una sanción que a los mismos se imponga.  Es obvio, por tanto, que no hay en la demanda de amparo alegato alguno que sos</w:t>
      </w:r>
      <w:r>
        <w:lastRenderedPageBreak/>
        <w:t>tenga seriamente la existencia de una posible vulneración de los derechos que la Constitución garantiza y que, por tanto, tal demanda carece de contenido en el sentido requerido en el art.  50.2 b).</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cual, la Sección ha decidido declarar inadmisible el presente recurso de amparo imponiendo al recurrente las costas del mismo.</w:t>
      </w:r>
    </w:p>
    <w:p w:rsidR="00256EE9" w:rsidRDefault="00256EE9" w:rsidP="00256EE9">
      <w:pPr>
        <w:pStyle w:val="TextoNormal"/>
      </w:pPr>
    </w:p>
    <w:p w:rsidR="00256EE9" w:rsidRDefault="00256EE9" w:rsidP="00256EE9">
      <w:pPr>
        <w:pStyle w:val="TextoNormal"/>
      </w:pPr>
      <w:r>
        <w:t>Madrid, a veinte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8" w:name="AUTO_1985_207"/>
      <w:r>
        <w:lastRenderedPageBreak/>
        <w:t>AUTO 207/1985, de 20 de marzo de 1985</w:t>
      </w:r>
    </w:p>
    <w:bookmarkEnd w:id="268"/>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ECLI:ES:TC:1985:207A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922/1984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Sala Segunda de la Audiencia Provincial de Sevilla, en Sentencia de 7 de julio de 1983, condenó a don José Prada García, como autor de un delito de intrusismo previsto y penado en el art. 321 del Código Penal, a las penas de seis meses y un día de prisión menor, multa de 20.000 pesetas y accesorias. La citada Sentencia declaraba probado que el procesado «carecía del título de Licenciado en Derecho y de los requisitos correspondientes para el ejercicio de la Abogacía, figuró en la guía telefónica de Sevilla del año 1977 con la profesión de abogado, y así venía además anunciado en la sección de páginas amarillas, dedicándose durante ese año a confeccionar escritos de demanda y otros técnico-juridicos que entregaba a algunos abogados, habiendo llegado a firmar con la anteposición de las siglas «Ldo.» un escrito dirigido al Juzgado de Guardia de Sevilla. Contra la anterior Sentencia, por la representación del señor Prada García, se preparó y formalizó recurso de casación por infracción de Ley y doctrina legal, pues estando conforme con el resultando de hechos probados, estimaba que se había infringido diversos preceptos, en concreto: el art. 1 del Código Penal, tras ser reformado por la Ley Orgánica 8/1983, de 25 de junio; la exposición de motivos de dicha Ley; el art. 321 del Código Penal, y el art. 24 de la Constitución. El Tribunal Supremo, por Auto de 27 de noviembre de 1984, decretó la no admisión del recurso, considerando, en primer término, que de conformidad con el artículo 884.4 de la Ley de Enjuiciamiento Criminal, procedía la inadmisión del único motivo de casación formulado al amparo del art. 849.1 de la Ley de Enjuiciamiento Criminal, por entremezclar en uno solo varios motivos de infracción y carecer del preceptivo extracto del núm. 1 del art. 874 de la misma Ley; en segundo lugar, que asimismo procedía la inadmisión del recurso, por el cauce formal del art. 884.1 de la Ley de Enjuiciamiento Criminal, pues la exposición de motivos carece del carácter de norma sustantiva penal; por último, se dice en el Auto que, en virtud del art. 884.4, procede la inadmisión de la violación del principio de presunción de inocencia, utilizando la vía del art. 849.1 y no del núm. 2, igualmente de la Ley de Enjuiciamiento Criminal. Don José Prada García, representado por Procurador y asistido de Letrado, interpuso recurso de amparo que tuvo entrada en este Tribunal el 28 de diciembre de 1984, citando como preceptos constitucionales vulnerados los recogidos en los núms. 1 y 2 del art. 24 de la Constitución, por entender que el Auto recurrido le dejó completamente indefenso, al no haber querido entrar el Tribunal Supremo en el fondo del asunto: Considera, en definitiva, el recurrente que la inadmisión del recurso de casación es contraria al Derecho Constitucional, y por ello solicita </w:t>
      </w:r>
      <w:r>
        <w:lastRenderedPageBreak/>
        <w:t>se declare que con el referido Auto se ha conculcado el art. 24.1 y 2 de la Constitución y, por consiguiente, se deje sin efecto la inadmisión del recurso de casación, con las consecuencias inherentes a tal declaración.</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6 de febrero, la Sección Cuarta acordó poner de manifiesto al Ministerio Fiscal y a la parte recurrente la posible concurrencia del motivo de inadmisibilidad del art. 50.2 b) de la Ley Orgánica de este Tribunal para alegaciones. En las suyas, el recurrente, en su brevísimo escrito, se pregunta cómo es posible que estén tutelados en este caso sus derechos «si el Tribunal Supremo declara la inadmisión del recurso de casación por una supuesta aplicación formulista (sic) y obsoleta», para líneas después añadir que se le ha violado su derecho del art. 24.1 de la Constitución «porque con esa resolución le impide llegar al fondo del asunto», por lo que se que.ja de la indefensión que se le ha producido. En su escrito de alegaciones, el Ministerio Fiscal aprecia la concurrencia del art. 50.2 b) de la Ley Orgánica del Tribunal Constitucional y pide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su demanda el hoy recurrente invocaba dos supuestas violaciones producidas contra su derecho a la tutela judicial efectiva y contra su derecho a la presunción de inocencia.  Este segundo derecho era simplemente mencionado en dos lineas y media y no sólo no se fundaba la pretendida violación, sino que ahora, en el trámite del art.  50, ni siquiera se le dedica una mínima atención, limitándose a repetir que el objeto de su recurso es el Auto del Tribunal Supremo que infringe «los números 1 y 2 del art. 24 de la Constitución».  Como en el párrafo segundo de tal artículo se reconocen, como es notorio, varios derechos, tal remisión global, unida a la simple mención del derecho a la presunción de inocencia en la demanda, hace que por lo que a ella se refiere, el recurso carezca manifiestamente del fundamento explícito y de la más débil apoyatura en razones incluso implícitas, pues, entre otras, podemos observar, como hace el Ministerio Fiscal, que mal puede lesionar el derecho a la presunción de inocencia un Auto de inadmisión de un recurso fundado en otras varias razones y en el que precisamente se aduce en uno de sus considerandos que el allí recurrente había omitido «toda referencia al vacío probatorio» y (añadimos nosotros) había hecho aceptación del resultando de hechos probados como ahora en su demanda declara.</w:t>
      </w:r>
    </w:p>
    <w:p w:rsidR="00256EE9" w:rsidRDefault="00256EE9" w:rsidP="00256EE9">
      <w:pPr>
        <w:pStyle w:val="TextoNormal"/>
      </w:pPr>
    </w:p>
    <w:p w:rsidR="00256EE9" w:rsidRDefault="00256EE9" w:rsidP="00256EE9">
      <w:pPr>
        <w:pStyle w:val="TextoNormal"/>
      </w:pPr>
      <w:r w:rsidRPr="00256EE9">
        <w:rPr>
          <w:rStyle w:val="NumeroAFNegritaCaracter"/>
        </w:rPr>
        <w:t>2</w:t>
      </w:r>
      <w:r>
        <w:t>. Respecto a la lesión de su derecho a la tutela judicial poco podemos decir, porque también es manifiesta la falta de contenido de su invocación.</w:t>
      </w:r>
    </w:p>
    <w:p w:rsidR="00256EE9" w:rsidRDefault="00256EE9" w:rsidP="00256EE9">
      <w:pPr>
        <w:pStyle w:val="TextoNormal"/>
      </w:pPr>
      <w:r>
        <w:t>En su escasísima fundamentación el recurrente identifica tal lesión con el hecho de que el Tribunal Supremo no haya entrado «en el fondo del asunto», lo que a su entender le produce indefensión.  El argumento no se sostiene, pues de ser cierto toda inadmisión de un recurso equivaldría a la producción de la indefensión que el art. 24.1 in fine prohíbe. El punto a debatir estriba en si la inadmisión ha sido declarada por medio de una resolución razonada, razonable y basada en preceptos legales. Ahí es donde podría tener algún apoyo la pretensión del recurrente cuando se queja de haber recibido una «supuesta aplicación formulista (sic) y obsoleta» de la Ley, siempre y cuando el Auto del Tribunal Supremo que impugna hubiera fundado la declaración de inadmisión sólo en «entremezclar en uno solo varios motivos de infracción»; pero es lo cierto que, además de ese fundamento, aca</w:t>
      </w:r>
      <w:r>
        <w:lastRenderedPageBreak/>
        <w:t>so en exceso formalista, el Auto contiene otras tres razones justificativas de la denegación, por lo cual, aunque conciso, está razonado en forma congruente y proporcionada al escrito del recurrente y contiene una resolución fundada en argumentos y en normas jurídicas, todo lo cual basta para satisfacer el derecho del recurrente a una tutela judicial efectiva en este caso.</w:t>
      </w:r>
    </w:p>
    <w:p w:rsidR="00256EE9" w:rsidRDefault="00256EE9" w:rsidP="00256EE9">
      <w:pPr>
        <w:pStyle w:val="TextoNormal"/>
      </w:pPr>
    </w:p>
    <w:p w:rsidR="00256EE9" w:rsidRDefault="00256EE9" w:rsidP="00256EE9">
      <w:pPr>
        <w:pStyle w:val="TextoNormal"/>
      </w:pPr>
      <w:r w:rsidRPr="00256EE9">
        <w:rPr>
          <w:rStyle w:val="NumeroAFNegritaCaracter"/>
        </w:rPr>
        <w:t>3</w:t>
      </w:r>
      <w:r>
        <w:t>. Las demandas de amparo deben estar fundadas y razonadas. La simple invocación de preceptos y de derechos no basta.  En consecuencia, la presente demanda por su carencia de fundamentación, no suplida por un escrito de alegaciones todavía más escueto no sólo incurre en el motivo del art.  50.2 b), sino también en la sanción prevista por el art.  95.2 de la Ley Orgánica del Tribunal Constitucional, por lo que la Sección la considera merecedora de la imposición de las costas y de una sanción de 10.000 pesetas.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la inadmisión del recurso y la imposición al recurrente de las costas y de una sanción de 10.000 pesetas.</w:t>
      </w:r>
    </w:p>
    <w:p w:rsidR="00256EE9" w:rsidRDefault="00256EE9" w:rsidP="00256EE9">
      <w:pPr>
        <w:pStyle w:val="TextoNormal"/>
      </w:pPr>
    </w:p>
    <w:p w:rsidR="00256EE9" w:rsidRDefault="00256EE9" w:rsidP="00256EE9">
      <w:pPr>
        <w:pStyle w:val="TextoNormal"/>
      </w:pPr>
      <w:r>
        <w:t>Madrid, a veinte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69" w:name="AUTO_1985_208"/>
      <w:r>
        <w:lastRenderedPageBreak/>
        <w:t>AUTO 208/1985, de 20 de marzo de 1985</w:t>
      </w:r>
    </w:p>
    <w:bookmarkEnd w:id="269"/>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ECLI:ES:TC:1985:208A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presentado el 4 de enero de 1985, el Procurador de los Tribunales don Saturnino Estévez Rodríguez, en nombre y representación de don Leopoldo Capón Fernández, interpuso recurso de amparo contra resolución del Ministerio de Justicia de 26 de febrero de 1980, declarada no ajustada a Derecho por Sentencia de 22 de junio de 1982 de la Sección Segunda de la Audiencia Nacional, Sentencia esta última que fue revocada por la de la Sala Quinta del Tribunal Supremo de 14 de noviembre de 1984. </w:t>
      </w:r>
    </w:p>
    <w:p w:rsidR="00256EE9" w:rsidRDefault="00256EE9" w:rsidP="00256EE9">
      <w:pPr>
        <w:pStyle w:val="TextoNormal"/>
      </w:pPr>
      <w:r>
        <w:t xml:space="preserve">Los hechos en que se fundamenta la demanda son en esencia los siguientes: </w:t>
      </w:r>
    </w:p>
    <w:p w:rsidR="00256EE9" w:rsidRDefault="00256EE9" w:rsidP="00256EE9">
      <w:pPr>
        <w:pStyle w:val="TextoNormal"/>
      </w:pPr>
      <w:r>
        <w:t xml:space="preserve">a) El solicitante de amparo entró el 1 de agosto de 1944 a prestar servicios como auxiliar en el Juzgado de Primera Instancia e Instrucción de Chantada (Lugo). </w:t>
      </w:r>
    </w:p>
    <w:p w:rsidR="00256EE9" w:rsidRDefault="00256EE9" w:rsidP="00256EE9">
      <w:pPr>
        <w:pStyle w:val="TextoNormal"/>
      </w:pPr>
      <w:r>
        <w:t xml:space="preserve">b) El 26 de febrero de 1946 fue expulsado del Juzgado por el entonces Juez de Primera Instancia e Instrucción de Chantada, «sin instrucción de expediente ni formalidad alguna». Tal «expulsión» fue motivada por «la ideología política del actor, que durante la República de 1931 a 1936 había sido activo simpatizante del partido político Izquierda Republicana». </w:t>
      </w:r>
    </w:p>
    <w:p w:rsidR="00256EE9" w:rsidRDefault="00256EE9" w:rsidP="00256EE9">
      <w:pPr>
        <w:pStyle w:val="TextoNormal"/>
      </w:pPr>
      <w:r>
        <w:t xml:space="preserve">c) Se narran diversas vicisitudes de la vida del demandante, que demostrarían que la expulsión del Juzgado estuvo motivada por causas «única y exclusivamente políticas»; su detención a raíz del inicio de la contienda; su obligado ingreso en el ejército nacional en el que, a pesar de haber sido declarado apto para el grado de oficial, seguido los oportunos cursos y superado las pruebas, fue expulsado de la Academia debido a informes políticos adversos; la propia expulsión del «cuerpo de Auxiliar de Secretaría Judicial», a pesar de haber superado los exámenes y haberle sido expedido el correspondiente título; la no expedición del Título de Procurador de los Tribunales, pese a haber aprobado los exámenes para ello; su imposibilidad de presentarse a oposiciones de Maestro de Primera Enseñanza, pese a que contaba con el título correspondiente, y su emigración a Venezuela. </w:t>
      </w:r>
    </w:p>
    <w:p w:rsidR="00256EE9" w:rsidRDefault="00256EE9" w:rsidP="00256EE9">
      <w:pPr>
        <w:pStyle w:val="TextoNormal"/>
      </w:pPr>
      <w:r>
        <w:t xml:space="preserve">d) El 30 de octubre de 1977 solicitó el demandante del Ministerio de Justicia su «inclusión» en el Cuerpo de Oficiales de la Administración de Justicia, petición que fue desestimada por Resolución de 30 de noviembre de 1977. </w:t>
      </w:r>
    </w:p>
    <w:p w:rsidR="00256EE9" w:rsidRDefault="00256EE9" w:rsidP="00256EE9">
      <w:pPr>
        <w:pStyle w:val="TextoNormal"/>
      </w:pPr>
      <w:r>
        <w:t xml:space="preserve">Interpuesto por el demandante recurso de reposición, éste no fue resuelto expresamente. </w:t>
      </w:r>
    </w:p>
    <w:p w:rsidR="00256EE9" w:rsidRDefault="00256EE9" w:rsidP="00256EE9">
      <w:pPr>
        <w:pStyle w:val="TextoNormal"/>
      </w:pPr>
      <w:r>
        <w:t xml:space="preserve">e) Tras la publicación del Real Decreto-ley 44/1978, de 21 de diciembre, sobre aplicación de la amnistía al personal auxiliar de Juzgados y Tribunales, dirigió el solicitante de amparo una nueva instancia al Ministerio de Justicia, solicitando se le integrase en el Cuerpo de Oficiales de la Administración de Justicia, con derecho a acceder al cargo de </w:t>
      </w:r>
      <w:r>
        <w:lastRenderedPageBreak/>
        <w:t xml:space="preserve">Secretario o, subsidiariamente, ser tenido por Auxiliar de la Administración de Justicia, con derecho a optar al Cuerpo de Oficiales. </w:t>
      </w:r>
    </w:p>
    <w:p w:rsidR="00256EE9" w:rsidRDefault="00256EE9" w:rsidP="00256EE9">
      <w:pPr>
        <w:pStyle w:val="TextoNormal"/>
      </w:pPr>
      <w:r>
        <w:t xml:space="preserve">f) Tal instancia fue desestimada por Resolución del Ministerio de Justicia de 4 de octubre de 1979, sobre la base de que el actor no llegó a acceder al Cuerpo en que pretende incardinarse, en la forma determinada por la Ley Orgánica de 8 de junio de 1947 y legislación posterior. </w:t>
      </w:r>
    </w:p>
    <w:p w:rsidR="00256EE9" w:rsidRDefault="00256EE9" w:rsidP="00256EE9">
      <w:pPr>
        <w:pStyle w:val="TextoNormal"/>
      </w:pPr>
      <w:r>
        <w:t xml:space="preserve">g) Interpuesto recurso de reposición, éste fue desestimado por resolución expresa de 26 de febrero de 1980, de la que se acompaña copia, sobre la base de no considerarse acreditado que el cese del recurrente como Auxiliar del Juzgado de Chantada se debió a sus antecedentes políticos, ni que tal separación fue causa determinante de no haberse podido integrar el mismo en los Cuerpos de Auxiliares de la Administración de Justicia o de la Justicia Municipal. </w:t>
      </w:r>
    </w:p>
    <w:p w:rsidR="00256EE9" w:rsidRDefault="00256EE9" w:rsidP="00256EE9">
      <w:pPr>
        <w:pStyle w:val="TextoNormal"/>
      </w:pPr>
      <w:r>
        <w:t xml:space="preserve">h) El solicitante de amparo interpuso recurso contencioso-administrativo, y admitido el mismo a prueba, el recurrente propuso, mediante escrito del que se acompaña copia, la práctica de la prueba documental, pericial caligráfica y testifical que mediante dicho escrito detalló. La Sala de lo Contencioso-Administrativo, Sección Segunda, de la Audiencia Nacional, a que correspondió conocer del recurso, sólo admitió y declaró pertinente la documental propuesta, denegando la caligráfica y testifical, «sin perjuicio, en su caso, del art. 75 de la Ley reguladora de esta jurisdicción», mediante providencia de 30 de abril de 1982, notificada el 12 de mayo, de la que también se acompaña copia. </w:t>
      </w:r>
    </w:p>
    <w:p w:rsidR="00256EE9" w:rsidRDefault="00256EE9" w:rsidP="00256EE9">
      <w:pPr>
        <w:pStyle w:val="TextoNormal"/>
      </w:pPr>
      <w:r>
        <w:t xml:space="preserve">i) La Sala estimó en parte el recurso contencioso-administrativo mediante Sentencia de 22 de junio de 1982, de la que se ha aportado inicialmente copia y, posteriormente, certificación, declarando no ajustada a Derecho la Resolución del Ministerio de Justicia de 26 de febrero de 1980, así como el derecho del recurrente a integrarse en el Cuerpo de Auxiliares de la Administración de Justicia desde la fecha de su solicitud, el 29 de septiembre de 1979. </w:t>
      </w:r>
    </w:p>
    <w:p w:rsidR="00256EE9" w:rsidRDefault="00256EE9" w:rsidP="00256EE9">
      <w:pPr>
        <w:pStyle w:val="TextoNormal"/>
      </w:pPr>
      <w:r>
        <w:t xml:space="preserve">En dicha Sentencia se consideró, en lo que respecta al requisito de la separación del servicio por razones políticas, que «dado el tiempo transcurrido desde entonces, y las circunstancias tan distintas de las actuales (... ), no se puede exigir al recurrente una prueba plena de demostrar con evidencia su separación por motivos políticos (...), y por tanto, para no burlar los fines que persigue el Real Decreto, bastaría con que haya prueba suficiente, aunque no sea concluyente, de que la separación del servicio obedeció a motivaciones políticas, y en los presentes Autos (...) existen motivos suficientes para creer que su separación del servicio como auxiliar obedeció exclusivamente a razones políticas». </w:t>
      </w:r>
    </w:p>
    <w:p w:rsidR="00256EE9" w:rsidRDefault="00256EE9" w:rsidP="00256EE9">
      <w:pPr>
        <w:pStyle w:val="TextoNormal"/>
      </w:pPr>
      <w:r>
        <w:t xml:space="preserve">j) Interpuesto por el Abogado del Estado recurso de apelación, la Sala Quinta del Tribunal Supremo, por Sentencia de 14 de noviembre de 1984, notificada -se dice- el 22 de noviembre siguiente, y de la que se ha aportado certificación, estimó dicho recurso de apelación y revocó la Sentencia apelada, dejándola sin efecto. </w:t>
      </w:r>
    </w:p>
    <w:p w:rsidR="00256EE9" w:rsidRDefault="00256EE9" w:rsidP="00256EE9">
      <w:pPr>
        <w:pStyle w:val="TextoNormal"/>
      </w:pPr>
      <w:r>
        <w:t xml:space="preserve">La Sala consideró que en el caso de que se trata la prueba «ha de ser más acabada que de la que obra en las actuaciones y así lo impone el artículo 6 del Real Decreto-ley 44/1978, que obliga a aportar la prueba de la separación y su motivación política»; que no consta, con respecto al interesado, «que su cese estuvo sólo y exclusivamente motivado por razones políticas, pues no sólo no hay pruebas fehacientes de ello, sino que la que se aporta para acreditar que alrededor del interesado concurrían presiones políticas que determinaron su separación, apreciada conjuntamente no imponen la conclusión a que llega la Sentencia apelada»; y «que al recurrente compete la prueba más acabada de la que aporta para acreditar que entre su nombramiento y su cese incidieron circunstancias especialísimas de índole política que le impidieron la continuación en el ejercicio de las funciones </w:t>
      </w:r>
      <w:r>
        <w:lastRenderedPageBreak/>
        <w:t>de Auxiliar, careciendo la prueba testifical de fuerza por su generalidad, acreditativa en todo caso de sólo una opinión sobre el interesado, pero no de una concreta causa de cese por motivos políticos, pues es racional concluir que no toda discrepancia política, si es que existió en quien obtuvo el empleo de Sargento, se transformó en persecución política merecedora ahora de amnistía por lo que tuvo de determinante de un cese en tareas o trabajos».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solicitante de amparo cita como violados por la Sentencia del Tribunal Supremo los arts. 14, 23.2 y 24 de la Constitución, alegando indefensión y discriminación con cita asimismo de doctrina del Tribunal Constitucional: indefensión que le habría sido producida por la restricción primero, «sin motivación ni razonamiento alguno», por parte de la Audiencia Nacional, de la prueba propuesta, y por el rechazo después, por parte del Tribunal Supremo, de la pretensión deducida, sobre la base de que la prueba practicada no había sido suficiente; y discriminación que habría sido causada por la propia indefensión, al haber recibido de los Tribunales un trato inferior en relación «con cualquier otro español» en la misma situación. Y solicita se declare no ajustada a Derecho la Resolución del Ministerio de Justicia de 26 de febrero de 1980, así como la Sentencia del Tribunal Supremo de 14 de noviembre de 1984, declarándose y reconociéndose el derecho del recurrente a integrarse en el Cuerpo de Auxiliares de la Administración de Justicia desde la fecha de su solicitud, con todos los derechos que tal integración suponga. </w:t>
      </w:r>
    </w:p>
    <w:p w:rsidR="00256EE9" w:rsidRDefault="00256EE9" w:rsidP="00256EE9">
      <w:pPr>
        <w:pStyle w:val="TextoNormal"/>
      </w:pPr>
      <w:r>
        <w:t>Por otrosí se solicita «la suspensión de la resolución administrativa impugnada».</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por providencia de 20 de febrero, acordó poner de manifiesto la posible existencia de las siguientes causas de inadmisibilidad: 1.ª la del art. 50.1 b) en relación con el 44.1 c), ambos de la Ley Orgánica de este Tribunal, porque no consta haberse invocado en la vía judicial previa el derecho constitucional que se supone vulnerado; 2.ª la del art. 50.2 b) de la misma Ley Orgánica, por cuanto la demanda pudiera carecer manifiestamente de contenido que justifique una decisión por parte del Tribunal Constitucional; por lo que (art. 50 de la LOTC) otorgó un plazo común de diez días al solicitante de amparo y al Ministerio Fiscal para alegaciones. Acordó asimismo la Sección en dicha providencia formar pieza separada de suspensión en la que se actuara todo lo correspondiente a tal pretensión incidental.</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En su escrito de alegaciones presentado el 5 de marzo, el recurrente en amparo, en relación con la posible causa de inadmisibilidad del art. 50.1 b) en relación con el 44.1 c), ambos de la LOTC, hace observar que la violación que alega no le fue conocida hasta la notificación de la Sentencia del Tribunal Supremo, revocatoria de la de la Audiencia Nacional, que había estimado su demanda, por lo que no tuvo momento procesal anterior al de interposición del presente recurso para invocar el derecho constitucional en cuestión. </w:t>
      </w:r>
    </w:p>
    <w:p w:rsidR="00256EE9" w:rsidRDefault="00256EE9" w:rsidP="00256EE9">
      <w:pPr>
        <w:pStyle w:val="TextoNormal"/>
      </w:pPr>
      <w:r>
        <w:t>Por lo que se refiere a la segunda posible causa de inadmisibilidad señalada en nuestra providencia, entiende que la Sentencia del Tribunal Supremo impugnada ha violado su derecho constitucional a obtener la tutela efectiva de los Jueces y Tribunales sin que pueda producirse indefensión, del art. 24.1 de la Constitución, al declarar insuficiente la prueba practicada, considerada suficiente por la Audiencia Nacional que, en cambio, le había denegado parte de la propuesta; por lo que se reitera en su petición de amparo.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xml:space="preserve">. Las alegaciones del Fiscal ante el Tribunal Constitucional, en escrito ingresado el 27 de febrero, pueden resumirse como sigue: </w:t>
      </w:r>
    </w:p>
    <w:p w:rsidR="00256EE9" w:rsidRDefault="00256EE9" w:rsidP="00256EE9">
      <w:pPr>
        <w:pStyle w:val="TextoNormal"/>
      </w:pPr>
      <w:r>
        <w:t xml:space="preserve">a) Aunque la demanda sitúa el presente recurso en el ámbito del art. 43 de la LOTC, lo cierto es que lo realmente impugnado es la Sentencia del Tribunal Supremo en relación con medida acordada por la Audiencia Nacional sobre la práctica de ciertas pruebas, a la que con exclusividad atribuye las vulneraciones que denuncia: indefensión por no admitirse dicha prueba y que coloca al demandante en situación de discriminación con respecto a «cualquier otro español»; lo cual no le impide suplicar la nulidad de la resolución del Ministerio de Justicia, a la que no atribuye ningún agravio constitucional. Y como, en definitiva, la causante de las supuestas violaciones es la Sentencia del Tribunal Supremo, no cabe exigir al ahora demandante que hiciera invocación de la lesión que alega. Puede ciertamente pensarse que la lesión tuvo su origen en la resolución judicial que denegó las pruebas pericial y testifical propuestas, en cuyo caso había que haber recurrido tal denegación, lo que no se hizo. </w:t>
      </w:r>
    </w:p>
    <w:p w:rsidR="00256EE9" w:rsidRDefault="00256EE9" w:rsidP="00256EE9">
      <w:pPr>
        <w:pStyle w:val="TextoNormal"/>
      </w:pPr>
      <w:r>
        <w:t xml:space="preserve">b) En cuanto a la no permisión de utilizar pruebas pertinentes (derecho constitucionalizado en el art. 24.2 de la Constitución), corresponde al juzgador determinar la pertinencia de las mismas. La Audiencia Nacional las denegó, sin que el proponente impugnara tal decisión. </w:t>
      </w:r>
    </w:p>
    <w:p w:rsidR="00256EE9" w:rsidRDefault="00256EE9" w:rsidP="00256EE9">
      <w:pPr>
        <w:pStyle w:val="TextoNormal"/>
      </w:pPr>
      <w:r>
        <w:t xml:space="preserve">c) La lesión de la igualdad es demasiado general para ser apta a una comparación. d) El tercer derecho fundamental cuya violación se denuncia, del art. 23.2 de la Constitución, podría haber sido lesionado por la resolución del Ministerio de Justicia, pero no hay alegato alguno en la demanda, salvo su simple mención, a este derecho; y, por otra parte, tanto la resolución del Ministerio de Justicia como, más tarde, la Sentencia del Tribunal Supremo, se limitaron a declarar que no se daban los presupuestos establecidos en el Decreto de Amnistía para la reintegración del recurrente en el cargo público interesado. </w:t>
      </w:r>
    </w:p>
    <w:p w:rsidR="00256EE9" w:rsidRDefault="00256EE9" w:rsidP="00256EE9">
      <w:pPr>
        <w:pStyle w:val="TextoNormal"/>
      </w:pPr>
      <w:r>
        <w:t>Procede, en consecuencia, según el Ministerio Fiscal, la inadmisión del recurso por concurrir el motivo del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A pesar de que el solicitante de amparo cita como infringidos los artículos 14, 23.2 y 24 de la C. E., sus alegaciones al respecto se ciñen a la cuestión de la prueba propuesta, a su denegación parcial por la Audiencia Nacional y a la consideración como insuficiente de la practicada que efectuó el Tribunal Supremo.</w:t>
      </w:r>
    </w:p>
    <w:p w:rsidR="00256EE9" w:rsidRDefault="00256EE9" w:rsidP="00256EE9">
      <w:pPr>
        <w:pStyle w:val="TextoNormal"/>
      </w:pPr>
      <w:r>
        <w:t xml:space="preserve">Así pues, la invocación por el solicitante de amparo de los mencionados arts.  14 y 23.2 constituye una cita meramente formal de tales preceptos, al no indicarse término concreto de comparación alguno que permita afirmar que el demandante ha sido discriminado -bien en lo referente a sus posibilidades de acceso a las funciones y cargos públicos, o bien en otros aspectos-, frente a otras personas.  La única argumentación formulada expresamente al respecto en la demanda -la de que es el trato obtenido de los Tribunales en relación con la prueba propuesta y denegada el que le habría colocado en situación de inferioridad y de falta de protección de su derecho a ocupar un cargo público- viene a incidir en la misma cuestión planteada con la invocación del art. 24 de la C. E.: la de la indefensión que tal denegación de prueba habría ocasionado.  Pero, por otro lado, el amparo que se solicita no guarda relación con las alegaciones de indefensión.  En efecto, si tal indefensión hubiera sido producida por la denegación de la prueba caligráfica y testifical propuesta en su día por el demandante, lo congruente hubiera sido pedir que se revocase o dejase sin efecto </w:t>
      </w:r>
      <w:r>
        <w:lastRenderedPageBreak/>
        <w:t>esa denegación y se ordenase la práctica de esa prueba, retrotrayéndose las actuaciones al momento procesal oportuno, y no -como se hace en la demanda- solicitar la anulación de la resolución administrativa y de la Sentencia contrarias a su pretensión -la de ingreso en un Cuerpo de funcionarios-, e incluso la estimación de dicha pretensión.</w:t>
      </w:r>
    </w:p>
    <w:p w:rsidR="00256EE9" w:rsidRDefault="00256EE9" w:rsidP="00256EE9">
      <w:pPr>
        <w:pStyle w:val="TextoNormal"/>
      </w:pPr>
    </w:p>
    <w:p w:rsidR="00256EE9" w:rsidRDefault="00256EE9" w:rsidP="00256EE9">
      <w:pPr>
        <w:pStyle w:val="TextoNormal"/>
      </w:pPr>
      <w:r w:rsidRPr="00256EE9">
        <w:rPr>
          <w:rStyle w:val="NumeroAFNegritaCaracter"/>
        </w:rPr>
        <w:t>2</w:t>
      </w:r>
      <w:r>
        <w:t>. Con ello, lo que realmente viene a pretenderse mediante la presente demanda de amparo, dirigida contra la resolución del Ministerio de Justicia de 26 de febrero de 1980 y contra la Sentencia del Tribunal Supremo que vino a confirmarla, es plantear ante este Tribunal Constitucional la cuestión de fondo -la de la procedencia o no de la integración del recurrente en el Cuerpo de la Administración de Justicia a que aspira-, e incluso el que este Tribunal Constitucional entre a apreciar si la prueba practicada fue o no suficiente a los efectos de la aplicación del Real Decreto-ley 44/1978, de 21 de diciembre.  Pero son todas ellas cuestiones cuyo conocimiento corresponde exclusivamente a los órganos de la jurisdicción ordinaria, de acuerdo con los arts. 117.3 de la C. E.  y 44.1 b) y 54 de la LOTC. Con lo cual incide la demanda en el supuesto contemplado por el art. 50.2 b) de la misma.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 no procediendo en consecuencia a pronunciarse sobre la solicitud de suspensión.</w:t>
      </w:r>
    </w:p>
    <w:p w:rsidR="00256EE9" w:rsidRDefault="00256EE9" w:rsidP="00256EE9">
      <w:pPr>
        <w:pStyle w:val="TextoNormal"/>
      </w:pPr>
    </w:p>
    <w:p w:rsidR="00256EE9" w:rsidRDefault="00256EE9" w:rsidP="00256EE9">
      <w:pPr>
        <w:pStyle w:val="TextoNormal"/>
      </w:pPr>
      <w:r>
        <w:t>Madrid, a veinte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0" w:name="AUTO_1985_209"/>
      <w:r>
        <w:lastRenderedPageBreak/>
        <w:t>AUTO 209/1985, de 20 de marzo de 1985</w:t>
      </w:r>
    </w:p>
    <w:bookmarkEnd w:id="270"/>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ECLI:ES:TC:1985:209A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12/1985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Luis Herrero Navas, representado por Procurador y con asistencia de Letrado, ha interpuesto recurso de amparo, mediante escrito que tuvo su entrada en este Tribunal el 8 de enero de 1985 y que fue presentado en el Juzgado de Guardia el 7 de enero, dirigido contra Sentencia del Juzgado de Distrito núm. 15 de Barcelona, de 12 de junio de 1984, dictada en juicio de cognición 98/1984, sobre resolución de contrato de arrendamiento y confirmada en recurso de apelación (rollo 59/1984) por Sentencia de la Sección Primera de la Audiencia Provincial de Barcelona de 10 de diciembre de 1984, notificada -se dice- el día 11 siguiente. </w:t>
      </w:r>
    </w:p>
    <w:p w:rsidR="00256EE9" w:rsidRDefault="00256EE9" w:rsidP="00256EE9">
      <w:pPr>
        <w:pStyle w:val="TextoNormal"/>
      </w:pPr>
      <w:r>
        <w:t xml:space="preserve">La demanda se fundamenta en esencia en los hechos siguientes: </w:t>
      </w:r>
    </w:p>
    <w:p w:rsidR="00256EE9" w:rsidRDefault="00256EE9" w:rsidP="00256EE9">
      <w:pPr>
        <w:pStyle w:val="TextoNormal"/>
      </w:pPr>
      <w:r>
        <w:t xml:space="preserve">a) El señor Herrero Navas, su esposa doña Carmen Martínez Herrero, la hermana de ésta doña Librada Margarita Martínez Herrero y el esposo de esta última don Aurelio Villasante Zorrilla, hicieron gestiones para conseguir el arrendamiento conjunto de un piso, el segundo del número -actualmente- 244 de la calle Balmes de Barcelona. No obstante, el contrato fue firmado sólo por don Aurelio Villasante Zorrilla el 4 de octubre de 1948. </w:t>
      </w:r>
    </w:p>
    <w:p w:rsidR="00256EE9" w:rsidRDefault="00256EE9" w:rsidP="00256EE9">
      <w:pPr>
        <w:pStyle w:val="TextoNormal"/>
      </w:pPr>
      <w:r>
        <w:t xml:space="preserve">b) El señor Villasante y su familia abandonaron dicho piso en el año 1951. </w:t>
      </w:r>
    </w:p>
    <w:p w:rsidR="00256EE9" w:rsidRDefault="00256EE9" w:rsidP="00256EE9">
      <w:pPr>
        <w:pStyle w:val="TextoNormal"/>
      </w:pPr>
      <w:r>
        <w:t xml:space="preserve">Permaneció en él el señor Herrero y la suya. Las rentas fueron satisfechas inicialmente por ambas familias y a partir de la separación por el señor Herrero. </w:t>
      </w:r>
    </w:p>
    <w:p w:rsidR="00256EE9" w:rsidRDefault="00256EE9" w:rsidP="00256EE9">
      <w:pPr>
        <w:pStyle w:val="TextoNormal"/>
      </w:pPr>
      <w:r>
        <w:t xml:space="preserve">c) Habiendo cambiado el administrador de la vivienda, el nuevo invitó en octubre de 1956 a los arrendatarios a satisfacer una mayor renta, por estimar que existía un subarriendo. Hechos los razonamientos pertinentes -se dice-, la propiedad desistió de su pretensión de aumento de la renta. </w:t>
      </w:r>
    </w:p>
    <w:p w:rsidR="00256EE9" w:rsidRDefault="00256EE9" w:rsidP="00256EE9">
      <w:pPr>
        <w:pStyle w:val="TextoNormal"/>
      </w:pPr>
      <w:r>
        <w:t xml:space="preserve">d) En abril de 1959, la vivienda fue adquirida por mitad y proindiviso por don Juan Busquets Crusat y doña Dolores Thomas Ferrer. </w:t>
      </w:r>
    </w:p>
    <w:p w:rsidR="00256EE9" w:rsidRDefault="00256EE9" w:rsidP="00256EE9">
      <w:pPr>
        <w:pStyle w:val="TextoNormal"/>
      </w:pPr>
      <w:r>
        <w:t xml:space="preserve">e) Fallecido el señor Villasante el 29 de enero de 1983, su viuda, doña Librada Margarita Martínez Herrero, en la creencia de que el arrendamiento del piso tenía el carácter de arrendamiento conjunto, se subrogó el 21 de marzo de 1983 en los derechos y obligaciones arrendaticios que hubieran podido corresponder a su esposo. </w:t>
      </w:r>
    </w:p>
    <w:p w:rsidR="00256EE9" w:rsidRDefault="00256EE9" w:rsidP="00256EE9">
      <w:pPr>
        <w:pStyle w:val="TextoNormal"/>
      </w:pPr>
      <w:r>
        <w:t xml:space="preserve">f) Don Juan Busquets Crusat pidió por demanda de juicio de cognición de fecha 5 de marzo de 1984, que se declarase la resolución del contrato de arrendamiento de la vivienda por haber sido subarrendada la misma por su actual titular arrendaticia doña Librada Margarita Martínez Herrero, al ahora solicitante de amparo, don Luis Herrero Navas, sin consentimiento o autorización para ello de la propiedad. </w:t>
      </w:r>
    </w:p>
    <w:p w:rsidR="00256EE9" w:rsidRDefault="00256EE9" w:rsidP="00256EE9">
      <w:pPr>
        <w:pStyle w:val="TextoNormal"/>
      </w:pPr>
      <w:r>
        <w:lastRenderedPageBreak/>
        <w:t xml:space="preserve">g) El Juzgado de Distrito, por Sentencia de 12 de junio de 1984, estimó la demanda y condenó a la demandada doña Librada Margarita Martínez Herrero a desalojar la vivienda, con apercibimiento de que, de no hacerlo, sería lanzada junto con cuantas personas la ocuparan. </w:t>
      </w:r>
    </w:p>
    <w:p w:rsidR="00256EE9" w:rsidRDefault="00256EE9" w:rsidP="00256EE9">
      <w:pPr>
        <w:pStyle w:val="TextoNormal"/>
      </w:pPr>
      <w:r>
        <w:t xml:space="preserve">En uno de los considerandos de la Sentencia, el Juez consideró que «determinado que nos hallamos ante un subarriendo, la jurisprudencia del Tribunal Supremo es uniforme al declarar que no es preciso, cuando se ejercita una acción de resolución por esta causa, demandar también al subarrendatario, aunque pueda dicha persona ser tenida por parte en el pleito, si lo solicitare a título de tercero que tiene interés en el asunto». </w:t>
      </w:r>
    </w:p>
    <w:p w:rsidR="00256EE9" w:rsidRDefault="00256EE9" w:rsidP="00256EE9">
      <w:pPr>
        <w:pStyle w:val="TextoNormal"/>
      </w:pPr>
      <w:r>
        <w:t xml:space="preserve">h) Interpuesto por la demandada recurso de apelación, que fue proseguido, por fallecimiento de la misma, por su hija doña Alicia Villasante Martínez, la Sección Primera de la Audiencia Provincial de Barcelona desestimó el recurso y confirmó íntegramente la apelación por Sentencia de 10 de diciembre de 1983, que fue notificada al día siguiente. </w:t>
      </w:r>
    </w:p>
    <w:p w:rsidR="00256EE9" w:rsidRDefault="00256EE9" w:rsidP="00256EE9">
      <w:pPr>
        <w:pStyle w:val="TextoNormal"/>
      </w:pPr>
      <w:r>
        <w:t xml:space="preserve">La representación de doña Alicia Villasante Martínez presentó, con fecha 12 de diciembre de 1984, un escrito en el que dijo haberse invocado el artículo 24 de la C.E. y haberse alegado «indefensión del verdadero y único ocupante de la vivienda», y por el que solicitó que se corrigiese la «omisión» indicada «mediante la correspondiente adición a que se refiere el art. 363 de la Ley Procesal Civil», así como por otrosí, que se ordenase la expedición y entrega de las certificaciones de resoluciones judiciales que se solicitaban, la Sección Primera de la Audiencia Provincial acordó, por providencia de 14 de diciembre de 1984, no haber lugar a lo solicitado en el escrito, sin perjuicio de la expedición de la certificación solicitada por otrosí. </w:t>
      </w:r>
    </w:p>
    <w:p w:rsidR="00256EE9" w:rsidRDefault="00256EE9" w:rsidP="00256EE9">
      <w:pPr>
        <w:pStyle w:val="TextoNormal"/>
      </w:pPr>
      <w:r>
        <w:t>En la demanda de amparo se citan como infringidos los arts. 14 y 24 de la C.E., solicitándose que se declare la nulidad de todas las actuaciones practicadas en el juicio de cognición y que sea también emplazado en él el solicitante de amparo.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de este Tribunal, en su reunión del día 6 de febrero del corriente año, acordó poner de manifiesto la posible existencia de la causa de inadmisibilidad que regula el art. 50.2 b) de la Ley Orgánica de este Tribunal, por cuanto la demanda pudiera carecer manifiestamente de contenido que justifique una decisión por parte del Tribunal Constitucional. </w:t>
      </w:r>
    </w:p>
    <w:p w:rsidR="00256EE9" w:rsidRDefault="00256EE9" w:rsidP="00256EE9">
      <w:pPr>
        <w:pStyle w:val="TextoNormal"/>
      </w:pPr>
      <w:r>
        <w:t>Por ello, en aplicación de lo dispuesto en el art. 50 de la expresada Ley Orgánica, se otorga un plazo común de diez días al solicitante de amparo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El solicitante del amparo ha insistido en sus iniciales alegaciones sosteniendo que, aunque pudiera parecer inicialmente que se trata de arbitrar una tercera instancia revisora de las anteriores, lo que se pretende es destacar la condición de no litigante de quien debiera haberlo sido, quedando gravemente perjudicado en sus derechos e intereses, de no prosperar la acción ejercitada. Tras exponer de nuevo los hechos litigiosos señala el solicitante del amparo que el art. 24 de la Constitución contiene el mandato implícito al legislador y al intérprete de promover la defensión mediante la correspondiente contradicción, así como a que el proceso se desarrolle con las debidas garantías y es aplicable al control de legalidad. (Sentencia de 31 de marzo de 1981, Sala Primera; 22 de abril de 1981, Sala Primera.) Al darse la circunstancia de no haber existido notificación oficial alguna de las actuaciones en el procedimiento ni de la Sentencia que se impugna, en la vivienda cuestionada, se está en el caso de aplicabilidad de la doctrina mantenida en la Sentencia de este Tribunal de 20 de octubre de 1982, Sala Segunda, según la cual el conocimiento de lo ac</w:t>
      </w:r>
      <w:r>
        <w:lastRenderedPageBreak/>
        <w:t xml:space="preserve">tuado sólo pudo ser adquirido «en virtud de averiguaciones a las que el interesado no estaba obligado» y que en este caso se dificultaba por las especiales circunstancias familiares referidas. Es de destacar que el ahora recurrente era perfectamente conocido e identificable, puesto que sobre su persona, situación y domicilio, versan todas las actuaciones. En el mismo sentido se pronuncian abundantes Sentencias como la de 8 de febrero de 1982. </w:t>
      </w:r>
    </w:p>
    <w:p w:rsidR="00256EE9" w:rsidRDefault="00256EE9" w:rsidP="00256EE9">
      <w:pPr>
        <w:pStyle w:val="TextoNormal"/>
      </w:pPr>
      <w:r>
        <w:t xml:space="preserve">El derecho fundamental de igualdad ante la Ley y su aplicación se estima vulnerado: </w:t>
      </w:r>
    </w:p>
    <w:p w:rsidR="00256EE9" w:rsidRDefault="00256EE9" w:rsidP="00256EE9">
      <w:pPr>
        <w:pStyle w:val="TextoNormal"/>
      </w:pPr>
      <w:r>
        <w:t xml:space="preserve">1.° Por calificar la situación como de subarrendatario, con violación de lo establecido en el art. 14 de la Ley de Arrendamientos Urbanos, causa resolutoria 11, en relación con el núm. 3 del art. 62 de la misma Ley, ya que esta institución exige, según exhaustiva doctrina jurisprudencial, la introducción en el local arrendado de un tercero ajeno a la relación arrendaticia, mediante precio y sin conocimiento del arrendador, requisitos de los que no se cumplen ninguno en el presente caso (entre miles de Sentencias se puede citar como de las más antiguas la de 24 de noviembre de 1956). </w:t>
      </w:r>
    </w:p>
    <w:p w:rsidR="00256EE9" w:rsidRDefault="00256EE9" w:rsidP="00256EE9">
      <w:pPr>
        <w:pStyle w:val="TextoNormal"/>
      </w:pPr>
      <w:r>
        <w:t xml:space="preserve">2.° Por no haberse apreciado prescripción de la acción, aun en el supuesto dialéctico de haberse calificado correctamente de subarriendo, al ser aceptada como fecha de interrupción la que ha señalado el demandante, en contra de la documental que acredita el conocimiento por parte de la propiedad de la actual situación, y el subsiguiente aquietamiento al menos desde 16 de octubre de 1956, y ello contra lo dispuesto en el art. 1.964 del Código Civil y confirmado por la Sentencia de la Audiencia de Pontevedra, entre muchas otras, de 14 de julio de 1977. </w:t>
      </w:r>
    </w:p>
    <w:p w:rsidR="00256EE9" w:rsidRDefault="00256EE9" w:rsidP="00256EE9">
      <w:pPr>
        <w:pStyle w:val="TextoNormal"/>
      </w:pPr>
      <w:r>
        <w:t xml:space="preserve">3.° Porque, aunque se hubiera apreciado en un caso más próximo al real, aunque también inexistente, la presencia de una cesión, o la llamada genéricamente «circulación de contrato», no se han tenido en cuenta los efectos sanativos del art. 25 de la Ley de Arrendamientos Urbanos ni el plazo para la inmovilización de las acciones personales a que se refiere entre otras la Sentencia de la Audiencia de Granada de 14 de enero de 1981, con base en el anteriormente invocado art. 1.964 del Código Civil. </w:t>
      </w:r>
    </w:p>
    <w:p w:rsidR="00256EE9" w:rsidRDefault="00256EE9" w:rsidP="00256EE9">
      <w:pPr>
        <w:pStyle w:val="TextoNormal"/>
      </w:pPr>
      <w:r>
        <w:t xml:space="preserve">4.° Por abuso de derecho que no ha sido apreciado a pesar de que el actor tiene por parte a la demandada en virtud de la carta de subrogación de esta última y no obstante constarle que tal subrogación no la amparaba por no reunir los requisitos legales de permanencia en el piso, que es precisamente en lo que fundamenta la acción resolutoria. Esta mala fe, revelada también en la ocultación de documentos y otras manifestaciones, son actos que originan la sanción de antisocialidad y abusivos en el art. 7 del Título Preliminar del Código Civil y resuelve en caso de sensible identidad con el presente, la admirable Sentencia de la Audiencia de Gerona de 15 de mayo de 1979, en ponencia de don Francisco Soto Nieto. </w:t>
      </w:r>
    </w:p>
    <w:p w:rsidR="00256EE9" w:rsidRDefault="00256EE9" w:rsidP="00256EE9">
      <w:pPr>
        <w:pStyle w:val="TextoNormal"/>
      </w:pPr>
      <w:r>
        <w:t xml:space="preserve">5.° Práctica de prueba: Se utiliza la prueba de presunciones existiendo prueba directa, aportada a los autos por la demandada, sin contar con la documental y de otro orden que pudiera aportarse de forma complementaria, de no haberse vulnerado el principio de contradicción. </w:t>
      </w:r>
    </w:p>
    <w:p w:rsidR="00256EE9" w:rsidRDefault="00256EE9" w:rsidP="00256EE9">
      <w:pPr>
        <w:pStyle w:val="TextoNormal"/>
      </w:pPr>
      <w:r>
        <w:t xml:space="preserve">El Fiscal ha solicitado la inadmisión de este recurso de amparo, señalando que las alegaciones del recurrente acreditan de una manera clara la falta de dimensión constitucional de la demanda, que pretende mediante la cita de preceptos constitucionales, obtener una revisión de la resolución judicial por la vía de amparo. No existe en la demanda argumentación que sirva para construir la violación denunciada. </w:t>
      </w:r>
    </w:p>
    <w:p w:rsidR="00256EE9" w:rsidRDefault="00256EE9" w:rsidP="00256EE9">
      <w:pPr>
        <w:pStyle w:val="TextoNormal"/>
      </w:pPr>
      <w:r>
        <w:t xml:space="preserve">En el proceso se demanda al arrendatario según el contrato, porque la pretensión se basa en la existencia de un subarriendo inconsentido. La naturaleza de la pretensión determina que sólo el arrendatario sea demandado, ya que el incumplimiento por éste de una de </w:t>
      </w:r>
      <w:r>
        <w:lastRenderedPageBreak/>
        <w:t xml:space="preserve">las obligaciones del contrato determina la resolución del mismo, de acuerdo con el art. 114.2 de la L.A. U. </w:t>
      </w:r>
    </w:p>
    <w:p w:rsidR="00256EE9" w:rsidRDefault="00256EE9" w:rsidP="00256EE9">
      <w:pPr>
        <w:pStyle w:val="TextoNormal"/>
      </w:pPr>
      <w:r>
        <w:t xml:space="preserve">La relación arrendaticia sólo existe entre el arrendador y el arrendatario. La pretensión del primero es que el subarriendo ha sido inconsentido y, por ello, no existe relación con el subarrendatario. </w:t>
      </w:r>
    </w:p>
    <w:p w:rsidR="00256EE9" w:rsidRDefault="00256EE9" w:rsidP="00256EE9">
      <w:pPr>
        <w:pStyle w:val="TextoNormal"/>
      </w:pPr>
      <w:r>
        <w:t xml:space="preserve">La presunta violación del derecho consagrado en el art. 24.1 de la Constitución no existe. El demandado ha tenido acceso al proceso, ha hecho las alegaciones que ha estimado oportunas, ha propuesto las pruebas referentes a las mismas y ha obtenido una respuesta jurídica fundada en Derecho, declarando la existencia de un subarriendo inconsentido y por lo tanto, se produce la resolución del contrato; que la respuesta jurídica no sea coincidente con la pretensión deducida no afecta para nada a la realización de la tutela judicial efectiva. </w:t>
      </w:r>
    </w:p>
    <w:p w:rsidR="00256EE9" w:rsidRDefault="00256EE9" w:rsidP="00256EE9">
      <w:pPr>
        <w:pStyle w:val="TextoNormal"/>
      </w:pPr>
      <w:r>
        <w:t xml:space="preserve">Según el Fiscal, se trata de un problema de prueba. El recurrente afirma que existe un contrato de arrendamiento conjunto con el arrendatario y el órgano judicial, apreciando las pruebas practicadas, declara que hay un único arrendamiento con el demandado y, por lo tanto, un subarriendo que provoca la resolución. La valoración de la prueba pertenece al órgano judicial y la disparidad del recurrente con dicha apreciación no tiene dimensión constitucional. El Tribunal Constitucional no puede entrar en la valoración de la prueba cuando la misma ha sido razonada en la Sentencia. </w:t>
      </w:r>
    </w:p>
    <w:p w:rsidR="00256EE9" w:rsidRDefault="00256EE9" w:rsidP="00256EE9">
      <w:pPr>
        <w:pStyle w:val="TextoNormal"/>
      </w:pPr>
      <w:r>
        <w:t>El recurrente -añade el Fiscal- no funda la presunta violación del artículo 14 de la Constitución. Ninguna de sus alegaciones tienen relación con el contenido del derecho a la igualdad. Son apreciaciones que coinciden básicamente con los alegados en la violación del art. 24.</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Se alega en este asunto violación del derecho a la tutela judicial efectiva y se cita como infringido el art.  24 de la Constitución, estimándose en la demanda que tal violación ha consistido en el no emplazamiento en el juicio de cognición del ahora solicitante de amparo. Se citan al respecto las Sentencias del Tribunal Constitucional 4/1982, de 8 de febrero, y 63/1982, de 20 de octubre.</w:t>
      </w:r>
    </w:p>
    <w:p w:rsidR="00256EE9" w:rsidRDefault="00256EE9" w:rsidP="00256EE9">
      <w:pPr>
        <w:pStyle w:val="TextoNormal"/>
      </w:pPr>
      <w:r>
        <w:t>Mas lo que no llega a alegar el recurrente es haber sido privado realmente de la posibilidad de intervenir en el juicio de cognición, por desconocimiento de su iniciación o por alguna otra causa.  Tampoco hay constancia de que, intentada por él la intervención en el juicio, la misma no haya sido admitida.</w:t>
      </w:r>
    </w:p>
    <w:p w:rsidR="00256EE9" w:rsidRDefault="00256EE9" w:rsidP="00256EE9">
      <w:pPr>
        <w:pStyle w:val="TextoNormal"/>
      </w:pPr>
      <w:r>
        <w:t>Por el contrario, el tenor del segundo considerando de la Sentencia del Juzgado de Distrito que se impugna permite sostener que si el señor Herrero, calificado por dicha Sentencia como subarrendatario, hubiese solicitado ser tenido por parte en el pleito a título de tercero que tenía interés en el asunto, el Juez hubiese accedido a ello.</w:t>
      </w:r>
    </w:p>
    <w:p w:rsidR="00256EE9" w:rsidRDefault="00256EE9" w:rsidP="00256EE9">
      <w:pPr>
        <w:pStyle w:val="TextoNormal"/>
      </w:pPr>
      <w:r>
        <w:t>Cabe pensar por ello que el solicitante del amparo se ha colocado él mismo, por su inactividad, en la situación de indefensión o de falta de tutela judicial por él denunciada, por lo que no es impertinente recordar lo dicho por este Tribunal en el sentido de que no existe falta de tutela judicial ni indefensión cuando la causa de ello es la inactividad o negligencia de quien la alega.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Las alegaciones que se hacen para fundamentar la presunta vulneración del derecho constitucional a la igualdad ante la Ley carecen por completo de consistencia.  El derecho </w:t>
      </w:r>
      <w:r>
        <w:lastRenderedPageBreak/>
        <w:t>a la igualdad ante la Ley significa que en situaciones o supuestos de hecho iguales los ciudadanos tienen derecho a ser tratados por la Ley de un modo igual, lo que entraña la interdicción de establecer diferenciaciones que sean arbitrarias, que estén faltas de justificación o que sean desproporcionadas en los supuestos de hecho o en las consecuencias jurídicas. Por ello, toda alegación del derecho constitucional de igualdad necesita, para que su examen pueda ser realizado, un tertium comparationis, frente al que la desigualación se produzca, y este tertium comparationis tiene que ser una situación jurídica concreta en la que se encuentren otros ciudadanos u otros grupos de ciudadanos, sin que tal requisito pueda entenderse cumplido mediante la referencia inconcreta a vagos conjuntos normativos, ni menos todavía a la interpretación que se cree que debe darse a las normas jurídicas.  En este sentido, carecen de base las alegaciones de violación del derecho contenido en el art.  14 de la Constitución por calificar o dejar de calificar una situación como subarriendo, apreciar o dejar de apreciar los efectos sanatorios de la norma contenida en el art. 25 de la Ley de Arrendamientos Urbanos y apreciar o dejar de apreciar la prescripción y el abuso de Derecho, pues todas estas son cuestiones que no guardan relación alguna con el derecho reconocido en el art.  14 de la Constitución.  Y si lo que se quiere es detectar una falta de igualdad en la aplicación de las normas por parte del Tribunal hay que decir, ante todo y sin necesidad de entrar en mayores profundizaciones, que el solicitante del amparo no ofrece base alguna para ello y que su alegación del derecho contemplado en el referido art.  14 es más formularia que otra cosa, como lo prueba el que introduzca en este apartado una crítica de la utilización de las pruebas apreciadas por el juzgador.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ha acordado la inadmisión del recurso de que se ha hecho mérito.</w:t>
      </w:r>
    </w:p>
    <w:p w:rsidR="00256EE9" w:rsidRDefault="00256EE9" w:rsidP="00256EE9">
      <w:pPr>
        <w:pStyle w:val="TextoNormal"/>
      </w:pPr>
    </w:p>
    <w:p w:rsidR="00256EE9" w:rsidRDefault="00256EE9" w:rsidP="00256EE9">
      <w:pPr>
        <w:pStyle w:val="TextoNormal"/>
      </w:pPr>
      <w:r>
        <w:t>Madrid, a veinte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1" w:name="AUTO_1985_210"/>
      <w:r>
        <w:lastRenderedPageBreak/>
        <w:t>AUTO 210/1985, de 20 de marzo de 1985</w:t>
      </w:r>
    </w:p>
    <w:bookmarkEnd w:id="271"/>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ECLI:ES:TC:1985:210A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16/1985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Mediante escrito presentado en el Gobierno Civil de Sevilla el día 29 de diciembre de 1984, y que tuvo entrada en el Registro General de este Tribunal Constitucional el 9 de enero del año actual, doña Mauricia Ferreira Iglesias, Procuradora de los Tribunales de Sevilla, interpone recurso de amparo constitucional, en nombre y representación de don Joaquín Lozano Martínez, contra la Sentencia dictada por el Juzgado de Primera Instancia núm. 3 de Sevilla, en 27 de octubre de 1984, revocando la del Juzgado de Distrito núm. 6 de la misma capital que declara resuelto el contrato de arrendamiento urbano. Pide que se declare la nulidad de la resolución impugnada, por infracción del art. 24.1 de la Constitución Española.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siguientes hechos: </w:t>
      </w:r>
    </w:p>
    <w:p w:rsidR="00256EE9" w:rsidRDefault="00256EE9" w:rsidP="00256EE9">
      <w:pPr>
        <w:pStyle w:val="TextoNormal"/>
      </w:pPr>
      <w:r>
        <w:t xml:space="preserve">a) Doña Rosa María Sánchez Madrid, arrendadora de una vivienda a don Joaquín Lozano Martínez, instó procedimiento de resolución del contrato de arrendamiento por haberse opuesto temerariamente el arrendatario a una elevación de renta, al amparo de lo dispuesto en el art. 101.5 de la Ley de Arrendamientos Urbanos. El arrendatario consignó en el Juzgado las rentas y diferencias reclamadas en la citada demanda, manifestando en forma expresa y tajante su disconformidad con el pretendido aumento de renta. </w:t>
      </w:r>
    </w:p>
    <w:p w:rsidR="00256EE9" w:rsidRDefault="00256EE9" w:rsidP="00256EE9">
      <w:pPr>
        <w:pStyle w:val="TextoNormal"/>
      </w:pPr>
      <w:r>
        <w:t xml:space="preserve">b) El 29 de marzo de 1984, la arrendadora formuló demanda de desahucio por falta de pago de la que conoció el Juzgado de Distrito núm. 6 de Sevilla y en la que reclamaba las rentas en la cuantía correspondiente a la elevación reclamada en el procedimiento anterior, en lugar de reclamar la renta no revisada, que es la que el solicitante de amparo considera legítima. El arrendatario consignó en el Juzgado las rentas que a su juicio eran legítimas y acreditó haberlas venido ofreciendo a la arrendadora por conducto fehaciente y con escrupulosa puntualidad, siendo rechazadas por ésta. El Juzgado de Distrito, en Sentencia de 31 de mayo de 1984, desestimó las pretensiones de la actora y entendió que la consignación de rentas efectuada por el arrendatario en el procedimiento del art. 101.5 de la L. A. U. de que se ha hecho mérito no significó, ni podía significar, un reconocimiento por parte del inquilino de la elevación de renta pretendida. </w:t>
      </w:r>
    </w:p>
    <w:p w:rsidR="00256EE9" w:rsidRDefault="00256EE9" w:rsidP="00256EE9">
      <w:pPr>
        <w:pStyle w:val="TextoNormal"/>
      </w:pPr>
      <w:r>
        <w:t>c) Apelada la Sentencia por la arrendadora, el Juzgado de Primera Instancia núm. 3 de los de Sevilla revocó la Sentencia del Juez de Distrito y declaró resuelto el contrato de arrendamiento que vinculaba a las partes condenando al demandado al desalojo de la vi</w:t>
      </w:r>
      <w:r>
        <w:lastRenderedPageBreak/>
        <w:t>vienda y al pago de las costas, por entender que la consignación de rentas efectuada ante el Juzgado de Distrito (por la cuantía no revisada) no había sido bastante, toda vez que el arrendatario había aceptado la elevación de la merced, al consignarla en la cuantía pretendida por la arrendadora en el procedimiento del art. 101.5 de la L. A. U.</w:t>
      </w:r>
    </w:p>
    <w:p w:rsidR="00256EE9" w:rsidRDefault="00256EE9" w:rsidP="00256EE9">
      <w:pPr>
        <w:pStyle w:val="TextoNormal"/>
      </w:pPr>
    </w:p>
    <w:p w:rsidR="00256EE9" w:rsidRDefault="00256EE9" w:rsidP="00256EE9">
      <w:pPr>
        <w:pStyle w:val="TextoNormal"/>
      </w:pPr>
      <w:r w:rsidRPr="00256EE9">
        <w:rPr>
          <w:rStyle w:val="NumeroAFNegritaCaracter"/>
        </w:rPr>
        <w:t>3</w:t>
      </w:r>
      <w:r>
        <w:t>. Los fundamentos jurídicos de la demanda son que se ha vulnerado el art. 24 de la Constitución al haberse dado una interpretación errónea al artículo 101.5 de la L. A. U.</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Tercera de este Tribunal, en providencia de fecha 6 de febrero último, acordó poner de manifiesto la posible existencia de las siguientes causas de inadmisibilidad: 1.ª la del art. 50.1 b) en relación con el 81, ambos de la Ley Orgánica de este Tribunal, por no comparecer por medio de Procurador habilitado para ejercer en Madrid; 2.ª la del art. 50.1 a) en relación con el 44.2, ambos de la misma Ley Orgánica, por extemporaneidad de la interposición, atendida la fecha en que se recibió la demanda de amparo en este Tribunal, y 3.ª la del art. 50.2 b) de la antes indicada Ley Orgánica, por cuanto la demanda pudiera carecer manifiestamente de contenido que justifique una decisión por parte del Tribunal Constitucional. Y otorgó un plazo común de diez días al solicitante de amparo y al Ministerio Fiscal para alegaciones. </w:t>
      </w:r>
    </w:p>
    <w:p w:rsidR="00256EE9" w:rsidRDefault="00256EE9" w:rsidP="00256EE9">
      <w:pPr>
        <w:pStyle w:val="TextoNormal"/>
      </w:pPr>
      <w:r>
        <w:t xml:space="preserve">El Ministerio Fiscal, único que las ha presentado dentro del plazo concedido al efecto, manifiesta que, no dándose en la representación del recurrente el requisito de incorporación al Colegio de Procuradores de Madrid, concurre la causa de inadmisión del art. 50.1 b) en relación con el 81, ambos de la LOTC, pues la comparecencia ante el Tribunal Constitucional, según se prescribe en el antes citado art. 81 de la Ley Orgánica mencionada, deberá hacerse por las personas físicas o jurídicas por medio de Procurador, ya que es necesario la concurrencia de la postulación procesal suficiente. El mismo artículo no autoriza la representación por cualquier Procurador, sino necesariamente por un técnico incorporado al Colegio de Madrid. La LOTC ha optado a la hora de regular la representación por el sistema de conferirla a los Procuradores, y de éstos precisamente no a los incorporados a cualquier Colegio de Procuradores, sino solamente a los incorporados al Colegio de Madrid a diferencia de lo dispuesto para la otra asistencia técnica. La razón de esta limitación es la naturaleza de la función de Procurador, que sólo puede asumirse actuando en la sede del Tribunal. </w:t>
      </w:r>
    </w:p>
    <w:p w:rsidR="00256EE9" w:rsidRDefault="00256EE9" w:rsidP="00256EE9">
      <w:pPr>
        <w:pStyle w:val="TextoNormal"/>
      </w:pPr>
      <w:r>
        <w:t xml:space="preserve">En cuanto al plazo para ejercitar el derecho constitucional de amparo, no es un plazo procesal, sino un plazo de derecho sustantivo, es decir, un plazo de caducidad de la acción o el derecho de amparo. Es un presupuesto necesario que no cabe subsanar. </w:t>
      </w:r>
    </w:p>
    <w:p w:rsidR="00256EE9" w:rsidRDefault="00256EE9" w:rsidP="00256EE9">
      <w:pPr>
        <w:pStyle w:val="TextoNormal"/>
      </w:pPr>
      <w:r>
        <w:t xml:space="preserve">La demanda ha llegado al Tribunal Constitucional pasado el plazo de los veinte días exigidos para el ejercicio del derecho de amparo. La presentación de la misma se ha realizado dentro del plazo, pero en un organismo no habilitado, o por lo menos no aceptado hasta el momento, para la recepción, como es el Gobierno Civil. El Tribunal Constitucional admite únicamente la entrega de las demandas o en su propia sede o en el Juzgado de Guardia de Madrid, o en la oficina de Correos pertinente. </w:t>
      </w:r>
    </w:p>
    <w:p w:rsidR="00256EE9" w:rsidRDefault="00256EE9" w:rsidP="00256EE9">
      <w:pPr>
        <w:pStyle w:val="TextoNormal"/>
      </w:pPr>
      <w:r>
        <w:t xml:space="preserve">Todo lo que no sea realizar la entrega en estos lugares o de esta forma no se tiene en cuenta para el cómputo del plazo de interposición del recurso de amparo; por ello tendrá que considerarse como extemporáneo, al concurrir la causa del art. 50.1 a) en relación con el 44.2, ambos de la LOTC. </w:t>
      </w:r>
    </w:p>
    <w:p w:rsidR="00256EE9" w:rsidRDefault="00256EE9" w:rsidP="00256EE9">
      <w:pPr>
        <w:pStyle w:val="TextoNormal"/>
      </w:pPr>
      <w:r>
        <w:t xml:space="preserve">El recurrente alega como fundamento del recurso de amparo la violación por la Sentencia impugnada del art. 24.1 de la C. E., que consiste en la interpretación errónea del art. 101.5 de la L. A. U., realizada por el órgano judicial de apelación y esta interpretación, al </w:t>
      </w:r>
      <w:r>
        <w:lastRenderedPageBreak/>
        <w:t xml:space="preserve">ser en la Sentencia definitiva, produce su indefensión. La descripción del contenido de la violación produce una concurrencia lógica y consecuente con la jurisprudencia del Tribunal Constitucional: la falta de la dimensión constitucional de la demanda, ya que la pretendida vulneración se desarrolla en el campo de la interpretación de la legalidad ordinaria. </w:t>
      </w:r>
    </w:p>
    <w:p w:rsidR="00256EE9" w:rsidRDefault="00256EE9" w:rsidP="00256EE9">
      <w:pPr>
        <w:pStyle w:val="TextoNormal"/>
      </w:pPr>
      <w:r>
        <w:t xml:space="preserve">El Juez de Apelación, al conocer la Sentencia recurrida, efectúa una valoración de las pruebas acreditativas de los hechos y estima que la renta consignada en el proceso no es la procedente, correspondiendo la exigida por el demandante y llega a esta conclusión al entender que la renta fijada en el proceso anterior, coincidente con la reclamada por el demandante, es la legal. </w:t>
      </w:r>
    </w:p>
    <w:p w:rsidR="00256EE9" w:rsidRDefault="00256EE9" w:rsidP="00256EE9">
      <w:pPr>
        <w:pStyle w:val="TextoNormal"/>
      </w:pPr>
      <w:r>
        <w:t xml:space="preserve">El Juez de Apelación ha realizado una interpretación de todos los materiales aportados al proceso y la interpretación y posterior subsunción de lo fáctico en la norma, responde lógicamente a la fundamentación de dicha interpretación, que se encuentra razonada en Derecho, sin tener, en ningún momento, el carácter de arbitraria. </w:t>
      </w:r>
    </w:p>
    <w:p w:rsidR="00256EE9" w:rsidRDefault="00256EE9" w:rsidP="00256EE9">
      <w:pPr>
        <w:pStyle w:val="TextoNormal"/>
      </w:pPr>
      <w:r>
        <w:t xml:space="preserve">La interpretación del art. 101.5 de la Ley de Arrendamientos Urbanos efectuada por el Juez es materia correspondiente con exclusividad a la sede judicial, ajena a la competencia del Tribunal Constitucional, que no puede convertirse en instancia revisora. </w:t>
      </w:r>
    </w:p>
    <w:p w:rsidR="00256EE9" w:rsidRDefault="00256EE9" w:rsidP="00256EE9">
      <w:pPr>
        <w:pStyle w:val="TextoNormal"/>
      </w:pPr>
      <w:r>
        <w:t xml:space="preserve">Lo que se discute en realidad por parte del recurrente es su divergencia con la resolución del Juez. Esta divergencia tampoco se apoya en argumentación sólida; sólo se expone, pero sin debate fundamentado. </w:t>
      </w:r>
    </w:p>
    <w:p w:rsidR="00256EE9" w:rsidRDefault="00256EE9" w:rsidP="00256EE9">
      <w:pPr>
        <w:pStyle w:val="TextoNormal"/>
      </w:pPr>
      <w:r>
        <w:t>Se podría estar o no de acuerdo con la interpretación realizada del artículo 101.5 y de la valoración hecha por el juzgador respecto al procedimiento de desahucio anterior, pero dicha interpretación y valoración no afecta para nada a la tutela judicial efectiva. Podemos concluir -sigue el Ministerio Fiscal- que la demanda carece de contenido constitucional, concurriendo la causa de inadmisión del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actor no ha aprovechado la audiencia que le fue concedida en virtud de lo dispuesto en el art. 50 de la LOTC para subsanar, de conformidad con lo dispuesto en el art.  85.2, también de la LOTC, la falta de postulación, compareciendo para ello mediante Procurador ejerciente en Madrid; y respecto a las causas impeditivas de la admisión del recurso -la interposición extemporánea y la falta de contenido constitucional del amparo- para sostener, si así lo creía, que no concurrían tales causas. La no subsanación y la falta de alegaciones, bien puede interpretarse como aquiescencia a que lo que de la mano de los apartados 1 a), 1 b) y 2 b) del art. 50 le advertimos en nuestra providencia de apertura de la audiencia al actor y podría dispensarnos del análisis de cada una de indicadas causas. No vamos, sin embargo, a cerrarnos al indicado análisis y en este punto, y por lo que se atañe a la falta de capacidad de postulación -que es lo primero que advertimos en la mencionada providencia-, tenemos que decir acudiendo a lo dispuesto en el art. 81 de la LOTC que la representación procesal por medio de Procurador es preceptiva en el recurso de amparo, con la sola excepción de que el actor, para defender derechos o intereses propios, sea Licenciado en Derecho.  El actor ha creído que la capacidad de postulación se cumplía actuando por medio de Procurador, colegiado en Sevilla, mas esto no es así, pues mientras para la defensa encomendada a Abogado puede actuar quien esté incorporado a cualquiera de los Colegios de Abogados y no sólo los incorporados al Colegio de Madrid, para la representación procesal sólo es válida la que se otorga y se ejerce por Procurador ejercien</w:t>
      </w:r>
      <w:r>
        <w:lastRenderedPageBreak/>
        <w:t>te en esta ciudad, lo que se comprende teniendo en cuenta la función del Procurador, sólo realizable, por su inmediación al Tribunal, por Procurador aquí ejerciente.</w:t>
      </w:r>
    </w:p>
    <w:p w:rsidR="00256EE9" w:rsidRDefault="00256EE9" w:rsidP="00256EE9">
      <w:pPr>
        <w:pStyle w:val="TextoNormal"/>
      </w:pPr>
    </w:p>
    <w:p w:rsidR="00256EE9" w:rsidRDefault="00256EE9" w:rsidP="00256EE9">
      <w:pPr>
        <w:pStyle w:val="TextoNormal"/>
      </w:pPr>
      <w:r w:rsidRPr="00256EE9">
        <w:rPr>
          <w:rStyle w:val="NumeroAFNegritaCaracter"/>
        </w:rPr>
        <w:t>2</w:t>
      </w:r>
      <w:r>
        <w:t>. Mediante una extensión de la regla del art. 66.1 de la Ley de Procedimiento Administrativo, que no es aplicable al proceso constitucional, pues en la remisión que para integrar el sistema de fuentes hace el art. 80 de la LOTC, no se comprende tal Ley, el actor ha pretendido que su demanda de amparo se entendiera presentada en tiempo, acudiendo para ello a la regla que para el procedimiento administrativo establece el núm. 4 del mencionado art.  66.</w:t>
      </w:r>
    </w:p>
    <w:p w:rsidR="00256EE9" w:rsidRDefault="00256EE9" w:rsidP="00256EE9">
      <w:pPr>
        <w:pStyle w:val="TextoNormal"/>
      </w:pPr>
      <w:r>
        <w:t>No es esto válido, y aunque con el propósito de evitar la pérdida del recurso, lo dispensaremos de tal exigencia, continuarían los impedimentos del artículo 50.1 b), en relación con el art. 81.1 de la LOTC y como vamos a ver de seguido del art. 50.2 b).</w:t>
      </w:r>
    </w:p>
    <w:p w:rsidR="00256EE9" w:rsidRDefault="00256EE9" w:rsidP="00256EE9">
      <w:pPr>
        <w:pStyle w:val="TextoNormal"/>
      </w:pPr>
    </w:p>
    <w:p w:rsidR="00256EE9" w:rsidRDefault="00256EE9" w:rsidP="00256EE9">
      <w:pPr>
        <w:pStyle w:val="TextoNormal"/>
      </w:pPr>
      <w:r w:rsidRPr="00256EE9">
        <w:rPr>
          <w:rStyle w:val="NumeroAFNegritaCaracter"/>
        </w:rPr>
        <w:t>3</w:t>
      </w:r>
      <w:r>
        <w:t>. Con una referencia sumaria al art. 24.1 de la Constitución y la invocación del art. 101.5 de la Ley de Arrendamientos Urbanos, lo que hace el actor es disentir del factum que acudiendo a una motivación fáctica, y de la interpretación y aplicación que de aquel precepto de la L. A. U. ha hecho el Juez de la Apelación, discrepancia que no afecta al derecho que proclama el artículo 24.1, pues no se le ha impedido el acceso a la jurisdicción, y al proceso debido, obteniendo una Sentencia que si es desfavorable no ha privado del derecho a la tutela judicial efectiva, pues aquel precepto no constitucionaliza el derecho a obtener una Sentencia favorable, sino a una Sentencia que -dentro del marco de la exclusividad jurisdiccional que proclama el art. 117.3 de la Constitución- pronuncien el Juez competente, como órgano del Derecho privado.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su virtud, la Sección declara que el recurso de amparo interpuesto por don Joaquín Lozano Martínez es inadmisible.</w:t>
      </w:r>
    </w:p>
    <w:p w:rsidR="00256EE9" w:rsidRDefault="00256EE9" w:rsidP="00256EE9">
      <w:pPr>
        <w:pStyle w:val="TextoNormal"/>
      </w:pPr>
    </w:p>
    <w:p w:rsidR="00256EE9" w:rsidRDefault="00256EE9" w:rsidP="00256EE9">
      <w:pPr>
        <w:pStyle w:val="TextoNormal"/>
      </w:pPr>
      <w:r>
        <w:t>Madrid, a veinte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2" w:name="AUTO_1985_211"/>
      <w:r>
        <w:lastRenderedPageBreak/>
        <w:t>AUTO 211/1985, de 21 de marzo de 1985</w:t>
      </w:r>
    </w:p>
    <w:bookmarkEnd w:id="272"/>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ECLI:ES:TC:1985:211A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haber lugar al desistimiento del Abogado del Estado en el conflicto positivo de competencia 11/1985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Abogado del Estado, en representación del Gobierno de la Nación, mediante escrito presentado el 4 de enero del corriente, plantea conflicto positivo de competencia, con expresa invocación del art. 161.2 de la Constitución a efectos de la suspensión, en relación con el Decreto de la Comunidad Autónoma de las Islas Baleares 64/1984, de 9 de agosto, sobre procedimiento de contratación de personal al servicio de la Comunidad Autónoma. </w:t>
      </w:r>
    </w:p>
    <w:p w:rsidR="00256EE9" w:rsidRDefault="00256EE9" w:rsidP="00256EE9">
      <w:pPr>
        <w:pStyle w:val="TextoNormal"/>
      </w:pPr>
      <w:r>
        <w:t>Por providencia dictada el 9 de enero del corriente por la Sección Cuarta del Pleno de este Tribunal, se acordó admitir a trámite el conflicto, con suspensión del Decreto objeto del mismo y trasladar los escritos de planteamiento al Gobierno de la Comunidad Autónoma de las Islas Baleares para que pudiera comparecer y formular alegaciones en el plazo legal habilitado al efecto.</w:t>
      </w:r>
    </w:p>
    <w:p w:rsidR="00256EE9" w:rsidRDefault="00256EE9" w:rsidP="00256EE9">
      <w:pPr>
        <w:pStyle w:val="TextoNormal"/>
      </w:pPr>
    </w:p>
    <w:p w:rsidR="00256EE9" w:rsidRDefault="00256EE9" w:rsidP="00256EE9">
      <w:pPr>
        <w:pStyle w:val="TextoNormal"/>
      </w:pPr>
      <w:r w:rsidRPr="00256EE9">
        <w:rPr>
          <w:rStyle w:val="NumeroAFNegritaCaracter"/>
        </w:rPr>
        <w:t>2</w:t>
      </w:r>
      <w:r>
        <w:t>. Comparecido en tiempo y forma el Gobierno de la Comunidad Autónoma de las Islas Baleares, presentó escrito de alegaciones el 8 de febrero del corriente, en el que solicitó al Tribunal que dicte en su día Sentencia, por la que se declare haber sido atendido el requerimiento de incompetencia y quedado sin objeto el conflicto positivo de competencia planteado y, subsidiariamente, en su caso, que la titularidad de la competencia controvertida corresponde a la Comunidad Autónoma de las Islas Baleares.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Abogado del Estado, en escrito presentado el 22 de febrero de 1985, al que adjunta certificación del Ministro de la Presidencia y Secretario del Consejo de Ministros de 6 de febrero del corriente, manifiesta que, en ejecución de lo acordado por el Consejo de Ministros en su reunión de 6 de febrero de 1985, viene a desistir del mencionado conflicto, a la vista de que el Gobierno balear ha dictado el Decreto 144/1984, de 22 de noviembre, por el que se modifica el anterior, adaptándolo a las previsiones de la Ley 30/1984, de Medidas Urgentes para la Reforma de la Función Pública, subsanando los motivos que justificaron el planteamiento del conflicto. </w:t>
      </w:r>
    </w:p>
    <w:p w:rsidR="00256EE9" w:rsidRDefault="00256EE9" w:rsidP="00256EE9">
      <w:pPr>
        <w:pStyle w:val="TextoNormal"/>
      </w:pPr>
      <w:r>
        <w:lastRenderedPageBreak/>
        <w:t>La Sección Cuarta del Pleno de este Tribunal, en providencia de 27 de febrero último, acordó dar traslado del referido escrito al Gobierno de la Comunidad Autónoma de las Islas Baleares para que alegase lo que estimase conveniente sobre el desistimiento. Dentro del plazo concedido, el Abogado del Gobierno de la Comunidad Autónoma de las Islas Baleares, evacuando el traslado conferido, manifiesta que no tiene nada que oponer al desistimiento efectuado por el Gobierno.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Señala expresamente el art.  86 de la Ley Orgánica del Tribunal Constitucional como una de las posibles formas de decisión de los procesos constitucionales el desistimiento mediante Auto, y el art.  80 de la misma Ley remite a la de Enjuiciamiento Civil con carácter supletorio en dicha materia de desistimiento, que si bien no aparece regulado de manera clara y sistemática, la jurisprudencia muy reiteradamente lo configura como modo admitido para poner fin al proceso.</w:t>
      </w:r>
    </w:p>
    <w:p w:rsidR="00256EE9" w:rsidRDefault="00256EE9" w:rsidP="00256EE9">
      <w:pPr>
        <w:pStyle w:val="TextoNormal"/>
      </w:pPr>
    </w:p>
    <w:p w:rsidR="00256EE9" w:rsidRDefault="00256EE9" w:rsidP="00256EE9">
      <w:pPr>
        <w:pStyle w:val="TextoNormal"/>
      </w:pPr>
      <w:r w:rsidRPr="00256EE9">
        <w:rPr>
          <w:rStyle w:val="NumeroAFNegritaCaracter"/>
        </w:rPr>
        <w:t>2</w:t>
      </w:r>
      <w:r>
        <w:t>. Formulada por el Abogado del Estado, en representación del Gobierno, solicitud de que se le tenga por desistido del presente conflicto positivo de competencia y habiendo mostrado su conformidad a tal petición el Abogado del Gobierno de la Comunidad Autónoma de las Islas Baleares, procede declarar terminado este proceso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su virtud, el Pleno del Tribunal Constitucional ha acordado tener por desistido al Abogado del Estado, en representación del Gobierno de la Nación, del conflicto positivo de competencia núm.  11/1985, promovido en relación con el Decreto de la</w:t>
      </w:r>
    </w:p>
    <w:p w:rsidR="00256EE9" w:rsidRDefault="00256EE9" w:rsidP="00256EE9">
      <w:pPr>
        <w:pStyle w:val="TextoNormal"/>
      </w:pPr>
      <w:r>
        <w:t>Comunidad Autónoma de las Islas Baleares 64/1984, de 9 de agosto, sobre procedimiento de contratación de personal al servicio de la Comunidad Autónoma, levantándose, en consecuencia, la suspensión de dicho Decreto que fue acordada en providencia de la</w:t>
      </w:r>
    </w:p>
    <w:p w:rsidR="00256EE9" w:rsidRDefault="00256EE9" w:rsidP="00256EE9">
      <w:pPr>
        <w:pStyle w:val="TextoNormal"/>
      </w:pPr>
      <w:r>
        <w:t>Sección Cuarta del Pleno de este Tribunal de 9 de enero de 1985 y publicada en el «Boletín Oficial del Estado» núm. 20, de 23 de enero del corriente.</w:t>
      </w:r>
    </w:p>
    <w:p w:rsidR="00256EE9" w:rsidRDefault="00256EE9" w:rsidP="00256EE9">
      <w:pPr>
        <w:pStyle w:val="TextoNormal"/>
      </w:pPr>
    </w:p>
    <w:p w:rsidR="00256EE9" w:rsidRDefault="00256EE9" w:rsidP="00256EE9">
      <w:pPr>
        <w:pStyle w:val="TextoNormal"/>
      </w:pPr>
      <w:r>
        <w:t>Publíquese el desistimiento y levantamiento acordados en el «Boletín Oficial del Estado» y en el «Boletín Oficial de la Comunidad Autónoma de las Islas Baleares», y comuníquese al Presidente de la Audiencia Territorial de Palma de Mallorca a los efectos</w:t>
      </w:r>
    </w:p>
    <w:p w:rsidR="00256EE9" w:rsidRDefault="00256EE9" w:rsidP="00256EE9">
      <w:pPr>
        <w:pStyle w:val="TextoNormal"/>
      </w:pPr>
      <w:r>
        <w:t>del art. 61.2 de la Ley Orgánica del Tribunal Constitucional.</w:t>
      </w:r>
    </w:p>
    <w:p w:rsidR="00256EE9" w:rsidRDefault="00256EE9" w:rsidP="00256EE9">
      <w:pPr>
        <w:pStyle w:val="TextoNormal"/>
      </w:pPr>
      <w:r>
        <w:t>Madrid, a veintiuno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3" w:name="AUTO_1985_212"/>
      <w:r>
        <w:lastRenderedPageBreak/>
        <w:t>AUTO 212/1985, de 27 de marzo de 1985</w:t>
      </w:r>
    </w:p>
    <w:bookmarkEnd w:id="273"/>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ECLI:ES:TC:1985:212A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703/1984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que tuvo entrada en el Registro General de este Tribunal Constitucional (T. C.) el día 15 de octubre de 1984, don Anastasio Matas Pinedo solicita la designación de Abogado de oficio a fin de interponer demanda de amparo constitucional contra la Sentencia de la Sala Sexta del Tribunal Supremo de 12 de junio de 1984, que casa y anula la de 19 de diciembre de 1983 dictada por la Magistratura núm. 3 de las de Zaragoza, que declaró el derecho del actor a ocupar puesto de trabajo de Jefe de Compras o equivalente en la Empresa demandada. Por providencia de 21 de noviembre de 1984, la Sección acordó tener por interpuesto recurso de amparo por don Anastasio Matas Pinedo, así como hacerle saber que por no cumplir los requisitos señalados en los apartados 1 y 4 del Acuerdo del Pleno de este Tribunal Constitucional de 20 de diciembre de 1982, sobre la defensa por pobre en los procesos constitucionales, se desestima la solicitud de nombramiento de Abogado por turno de oficio, sin perjuicio de que el recurrente pueda comparecer con Procurador y Abogado a su cargo en el plazo de diez días.</w:t>
      </w:r>
    </w:p>
    <w:p w:rsidR="00256EE9" w:rsidRDefault="00256EE9" w:rsidP="00256EE9">
      <w:pPr>
        <w:pStyle w:val="TextoNormal"/>
      </w:pPr>
    </w:p>
    <w:p w:rsidR="00256EE9" w:rsidRDefault="00256EE9" w:rsidP="00256EE9">
      <w:pPr>
        <w:pStyle w:val="TextoNormal"/>
      </w:pPr>
      <w:r w:rsidRPr="00256EE9">
        <w:rPr>
          <w:rStyle w:val="NumeroAFNegritaCaracter"/>
        </w:rPr>
        <w:t>2</w:t>
      </w:r>
      <w:r>
        <w:t>. En fecha 6 de diciembre de 1984, doña Pilar Rico Cadenas, Procurador de los Tribunales, formula escrito manifestando, en mérito del emplazamiento efectuado a su poderdante, don Anastasio Matas Pinedo, personarse en Autos y solicita se sigan con ella las sucesivas diligencias dimanantes del recurso interpuesto, así como tener por designados como Letrados a los señores Martínez Matas y Ardizone. Por providencia de 12 de diciembre, la Sección acuerda tener por recibido el precedente escrito, otorgando un plazo de diez días a la Procuradora y Letrados indicados a fin de formular la correspondiente demanda de amparo, lo que se hace en fecha 28 de diciembre de 1984.</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hechos a los que se refiere la demanda de amparo son los siguientes: a) El señor Matas viene prestando servicios para «Electrónica Aragonesa, S. A.», a virtud de contrato suscrito el 1 de febrero de 1975 con la entonces denominada «Radio Industrial Bilbaína, S. L.», asignándosele la categoría de Jefe de Compras. En julio de 1977, la Empresa informó al actor que las funciones de Jefe de Compras serían desempeñadas por otro empleado, decisión contra la que formuló demanda ante la jurisdicción ordinaria laboral tras realizar distintas gestiones ante el Comité de Empresa y la Delegación Provincial de Trabajo. Por Sentencia de 14 de octubre de 1980, la Magistratura de Trabajo desestimó la reclamación </w:t>
      </w:r>
      <w:r>
        <w:lastRenderedPageBreak/>
        <w:t>en base «a la falta de precisión entre las labores desarrolladas y las que hubiera podido desempeñar dentro de la Empresa». b) En fecha 18 de abril de 1983, el señor Matas Pinedo promovió nueva demanda laboral contra la empresa «Electrónica Aragonesa, S. A.», en la que suplicaba se le reincorporase al puesto de trabajo para el que había sido contratado, dejando nulas y sin efectos las decisiones adoptadas por la Dirección de la citada Entidad. Tras la celebración del oportuno juicio, la Magistratura de Trabajo núm. 3 de las de Zaragoza dictó resolución en la que se declaraba el derecho del demandante «a ocupar puesto de trabajo de Jefe de Compras o equivalente». c) Interpuesto por la parte demandada recurso de casación por infracción de Ley, la Sala Sexta del Tribunal Supremo, en una primera Sentencia de 12 de junio de 1984, casó y anuló la de instancia por estimar la excepción de cosa juzgada planteada por la recurrente, y en una segunda resolución de igual fecha, desestimó la pretensión de declaración de derechos formulada por el señor Matas Pinedo.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escrito de demanda denuncia la vulneración por las resoluciones impugnadas de los arts. 9.1, 14, 35.1 y 40 de la C. E. El art. 9.1 se habría infringido «al haber actuado la Empresa arbitrariamente y sin sujeción al ordenamiento jurídico»; el principio de igualdad del art. 14 de la C. E. se habría vulnerado en razón de perpetuarse la discriminación de la que viene siendo víctima el actor, al que se le han novado arbitrariamente las funciones pactadas y no se le ha incrementado el sueldo «a lo largo de estos años en la misma proporción que al resto de los empleados de la Empresa». Finalmente, se lesionan los arts. 35.1, pues se impide el ejercicio del derecho al trabajo y la promoción a través del mismo, y el art. 40, ya que no se le garantiza la formación y readaptación profesionales. </w:t>
      </w:r>
    </w:p>
    <w:p w:rsidR="00256EE9" w:rsidRDefault="00256EE9" w:rsidP="00256EE9">
      <w:pPr>
        <w:pStyle w:val="TextoNormal"/>
      </w:pPr>
      <w:r>
        <w:t>En el «suplico» se interesa de este Tribunal Constitucional dicte Sentencia por la que se declare el derecho del actor «a su reincorporación al puesto de Jefe de Compras y al desarrollo efectivo de las funciones propias del mismo, así como a una actualización de la retribución mensual que percibe en la misma proporción que el resto de los trabajadores de la Empresa y el cese de la perturbación que impide la libre y total realización del mismo».</w:t>
      </w:r>
    </w:p>
    <w:p w:rsidR="00256EE9" w:rsidRDefault="00256EE9" w:rsidP="00256EE9">
      <w:pPr>
        <w:pStyle w:val="TextoNormal"/>
      </w:pPr>
    </w:p>
    <w:p w:rsidR="00256EE9" w:rsidRDefault="00256EE9" w:rsidP="00256EE9">
      <w:pPr>
        <w:pStyle w:val="TextoNormal"/>
      </w:pPr>
      <w:r w:rsidRPr="00256EE9">
        <w:rPr>
          <w:rStyle w:val="NumeroAFNegritaCaracter"/>
        </w:rPr>
        <w:t>5</w:t>
      </w:r>
      <w:r>
        <w:t>. Por providencia de 30 de enero de 1985, la Sección acordó conceder un plazo común de diez días al Ministerio Fiscal y al solicitante de amparo a fin de que, dentro de dicho término, aleguen lo pertinente respecto de la posible existencia de los siguientes motivos de inadmisión: 1x en relación con la invocación de los arts. 9.1, 35.1 y 40 de la C. E., no deducirse la demanda respecto de derechos o libertades susceptibles de amparo constitucional [artículo 50.2 a) de la LOTC], y 2.° carecer la demanda manifiestamente de contenido que justifique una decisión por parte de este Tribunal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Evacuando el trámite, el Fiscal ante el Tribunal Constitucional comienza indicando que el recurrente alega violación del derecho de igualdad consagrado en el art. 14 de la C. E., sin explicar concretamente dónde se encuentra el trato discriminatorio y desigual que aduce. Lo que, en definitiva, expone es que fue cesado de sus funciones de Jefe de Compras, que eran para las que había concertado por el contrato de trabajo, añadiendo que no se le ha incrementado el sueldo en los años sucesivos en la misma proporción que al resto de empleados, sin fijar mínimamente el término comparativo. Pero contra esas decisiones de la Empresa se utilizaron los recursos previstos en la Ley y anulada por el Tribunal Supremo la segunda Sentencia por la que se le reconocía el derecho a prestar funciones de su </w:t>
      </w:r>
      <w:r>
        <w:lastRenderedPageBreak/>
        <w:t xml:space="preserve">categoría profesional o equivalente en razón de no haber tenido en cuenta el juzgador de instancia la excepción de cosa juzgada, lo que realmente se pretende es combatir la resolución de aquel Tribunal con argumentos que descubren simplemente la discrepancia con el criterio judicial sentado, pero en modo alguno explican la invocada vulneración del art. 14 de la C. E. Por lo demás, el recurrente alega como infringidos derechos constitucionales no susceptibles de amparo. </w:t>
      </w:r>
    </w:p>
    <w:p w:rsidR="00256EE9" w:rsidRDefault="00256EE9" w:rsidP="00256EE9">
      <w:pPr>
        <w:pStyle w:val="TextoNormal"/>
      </w:pPr>
      <w:r>
        <w:t>Por lo expuesto, el Ministerio Fiscal concluye su dictamen interesando de este Tribunal Constitucional dictar Auto declarando la inadmisión del recurso por concurrir las causas establecidas en los arts. 50.2 b) y 50.2 a), ambos de la LOTC.</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En su escrito de alegaciones, el solicitante de amparo indica que la demanda interpuesta se basa «única y exclusivamente» en la presunta violación del art. 14 de la C. E., citándose los arts. </w:t>
      </w:r>
    </w:p>
    <w:p w:rsidR="00256EE9" w:rsidRDefault="00256EE9" w:rsidP="00256EE9">
      <w:pPr>
        <w:pStyle w:val="TextoNormal"/>
      </w:pPr>
      <w:r>
        <w:t>9.1, 35.1 y 40 del Texto constitucional en razón de que los derechos que tales preceptos reconocen «son manifestaciones concretas de la amplitud» de la igualdad consagrada en el art. 14. Se arguye que el Tribunal Supremo, al estimar la excepción de cosa juzgada y no estimar la declaración de derechos formulada por el actor, le priva a éste de un «status laboral que tenía reconocido por el puesto de trabajo que venía desempeñando, así como el efectivo desarrollo del mismo» conforme había sido declarado por el juzgador de instancia, que reconoció «con plena justicia las pretensiones» deducidas. En base a lo expuesto, se concluye solicitando la admisión a trámite del recurso interpuesto.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Dada la ausencia de alegaciones de carácter jurídico, no se deducen las razones por las que la Sentencia impugnada haya causado al recurrente una situación de desigualdad o violadora del art.  14 de la C. E. La lectura de los fundamentos de hecho del escrito de demanda sugiere que la violación del derecho a la igualdad habría tenido lugar por no cancelar la resolución recurrida la situación laboral del actor, al que se le asignaron funciones diferentes a las contratadas y no se le actualizaron sus retribuciones en la misma proporción que al resto de los empleados de la Empresa en la que presta sus servicios.  El recurrente habría sido víctima, a su juicio, de una doble discriminación: profesional y económica. De ahí que las pretensiones identificadas en el «suplico» se sustancian en solicitar de este Tribunal Constitucional la recuperación de sus funciones y la revisión de su salario.</w:t>
      </w:r>
    </w:p>
    <w:p w:rsidR="00256EE9" w:rsidRDefault="00256EE9" w:rsidP="00256EE9">
      <w:pPr>
        <w:pStyle w:val="TextoNormal"/>
      </w:pPr>
      <w:r>
        <w:t>Ni una ni otra pretensión son atendibles, y la segunda, inclusive, es ajena a los pedimentos ejercitados en el proceso laboral de origen, extremo éste que, en si mismo, denota el desconocimiento de la parte recurrente de la función, extensión y limites del recurso de amparo. El señor Matas, en efecto, formuló demanda ante la jurisdicción laboral, solicitando le fuera reconocido el derecho a ocupar puesto de trabajo de Jefe de Compras o equivalente.</w:t>
      </w:r>
    </w:p>
    <w:p w:rsidR="00256EE9" w:rsidRDefault="00256EE9" w:rsidP="00256EE9">
      <w:pPr>
        <w:pStyle w:val="TextoNormal"/>
      </w:pPr>
      <w:r>
        <w:t>Estimada dicha demanda por Sentencia de Magistratura, el Tribunal Supremo casa y anula la resolución de instancia por aplicación del instituto de la cosa juzgada, esto es, por entender que entre el proceso sustanciado por el juzgador a quo y el resuelto por Sentencia firme en anterior proceso había identidad plena de partes litigantes, fundamentos alegados, títulos de pedir y pretensiones ejercitadas.</w:t>
      </w:r>
    </w:p>
    <w:p w:rsidR="00256EE9" w:rsidRDefault="00256EE9" w:rsidP="00256EE9">
      <w:pPr>
        <w:pStyle w:val="TextoNormal"/>
      </w:pPr>
      <w:r>
        <w:lastRenderedPageBreak/>
        <w:t>Sorteando el contenido de este fallo, el recurrente pretende replantear ahora no sólo el tema litigioso sobre el que ha habido un pronunciamiento fundado en Derecho sino, además, introducir una cuestión nueva, cual es la reclamación salarial. Lo que se persigue, en suma, es convertir a este Tribunal Constitucional en una nueva instancia impugnatoria revisora de la legislación aplicable, pretensión improcedente y privada de contenido constitucional.  Sus alegaciones respecto al principio de igualdad son argumentos de nueva legalidad resueltos por los Tribunales ordinarios y que este Tribunal Constitucional por no afectar a violación alguna de derecho susceptible de amparo, como se ha razonado más arriba, declara la inadmisión del recurso.</w:t>
      </w:r>
    </w:p>
    <w:p w:rsidR="00256EE9" w:rsidRDefault="00256EE9" w:rsidP="00256EE9">
      <w:pPr>
        <w:pStyle w:val="TextoNormal"/>
      </w:pPr>
    </w:p>
    <w:p w:rsidR="00256EE9" w:rsidRDefault="00256EE9" w:rsidP="00256EE9">
      <w:pPr>
        <w:pStyle w:val="TextoNormal"/>
      </w:pPr>
      <w:r w:rsidRPr="00256EE9">
        <w:rPr>
          <w:rStyle w:val="NumeroAFNegritaCaracter"/>
        </w:rPr>
        <w:t>2</w:t>
      </w:r>
      <w:r>
        <w:t>. Finalmente, y por lo que se refiere a las presuntas violaciones de los arts. 9.1, 35.1 y 40 de la C. E., no entran en el catálogo de los derechos susceptibles de amparo, como el propio recurrente admite en su escrito de alegaciones y no hay lugar por tanto a pormenorizar sobre las mismas.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acuerda, en base a los arts. 50.2 a) y b) de la Ley Orgánica del Tribunal Constitucional, declarar inadmisible el presente recurso, y el archivo de las actuaciones.</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4" w:name="AUTO_1985_213"/>
      <w:r>
        <w:lastRenderedPageBreak/>
        <w:t>AUTO 213/1985, de 27 de marzo de 1985</w:t>
      </w:r>
    </w:p>
    <w:bookmarkEnd w:id="274"/>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ECLI:ES:TC:1985:213A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el archivo de las actuaciones en el procedimiento 811/1984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Gaspar Fernández de la Cueva, vecino de Madrid, presentó escrito ante el Tribunal Constitucional el 21 de noviembre de 1984, pretendiendo formular recurso de amparo en relación a que por fallecimiento de su esposa, luego de haberle concedido el Instituto Nacional de Seguridad Social pensión de orfandad, solicitó del mismo pensión de viudedad que le fue denegada por Resolución de 20 de enero de 1984, por no depender económicamente de su esposa, interponiendo reclamación ante el Director General de dicho Instituto que fue desechada y a continuación demanda ante la Magistratura de Trabajo núm. 17 de Madrid, que por providencia del 6 de abril del propio año exigió que por no cumplir la demanda los requisitos legales debía subsanar sus defectos en el plazo que se le otorgaba, con la prevención del archivo de las actuaciones si no lo realizaba. Dictándose providencia el 11 de mayo siguiente, acordando tener por transcurrido dicho plazo de subsanación con exceso y tener por desistida la demanda, con el archivo de las actuaciones. </w:t>
      </w:r>
    </w:p>
    <w:p w:rsidR="00256EE9" w:rsidRDefault="00256EE9" w:rsidP="00256EE9">
      <w:pPr>
        <w:pStyle w:val="TextoNormal"/>
      </w:pPr>
      <w:r>
        <w:t>Reconociendo el recurrente en amparo que había pasado el plazo para formular el recurso constitucional, sin embargo lo entabló, alegando infringido el art. 14 de la C. E. porque el art. 160.2 de la Ley General de la Seguridad Social, que le había sido aplicado, para denegarle la pensión, pues había sido declarado inconstitucional por las Sentencias 103 y 104/1983 del Tribunal Constitucional. En dicho escrito solicitó que se le designase Procurador y Abogado en turno de oficio, si se entendía procedente.</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acordó tener por interpuesto el indicado recurso de amparo por el actor y concederle un plazo de diez días para que acreditara, conforme al art. 7 del Acuerdo del Pleno de este Tribunal de 20 de diciembre de 1982, sobre defensa por pobre en los procesos constitucionales, que había gozado en las actuaciones previas el beneficio de justicia gratuita o que estaba comprendido en alguno de los supuestos establecidos en los arts. 13 y siguientes de la Ley de Enjuiciamiento Civil reformada por la Ley 34/1984, de 6 de agosto, a cuyo efecto expondría las circunstancias concurrentes según el art. 4 de la misma. El indicado actor presentó escrito, manifestando no poder gozar del beneficio de pobreza para la defensa, habida cuenta de que no era pobre, por lo que su petición de nombramiento de Abogado y Procurador de oficio la realizaba por ética y buena disposición ante la justicia. Indicó que se podía pedir que los Colegios de Abogados y Procuradores nombraran uno de sus profesionales para defenderle.</w:t>
      </w:r>
    </w:p>
    <w:p w:rsidR="00256EE9" w:rsidRDefault="00256EE9" w:rsidP="00256EE9">
      <w:pPr>
        <w:pStyle w:val="TextoNormal"/>
      </w:pPr>
    </w:p>
    <w:p w:rsidR="00256EE9" w:rsidRDefault="00256EE9" w:rsidP="00256EE9">
      <w:pPr>
        <w:pStyle w:val="TextoNormal"/>
      </w:pPr>
      <w:r w:rsidRPr="00256EE9">
        <w:rPr>
          <w:rStyle w:val="NumeroAFNegritaCaracter"/>
        </w:rPr>
        <w:t>3</w:t>
      </w:r>
      <w:r>
        <w:t>. De nuevo la Sección proveyó, denegando la petición realizada, para que a través de dichos Colegios de Abogados y Procuradores se designaran profesionales para que defendieran y representaran al actor en el amparo, como rico, por ser un derecho personal e intransferible del demandante el de elegir a tales profesionales, pudiendo utilizar otros medios que.no fueran la intervención del Tribunal, y concediendo un plazo de diez días para que designare dichos profesionales que comparecieran en la debida forma ante este Tribunal.</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actor formuló un amplio escrito en relación a la providencia anterior, titulándose primeramente estudiante de Derecho y manifestando en esencia posteriormente que tenía titulo de Licencia en Derecho, corroborado públicamente por la Comisaría de Policía de Universidad, lo que le legitimaba como si poseyera el título. </w:t>
      </w:r>
    </w:p>
    <w:p w:rsidR="00256EE9" w:rsidRDefault="00256EE9" w:rsidP="00256EE9">
      <w:pPr>
        <w:pStyle w:val="TextoNormal"/>
      </w:pPr>
      <w:r>
        <w:t>Reconocía no poseer, sin embargo, el título de Licenciado en Derecho, por no serle expedido por la Facultad de Derecho de la Universidad Complutense de Madrid hasta el día de la fecha, asegurando haber cursado todas las asignaturas necesarias para ser Licenciado en Derecho.</w:t>
      </w:r>
    </w:p>
    <w:p w:rsidR="00256EE9" w:rsidRDefault="00256EE9" w:rsidP="00256EE9">
      <w:pPr>
        <w:pStyle w:val="TextoNormal"/>
      </w:pPr>
    </w:p>
    <w:p w:rsidR="00256EE9" w:rsidRDefault="00256EE9" w:rsidP="00256EE9">
      <w:pPr>
        <w:pStyle w:val="TextoNormal"/>
      </w:pPr>
      <w:r w:rsidRPr="00256EE9">
        <w:rPr>
          <w:rStyle w:val="NumeroAFNegritaCaracter"/>
        </w:rPr>
        <w:t>5</w:t>
      </w:r>
      <w:r>
        <w:t>. Ante tales alegaciones, la Sección acordó, en otra providencia, conceder al actor un plazo de diez días para que presentara ante el Tribunal certificación de tener concedido el Título de Licenciado en Derecho o, en su defecto, certificación acreditativa de haber cursado todos los estudios necesarios para obtener tal titulo, así como haber abonado los derechos correspondientes para su obtención.</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indicado recurrente presentó escrito el 20 de febrero de 1985, volviéndose a titular estudiante de Derecho primeramente, y asegurando a continuación haber cursado todas las asignaturas para obtener el título de Licenciado en Derecho, aportando fotocopia de haber estado matriculado en los cursos 1982-83 y 1983-84, pero sin que el documento tenga autenticidad. </w:t>
      </w:r>
    </w:p>
    <w:p w:rsidR="00256EE9" w:rsidRDefault="00256EE9" w:rsidP="00256EE9">
      <w:pPr>
        <w:pStyle w:val="TextoNormal"/>
      </w:pPr>
      <w:r>
        <w:t>Asegura haber estado matriculado en el examen de grado y que fue detenido por la Policía cuando lo practicaba. Dice haber pedido la expedición del Título de Licenciado en Derecho, sin haber logrado que así sucediera. Afirma que quiere realizar la tesis de Doctor, pero que no se le auxilia para poderla formular debidamente. Hace alegaciones sobre un proceso criminal por asesinato frustrado de un hijo suyo y la posible responsabilidad criminal de los Magistrados de la Sala Segunda del Tribunal Supremo. Y entendiendo que debe posesionarse del Título de Licenciado en Derecho, y posteriormente colegiarse en el Colegio de Abogados de Logroño, suplica que sea compelido con apremio el Decano de la Facultad de Derecho de la Universidad Complutense de Madrid, para que le entregue el título de Licenciado en Derecho, así como que se excite al mismo Decano para que dé vía expedita al nombramiento de un doctor que pueda dirigir su concluida tesis doctoral.</w:t>
      </w:r>
    </w:p>
    <w:p w:rsidR="00256EE9" w:rsidRDefault="00256EE9" w:rsidP="00256EE9">
      <w:pPr>
        <w:pStyle w:val="TextoNormal"/>
      </w:pPr>
    </w:p>
    <w:p w:rsidR="00256EE9" w:rsidRDefault="00256EE9" w:rsidP="00256EE9">
      <w:pPr>
        <w:pStyle w:val="TextoNormal"/>
      </w:pPr>
      <w:r w:rsidRPr="00256EE9">
        <w:rPr>
          <w:rStyle w:val="NumeroAFNegritaCaracter"/>
        </w:rPr>
        <w:t>7</w:t>
      </w:r>
      <w:r>
        <w:t>. La Sección de nuevo proveyó en relación al anterior escrito, estimando que al no haber presentado el actor las certificaciones solicitadas en la providencia de 30 de enero anterior, debía darse traslado de las actuaciones al Ministerio Fiscal, para que manifestara en el plazo de diez días si asumía la defensa del mismo o no la estimaba procedente a los efectos oportunos.</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8</w:t>
      </w:r>
      <w:r>
        <w:t>. A consecuencia de la providencia acabada de indicar, el actor del amparo dirigió nuevo escrito a este Tribunal, copiando numerosos artículos de la Constitución, y en síntesis estableciendo: ser víctima reiteradamente del Ministerio Público en cuantas causas viene soportando y padeciendo llevadas contra el Poder Judicial, y que el Fiscal de la Audiencia Territorial de Madrid interpuso querella criminal contra su persona ante el Juzgado de Instrucción núm. 17 de Madrid por desacato. Seguidamente dice que el Tribunal Constitucional le debe dar cobertura jurídica para su tesis doctoral, «procesamiento del Presidente del Tribunal Supremo, sin previo antejuicio, ya que él le procesó y nadie puede ir contra sus actos». Y termina suplicando se admita el escrito presentado y se debata entre el Tribunal Constitucional y las Autoridades académicas cuanto viene ocurriendo y se ordene lo que sea conducente para alcanzar la justicia.</w:t>
      </w:r>
    </w:p>
    <w:p w:rsidR="00256EE9" w:rsidRDefault="00256EE9" w:rsidP="00256EE9">
      <w:pPr>
        <w:pStyle w:val="TextoNormal"/>
      </w:pPr>
    </w:p>
    <w:p w:rsidR="00256EE9" w:rsidRDefault="00256EE9" w:rsidP="00256EE9">
      <w:pPr>
        <w:pStyle w:val="TextoNormal"/>
      </w:pPr>
      <w:r w:rsidRPr="00256EE9">
        <w:rPr>
          <w:rStyle w:val="NumeroAFNegritaCaracter"/>
        </w:rPr>
        <w:t>9</w:t>
      </w:r>
      <w:r>
        <w:t>. El Ministerio Fiscal formuló escrito a causa de la providencia últimamente indicada, en el que luego de redactar los antecedentes acaecidos en el proceso de amparo, afirma que el art. 43 de la Ley Orgánica de este Tribunal exige el agotamiento de la vía judicial antes de formularse el recurso de amparo por la naturaleza subsidiaria de éste, y que en el caso de examen no ha existido el cumplimiento de dicha exigencia, ya que el recurrente no subsanó los defectos de la demanda en el plazo previsto en la Ley y que le concedió el Magistrado de Trabajo. No interpuso recurso de reposición de acuerdo con el art. 151 de la Ley de Procedimiento Laboral, contra la providencia ordenando el archivo de dicha demanda y teniendo por desistido al recurrente de ésta. Faltando, pues, el ejercicio de la vía judicial necesaria antes de formular el recurso de amparo, y siendo imputable esa falta a la inactividad procesal del recurrente. Además, la interposición del recurso de amparo se hizo fuera del plazo de veinte días fijado en el art. 43.2 de la misma Ley Orgánica del Tribunal Constitucional (LOTC), examinando a tal efecto las fechas de notificación de la providencia y de la presentación de la demanda de amparo, habiendo caducado el derecho a la formulación de la demanda. Por fin, el recurrente no ha indicado los preceptos constitucionales violados por la resolución impugnada, lo que hace imposible la necesaria fundamentación del recurso. Y por la falta de estos presupuestos, el Ministerio Fiscal entiende que no es posible la interposición del correspondiente recurso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art. 81.1 de la Ley Orgánica de este Tribunal (LOTC) exige que las personas físicas o jurídicas legitimadas por su interés para promover, entre otros procesos constitucionales, el de amparo, han de estar representadas por Procurador y de actuar bajo la dirección de Letrado, a fin de alcanzar la debida postulación procesal.</w:t>
      </w:r>
    </w:p>
    <w:p w:rsidR="00256EE9" w:rsidRDefault="00256EE9" w:rsidP="00256EE9">
      <w:pPr>
        <w:pStyle w:val="TextoNormal"/>
      </w:pPr>
      <w:r>
        <w:t>Aunque tal norma establezca la excepción de dicha exigencia consistente en permitir comparecer por si mismas en tal proceso a las personas que tengan título de Licenciado en Derecho, aunque no ejerzan la función de Procurador o Abogado, a cuyo fin resulta preciso para lograr tal permisión que justifiquen debidamente haber alcanzado la indicada licenciatura, por ser la condición habilitante para poder ejercitar la propia defensa.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el caso de examen, al haber formulado la demanda el actor por si mismo, se le exigió la designación de Abogado y Procurador para cumplimentar la dispuesto en dicho art. 81.1, lo que no realizó, alegando ser Licenciado en Derecho, aunque no estuviera en </w:t>
      </w:r>
      <w:r>
        <w:lastRenderedPageBreak/>
        <w:t>posesión del título que lo acreditaba, por lo que la Sección, por providencia de 30 de enero de 1985, le pidió presentar ante la misma certificación de tener concedido el título de Licenciado en Derecho o, en su defecto, certificación acreditativa de haber cursado todos los estudios necesarios para obtenerlo, así como la de haber abonado los derechos correspondientes para su obtención; presentando un escrito en el que alegó haber cursado las asignaturas para ser Licenciado en Derecho y haber realizado el «examen de grado en Derecho», aunque fuera detenido el último día de actuación en él, y afirmando a su vez que carecía del título indicado, porque no se lo entregaban las Autoridades académicas a pesar de su petición, existiendo una controversia entre el recurrente y tales Autoridades no resuelta, llegando a solicitar de este Tribunal que apremiara para la entrega del título al Decano de la Facultad de Derecho; sin que, en definitiva, el recurrente cumpliese con las exigencias solicitadas en la providencia indicada, pues ni de sus profusas alegaciones y documentación acompañada a su escrito no resulta en absoluto demostradas sus afirmaciones y, en concreto, que posea el título exigido.</w:t>
      </w:r>
    </w:p>
    <w:p w:rsidR="00256EE9" w:rsidRDefault="00256EE9" w:rsidP="00256EE9">
      <w:pPr>
        <w:pStyle w:val="TextoNormal"/>
      </w:pPr>
    </w:p>
    <w:p w:rsidR="00256EE9" w:rsidRDefault="00256EE9" w:rsidP="00256EE9">
      <w:pPr>
        <w:pStyle w:val="TextoNormal"/>
      </w:pPr>
      <w:r w:rsidRPr="00256EE9">
        <w:rPr>
          <w:rStyle w:val="NumeroAFNegritaCaracter"/>
        </w:rPr>
        <w:t>3</w:t>
      </w:r>
      <w:r>
        <w:t>. Ante la situación expuesta, la Sección, por providencia de 27 de febrero pasado, y partiendo de la imposibilidad de aceptar la petición de defensa propia realizada por el actor, por faltar el conocimiento de las exigencias indispensables para poderla otorgar, solicitó del Ministerio Fiscal informe sobre la posibilidad de que asumiera la defensa del mismo, habiendo rehusado a defenderlo, por estimar la falta evidente de dos requisitos que pudieran permitir la formulación y aceptación a trámite de la demanda de amparo: al no haber agotado el actor la vía judicial previa, según el art. 44.1 a) de la LOTC, por consentir la decisión de archivo por desistimiento, de la demanda formulada ante la Magistratura de Trabajo, contra la decisión de la Administración no concediéndole la pensión solicitada, al no haber subsanado los defectos contenidos en la demanda laboral en el plazo otorgado a tal fin, y tampoco recurriendo contra tal decisión como podía hacerlo, dejándola firme por su omisión personal; y por estar formulado el recurso inicial de amparo fuera de plazo según el art.  44.2 de la LOTC, como incluso se reconoce en el mismo por el actor, que solicitaba la graciosa dispensa de su cumplimiento.</w:t>
      </w:r>
    </w:p>
    <w:p w:rsidR="00256EE9" w:rsidRDefault="00256EE9" w:rsidP="00256EE9">
      <w:pPr>
        <w:pStyle w:val="TextoNormal"/>
      </w:pPr>
    </w:p>
    <w:p w:rsidR="00256EE9" w:rsidRDefault="00256EE9" w:rsidP="00256EE9">
      <w:pPr>
        <w:pStyle w:val="TextoNormal"/>
      </w:pPr>
      <w:r w:rsidRPr="00256EE9">
        <w:rPr>
          <w:rStyle w:val="NumeroAFNegritaCaracter"/>
        </w:rPr>
        <w:t>4</w:t>
      </w:r>
      <w:r>
        <w:t>. En conclusión de todo lo expuesto, que no pudiendo ejercer el recurrente su propia defensa por falta de acreditaciones necesarias, y no asumiéndola tampoco el Ministerio Fiscal, debe estimarse el incumplimiento del indispensable requisito de la postulación procesal que determina el art.  81.1 de la LOTC, para formular debidamente el proceso de amparo, que debe declararse extinguido.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 estimar producida la extinción del proceso abierto por el escrito inicial de don Gaspar Fernández de la Cueva, y el archivo de las actuaciones.</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5" w:name="AUTO_1985_214"/>
      <w:r>
        <w:lastRenderedPageBreak/>
        <w:t>AUTO 214/1985, de 27 de marzo de 1985</w:t>
      </w:r>
    </w:p>
    <w:bookmarkEnd w:id="275"/>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ECLI:ES:TC:1985:214A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815/1984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en el Juzgado de Guardia de Madrid el día 23 de noviembre de 1984, la Procuradora de los Tribunales doña María Cruz Gómez-Trelles y Peláez, en nombre y representación de don Marcelino López Ocampointerpone recurso de amparo constitucional frente a la Sentencia de la Sala de lo Contencioso-Administrativo de la Audiencia Nacional de 2 de julio de 1984 -notificada, al parecer, el 29 de octubre- que confirma las Resoluciones del Ministerio de Defensa de 23 de marzo y 14 de junio de 1982, solicitando la nulidad de las mismas por infracción del art. 14 de la C. E. y el reconocimiento de la profesionalidad militar del demandante antes del 18 de julio de 1936, a los efectos de la aplicación de los beneficios del Real Decreto-ley 6/1978.</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que se aducen como antecedentes son los siguientes: </w:t>
      </w:r>
    </w:p>
    <w:p w:rsidR="00256EE9" w:rsidRDefault="00256EE9" w:rsidP="00256EE9">
      <w:pPr>
        <w:pStyle w:val="TextoNormal"/>
      </w:pPr>
      <w:r>
        <w:t xml:space="preserve">El ahora recurrente, que ingresó como voluntario en el Ejército el 1 de septiembre de 1934, siendo condenado y expulsado posteriormente por luchar en zona republicana, solicitó la aplicación de los beneficios de la legislación sobre amnistía política relativa a los militares que lucharon en dicha zona. </w:t>
      </w:r>
    </w:p>
    <w:p w:rsidR="00256EE9" w:rsidRDefault="00256EE9" w:rsidP="00256EE9">
      <w:pPr>
        <w:pStyle w:val="TextoNormal"/>
      </w:pPr>
      <w:r>
        <w:t xml:space="preserve">La petición fue resuelta negativamente por las Resoluciones del Excelentísimo Señor Ministro de Defensa de 23 de marzo de 1982 y 14 de junio de 1982. Acudió el interesado a la jurisdicción contencioso-administrativa, que confirmó las mencionadas resoluciones, agotando la vía judicial previa. </w:t>
      </w:r>
    </w:p>
    <w:p w:rsidR="00256EE9" w:rsidRDefault="00256EE9" w:rsidP="00256EE9">
      <w:pPr>
        <w:pStyle w:val="TextoNormal"/>
      </w:pPr>
      <w:r>
        <w:t>La vulneración alegada del derecho a la igualdad ante la Ley contenido en el art. 14 de la C. E. se fundamenta, a juicio del demandante, en que tanto la Administración como la Audiencia Nacional le han denegado los beneficios que prevé el Real Decreto-ley 6/1978, basando tal negativa en la no consideración del recurrente como militar profesional antes del 18 de julio de 1936.</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19 de diciembre de 1984, la Sección acordó tener por interpuesto el recurso de amparo y conceder un plazo de diez días para la subsanación del motivo de inadmisión consistente en la no presentación de las copias de las resoluciones dictadas por el Ministerio de Defensa, a las que hace referencia el recurso. </w:t>
      </w:r>
    </w:p>
    <w:p w:rsidR="00256EE9" w:rsidRDefault="00256EE9" w:rsidP="00256EE9">
      <w:pPr>
        <w:pStyle w:val="TextoNormal"/>
      </w:pPr>
      <w:r>
        <w:t xml:space="preserve">Subsanado por el recurrente el defecto antes señalado, por providencia de 16 de enero de 1985 se acordó poner de manifiesto al Ministerio Fiscal y al solicitante de amparo el </w:t>
      </w:r>
      <w:r>
        <w:lastRenderedPageBreak/>
        <w:t>posible motivo de inadmisión de carácter insubsanable consistente en la carencia manifiesta de la demanda de contenido que justifique una decisión por parte de este Tribunal Constitucional (T. C.), de conformidad con lo prevenido en el art. 50.2 b) de la LOTC, concediendo un plazo común de diez días para formular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Dentro de dicho plazo, el Ministerio Fiscal presentó sus alegaciones, interesando de este Tribunal Constitucional la declaración de inadmisión del amparo impetrado, de conformidad con los arts. 86.1 y 50.1 b) de la LOTC. </w:t>
      </w:r>
    </w:p>
    <w:p w:rsidR="00256EE9" w:rsidRDefault="00256EE9" w:rsidP="00256EE9">
      <w:pPr>
        <w:pStyle w:val="TextoNormal"/>
      </w:pPr>
      <w:r>
        <w:t>Con cita de una serie de resoluciones antecedentes de este Tribunal Constitucional relativas a temas análogos al planteado en este recurso, entiende el Ministerio Fiscal que se trata de traer a este Tribunal una materia de legalidad ordinaria, sin que puedan alcanzar dimensión constitucional las discrepancias del recurrente respecto a la interpretación que de la normativa vigente hace la Audiencia Nacional en resolución fundada y motivada, de acuerdo con su competencia, sin que pueda apreciarse vulneración alguna del derecho a la igualdad.</w:t>
      </w:r>
    </w:p>
    <w:p w:rsidR="00256EE9" w:rsidRDefault="00256EE9" w:rsidP="00256EE9">
      <w:pPr>
        <w:pStyle w:val="TextoNormal"/>
      </w:pPr>
    </w:p>
    <w:p w:rsidR="00256EE9" w:rsidRDefault="00256EE9" w:rsidP="00256EE9">
      <w:pPr>
        <w:pStyle w:val="TextoNormal"/>
      </w:pPr>
      <w:r w:rsidRPr="00256EE9">
        <w:rPr>
          <w:rStyle w:val="NumeroAFNegritaCaracter"/>
        </w:rPr>
        <w:t>5</w:t>
      </w:r>
      <w:r>
        <w:t>. Por su parte, el demandante reitera su tesis relativa a la infracción por la Sentencia recurrida del principio constitucional inserto en el art. 14 de la C. E., al aplicar con un criterio -raíz de discriminacion- de absoluta rigidez el contenido del art. 1 del Real Decreto-ley 6/1978, lo que lleva a una situación injusta, superada en la actualidad por la reciente Ley 37/1984 y una Sentencia de la Audiencia Territorial de Madrid de 7 de mayo de 1984.</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cuestión que ha de examinarse y resolverse en el presente Auto no puede ser otra que la de si la Audiencia Nacional, al dictar Sentencia desestimatoria del recurso interpuesto por el ahora demandante contra las Resoluciones del Ministerio de Defensa de 23 de marzo y 14 de junio de 1982, que denegaron la aplicación al recurrente de los beneficios del Real Decretoley 6/1978 ha vulnerado el derecho fundamental a la igualdad y a la interdicción de toda discriminación en razón a los supuestos que se contienen en el art. 14 de la C. E. Tal infracción tendría su origen, según el demandante, en la respuesta negativa que dieron a su petición tanto el órgano administrativo competente como la Audiencia Nacional, que confirmó las resoluciones mencionadas.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Ciertamente, lo único que se desprende, en primer lugar, de los actos administrativos impugnados es que el interesado no reunía los requisitos exigidos por las normas legales vigentes (Real Decreto-ley 6/1978 y Ley 10/1980, de 14 de marzo) para poder acreditarle los beneficios contenidos en las mismas, por lo que se procedió a denegar su petición. Al acudir a la jurisdicción contenciosa, la Audiencia Nacional realiza un preciso y motivado análisis de los hechos y del Derecho aplicable, en términos que no dejan lugar a duda alguna sobre la inaplicabilidad al interesado de los beneficios del Real Decreto-ley 6/1978, ya que no pudo alcanzar el estatus profesional en el ejército por carecer del requisito de tiempo mínimo de servicio exigido conforme a la legislación entonces vigente: todo ello sin que aparezca en momento alguno referencia o mención a principio o derecho constitucional vulnerado, lo cual deja bien a las claras que la actuación administrativa y judicial ha discurrido en puros términos de legalidad, en cuyo terreno, como tantas veces ha dicho </w:t>
      </w:r>
      <w:r>
        <w:lastRenderedPageBreak/>
        <w:t>este Tribunal Constitucional, no le es lícito entrar a revisar las calificaciones o consideraciones de mera legalidad, que corresponden en exclusiva y por imperativo constitucional a los Tribunales de Justicia (art. 117.3 de la C. E.).</w:t>
      </w:r>
    </w:p>
    <w:p w:rsidR="00256EE9" w:rsidRDefault="00256EE9" w:rsidP="00256EE9">
      <w:pPr>
        <w:pStyle w:val="TextoNormal"/>
      </w:pPr>
    </w:p>
    <w:p w:rsidR="00256EE9" w:rsidRDefault="00256EE9" w:rsidP="00256EE9">
      <w:pPr>
        <w:pStyle w:val="TextoNormal"/>
      </w:pPr>
      <w:r w:rsidRPr="00256EE9">
        <w:rPr>
          <w:rStyle w:val="NumeroAFNegritaCaracter"/>
        </w:rPr>
        <w:t>3</w:t>
      </w:r>
      <w:r>
        <w:t>. La apelación que formula el demandante al principio de igualdad, en términos no del todo claros, parece encaminada a un propósito que apunta a la ampliación del ámbito personal de las llamadas normas de amnistía, pero como también ha señalado este Tribunal Constitucional (Auto de 31 de octubre de 1984, R. A. 540/1984) no correspondería a este Tribunal Constitucional, ni tampoco siquiera a los órganos administrativos o judiciales competentes, sino al legislador, adoptar una decisión en este orden, como se recoge en nuestra Sentencia 28/1982, de 26 de mayo, y 63/1983, de 20 de julio.</w:t>
      </w:r>
    </w:p>
    <w:p w:rsidR="00256EE9" w:rsidRDefault="00256EE9" w:rsidP="00256EE9">
      <w:pPr>
        <w:pStyle w:val="TextoNormal"/>
      </w:pPr>
      <w:r>
        <w:t>Así las cosas, las consideraciones que efectúa el recurrente en orden a la discriminación que provocan las normas en vigor no pasan de ser criterios subjetivos que, por cierto, no encuentran respaldo alguno en la reciente Ley 37/1984, de 22 de octubre, que mantiene en todos sus términos el ámbito personal y temporal de los afectados por el Real Decreto-ley 6/1978 y Ley 10/1980, de 14 de marzo, al tiempo que prevé la concesión de determinados beneficios a los militares profesionales que ingresaron al servicio de la República en el período comprendido entre el 18 de julio de 1936 y el 1 de abril de 1939.</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inadmitir el presente recurso, y el archivo de las actuaciones.</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6" w:name="AUTO_1985_215"/>
      <w:r>
        <w:lastRenderedPageBreak/>
        <w:t>AUTO 215/1985, de 27 de marzo de 1985</w:t>
      </w:r>
    </w:p>
    <w:bookmarkEnd w:id="276"/>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ECLI:ES:TC:1985:215A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haber lugar al desistimiento del actor en el recurso de amparo 836/1984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Manuel Colio Caba, don Francisco Arce Ruiz, don José García Macho, don Humberto Palacios Linares, don José Andrés Linares y don Julio Cacho Coterillo, representados por la Procuradora doña Nuria Munar Serrano y asistidos del Letrado don Raimundo María Trugeda Revuelta, formularon demanda de amparo constitucional, presentada el día 30 de noviembre de 1984, contra Sentencia del Tribunal Central de Trabajo de 16 de octubre de 1984, por presunta vulneración del derecho de igualdad. Los hechos que exponen en la demanda son los siguientes: </w:t>
      </w:r>
    </w:p>
    <w:p w:rsidR="00256EE9" w:rsidRDefault="00256EE9" w:rsidP="00256EE9">
      <w:pPr>
        <w:pStyle w:val="TextoNormal"/>
      </w:pPr>
      <w:r>
        <w:t xml:space="preserve">a) Ante la necesidad de que el personal femenino de los departamentos de torcido, urdido y estiro de la fábrica «Lilión» de Sniace acudiera a trabajar los domingos, la Empresa estableció un plus para dicho personal consistente en un incremento en cada hora trabajada en domingo de un tercio del valor de la hora extraordinaria. El personal masculino de dichos tres departamentos de la fábrica de «Lilión» solicitó tal complemento por considerar discriminatoria su concesión exclusiva a las mujeres, obteniendo Sentencia favorable de la Magistratura de Trabajo núm. 1 de Santander de 24 de octubre de 1983, confirmada por la del Tribunal Central de Trabajo de 30 de noviembre de 1983. </w:t>
      </w:r>
    </w:p>
    <w:p w:rsidR="00256EE9" w:rsidRDefault="00256EE9" w:rsidP="00256EE9">
      <w:pPr>
        <w:pStyle w:val="TextoNormal"/>
      </w:pPr>
      <w:r>
        <w:t xml:space="preserve">b) Los ahora demandantes de amparo, miembros de la Sección Sindical de la Unión General de Trabajadores de la empresa Sniace promovieron conflicto colectivo en solicitud de que se reconociese dicho complemento a todo el personal de la Empresa que trabajase en domingo, con excepción del que ya lo tenía reconocido. Tras el fracaso de los intentos de conciliación ante el IMAC y la Autoridad laboral, se remitieron las actuaciones a Magistratura el día 7 de febrero de 1984, dictándose Sentencia estimatoria de 26 de julio por la Magistratura núm. 1 de Santander; Sentencia que el Tribunal Central de Trabajo revocó por la suya de 16 de octubre de 1984. </w:t>
      </w:r>
    </w:p>
    <w:p w:rsidR="00256EE9" w:rsidRDefault="00256EE9" w:rsidP="00256EE9">
      <w:pPr>
        <w:pStyle w:val="TextoNormal"/>
      </w:pPr>
      <w:r>
        <w:t>En la demanda de amparo se denuncia la vulneración del art. 14 de la Constitución, que ampara, en opinión de los demandantes, igual salarial para igual trabajo.</w:t>
      </w:r>
    </w:p>
    <w:p w:rsidR="00256EE9" w:rsidRDefault="00256EE9" w:rsidP="00256EE9">
      <w:pPr>
        <w:pStyle w:val="TextoNormal"/>
      </w:pPr>
    </w:p>
    <w:p w:rsidR="00256EE9" w:rsidRDefault="00256EE9" w:rsidP="00256EE9">
      <w:pPr>
        <w:pStyle w:val="TextoNormal"/>
      </w:pPr>
      <w:r w:rsidRPr="00256EE9">
        <w:rPr>
          <w:rStyle w:val="NumeroAFNegritaCaracter"/>
        </w:rPr>
        <w:t>2</w:t>
      </w:r>
      <w:r>
        <w:t>. Admitido a trámite el recurso, por providencia de 6 de febrero pasado, el día 25 de dicho mes presentó la representación demandante escrito expresando su desistimiento del recurso.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xml:space="preserve">. Por providencia de 6 de marzo en curso se acordó oír al Ministerio Fiscal y a la parte demandada, si compareciere, para que en el plazo de tres días manifestasen si se oponían al desistimiento. </w:t>
      </w:r>
    </w:p>
    <w:p w:rsidR="00256EE9" w:rsidRDefault="00256EE9" w:rsidP="00256EE9">
      <w:pPr>
        <w:pStyle w:val="TextoNormal"/>
      </w:pPr>
      <w:r>
        <w:t>No habiendo comparecido la parte demandada, únicamente el Ministerio Fiscal presentó escrito al respecto manifestando su conformidad al desistimiento.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Este Tribunal ha venido sosteniendo reiteradamente que el desistimiento es forma de finalización del proceso, salvo que otro interés, distinto del propio del demandante, pueda entrar en juego como digno de protección.</w:t>
      </w:r>
    </w:p>
    <w:p w:rsidR="00256EE9" w:rsidRDefault="00256EE9" w:rsidP="00256EE9">
      <w:pPr>
        <w:pStyle w:val="TextoNormal"/>
      </w:pPr>
      <w:r>
        <w:t>En el presente proceso no se aprecia la concurrencia de ese posible interés distinto y protegible más allá del de los recurrentes, puesto que éstos alegaban un trato desigual respecto de otros beneficiarios de un plus de retribución laboral, que continúan, sin el recurso, en aquella misma situación de beneficiarios que los recurrentes impugnaron.</w:t>
      </w:r>
    </w:p>
    <w:p w:rsidR="00256EE9" w:rsidRDefault="00256EE9" w:rsidP="00256EE9">
      <w:pPr>
        <w:pStyle w:val="TextoNormal"/>
      </w:pPr>
      <w:r>
        <w:t>No habiendo ninguna razón de orden sustantivo que obste al desistimiento, tampoco la hay de índole formal. La voluntad de desistir ha sido formulada de modo expreso por el Procurador de los recurrentes y entre las facultades que éstos confirieron a aquél figura en el poder la de desistir.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declarar terminado el presente proceso por desistimiento de la parte demandante.</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7" w:name="AUTO_1985_216"/>
      <w:r>
        <w:lastRenderedPageBreak/>
        <w:t>AUTO 216/1985, de 27 de marzo de 1985</w:t>
      </w:r>
    </w:p>
    <w:bookmarkEnd w:id="277"/>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ECLI:ES:TC:1985:216A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912/1984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día 27 de diciembre de 1984 tuvo entrada en este Tribunal una demanda de amparo, remitida por el Juzgado de Guardia, donde fue registrada el 22 del mismo mes y año. Había sido presentada por el Procurador don Luciano Rosch Nadal, en nombre de don Juan José Montes García e impugnaba la Sentencia dictada el día 19 de octubre de 1982 por la Audiencia Provincial de Huelva, por la que se condenó al citado señor, como autor de dos delitos de incendio, a sendas penas de ocho meses de presidio menor, accesorias, y a abonar una indemnización, y la Sentencia del Tribunal Supremo de Justicia de 13 de noviembre de 1984, que rechazó el recurso de casación interpuesto. </w:t>
      </w:r>
    </w:p>
    <w:p w:rsidR="00256EE9" w:rsidRDefault="00256EE9" w:rsidP="00256EE9">
      <w:pPr>
        <w:pStyle w:val="TextoNormal"/>
      </w:pPr>
      <w:r>
        <w:t>En la Sentencia de la Audiencia Provincial se declaró probado que en una hora no precisada, pero anterior a las tres, del día 29 de diciembre de 1979, don Juan José Montes García y su socio, también procesado, obrando de mutuo acuerdo y con intención de obtener el pago de las indemnizaciones derivadas de una póliza de seguro que habían concertado, procedieron, tras diferentes maniobras, a incendiar el almacén que tenían alquilado y que dedicaban al negocio de venta de muebles, propagándose el fuego a las naves colindantes.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Contra la Sentencia de la Audiencia Provincial de Huelva interpuso don Juan José Montes García recurso de casación fundado en diferentes motivos. En el tercero de ellos -respecto del cual el demandante pide en la demanda de amparo que las consideraciones fácticas y jurídicas en él contenidas se tengan por reproducidas junto con las del apartado c) del escrito de preparación del recurso- se fundaba en el art. 849.2 de la Ley de Enjuiciamiento Criminal. Y se denunciaba en el que se había incurrido en error de hecho en la apreciación de las pruebas, pues, según el recurrente, del acto del Juicio oral sólo cabe inferir que los dos procesados se proclamaron de manera reiterada inocentes del delito imputado, sin que haya habido un mínimo de actividad probatoria bastante para desvirtuar su derecho a la presunción de inocencia. Según el solicitante del amparo la afirmación, consignada en el resultando de hechos probados de la Sentencia, condenatoria, en el sentido de que entre los meses de agosto a noviembre del mismo año el procesado Manuel Romero preguntó, en varias ocasiones y sin llegar a obtener una respuesta satisfactoria, a dos comerciantes, si conocían algún producto químico que sirviera para quemar sin dejar huella, aparte no afectar en nada al procesado Montes García, procede de las declaraciones </w:t>
      </w:r>
      <w:r>
        <w:lastRenderedPageBreak/>
        <w:t xml:space="preserve">de dos testigos carentes totalmente de credibilidad, el primero por haber sido objeto de presiones por parte del otro, según manifestó en el juicio, y este segundo por haber actuado en el proceso con notoria deslealtad como perito y total parcialidad como testigo. En la misma acta del juicio oral constan, se añade en el escrito de preparación del recurso, las manifestaciones del Ministerio Fiscal, elevando a definitivas sus conclusiones, entre las que figuran las siguientes: «Los procesados, sobre las tres y media de la madrugada del día 29 de diciembre, bien regresando al Polígono Industrial que habían abandonado sobre las nueve y media horas del día anterior, bien por medio de otras personas no identificadas..., prendieron fuego a las naves»; asimismo el Ministerio Fiscal proclamó in voce la veracidad indiscutible del informe policial obrante en folios 296 y siguientes, cuando en dicho informe se dice: </w:t>
      </w:r>
    </w:p>
    <w:p w:rsidR="00256EE9" w:rsidRDefault="00256EE9" w:rsidP="00256EE9">
      <w:pPr>
        <w:pStyle w:val="TextoNormal"/>
      </w:pPr>
      <w:r>
        <w:t xml:space="preserve">«La participación de Juan José Montes García y Manuel Romero Macías en los hechos que constituyeron materialmente el incendio no ha podido ser demostrada» (folio 311 del sumario). </w:t>
      </w:r>
    </w:p>
    <w:p w:rsidR="00256EE9" w:rsidRDefault="00256EE9" w:rsidP="00256EE9">
      <w:pPr>
        <w:pStyle w:val="TextoNormal"/>
      </w:pPr>
      <w:r>
        <w:t>El Tribunal Supremo, en su Sentencia, declaró no haber lugar al recurso de casación de que se ha hecho mérito.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Cuarta de este Tribunal, en su reunión del día 13 de febrero pasado, acordó poner de manifiesto la posible existencia de la causa de inadmisibilidad que regula el art. 50.2 b) de la Ley Orgánica de este Tribunal, por cuanto la demanda pudiera carecer manifiestamente de contenido que justifique una decisión por parte del Tribunal Constitucional. </w:t>
      </w:r>
    </w:p>
    <w:p w:rsidR="00256EE9" w:rsidRDefault="00256EE9" w:rsidP="00256EE9">
      <w:pPr>
        <w:pStyle w:val="TextoNormal"/>
      </w:pPr>
      <w:r>
        <w:t>Por ello, en aplicación de lo dispuesto en el art. 50 de la indicada Ley Orgánica, otorgó un plazo común de diez días al solicitante de amparo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Fiscal ha solicitado la inadmisión del recurso. Según el Fiscal, la simple lectura de la más que breve alegación contenida en la demanda para concluir en la inviabilidad del presente recurso de amparo. En efecto, se afirma que hubo una inexistencia de actividad probatoria fiable y la incorporación del término fiable introduce un elemento inequívocamente valorativo; ya no se trata, pues, de una falta de actividad probatoria, según es doctrina común de este Tribunal, para entender quebrantado el principio de presunción de inocencia; se añade que la falta es de actividad probatoria fiable, es decir, que al calificar -no fiable- la actividad probatoria, se está claramente afirmando su existencia, sólo que, según el criterio del reclamante, la que hubo es inconsistente o no digna de crédito. Este planteamiento queda fuera de la interpretación que viene dando este Tribunal al derecho a la presunción de inocencia que establece el art. 24.2 de la Constitución, pues introduce el elemento valorativo de que hablamos que hay que situar en el art. 741 de la Ley de Enjuiciamiento Criminal, según el cual el Tribunal valora en conciencia las pruebas y las razones expuestas. Y si puede decirse -siempre a juicio del interesado- que la prueba existente no es fiable, es que hay prueba y ésta por mínima que sea vale para destruir la presunción de inocencia, si así la valora el Tribunal con criterio no revisable. </w:t>
      </w:r>
    </w:p>
    <w:p w:rsidR="00256EE9" w:rsidRDefault="00256EE9" w:rsidP="00256EE9">
      <w:pPr>
        <w:pStyle w:val="TextoNormal"/>
      </w:pPr>
      <w:r>
        <w:t xml:space="preserve">La Sentencia del Tribunal Supremo no contiene ninguna referencia al motivo de casación por violación del principio constitucional en que se basa el presente recurso. Dicho motivo fue inadmitido, según consta en la Sentencia, por Auto de 10 de enero de 1984, en el que a buen seguro se harían constar las causas de su inadmisión y que lógicamente serían la existencia de pruebas de cargo que destruían la presunción iuris tantum que establece el art. 24.2 de la Constitución Española. Si este Auto no se impugna (ni siquiera se </w:t>
      </w:r>
      <w:r>
        <w:lastRenderedPageBreak/>
        <w:t xml:space="preserve">le alude y, claro es, no se acompaña copia) es de entender que no hay disconformidad con él. </w:t>
      </w:r>
    </w:p>
    <w:p w:rsidR="00256EE9" w:rsidRDefault="00256EE9" w:rsidP="00256EE9">
      <w:pPr>
        <w:pStyle w:val="TextoNormal"/>
      </w:pPr>
      <w:r>
        <w:t>El solicitante del amparo en el plazo que al efecto se le concedió no ha presentado escrito de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recurso de amparo constitucional, consagrado por el art. 161 de la Constitución y regulado en los arts.  41 y siguientes de la Ley Orgánica de este Tribunal, tiene por objeto dar satisfacción a los derechos y libertades públicas, reconocidas en los arts.  14 a 29 y párrafo 2 del art.  30 del Texto constitucional, cuando hubieren sido vulnerados por los Poderes Públicos, por lo cual es manifiesto que no basta para fundar debidamente un recurso de amparo limitarse a hacer una alegación formularia de alguno de los mencionados derechos constitucionales, para buscar a través de ella una reapertura del proceso o una revisión de las decisiones de los órganos jurisdiccionales del Estado, función que a este Tribunal le está vedada.</w:t>
      </w:r>
    </w:p>
    <w:p w:rsidR="00256EE9" w:rsidRDefault="00256EE9" w:rsidP="00256EE9">
      <w:pPr>
        <w:pStyle w:val="TextoNormal"/>
      </w:pPr>
      <w:r>
        <w:t>En el presente caso, esto es notoriamente lo que la representación de don Juan José Montes García pretende, puesto que se limita a decirnos que la presente demanda de amparo la funda en lo que ya expuso en el motivo tercero del escrito mediante el cual formalizó un recurso de casación por quebrantamiento de forma e infracción de Ley ante la Sala Segunda del Tribunal Supremo de Justicia.  Este planteamiento basta para inadmitir el presente recurso de amparo, pues aparte resultar paradójico que la Sala Segunda del Tribunal Supremo haya podido violar los derechos constitucionales del recurrente por las razones que éste había expuesto ya en el motivo del recurso de casación, esto es, antes de que la Sentencia fuera dictada, es claro que no se puede enfocar con la misma óptica la casación de una Sentencia por infracción de Ley o por quebrantamiento de forma y un amparo constitucional por vulneración de los derechos de este tipo, que requiere demostrar el derecho y su violación, lo que no puede hacerse genéricamente.</w:t>
      </w:r>
    </w:p>
    <w:p w:rsidR="00256EE9" w:rsidRDefault="00256EE9" w:rsidP="00256EE9">
      <w:pPr>
        <w:pStyle w:val="TextoNormal"/>
      </w:pPr>
    </w:p>
    <w:p w:rsidR="00256EE9" w:rsidRDefault="00256EE9" w:rsidP="00256EE9">
      <w:pPr>
        <w:pStyle w:val="TextoNormal"/>
      </w:pPr>
      <w:r w:rsidRPr="00256EE9">
        <w:rPr>
          <w:rStyle w:val="NumeroAFNegritaCaracter"/>
        </w:rPr>
        <w:t>2</w:t>
      </w:r>
      <w:r>
        <w:t>. En este sentido, la única concreción que en el escrito de interposición del recurso de amparo puede encontrarse es la relativa al derecho constitucional a la presunción de inocencia, cuya pretendida violación se funda en la inexistencia, según el solicitante del amparo de una mínima actividad probatoria fiable bastante para desvirtuar el derecho constitucional. Planteamiento éste que es suficiente por sí solo para reconocer la manifiesta falta de contenido constitucional que hay en la pretensión que examinamos. Y por ende la concurrencia de la causa de inadmisibilidad prevista en el art.  50.2 b) de la Ley Orgánica del Tribunal Constitucional, pues la fiabilidad de las pruebas, como la apreciación de las mismas, es materia de la plena soberanía de los órganos jurisdiccionales del Estado y por ello materia en la que este Tribunal nada tiene que decir. Y el derecho a la presunción de inocencia, que al solicitante del amparo no le ha sido negado, se satisface con tal que la actividad probatoria exista y la falta de inocencia pueda quedar establecida a través de las correspondientes pruebas.</w:t>
      </w:r>
    </w:p>
    <w:p w:rsidR="00256EE9" w:rsidRDefault="00256EE9" w:rsidP="00256EE9">
      <w:pPr>
        <w:pStyle w:val="TextoNormal"/>
      </w:pPr>
      <w:r>
        <w:t>Por último, no es inoportuno señalar que en el recurso de casación, origen de la Sentencia que ahora se quiere impugnar en vía de amparo por violación del derecho constitucional a la presunción de inocencia, tal derecho fue objeto de un especial motivo de casación, que resultó inadmitido por Auto del Tribunal Supremo de 10 de enero de 1984, que en su momento el actual solicitante del amparo consintió.</w:t>
      </w:r>
    </w:p>
    <w:p w:rsidR="00256EE9" w:rsidRDefault="00256EE9" w:rsidP="00256EE9">
      <w:pPr>
        <w:pStyle w:val="TextoNormal"/>
      </w:pPr>
    </w:p>
    <w:p w:rsidR="00256EE9" w:rsidRDefault="00256EE9" w:rsidP="00256EE9">
      <w:pPr>
        <w:pStyle w:val="TextoNormal"/>
      </w:pPr>
      <w:r w:rsidRPr="00256EE9">
        <w:rPr>
          <w:rStyle w:val="NumeroAFNegritaCaracter"/>
        </w:rPr>
        <w:t>3</w:t>
      </w:r>
      <w:r>
        <w:t>. Todo lo anteriormente expuesto es suficiente para considerar temerario el presente recurso de amparo e imponer al solicitante del mismo, de acuerdo con el art. 95 de la Ley Orgánica de este Tribunal, una sanción pecuniaria de 25.000 pesetas y las costas.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declarar inadmisible el presente recurso de amparo, e imponer al recurrente don Juan José Montes García el pago de las costas y una sanción pecuniaria de 25.000 pesetas.</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8" w:name="AUTO_1985_217"/>
      <w:r>
        <w:lastRenderedPageBreak/>
        <w:t>AUTO 217/1985, de 27 de marzo de 1985</w:t>
      </w:r>
    </w:p>
    <w:bookmarkEnd w:id="27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ECLI:ES:TC:1985:217A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919/1984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Bonifacio Fraile Sánchez, en nombre de don Manuel Alvarez Marcos y de la Asociación Profesional de Secretarios de Ayuntamientos de la provincia de Salamanca, formuló recurso de amparo constitucional señalando como antecedentes: </w:t>
      </w:r>
    </w:p>
    <w:p w:rsidR="00256EE9" w:rsidRDefault="00256EE9" w:rsidP="00256EE9">
      <w:pPr>
        <w:pStyle w:val="TextoNormal"/>
      </w:pPr>
      <w:r>
        <w:t xml:space="preserve">a) Que por acuerdo adoptado por el Pleno del Ayuntamiento de Aldeanueva de la Sierra el 17 de febrero de 1984 se incoó expediente disciplinario al Secretario de dicha Corporación don Manuel Alvarez Marcos, siendo suspendido en sus funciones en la propia fecha. </w:t>
      </w:r>
    </w:p>
    <w:p w:rsidR="00256EE9" w:rsidRDefault="00256EE9" w:rsidP="00256EE9">
      <w:pPr>
        <w:pStyle w:val="TextoNormal"/>
      </w:pPr>
      <w:r>
        <w:t xml:space="preserve">b) El 22 de marzo siguiente recibió el citado un oficio de la misma Corporación comunicándole el nombramiento de Instructor y Secretario del susodicho expediente. </w:t>
      </w:r>
    </w:p>
    <w:p w:rsidR="00256EE9" w:rsidRDefault="00256EE9" w:rsidP="00256EE9">
      <w:pPr>
        <w:pStyle w:val="TextoNormal"/>
      </w:pPr>
      <w:r>
        <w:t xml:space="preserve">c) El 30 del mismo mes los actores en este proceso interpusieron recurso contencioso-administrativo contra la actuación del Ayuntamiento en el expediente indicado, recurso que por Sentencia de 17 de julio siguiente de la Sala de lo Contencioso-Administrativo de la Audiencia Territorial de Valladolid fue declarado inadmisible por entender que la actuación de la Corporación no afectaba al ejercicio de derechos fundamentales reconocidos en la Constitución. </w:t>
      </w:r>
    </w:p>
    <w:p w:rsidR="00256EE9" w:rsidRDefault="00256EE9" w:rsidP="00256EE9">
      <w:pPr>
        <w:pStyle w:val="TextoNormal"/>
      </w:pPr>
      <w:r>
        <w:t xml:space="preserve">d) Interpuesto recurso de apelación contra dicha Sentencia por los actores de este proceso, la Sala Tercera del Tribunal Supremo, por Sentencia de 14 de noviembre de 1984, lo desestimó, confirmando en consecuencia la resolución recurrida, contra la que se interpone recurso de amparo, es decir, contra la Sentencia acabada de indicar del Tribunal Supremo. </w:t>
      </w:r>
    </w:p>
    <w:p w:rsidR="00256EE9" w:rsidRDefault="00256EE9" w:rsidP="00256EE9">
      <w:pPr>
        <w:pStyle w:val="TextoNormal"/>
      </w:pPr>
      <w:r>
        <w:t xml:space="preserve">Los demandantes solicitan de este Tribunal que declare la nulidad de la Sentencia impugnada y la admisión a la vía de la Ley de 26 de diciembre de 1978 el recurso contencioso-administrativo interpuesto ante la Sala de igual condición de la Audiencia Territorial de Valladolid contra los actos y omisiones del Ayuntamiento indicado. Por otrosí, solicita la admisión y práctica de una sola prueba documental pública, que remitirá dicho Ayuntamiento y consistente en testimonio literal de todas las actuaciones que contiene el expediente disciplinario. </w:t>
      </w:r>
    </w:p>
    <w:p w:rsidR="00256EE9" w:rsidRDefault="00256EE9" w:rsidP="00256EE9">
      <w:pPr>
        <w:pStyle w:val="TextoNormal"/>
      </w:pPr>
      <w:r>
        <w:t xml:space="preserve">En la fundamentación jurídica alegan como violados los derechos reconocidos en los dos apartados en el art. 24 de la Constitución (C. E.), manifestando en síntesis: </w:t>
      </w:r>
    </w:p>
    <w:p w:rsidR="00256EE9" w:rsidRDefault="00256EE9" w:rsidP="00256EE9">
      <w:pPr>
        <w:pStyle w:val="TextoNormal"/>
      </w:pPr>
      <w:r>
        <w:t xml:space="preserve">a) Que el no existir en el caso presente ningún acto recurrible en vía contencioso-administrativa ordinaria, por existir sólo actos de trámite en un expediente disciplinario, se da la vía de hecho a que se refieren los arts. 41.2 y 43.1 de la Ley Orgánica de este Tribunal (LOTC), por lo que las Sentencias de la Audiencia y del Tribunal Supremo recurridas, </w:t>
      </w:r>
      <w:r>
        <w:lastRenderedPageBreak/>
        <w:t xml:space="preserve">al no admitir la vía de protección jurisdiccional especial, determinan que la actuación del Ayuntamiento queden sin protección judicial. </w:t>
      </w:r>
    </w:p>
    <w:p w:rsidR="00256EE9" w:rsidRDefault="00256EE9" w:rsidP="00256EE9">
      <w:pPr>
        <w:pStyle w:val="TextoNormal"/>
      </w:pPr>
      <w:r>
        <w:t xml:space="preserve">b) El actor señor Alvarez no ha sido oído -salvo al recusar al Instructor y Secretario-, por lo que el expediente se inició para burlar los derechos del mismo. </w:t>
      </w:r>
    </w:p>
    <w:p w:rsidR="00256EE9" w:rsidRDefault="00256EE9" w:rsidP="00256EE9">
      <w:pPr>
        <w:pStyle w:val="TextoNormal"/>
      </w:pPr>
      <w:r>
        <w:t xml:space="preserve">c) El mismo recurrente está indefenso porque no puede recurrir a la vía contencioso-administrativa ordinaria, con lo que al declararse inadmisible la vía de protección especial se le cierra el derecho al proceso en ambas vías, dejando vigente la vía de hechos realizada por la Corporación. </w:t>
      </w:r>
    </w:p>
    <w:p w:rsidR="00256EE9" w:rsidRDefault="00256EE9" w:rsidP="00256EE9">
      <w:pPr>
        <w:pStyle w:val="TextoNormal"/>
      </w:pPr>
      <w:r>
        <w:t xml:space="preserve">d) Se vulnera el párrafo segundo del art. 24 de la C. E. por nombrarse Instructor a uno de los Concejales de la Corporación; no se oye al inculpado; no se informa a éste de las acusaciones que se le formulan y no existe proceso, existiendo una dilación de más de diez meses con la consiguiente presunción de culpabilidad. </w:t>
      </w:r>
    </w:p>
    <w:p w:rsidR="00256EE9" w:rsidRDefault="00256EE9" w:rsidP="00256EE9">
      <w:pPr>
        <w:pStyle w:val="TextoNormal"/>
      </w:pPr>
      <w:r>
        <w:t xml:space="preserve">e) Aplicando la doctrina de la Sentencia de 8 de junio de 1981, debe estimarse el recurso porque los principios del art. 24 de la C. E. son aplicables </w:t>
      </w:r>
    </w:p>
    <w:p w:rsidR="00256EE9" w:rsidRDefault="00256EE9" w:rsidP="00256EE9">
      <w:pPr>
        <w:pStyle w:val="TextoNormal"/>
      </w:pPr>
      <w:r>
        <w:t xml:space="preserve">a las Administraciones Públicas en materia sancionadora para preservar la seguridad jurídica que garantiza el art. 9 de la C. E. </w:t>
      </w:r>
    </w:p>
    <w:p w:rsidR="00256EE9" w:rsidRDefault="00256EE9" w:rsidP="00256EE9">
      <w:pPr>
        <w:pStyle w:val="TextoNormal"/>
      </w:pPr>
      <w:r>
        <w:t>f) En definitiva, se veda el acceso al proceso, porque no existe proceso, sino simulación de su inicio para excusarse ante dos Tribunales.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por providencia, acordó tener por interpuesto el recurso de amparo y conceder un plazo de diez días para que la parte actora subsanara la existencia del motivo de inadmisión, de falta de poder de representación del Procurador señor Fraile otorgado por los recurrentes. </w:t>
      </w:r>
    </w:p>
    <w:p w:rsidR="00256EE9" w:rsidRDefault="00256EE9" w:rsidP="00256EE9">
      <w:pPr>
        <w:pStyle w:val="TextoNormal"/>
      </w:pPr>
      <w:r>
        <w:t>Dicho defecto fue subsanado presentando el Poder indicado.</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también acordó abrir el trámite de inadmisión de la demanda de amparo por la posible concurrencia del motivo establecido en el art. 50.2 b) de la LOTC, de carecer la demanda manifiestamente de contenido constitucional que justifique una decisión por parte de este Tribunal, concediendo un plazo común de diez días al Ministerio Fiscal y a los solicitantes de amparo a fin de que realizaran alegaciones sobre tal motivo.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Ministerio Fiscal, dando cumplimiento a lo dispuesto en la providencia anterior, alegó en relación a dicho trámite de inadmisión, que la demanda plantea una cuestión de mera legalidad, impugnándose sólo la Sentencia del Tribunal Supremo cuando la lesión, de haberse producido, la determinaría la resolución de la Audiencia Territorial, que fue confirmada por aquel órgano. </w:t>
      </w:r>
    </w:p>
    <w:p w:rsidR="00256EE9" w:rsidRDefault="00256EE9" w:rsidP="00256EE9">
      <w:pPr>
        <w:pStyle w:val="TextoNormal"/>
      </w:pPr>
      <w:r>
        <w:t>Las actuaciones administrativas realizadas por el Ayuntamiento no vulneran el art. 24 de la C. E., y si a lo largo del expediente se produjeran ilegalidades la tutela judicial se produciría por la vía del recurso contenciosoadministrativo ordinario. Los eventuales agravios no son protegibles en este momento en el proceso de amparo que no es remedio cautelar o precautorio, sino subsidiario y último. Además, el procedimiento de la Ley 62/1978 no es hábil para atacar una disposición o acto administrativo cuando se trata de vicios de legalidad y así lo estima la Sentencia impugnada. Estima que la demanda carece manifiestamente de contenido constitucional.</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La parte actora del amparo a quien, a través de su Procurador, le fue notificado el proveído referente a la apertura del trámite de inadmisión, dejó transcurrir el plazo de diez días concedido sin que efectuara alegación de ninguna clase.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demanda de amparo estima violado el art. 24 de la C. E., tanto por las actuaciones administrativas como por las resoluciones jurisdiccionales, al entender haber sido despojado del ejercicio de su cargo de Secretario de un Ayuntamiento por «vía de hecho» -arts. 41.2 y 43.1 de la LOTC-, al iniciarse expediente administrativo contra él, sin haber sido oído, estando indefenso al no poder recurrir a la vía contencioso-administrativa ordinaria y declararse inadmisible la vía de protección especial de la Ley 62/1978, de 26 de diciembre, y por no ser informado de la acusación que le formulaban, vedándole, en definitiva, el acceso al proceso.</w:t>
      </w:r>
    </w:p>
    <w:p w:rsidR="00256EE9" w:rsidRDefault="00256EE9" w:rsidP="00256EE9">
      <w:pPr>
        <w:pStyle w:val="TextoNormal"/>
      </w:pPr>
      <w:r>
        <w:t>Alegaciones éstas que deben contrastarse en su presencia y alcance, para determinar si opera la causa de inadmisión de la demanda establecida en el art. 50.2 b) de la LOTC, por carecer la misma manifiestamente de contenido constitucional, que justifique una decisión, en Sentencia, por parte de este Tribunal.</w:t>
      </w:r>
    </w:p>
    <w:p w:rsidR="00256EE9" w:rsidRDefault="00256EE9" w:rsidP="00256EE9">
      <w:pPr>
        <w:pStyle w:val="TextoNormal"/>
      </w:pPr>
    </w:p>
    <w:p w:rsidR="00256EE9" w:rsidRDefault="00256EE9" w:rsidP="00256EE9">
      <w:pPr>
        <w:pStyle w:val="TextoNormal"/>
      </w:pPr>
      <w:r w:rsidRPr="00256EE9">
        <w:rPr>
          <w:rStyle w:val="NumeroAFNegritaCaracter"/>
        </w:rPr>
        <w:t>2</w:t>
      </w:r>
      <w:r>
        <w:t>. Con independencia de que la impugnación en amparo realizada se concreta a la Sentencia de la Sala Tercera del Tribunal Supremo que confirmó la de la Audiencia Territorial, y que ésta no se recurre en amparo, y también de que de un modo contradictorio y confuso se imputa a ambas Sentencias la presunta vulneración de los derechos fundamentales, así como a las actuaciones del Ayuntamiento, lo que supone una rechazable ambigüedad en la exigible determinación de lo que es objeto del proceso constitucional, es lo cierto que, según se proclama como hechos probados en la Sentencia del Tribunal Supremo recurrida, al existir indicios contra el Secretario sobre la comisión de faltas administrativas, se le incoó expediente disciplinario por acuerdo de la Corporación Municipal, para averiguar su posible existencia, nombrando Instructor y Secretario del mismo para su tramitación y acordándose la suspensión de empleo y sueldo del expedientado; por lo que, existiendo al menos dos acuerdos municipales, uno de incoación del expediente disciplinario y otro de nombramiento de Instructor y Secretario del mismo, ambos notificados al funcionario afectado, como él reconoce, es obvio que queda desmentida de manera cierta la alegación de ausencia total de procedimiento, que es la que podía caracterizar y fundar la presencia de la mera vía de hecho, pues ésta, por su contenido intrínseco, sólo podría aflorar si la suspensión provisional de la función se hubiera realizado al margen de todo procedimiento y actuación jurídica preestablecida, por lo que al existir el procedimiento apoyado en normas legales, se desnaturaliza la presencia de tal desvío de manera absoluta.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Estando en curso inicial el expediente disciplinario, se planteó por la parte actora el proceso especial contencioso-administrativo de la Ley 62/1978 indicado, que se resolvió en ambas instancias, estimando que la incoación del expediente por la Corporación no afectaba al ejercicio de los derechos fundamentales reconocidos en la Constitución y, en concreto, los determinados en su art. 24, sin que fuera posible enjuiciar en el indicado procedimiento la legalidad de las actuaciones administrativas tramitadas, en cuanto al ámbito del mismo, que según el art.  1 de la citada Ley se concreta al ejercicio de los derechos </w:t>
      </w:r>
      <w:r>
        <w:lastRenderedPageBreak/>
        <w:t>fundamentales de la persona, y en su consecuencia no se prejuzgaba la procedencia ni el resultado de la actuación sancionadora referida; por lo que al negar estas resoluciones de manera razonada la viabilidad de la protección contencioso-administrativa en tal proceso especial, actuando dentro de los límites de su competencia, de acuerdo con el art.  117.3 de la C. E., es evidente que no se vislumbra por lado alguno, en el caso de examen, la violación del derecho fundamental a la tutela judicial efectiva, más aún, cuando como precisan la Sentencia de este Tribunal núm.  23/1984 y el Auto de 7 de noviembre del propio año, no se puede atacar en el procedimiento especial una disposición o acto administrativo cuando se trate de vicios de mera legalidad ordinaria.</w:t>
      </w:r>
    </w:p>
    <w:p w:rsidR="00256EE9" w:rsidRDefault="00256EE9" w:rsidP="00256EE9">
      <w:pPr>
        <w:pStyle w:val="TextoNormal"/>
      </w:pPr>
    </w:p>
    <w:p w:rsidR="00256EE9" w:rsidRDefault="00256EE9" w:rsidP="00256EE9">
      <w:pPr>
        <w:pStyle w:val="TextoNormal"/>
      </w:pPr>
      <w:r w:rsidRPr="00256EE9">
        <w:rPr>
          <w:rStyle w:val="NumeroAFNegritaCaracter"/>
        </w:rPr>
        <w:t>4</w:t>
      </w:r>
      <w:r>
        <w:t>. Por lo demás, estando en trámite el expediente disciplinario, y sin haberse adoptado en él resoluciones definitivas, el planteamiento del proceso especial contencioso-administrativo era de por sí prematuro, y aún con mayor razón el recurso de amparo, sobre unos eventuales agravios que no pueden ser objeto de pretensión cautelar o precautoria, ya que el proceso constitucional es subsidiario y último y tiene que plantearse sobre decisiones concretas que representen violaciones ya producidas, como ha proclamado la doctrina de este Tribunal -últimamente en el Auto de 30 de enero de 1985, R. A. 721/1984-; sin que sea admisible la alegación de que al cerrársele a los actores la vía especial, no tienen tampoco abierto el cauce ordinario de la Ley de la Jurisdicción Contencioso-Administrativa, al tener los actos impugnados de mero trámite la condición de no cualificados, porque además de tratarse de una opinión personal de los recurrentes, nada en tal sentido insinúan las Sentencias indicadas, que expresamente dejaron expedito ese camino ordinario para el futuro y, además y en cualquier caso, porque podrían recurrir cuando el expediente concluya, impugnando la resolución definitiva o de fondo que pusiera término al mismo, o si se dilatare la decisión más de lo razonable y debido, podían denunciar la demora ante la Administración, y si no actúa con la debida diligencia, entablar ante el Tribunal competente el recurso contencioso-administrativo ordinario, para lograr la imprescindible actuación que condujera a su rápida resolución.</w:t>
      </w:r>
    </w:p>
    <w:p w:rsidR="00256EE9" w:rsidRDefault="00256EE9" w:rsidP="00256EE9">
      <w:pPr>
        <w:pStyle w:val="TextoNormal"/>
      </w:pPr>
    </w:p>
    <w:p w:rsidR="00256EE9" w:rsidRDefault="00256EE9" w:rsidP="00256EE9">
      <w:pPr>
        <w:pStyle w:val="TextoNormal"/>
      </w:pPr>
      <w:r w:rsidRPr="00256EE9">
        <w:rPr>
          <w:rStyle w:val="NumeroAFNegritaCaracter"/>
        </w:rPr>
        <w:t>5</w:t>
      </w:r>
      <w:r>
        <w:t>. En conclusión de todo lo expuesto, resulta claro que concurre la causa de inadmisión de la demanda indicada y establecida en el art.  50.2 b) de la LOTC, y contra la que nada alegó la parte recurrente, cuando se le concedió audiencia a tal fin.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 inadmitir a trámite la demanda de amparo formulada por el Procurador don Bonifacio Fraile Sánchez, en representación de don Manuel Alvarez Marcos y de la Asociación Profesional de Secretarios de Ayuntamientos de la provincia de</w:t>
      </w:r>
    </w:p>
    <w:p w:rsidR="00256EE9" w:rsidRDefault="00256EE9" w:rsidP="00256EE9">
      <w:pPr>
        <w:pStyle w:val="TextoNormal"/>
      </w:pPr>
      <w:r>
        <w:t>Salamanca, y el archivo de las actuaciones.</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79" w:name="AUTO_1985_218"/>
      <w:r>
        <w:lastRenderedPageBreak/>
        <w:t>AUTO 218/1985, de 27 de marzo de 1985</w:t>
      </w:r>
    </w:p>
    <w:bookmarkEnd w:id="279"/>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ECLI:ES:TC:1985:218A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920/1984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pasado día 28 de diciembre quedó registrado en el Tribunal Constitucional un escrito mediante el que don Jesús Alfaro Matos, Procurador de los Tribunales, interpuso recurso de amparo en nombre de su poderdante, el Ayuntamiento de Badalona, frente al Auto dictado por la Sala Segunda de lo Contencioso-Administrativo de la Audiencia Territorial de Barcelona con fecha de 28 de noviembre anterior, resolución judicial ésta por la que se resolvió el incidente de suspensión de ejecución del acto de esta Corporación recurrido, acogiéndose la solicitud en tal sentido del actor.</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Se fundamenta la demanda de amparo en las siguientes consideraciones de hecho: </w:t>
      </w:r>
    </w:p>
    <w:p w:rsidR="00256EE9" w:rsidRDefault="00256EE9" w:rsidP="00256EE9">
      <w:pPr>
        <w:pStyle w:val="TextoNormal"/>
      </w:pPr>
      <w:r>
        <w:t xml:space="preserve">a) Interpuesto recurso contencioso-administrativo por don Antonio Jordana Gazulla y otros (recurso núm. 1.123) contra la Resolución de 12 de junio de 1984 del Ayuntamiento de Badalona, ante la Sala competente (Segunda de la Audiencia Territorial de Barcelona), se solicitó por los actores, en otrosí, la suspensión del acto impugnado, invocando al efecto perjuicios irreparables o de difícil reparación. Formada así la pieza separada de suspensión, dióse traslado de la misma al Abogado del Estado, según preceptúa el núm. 2 del art. 123 de la Ley Jurisdiccional, quien evacuó el correspondiente trámite, oponiéndose a la suspensión instada, por estimar incumplidos los requisitos dispuestos en el art. 122.2 del mismo texto legal. </w:t>
      </w:r>
    </w:p>
    <w:p w:rsidR="00256EE9" w:rsidRDefault="00256EE9" w:rsidP="00256EE9">
      <w:pPr>
        <w:pStyle w:val="TextoNormal"/>
      </w:pPr>
      <w:r>
        <w:t xml:space="preserve">b) Por Auto de 24 de julio, la Sala, ponderando la medida en que la suspensión solicitada pudiera afectar a los intereses públicos, acordó acceder a lo pedido por el recurrente, suspendiendo la ejecutoriedad del acto «sin prejuzgar en modo alguno el fondo de la cuestión debatida y los posibles vicios del acto recurrido», notificándose así al Ayuntamiento de Badalona. </w:t>
      </w:r>
    </w:p>
    <w:p w:rsidR="00256EE9" w:rsidRDefault="00256EE9" w:rsidP="00256EE9">
      <w:pPr>
        <w:pStyle w:val="TextoNormal"/>
      </w:pPr>
      <w:r>
        <w:t xml:space="preserve">c) Con posterioridad, el 13 de septiembre del mismo año, la Corporación Municipal fue notificada a efectos de su emplazamiento por el Tribunal ante el que se seguía el procedimiento. </w:t>
      </w:r>
    </w:p>
    <w:p w:rsidR="00256EE9" w:rsidRDefault="00256EE9" w:rsidP="00256EE9">
      <w:pPr>
        <w:pStyle w:val="TextoNormal"/>
      </w:pPr>
      <w:r>
        <w:t xml:space="preserve">d) En escrito de 27 de septiembre, el Ayuntamiento de Badalona se personó en los Autos y requirió de la Sala la subsanación de actuaciones en el incidente de suspensión, por entender que en la tramitación del mismo se había infringido lo dispuesto en el art. 24.1 de la Constitución, toda vez que la propia Corporación no fue oída en el incidente en cuestión, lo que le habría deparado indefensión. </w:t>
      </w:r>
    </w:p>
    <w:p w:rsidR="00256EE9" w:rsidRDefault="00256EE9" w:rsidP="00256EE9">
      <w:pPr>
        <w:pStyle w:val="TextoNormal"/>
      </w:pPr>
      <w:r>
        <w:lastRenderedPageBreak/>
        <w:t xml:space="preserve">e) Con fecha 26 de octubre siguiente, la Sala Segunda de la Audiencia Territorial de Barcelona dictó Auto desestimando la subsanación de actuaciones solicitada por el hoy recurrente en amparo. </w:t>
      </w:r>
    </w:p>
    <w:p w:rsidR="00256EE9" w:rsidRDefault="00256EE9" w:rsidP="00256EE9">
      <w:pPr>
        <w:pStyle w:val="TextoNormal"/>
      </w:pPr>
      <w:r>
        <w:t>f) Contra dicho Auto interpuso el actor recurso de súplica, alegando -según dice- la mencionada infracción del derecho reconocido en el artículo 24.1 de la Norma fundamental. El recurso fue resuelto por Auto de 28 de noviembre (notificado el 3 de diciembre) en el que se desestimó la pretensión del Ayuntamiento de Badalona.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fundamentación en Derecho de la demanda de amparo puede resumirse del modo siguiente: </w:t>
      </w:r>
    </w:p>
    <w:p w:rsidR="00256EE9" w:rsidRDefault="00256EE9" w:rsidP="00256EE9">
      <w:pPr>
        <w:pStyle w:val="TextoNormal"/>
      </w:pPr>
      <w:r>
        <w:t xml:space="preserve">a) Según se ha dicho ya, entiende el recurrente que se vulneró su derecho a la jurisdicción (provocándosele la consiguiente indefensión) al resolver la Sala una petición de suspensión sin habérsele oído como parte necesaria que era en el proceso principal. En tal sentido, se arguye que el art. 123.1 y 2 de la Ley Jurisdiccional ha de ser interpretado a la luz de la Constitución (de su art. 24.1, en este caso) con la consecuencia de que les será aplicable a las Entidades públicas demandadas lo dispuesto en el inciso inicial del núm. 2 del citado artículo («Solicitada la suspensión, se oirá al Abogado del Estado y a las partes demandadas y coadyuvantes, si hubieren comparecido»). Al no haberse hecho así, y al haber sido trasladada la petición de suspensión tan sólo al Abogado del Estado, la Entidad demandada se ha visto afectada en sus intereses sin haber tenido ocasión de defenderse al respecto. </w:t>
      </w:r>
    </w:p>
    <w:p w:rsidR="00256EE9" w:rsidRDefault="00256EE9" w:rsidP="00256EE9">
      <w:pPr>
        <w:pStyle w:val="TextoNormal"/>
      </w:pPr>
      <w:r>
        <w:t xml:space="preserve">b) Aduce el recurrente (y lo hace constar con el escrito correspondiente) que en ningún momento anterior a la resolución del incidente de suspensión fue emplazado debidamente por la Sala Segunda, siendo así que sólo después de habérsele notificado el Auto de suspensión (el 5 de septiembre) se le requirió para la remisión del expediente administrativo (el 13 del mismo mes), requerimiento que, a tenor del art. 63.1 de la Ley Jurisdiccional, da lugar al emplazamiento de la Administración. </w:t>
      </w:r>
    </w:p>
    <w:p w:rsidR="00256EE9" w:rsidRDefault="00256EE9" w:rsidP="00256EE9">
      <w:pPr>
        <w:pStyle w:val="TextoNormal"/>
      </w:pPr>
      <w:r>
        <w:t xml:space="preserve">c) Niega el recurrente, para sostener su argumentación, que el Abogado del Estado haya intervenido en el incidente de suspensión a título de representante de la Administración demandada, aduciendo que la posición en este trámite de aquél es sólo la de quien actúa «en interés de la Ley o más concretamente en favor del interés público en general». En todo caso -añade-, mal puede considerarse representada la Administración recurrida en este caso, cuando el Abogado del Estado no ha tenido a la vista el expediente administrativo (aún no requerido por el Tribunal) ni, en consecuencia, ha podido éste adquirir un conocimiento cabal de la incidencia de la suspensión sobre los intereses públicos. </w:t>
      </w:r>
    </w:p>
    <w:p w:rsidR="00256EE9" w:rsidRDefault="00256EE9" w:rsidP="00256EE9">
      <w:pPr>
        <w:pStyle w:val="TextoNormal"/>
      </w:pPr>
      <w:r>
        <w:t xml:space="preserve">d) De todo lo anterior se seguiría que, una vez vigente la Constitución, no podría procederse a la suspensión de la ejecutoriedad del acto impugnado si no es tras de la previa audiencia de la Administración autora del mismo, so pena de contrariar la norma recogida en el art. 24.1 de aquélla. Pretende el actor ilustrar su tesis reseñando diferentes Sentencias de este Tribunal Constitucional en las que se interpreta tal precepto constitucional y en las que se indica la necesidad del emplazamiento personal en el proceso contencioso-administrativo de los legitimados para comparecer en el mismo. </w:t>
      </w:r>
    </w:p>
    <w:p w:rsidR="00256EE9" w:rsidRDefault="00256EE9" w:rsidP="00256EE9">
      <w:pPr>
        <w:pStyle w:val="TextoNormal"/>
      </w:pPr>
      <w:r>
        <w:t>En el petitum se solicita del Tribunal que, reclamándose las actuaciones correspondientes de la Sala Segunda de la Audiencia Territorial de Barcelona, se declaren nulos los Autos de 28 de noviembre de 1984, y de 26 de octubre y 24 de julio del mismo año, declarando el derecho del Ayuntamiento de Badalona a ser emplazado directa y personalmente en el recurso contencioso-administrativo, en términos tales que pueda ejercer el derecho de defensa en la pieza separada de suspensión.</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13 de febrero, la Sección acordó poner de manifiesto al solicitante de amparo y al Ministerio Fiscal la posible existencia de las siguientes causas de inadmisibilidad: 1.ª la que regula el art. 50.1 b) en relación con el 49.2 a), ambos de la Ley Orgánica de este Tribunal (LOTC), por no acompañarse con la demanda el documento que acredite la representación del solicitante de amparo (pues lo presentado era una fotocopia no adverada); 2.ª la del art. 50.2 b) de la indicada Ley Orgánica, por cuanto la demanda pudiera carecer manifiestamente de contenido que justifique una decisión por parte del Tribunal Constitucional; otorgándoles un plazo común de diez días para alegaciones y subsanar lo procedente.</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escrito presentado el 4 de marzo, el recurrente en amparo comunicó que mediante escrito de 22 de febrero se acompañó copia autorizada de escritura de poder, por lo que la causa de inadmisibilidad invocada quedó subsanada. </w:t>
      </w:r>
    </w:p>
    <w:p w:rsidR="00256EE9" w:rsidRDefault="00256EE9" w:rsidP="00256EE9">
      <w:pPr>
        <w:pStyle w:val="TextoNormal"/>
      </w:pPr>
      <w:r>
        <w:t xml:space="preserve">En cuanto a la segunda causa señalada en la providencia, manifestando su extrañeza al respecto, hizo en primer lugar hincapié en que no tuvo ninguna posibilidad de personarse y, en consecuencia, defenderse en la demanda incidental de suspensión, siendo intrascendente a su juicio el carácter o naturaleza del incidente. El Tribunal de instancia adoptó, por otra parte, su resolución sin tener a la vista las actuaciones. Lo que se solicita es que le sea reconocido el derecho «a ser emplazado directa y personalmente en el recurso del que trae causa el actual de amparo, en términos tales que pueda ejercitar el derecho de defensa en la pieza separada de suspensión. </w:t>
      </w:r>
    </w:p>
    <w:p w:rsidR="00256EE9" w:rsidRDefault="00256EE9" w:rsidP="00256EE9">
      <w:pPr>
        <w:pStyle w:val="TextoNormal"/>
      </w:pPr>
      <w:r>
        <w:t xml:space="preserve">Por otra parte, las actuaciones seguidas en el procedimiento incidental de suspensión dan lugar propiamente a un acto u omisión que afecta a los derechos constitucionales del hoy demandante, protegidos por el recurso de amparo. </w:t>
      </w:r>
    </w:p>
    <w:p w:rsidR="00256EE9" w:rsidRDefault="00256EE9" w:rsidP="00256EE9">
      <w:pPr>
        <w:pStyle w:val="TextoNormal"/>
      </w:pPr>
      <w:r>
        <w:t xml:space="preserve">Tampoco cabe pretender, como parece desprenderse de la providencia en cuestión, que el proceso incidental de suspensión y en consecuencia el Auto de suspensión, por su carácter cautelar, susceptible siempre de revocación o modificación, no produzca efectos insubsanables respecto a derechos constitucionales protegibles por el recurrente de amparo. </w:t>
      </w:r>
    </w:p>
    <w:p w:rsidR="00256EE9" w:rsidRDefault="00256EE9" w:rsidP="00256EE9">
      <w:pPr>
        <w:pStyle w:val="TextoNormal"/>
      </w:pPr>
      <w:r>
        <w:t>Exige, en definitiva, el recurrente tener igualdad de trato procesal que las demás partes en el proceso y ser oído o tener ocasión de ser oído, ratificándose en su demanda de amparo.</w:t>
      </w:r>
    </w:p>
    <w:p w:rsidR="00256EE9" w:rsidRDefault="00256EE9" w:rsidP="00256EE9">
      <w:pPr>
        <w:pStyle w:val="TextoNormal"/>
      </w:pPr>
    </w:p>
    <w:p w:rsidR="00256EE9" w:rsidRDefault="00256EE9" w:rsidP="00256EE9">
      <w:pPr>
        <w:pStyle w:val="TextoNormal"/>
      </w:pPr>
      <w:r w:rsidRPr="00256EE9">
        <w:rPr>
          <w:rStyle w:val="NumeroAFNegritaCaracter"/>
        </w:rPr>
        <w:t>6</w:t>
      </w:r>
      <w:r>
        <w:t>. El Fiscal ante el Tribunal Constitucional, en escrito registrado el 28 de febrero, afirma en primer término que existe el defecto subsanable relativo a la acreditación. Abordando el segundo motivo de inadmisibilidad, cuya posible existencia señaló nuestra providencia, sienta que la Sala Primera del Tribunal Constitucional ha tenido ocasión de pronunciarse en el recurso de amparo 757/1984, mediante el Auto de inadmisión de 30 de enero último; por lo que procede aquí adoptar la misma resolución, entendiendo que concurre la causa recogida en el art. 50.2 b) de la LOTC, dado el carácter provisional y revisable de la medida de suspensión, lo que permite, en términos del Auto mencionado, «que la demandada, si no hubiera sido oída, pueda replantear la procedencia de la suspensión, como aquí ha sucedido, salvaguardándose a posteriori el principio de contradicción y las posibilidades de defensa». Y por ello solicita del Tribunal que inadmita el recurso.</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primera de las causas de inadmisibilidad señaladas en nuestra providencia de 13 de febrero último ha sido subsanada por el demandante, al remitir, con escrito de fecha 22 del mismo mes, copia autorizada de escritura de poder, quedando con ello satisfecha una exigencia del art. 50.1 b) de la LOTC en relación con el 49.2 a) de la misma.</w:t>
      </w:r>
    </w:p>
    <w:p w:rsidR="00256EE9" w:rsidRDefault="00256EE9" w:rsidP="00256EE9">
      <w:pPr>
        <w:pStyle w:val="TextoNormal"/>
      </w:pPr>
    </w:p>
    <w:p w:rsidR="00256EE9" w:rsidRDefault="00256EE9" w:rsidP="00256EE9">
      <w:pPr>
        <w:pStyle w:val="TextoNormal"/>
      </w:pPr>
      <w:r w:rsidRPr="00256EE9">
        <w:rPr>
          <w:rStyle w:val="NumeroAFNegritaCaracter"/>
        </w:rPr>
        <w:t>2</w:t>
      </w:r>
      <w:r>
        <w:t>. En cuanto a la segunda causa de inadmisibilidad que invocaba la mencionada providencia, es de observar, primeramente, que toda la argumentación del recurrente descansa sobre la base de que a los Entes públicos -al Ayuntamiento de Badalona, en el caso presente- debe reconocérseles como titulares del derecho fundamental a la tutela efectiva de los Jueces y Tribunals (art. 24.1 de la Constitución) en identidad de posición con los particulares. A partir de esta afirmación, el actor procede a trasladar íntegramente la doctrina del Tribunal sobre aquel precepto al caso singular aquí considerado, extrayendo la conclusión de que su no emplazamiento antes de la resolución del incidente de suspensión le deparó indefensión por merma de la necesaria contradicción.</w:t>
      </w:r>
    </w:p>
    <w:p w:rsidR="00256EE9" w:rsidRDefault="00256EE9" w:rsidP="00256EE9">
      <w:pPr>
        <w:pStyle w:val="TextoNormal"/>
      </w:pPr>
      <w:r>
        <w:t>Ahora bien, tal traslado genérico de la doctrina constitucional sobre aquel derecho fundamental no es procedente cuando quien lo recaba para si es un Ente público que, como aquí ocurre, realiza dicha invocación para sostener la ejecutoriedad de sus propios actos. Esta advertencia, formulada ya en el Auto de 19 de septiembre de 1984 (asunto 415/1984), de la Sala Segunda (fundamento jurídico 2), ha de ser tenida ahora en cuenta para resolver la verosimilitud de la lesión aducida por el Ayuntamiento de Badalona.</w:t>
      </w:r>
    </w:p>
    <w:p w:rsidR="00256EE9" w:rsidRDefault="00256EE9" w:rsidP="00256EE9">
      <w:pPr>
        <w:pStyle w:val="TextoNormal"/>
      </w:pPr>
    </w:p>
    <w:p w:rsidR="00256EE9" w:rsidRDefault="00256EE9" w:rsidP="00256EE9">
      <w:pPr>
        <w:pStyle w:val="TextoNormal"/>
      </w:pPr>
      <w:r w:rsidRPr="00256EE9">
        <w:rPr>
          <w:rStyle w:val="NumeroAFNegritaCaracter"/>
        </w:rPr>
        <w:t>3</w:t>
      </w:r>
      <w:r>
        <w:t>. Tal pretendida lesión -no por defecto de emplazamiento, sino por haberse producido éste tras de la resolución del incidente de suspensión- no ha tenido lugar, manifiestamente, en el presente caso.</w:t>
      </w:r>
    </w:p>
    <w:p w:rsidR="00256EE9" w:rsidRDefault="00256EE9" w:rsidP="00256EE9">
      <w:pPr>
        <w:pStyle w:val="TextoNormal"/>
      </w:pPr>
      <w:r>
        <w:t>La representación del Ayuntamiento de Badalona sostiene que el incidente de suspensión regulado en los arts. 122 y siguientes de la Ley Jurisdiccional habrá de decidirse siempre con audiencia previa del Ente del que procediera el acto recurrido. Esta interpretación no sólo no se concilia con lo dispuesto al efecto en el número 2 del art. 123 de aquella Ley -que impone el informe de la Autoridad cuyo acto ha sido impugnado sólo en el caso de que por la Abogacía del Estado la oposición a la suspensión solicitada se fundamente en unos argumentos que aquí no se emplearon- sino que entraña también, y esto es lo concluyente, una invocación del art. 24.1 de la Constitución claramente contraria a la efectividad de los derechos reconocidos en este precepto para el recurrente que insta la suspensión de un acto administrativo con ocasión de la misma interposición del recurso.  De acogerse ahora la pretensión de que la medida cautelar de que se trata no podría decidirse sino tras la personación de la Administración que adoptó el acto, se contrariarían los intereses a cuyo servicio está el incidente de suspensión, con el consiguiente deterioro de la posición subjetiva del recurrente en el proceso contencioso-administrativo.  La suspensión podrá solicitarse en cualquier estado de este proceso (art.  123.1 de la Ley Jurisdiccional) y la posibilidad de su obtención inmediata, en evitación de eventuales daños irreparables cuando así lo considere la Sala competente, no puede quedar enervada mediante la invocación por un Ente público de un derecho fundamental que, en este caso, ampara la solicitud del actor en el proceso a quo para conseguir la suspensión del acto frente al que se alza.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Si lo anterior ha de decirse respecto del invocado derecho a ser oído el Ente público en el incidente de suspensión, a la misma conclusión ha de llegarse, apreciando la inexistencia de la lesión aducida, si se atiende al alegato que formula el Ayuntamiento de Badalona en orden a no haber sido representado en aquel incidente por el Abogado del Estado. El art. 35.1 de la Ley Jurisdiccional prevé, ciertamente, que las Entidades públicas distintas del Estado a las que se refiere puedan personarse en el procedimiento con Letrado designado al efecto y sin servirse, por ello, de la representación de la Abogacía del Estado. Ahora bien, esta previsión legal, frente a lo que se pretende en la demanda, no desvirtúa la consideración cierta de que la Corporación, como tal, está, en tanto no se produzca aquella opción, representada en juicio por la Abogacía del Estado. Así ocurrió, efectivamente, en el caso presente y con independencia de que, personada la Corporación, se determinase por ésta la defensa y representación diferenciada que la Ley permite.</w:t>
      </w:r>
    </w:p>
    <w:p w:rsidR="00256EE9" w:rsidRDefault="00256EE9" w:rsidP="00256EE9">
      <w:pPr>
        <w:pStyle w:val="TextoNormal"/>
      </w:pPr>
      <w:r>
        <w:t>Hasta el momento en que se produzca dicha personación, el Abogado del Estado actúa como representante de los intereses públicos ligados al mantenimiento del acto impugnado, lo que no dejó de ocurrir en el incidente de suspensión que se viene considerando. En definitiva, la garantía institucional de la posición en el proceso del Ayuntamiento de Badalona no ha quedado aquí menoscabada ni contrariado, en consecuencia, el contenido preceptivo del art.  24.1 de la Norma fundamental.</w:t>
      </w:r>
    </w:p>
    <w:p w:rsidR="00256EE9" w:rsidRDefault="00256EE9" w:rsidP="00256EE9">
      <w:pPr>
        <w:pStyle w:val="TextoNormal"/>
      </w:pPr>
      <w:r>
        <w:t>La conclusión de cuanto antecede lleva a apreciar la existencia del motivo contemplado en el art. 50.2 b) de la LOTC, careciendo la demanda de contenido que justifique una decisión del Tribunal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0" w:name="AUTO_1985_219"/>
      <w:r>
        <w:lastRenderedPageBreak/>
        <w:t>AUTO 219/1985, de 27 de marzo de 1985</w:t>
      </w:r>
    </w:p>
    <w:bookmarkEnd w:id="280"/>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ECLI:ES:TC:1985:219A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15/1985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Murga Rodríguez, Procurador de los Tribunales, en nombre y representación de don Miguel Angel Alonso Pascual, recurre en amparo ante este Tribunal por escrito de demanda que tuvo entrada en el Registro General el día 9 de enero de 1985, con la pretensión de que se declaren nulas las Sentencias dictadas el día 9 de noviembre de 1984 por el Juzgado de Instrucción núm. 1 de Valladolid y contra la Sentencia de 20 de diciembre de 1984, dictada por la Audiencia Provincial, en las que se condena al recurrente como autor de un delito de resistencia a la pena de cuatro meses de arresto mayor y multa de 40.000 pesetas. </w:t>
      </w:r>
    </w:p>
    <w:p w:rsidR="00256EE9" w:rsidRDefault="00256EE9" w:rsidP="00256EE9">
      <w:pPr>
        <w:pStyle w:val="TextoNormal"/>
      </w:pPr>
      <w:r>
        <w:t>El recurrente considera que han sido vulnerados los arts. 24 (1 y 2) y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que se contrae la demanda son, en extracto, los siguientes: </w:t>
      </w:r>
    </w:p>
    <w:p w:rsidR="00256EE9" w:rsidRDefault="00256EE9" w:rsidP="00256EE9">
      <w:pPr>
        <w:pStyle w:val="TextoNormal"/>
      </w:pPr>
      <w:r>
        <w:t xml:space="preserve">a) El Juzgado de Instrucción núm. 1 de Valladolid incoó al recurrente en amparo un procedimiento penal (seguido con el núm. 164/1984 de los procedimientos orales) por delito de desacato al excelentísimo señor Teniente General Gutiérrez Mellado y de resistencia a agente de la Autoridad y el Fiscal retiró en el acto de calificación definitiva la acusación por delito de desacato. </w:t>
      </w:r>
    </w:p>
    <w:p w:rsidR="00256EE9" w:rsidRDefault="00256EE9" w:rsidP="00256EE9">
      <w:pPr>
        <w:pStyle w:val="TextoNormal"/>
      </w:pPr>
      <w:r>
        <w:t>b) El Juzgado de Instrucción condenó al recurrente como autor de un delito de resistencia a la pena de cuatro meses de arresto mayor y multa de 40.000 pesetas y dicha Sentencia fue confirmada en el recurso de apelación núm. 163/1984 por la Audiencia Provincial de Valladolid, ante la que se invocó el art. 24 de la C. E., por Sentencia de 20 de diciembre de 1984.</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a los que se refiere el recurrente son, en resumen, los siguientes: </w:t>
      </w:r>
    </w:p>
    <w:p w:rsidR="00256EE9" w:rsidRDefault="00256EE9" w:rsidP="00256EE9">
      <w:pPr>
        <w:pStyle w:val="TextoNormal"/>
      </w:pPr>
      <w:r>
        <w:t xml:space="preserve">a) La indefensión se produce desde el momento en que los hechos se inician por un error policial, ya que el agente de escolta del elentísimo señor Teniente General confundió al recurrente como autor de insultos al excelentísimo señor Teniente General, quien en el acto del juicio no reconoció al recurrente como autor de los insultos y se produjo una intervención policial desproporcionada por ser un delito privado cometido en persona que no ejercía autoridad y que cumplía una labor privada de difusión editorial. El recurrente </w:t>
      </w:r>
      <w:r>
        <w:lastRenderedPageBreak/>
        <w:t xml:space="preserve">fue detenido indebidamente por el agente policial y reaccionó en defensa de sus derechos fundamentales. </w:t>
      </w:r>
    </w:p>
    <w:p w:rsidR="00256EE9" w:rsidRDefault="00256EE9" w:rsidP="00256EE9">
      <w:pPr>
        <w:pStyle w:val="TextoNormal"/>
      </w:pPr>
      <w:r>
        <w:t xml:space="preserve">b) La actividad probatoria no sólo ha de ser mínima, en aras a la posible vulneración del derecho a la presunción de inocencia, sino suficiente y la Sentencia recurrida de 20 de diciembre de 1984 basa la condena en la manifestación del señor Alonso Pascual, sin tener en cuenta la declaración de éste al folio quinto de las actuaciones. </w:t>
      </w:r>
    </w:p>
    <w:p w:rsidR="00256EE9" w:rsidRDefault="00256EE9" w:rsidP="00256EE9">
      <w:pPr>
        <w:pStyle w:val="TextoNormal"/>
      </w:pPr>
      <w:r>
        <w:t xml:space="preserve">c) La resolución recurrida se apoya en la versión del policía sin prueba alguna y sin respeto a la presunción de inocencia y al principio in dubio pro reo. </w:t>
      </w:r>
    </w:p>
    <w:p w:rsidR="00256EE9" w:rsidRDefault="00256EE9" w:rsidP="00256EE9">
      <w:pPr>
        <w:pStyle w:val="TextoNormal"/>
      </w:pPr>
      <w:r>
        <w:t>d) La Sentencia de 20 de diciembre de 1984 infringe el art. 14 de la C. E., ya que no se valoran por igual las pruebas aportadas (declaración del inculpado y de los testigos) ni la conducta del policía cuya desmedida actuación no ha sido estimada y que fue provocadora e ilegal.</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Segunda de la Sala Primera de este Tribunal, en providencia de 6 de febrero de 1985, concedió un plazo de diez días a la parte solicitante del amparo y al Ministerio Fiscal para que, en dicho término, alegaran lo procedente sobre los siguientes motivos de inadmisión: </w:t>
      </w:r>
    </w:p>
    <w:p w:rsidR="00256EE9" w:rsidRDefault="00256EE9" w:rsidP="00256EE9">
      <w:pPr>
        <w:pStyle w:val="TextoNormal"/>
      </w:pPr>
      <w:r>
        <w:t xml:space="preserve">a) Falta de invocación formal del derecho constitucional vulnerado en relación con el art. 14 de la C. E. [art. 50.1 b), en conexión con el art. 44.1 c) de la Ley Orgánica del Tribunal Constitucional -LOTC-]. </w:t>
      </w:r>
    </w:p>
    <w:p w:rsidR="00256EE9" w:rsidRDefault="00256EE9" w:rsidP="00256EE9">
      <w:pPr>
        <w:pStyle w:val="TextoNormal"/>
      </w:pPr>
      <w:r>
        <w:t>b) Carencia manifiesta de contenido constitucional que justifique una decisión por parte de este Tribunal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Tribunal Constitucional, por escrito de 18 de febrero de 1985, formuló, en resumen, las siguientes alegaciones: </w:t>
      </w:r>
    </w:p>
    <w:p w:rsidR="00256EE9" w:rsidRDefault="00256EE9" w:rsidP="00256EE9">
      <w:pPr>
        <w:pStyle w:val="TextoNormal"/>
      </w:pPr>
      <w:r>
        <w:t xml:space="preserve">a) El fundamento de la indefensión supuestamente sufrida se basa, con invocación del art. 24.1 de la Constitución, en la equivocada actuación policial, alegato improcedente en esta sede no sólo por referirse a los hechos en los que este Alto Tribunal no entrará a conocer en ningún caso conforme al art. 44.1 b) de la LOTC, sino por relacionarla el recurrente con la valoración de las pruebas, que es competencia de los órganos judiciales en el ejercicio de sus atribuciones, conforme a los arts. 741 de la Ley de Enjuiciamiento Criminal y 117.3 de la Constitución. </w:t>
      </w:r>
    </w:p>
    <w:p w:rsidR="00256EE9" w:rsidRDefault="00256EE9" w:rsidP="00256EE9">
      <w:pPr>
        <w:pStyle w:val="TextoNormal"/>
      </w:pPr>
      <w:r>
        <w:t xml:space="preserve">b) Tampoco se justifica la lesión al derecho fundamental de presunción de inocencia, cuando se invoca el art. 24.2 de la Constitución, porque dada su naturaleza de presunción iuris tantum, puede destruirse con una mínima ac tividad probatoria de cargo, según constante jurisprudencia constitucional, a partir de la Sentencia 31/1981 de este Alto Tribunal. </w:t>
      </w:r>
    </w:p>
    <w:p w:rsidR="00256EE9" w:rsidRDefault="00256EE9" w:rsidP="00256EE9">
      <w:pPr>
        <w:pStyle w:val="TextoNormal"/>
      </w:pPr>
      <w:r>
        <w:t xml:space="preserve">No es exacto, como se alega por el recurrente, que no se practicara ninguna prueba, pues ya la Sentencia del Juzgado se refiere en el primer considerando a la intervención de otras personas para reducirle, además del agente de la Autoridad, y en todo caso, la Sentencia de la Audiencia -a la que el recurrente imputa más directamente la vulneración del art. 24.2- se refiere con alguna amplitud, también en el primero de sus considerandos, no sólo a la declaración del acusado, como se sostiene en la demanda, sino a «testigos presenciales de los hechos, que incluso han perfilado lo ocurrido en términos más rigurosos», lo que le permiten concluir que la causa ofrecía sobradamente elementos probatorios que desvirtuaban el principio de presunción de inocencia conforme a jurisprudencia del Tribunal Constitucional y del Tribunal Supremo. </w:t>
      </w:r>
    </w:p>
    <w:p w:rsidR="00256EE9" w:rsidRDefault="00256EE9" w:rsidP="00256EE9">
      <w:pPr>
        <w:pStyle w:val="TextoNormal"/>
      </w:pPr>
      <w:r>
        <w:lastRenderedPageBreak/>
        <w:t xml:space="preserve">c) Se invoca también la vulneración del art. 14 de la Constitución sin ninguna justificación y relacionándolo también con la valoración de las pruebas, que nada tiene que ver con el principio de igualdad. </w:t>
      </w:r>
    </w:p>
    <w:p w:rsidR="00256EE9" w:rsidRDefault="00256EE9" w:rsidP="00256EE9">
      <w:pPr>
        <w:pStyle w:val="TextoNormal"/>
      </w:pPr>
      <w:r>
        <w:t xml:space="preserve">La demanda, en suma, carece manifiestamente de contenido constitucional. </w:t>
      </w:r>
    </w:p>
    <w:p w:rsidR="00256EE9" w:rsidRDefault="00256EE9" w:rsidP="00256EE9">
      <w:pPr>
        <w:pStyle w:val="TextoNormal"/>
      </w:pPr>
      <w:r>
        <w:t>El Fiscal interesa del Tribunal Constitucional que dicte Auto que acuerde la inadmisión de la demanda de amparo, de conformidad con los arts. 86.1 y 50.2 b), ambos de su Ley Orgánica.</w:t>
      </w:r>
    </w:p>
    <w:p w:rsidR="00256EE9" w:rsidRDefault="00256EE9" w:rsidP="00256EE9">
      <w:pPr>
        <w:pStyle w:val="TextoNormal"/>
      </w:pPr>
    </w:p>
    <w:p w:rsidR="00256EE9" w:rsidRDefault="00256EE9" w:rsidP="00256EE9">
      <w:pPr>
        <w:pStyle w:val="TextoNormal"/>
      </w:pPr>
      <w:r w:rsidRPr="00256EE9">
        <w:rPr>
          <w:rStyle w:val="NumeroAFNegritaCaracter"/>
        </w:rPr>
        <w:t>6</w:t>
      </w:r>
      <w:r>
        <w:t>. Transcurrido con exceso el plazo concedido al recurrente, en providencia de 6 de febrero de 1985, no se recibió escrito del Procurador señor Murga Rodríguez en la fase de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recurso consiste en determinar si concurren los motivos de inadmisión puestos de manifiesto en la providencia de 6 de febrero de 1985, debiendo examinarse si existe la causa de inadmisión prevista en el art. 50.2 b) de la LOTC, a cuyo fin debe partirse de las afirmaciones del recurrente que en el escrito de demanda afirma que la Sentencia dictada por el Juzgado de Instrucción núm. 1 de Valladolid de 9 de noviembre de 1984 y la dictada, en grado de apelación, por la Audiencia Provincial de Valladolid de 20 de diciembre de 1984 vulneran los artículos constitucionales 24.1 y 2 por causación de indefensión y violación del derecho a la presunción de inocencia, y 14, por violación del derecho a la igualdad ante la Ley.</w:t>
      </w:r>
    </w:p>
    <w:p w:rsidR="00256EE9" w:rsidRDefault="00256EE9" w:rsidP="00256EE9">
      <w:pPr>
        <w:pStyle w:val="TextoNormal"/>
      </w:pPr>
    </w:p>
    <w:p w:rsidR="00256EE9" w:rsidRDefault="00256EE9" w:rsidP="00256EE9">
      <w:pPr>
        <w:pStyle w:val="TextoNormal"/>
      </w:pPr>
      <w:r w:rsidRPr="00256EE9">
        <w:rPr>
          <w:rStyle w:val="NumeroAFNegritaCaracter"/>
        </w:rPr>
        <w:t>2</w:t>
      </w:r>
      <w:r>
        <w:t>. El recurrente señala que se le produjo una total indefensión al ser detenido ilegalmente por un agente policial, cuando el día 14 de julio de 1983 firmaba ejemplares el excelentísimo señor Gutiérrez Mellado en la primera planta del edificio de Galerías Preciados de Valladolid del libro «Un soldado de España» y éste fue insultado, lo que determinó que uno de los miembros de su escolta procediera a la detención del recurrente, por error.</w:t>
      </w:r>
    </w:p>
    <w:p w:rsidR="00256EE9" w:rsidRDefault="00256EE9" w:rsidP="00256EE9">
      <w:pPr>
        <w:pStyle w:val="TextoNormal"/>
      </w:pPr>
      <w:r>
        <w:t>Según reiterada jurisprudencia de este Tribunal (Autos de 22 de julio y 30 de septiembre de 1981, R. A. núms. 84 y 96/1981) la indefensión no puede basarse en la mera denegación de un medio de prueba, cuya pertinencia valora el Juez penal, que al enjuiciar los hechos sometidos a su conocimiento subsume la conducta como constitutiva de un tipo penal, sin que este Tribunal, por aplicación del art. 44.1 b) de la LOTC, entre en el examen de los hechos.</w:t>
      </w:r>
    </w:p>
    <w:p w:rsidR="00256EE9" w:rsidRDefault="00256EE9" w:rsidP="00256EE9">
      <w:pPr>
        <w:pStyle w:val="TextoNormal"/>
      </w:pPr>
      <w:r>
        <w:t>Además las resoluciones judiciales recurridas efectúan un razonado juicio de legalidad fundado en Derecho, no pudiendo admitirse que exista indefensión en una causa en la que se practican las pruebas necesarias para enjuiciar la conducta del recurrente, como se constata en los considerandos de la Sentencia de la Audiencia, donde se señala cómo él mismo se opuso a la acción del agente de la Autoridad y forcejeó con él, constituyendo su conducta el delito de resistencia porque fue castigado, sin que se observe extralimitación en la actuación policial y sí un desprecio por parte del recurrente de la misión y funciones que en aquel instante ejercía el agente, según determinan las Sentencias judiciales.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solicitante del amparo alude, en segundo lugar, a que se ha producido una vulneración del derecho a la presunción de inocencia por ausencia de práctica probatoria, lo que </w:t>
      </w:r>
      <w:r>
        <w:lastRenderedPageBreak/>
        <w:t>no puede admitirse porque consta en el primer considerando de la Sentencia dictada en apelación por la Audiencia Provincial de Valladolid de 20 de diciembre de 1984, que en el proceso penal seguido se practicaron las pruebas de declaración del inculpado y de los testigos presenciales de los hechos, entre otras, por lo que conforme a la doctrina jurisprudencial de este Tribunal (Sentencias de 28 de julio de 1981 y de 29 de noviembre de 1983) existe una mínima actividad probatoria de cargo que hace desaparecer la vulneración del derecho a la presunción de inocencia y desvirtúa tal alegación.</w:t>
      </w:r>
    </w:p>
    <w:p w:rsidR="00256EE9" w:rsidRDefault="00256EE9" w:rsidP="00256EE9">
      <w:pPr>
        <w:pStyle w:val="TextoNormal"/>
      </w:pPr>
    </w:p>
    <w:p w:rsidR="00256EE9" w:rsidRDefault="00256EE9" w:rsidP="00256EE9">
      <w:pPr>
        <w:pStyle w:val="TextoNormal"/>
      </w:pPr>
      <w:r w:rsidRPr="00256EE9">
        <w:rPr>
          <w:rStyle w:val="NumeroAFNegritaCaracter"/>
        </w:rPr>
        <w:t>4</w:t>
      </w:r>
      <w:r>
        <w:t>. Finalmente, respecto a la alegada violación del art.  14 de la C. E., con independencia de que no es aplicable el precepto constitucional citado por el recurrente cuando se actúa dentro de la ilegalidad y con fines contrarios a la Ley, no se advierta en la cuestión planteada término de comparación alguno y no existe una real igualdad de situaciones de la que pudiera dimanar una aplicación arbitraria de la norma conforme a la doctrina jurisprudencial de este Tribunal (Sentencias de 10 de julio de 1981, R. A.  núm.  135/1980, y 21 de abril de 1982, R. A. 373/1981).</w:t>
      </w:r>
    </w:p>
    <w:p w:rsidR="00256EE9" w:rsidRDefault="00256EE9" w:rsidP="00256EE9">
      <w:pPr>
        <w:pStyle w:val="TextoNormal"/>
      </w:pPr>
      <w:r>
        <w:t>En suma, la parte recurrente trata en este recurso, que no es una tercera instancia jurisdiccional, de examinar y contradecir los hechos declarados probados por los órganos judiciales y realizar una interpretación libre del contenido de la abundante prueba practicada en el proceso penal, por lo que resulta inadmisible en la vía del amparo constitucional.</w:t>
      </w:r>
    </w:p>
    <w:p w:rsidR="00256EE9" w:rsidRDefault="00256EE9" w:rsidP="00256EE9">
      <w:pPr>
        <w:pStyle w:val="TextoNormal"/>
      </w:pPr>
    </w:p>
    <w:p w:rsidR="00256EE9" w:rsidRDefault="00256EE9" w:rsidP="00256EE9">
      <w:pPr>
        <w:pStyle w:val="TextoNormal"/>
      </w:pPr>
      <w:r w:rsidRPr="00256EE9">
        <w:rPr>
          <w:rStyle w:val="NumeroAFNegritaCaracter"/>
        </w:rPr>
        <w:t>5</w:t>
      </w:r>
      <w:r>
        <w:t>. Los razonamientos precedentes conducen a la conclusión de que el recurso está comprendido en el art. 50.2 b) de la LOTC, por carecer la demanda manifiestamente de contenido constitucional que justifique una decisión de fondo en forma de Sentencia, con el desarrollo procesal consiguiente, y la estimación de esta causa de inadmisión hace innecesario examinar los restantes motivos de inadmisión de los que se dio traslado a la parte solicitante del amparo y al Ministerio Fiscal, sin que dicha parte actora alegara nada en el trámite de inadmisión.</w:t>
      </w:r>
    </w:p>
    <w:p w:rsidR="00256EE9" w:rsidRDefault="00256EE9" w:rsidP="00256EE9">
      <w:pPr>
        <w:pStyle w:val="TextoNormal"/>
      </w:pPr>
      <w:r>
        <w:t>La Sección estima que la interposición temeraria de este recurso determina la imposición al solicitante de la multa de 25.000 pesetas a tenor del art. 95.3 de la LOTC, puesto que la demanda carece de argumentación válida y razonable, y contra todo criterio jurídico trata de convertir el recurso de amparo en una tercera instancia.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expuesto, la Sección acuerda declarar inadmisible el recurso de amparo interpuesto por el Procurador de los Tribunales don José Murga Rodríguez, en nombre de don Miguel Angel Alonso Pascual, el archivo de las actuaciones y la imposición</w:t>
      </w:r>
    </w:p>
    <w:p w:rsidR="00256EE9" w:rsidRDefault="00256EE9" w:rsidP="00256EE9">
      <w:pPr>
        <w:pStyle w:val="TextoNormal"/>
      </w:pPr>
      <w:r>
        <w:t>al actor de la multa de 25.000 pesetas por su temeridad.</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1" w:name="AUTO_1985_220"/>
      <w:r>
        <w:lastRenderedPageBreak/>
        <w:t>AUTO 220/1985, de 27 de marzo de 1985</w:t>
      </w:r>
    </w:p>
    <w:bookmarkEnd w:id="281"/>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ECLI:ES:TC:1985:220A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22/1985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Esteban García Aznar ha dirigido un escrito al excelentísimo señor Presidente del Tribunal Constitucional, que ha tenido su entrada el 10 de enero de 1985, por el que solicita que se dé por presentado y admita a trámite el que califica como recurso de amparo, ofreciéndose a subsanar los defectos de forma del mismo en el plazo que se le indique y a comparecer con Abogado y Procurador. En dicho escrito se hace referencia a una Sentencia de la Sala Primera de lo Civil del Tribunal Supremo de 19 de noviembre de 1984, cuya fecha de notificación no consta, sobre resolución de un contrato entre el recurrente y la empresa «Bilore, S. A.»; se dice que tal Sentencia ha sostenido el criterio seguido en su día por el Juez de Distrito de Lucena y ha rechazado lo razonado por la Audiencia Territorial de Sevilla; se hacen algunas consideraciones sobre la resolución del contrato efectuada por la Empresa, a la que se imputa haber actuado de forma arbitraria, unilateral e incumpliendo lo pactado, haber coaccionado al solicitante y haber obrado con temeridad; se entiende, conforme al criterio de la Audiencia Territorial, que el vínculo contractual persiste hasta que exista una resolución judicial firme que decrete su resolución; y se alude al perjuicio que se causaría al solicitante de permitirse una resolución del contrato «de forma unilateral y sin cumplirlo», entendiéndose asimismo que de ello derivarían violaciones de derechos constitucionales. Se invoca como infringidos los arts. 24, 53, 161, 162 y 164 de la Constitución, y los arts. 5 y 8 de la Declaración Universal de Derechos Humanos. Se acompaña el escrito presentado de una copia parcial de la Sentencia dictada por la Sala de lo Civil del Tribunal Supremo resolviendo el recurso de casación interpuesto por «Bilore, S. A.» y de copias de otros escritos dudosamente pertinentes para la resolución del caso.</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Cuarta, por providencia de 13 de febrero, puso de manifiesto la posible concurrencia en este caso de los siguientes motivos de inadmisibilidad: a) el del art. 50.1 b) en relación con el 49.1 y 49.2 b), todos de la LOTC, por falta de fijación del acto impugnado y de los fundamentos del recurso, así como de la concreción de éste; b) el del art. 50.1 b) en relación con el 81; c) el del 50.1 a) en relación con el 44.2; d) el del 50.2 a) por invocación de artículos no comprendidos en los arts. 14 a 29 y 30.2 de la C.E.; e) el del 50.2 b). En sus alegaciones el Fiscal pide la inadmisión. En las suyas el recurrente ruega que se admitan a trámite sus alegaciones, que de nuevo formula personalmente, y que se admita su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En su escrito de alegaciones el recurrente se refiere al motivo de inadmisibilidad del art. 50.1 b) en relación con el 81 de la LOTC, diciendo que «lo subsanaría tan pronto como ese digno Tribunal me lo requiera como indispensable»; ahora bien, esa notificación para permitir la subsanación de los motivos intrínsecamente subsanables es la contenida en la providencia antes resumida y que se ajusta a las formalidades exigidas en el art.  85.2 de la LOTC, precepto al que se remite el art. 50.1 b) de la misma Ley, reiteradamente citado en nuestra providencia. Por consiguiente, el recurrente debió subsanar en el plazo de diez días (art. 85.2) los defectos de representación y de postulación.  No habiéndolo hecho, el defecto subsanable pero no subsanado, se convierte en motivo de inadmisibilidad.</w:t>
      </w:r>
    </w:p>
    <w:p w:rsidR="00256EE9" w:rsidRDefault="00256EE9" w:rsidP="00256EE9">
      <w:pPr>
        <w:pStyle w:val="TextoNormal"/>
      </w:pPr>
      <w:r>
        <w:t>A mayor abundamiento hemos de hacer notar, sin que sea necesario analizar todos los demás motivos indicados en nuestra providencia de 13 de febrero, que el recurrente en sus alegaciones tampoco concreta ni fundamenta su amparo ni precisa el objeto del mismo, si bien ofrece hacerlo cuando «el Tribunal le autorice a ello», sin percatarse de que ese era el momento (el último momento) en que el Tribunal justamente le pedía que lo hiciera. Algo análogo podríamos decir respecto a la extemporaneidad, que el recurrente viene a reconocer, aunque invocando la tolerancia de este Tribunal y afirmando una fecha de notificación de la Sentencia del Tribunal Supremo, que se ofrece de nuevo a probar si este Tribunal «le autoriza el envio» de la carta y sobre sellado por Correos.</w:t>
      </w:r>
    </w:p>
    <w:p w:rsidR="00256EE9" w:rsidRDefault="00256EE9" w:rsidP="00256EE9">
      <w:pPr>
        <w:pStyle w:val="TextoNormal"/>
      </w:pPr>
      <w:r>
        <w:t>No subsanados los defectos en su día apuntados, sin duda por carecer de la representación y dirección técnica que al recurrente le exige el art. 81 de la LOTC y que también la Sección le instó y le permitió subsanar, el recurso es por fuerza inadmisible.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interpuesto por don Esteban García Aznar.</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2" w:name="AUTO_1985_221"/>
      <w:r>
        <w:lastRenderedPageBreak/>
        <w:t>AUTO 221/1985, de 27 de marzo de 1985</w:t>
      </w:r>
    </w:p>
    <w:bookmarkEnd w:id="282"/>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ECLI:ES:TC:1985:221A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36/1985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José Antonio López Rivera, don Martiniano Atilano Barreñada y doña María Antonia Lozano Alvarez, pertenecientes al Cuerpo de Secretarios de la Administración de Justicia, representados por Procurador y asistidos de Letrado, mediante escrito que tuvo su entrada el 14 de enero de 1985, interponen recurso de amparo contra acuerdos de 28 de julio de 1983 de la Comisión Permanente del Consejo General del Poder Judicial y de 7 de diciembre de 1983 del Pleno de dicho Consejo, así como contra Sentencia del Pleno del Tribunal Supremo de 17 de diciembre de 1984. Los hechos que se exponen en la demanda son los siguientes: a) Con anterioridad a la Ley Orgánica 5/1981, de 16 de noviembre, de integración de la Carrera Judicial y del Secretariado de la Administración de Justicia, los recurrentes habían alcanzado «la segunda categoría del Cuerpo, en su Rama del Secretariado de los Juzgados de Primera Instancia e Instrucción». b) Los recurrentes recibieron del Consejo General del Poder Judicial un nuevo título, expedido en ejecución de dicha Ley Orgánica 5/1981, que les asignó «la tercera categoría del Secretariado, grado de ascenso». c) Los demandantes formularon escritos solicitando que se repusiese el acto por el que se hubiese acordado la expedición de los títulos de tercera categoría, grado de ascenso, y «se ratificase la plena validez y vigencia a todos los efectos de los títulos ostentados de segunda categoría». d) La Comisión Permanente del Consejo General del Poder Judicial, por acuerdo de 28 de julio de 1983, desestimó tales reclamaciones declarando que no procedía dejar sin efecto los títulos expedidos, por razón de lo dispuesto en la norma segunda del art. 10 de la citada Ley Orgánica 5/1981. e) Interpuesto recurso de alzada, el Pleno del Consejo General del Poder Judicial lo desestimó por Acuerdo de 7 de diciembre de 1983, considerando, entre otras razones, que «si bien los recurrentes pertenecían a la segunda categoría del Cuerpo de Secretarios de Administración de Justicia, Rama de Juzgados de Primera Instancia e Instrucción a la entrada en vigor de la Ley 5/1981, de 16 de noviembre, la norma tercera del art. 10 de la expresada disposición estableció que quienes a la entrada en vigor de la misma integraban la segunda categoría del Secretariado de los Juzgados de Primera Instancia e Instrucción, caso de los impugnantes, pasarían a constituir la tercera categoría, grado de ascenso, del Cuerpo de Secretarios de la Administración de Justicia». f) Interpuesto recurso contencioso-administrativo, fue desestimado por Sentencia del Pleno del Tribunal Supremo de 17 de diciembre de 1984, notificada al parecer el 20 de diciembre, de la que se aporta copia. En dicha Sentencia, tras citarse determinados preceptos de la Ley Orgánica 5/1981, y tras negarse que el formar parte de la tercera cate</w:t>
      </w:r>
      <w:r>
        <w:lastRenderedPageBreak/>
        <w:t>goría haya supuesto un agravio y un perjuicio para los recurrentes, se consideró que «este recurso contencioso-administrativo no era más que la vía para lograr el planteamiento de la cuestión de inconstitucionalidad de esas normas legales; mas al haber sido acordado por Auto de este mismo Pleno de 11 de los corrientes, no plantear ante el Tribunal Constitucional la cuestión de inconstitucionalidad del art. 20 de la mentada Ley Orgánica 5/1981, ha de ser necesariamente desestimado el recurso, al haber sido dictadas las resoluciones impugnadas conforme el ordenamiento jurídico». g) Sin embargo -se dice-, todos los Secretarios de la Rama de los Tribunales han conservado después de la Ley Orgánica 5/1981 la categoría primera o segunda que, respectivamente, habían alcanzado antes de la citada Ley. En la demanda de amparo se cita como infringido el art. 14 de la C. E., por la discriminación de que habrían sido objeto los Secretarios procedentes de la Rama de Juzgados de Primera Instancia e Instrucción frente a los procedentes de la Rama de Tribunales, pues éstos conservan en todo caso la categoría alcanzada, mientras que a aquéllos «se les hace bajar en todo caso un escalón categorial». Se recuerda la potestad conferida por el art. 55.2 de la LOTC de elevar la cuestión al Pleno, a efectos de la declaración de la inconstitucionalidad del art. 10 de la Ley Orgánica 5/1981. Y se solicita la anulación de la Sentencia y de los acuerdos impugnados, así como la declaración del derecho de los recurrentes «a integrarse en la segunda categoría del Cuerpo del Secretariado de la Administración de Justicia, igual que los Secretarios procedentes de la segunda categoría de la Rama de Tribunales y a que se haga efectiva dicha integración mediante la expedición de nuevos títulos de la citada categoría segunda».</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en providencia de 20 de febrero, acordó poner de manifiesto la posible existencia de la causa de inadmisibilidad del art. 50.2 b). En sus alegaciones el Fiscal cree que es claro que la demanda incide en dicho motivo de inadmisibilidad, entre otras razones, por falta de un término de comparación respecto al cual pudiera apreciarse la invocada lesión del derecho a la igualdad. Los recurrentes, en un brevísimo escrito de alegaciones, niegan en absoluto la carencia de contenido y afirman que la demanda demuestra la violación de su derecho a no ser discriminados.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Los demandantes, Secretarios de la Administración de Justicia procedentes de la Rama de Juzgados de Primera Instancia e Instrucción, entienden haber sido discriminados frente a los procedentes de la Rama de Tribunales porque, en aplicación del art. 10 de la Ley Orgánica 5/1981, estos últimos conservan la categoría alcanzada en su Rama, mientras que los primeros bajarían «un escalón categorial».</w:t>
      </w:r>
    </w:p>
    <w:p w:rsidR="00256EE9" w:rsidRDefault="00256EE9" w:rsidP="00256EE9">
      <w:pPr>
        <w:pStyle w:val="TextoNormal"/>
      </w:pPr>
      <w:r>
        <w:t>Es decir, en el caso de los recurrentes, éstos habían alcanzado en la Rama de Juzgados de Primera Instancia e Instrucción la categoría segunda; y, sin embargo, en virtud del art. 10.3 de la Ley Orgánica 5/1981, han pasado a formar parte de la tercera categoría, grado de ascenso, del Cuerpo de Secretarios de la Administración de Justicia, mientras que, por el contrario, los Secretarios procedentes de la Rama de Tribunales que habían alcanzado la categoría segunda de dicha Rama, han pasado a formar parte, en virtud de la norma segunda del art.  10 de la Ley Orgánica 5/1981, de la categoría segunda del mismo Cuerpo de Secretarios, conservando la categoría alcanzada.</w:t>
      </w:r>
    </w:p>
    <w:p w:rsidR="00256EE9" w:rsidRDefault="00256EE9" w:rsidP="00256EE9">
      <w:pPr>
        <w:pStyle w:val="TextoNormal"/>
      </w:pPr>
      <w:r>
        <w:t xml:space="preserve">Se citan en la demanda, en apoyo de la pretensión, diversas Sentencias del Tribunal Constitucional, especialmente la núm.  59/1982, de 28 de julio, así como las núms. </w:t>
      </w:r>
      <w:r>
        <w:lastRenderedPageBreak/>
        <w:t>3/1983, de 25 de enero; 75/1983, de 3 de agosto, y 81/1982, de 21 de diciembre. Y se afirma y trata de razonar, con pretendido apoyo en tal doctrina: a) que en el caso presente ha existido un trato desigual, constitutivo de discriminación; b) que es «indiscutible» la necesidad jurídica de un trato igual a los Secretarios de una y otra Rama, y c) que no existe un principio objetivo justificador de la discriminación producida.</w:t>
      </w:r>
    </w:p>
    <w:p w:rsidR="00256EE9" w:rsidRDefault="00256EE9" w:rsidP="00256EE9">
      <w:pPr>
        <w:pStyle w:val="TextoNormal"/>
      </w:pPr>
      <w:r>
        <w:t>Pues bien, puede advertirse fácilmente cómo tales argumentos carecen manifiestamente de toda consistencia.</w:t>
      </w:r>
    </w:p>
    <w:p w:rsidR="00256EE9" w:rsidRDefault="00256EE9" w:rsidP="00256EE9">
      <w:pPr>
        <w:pStyle w:val="TextoNormal"/>
      </w:pPr>
      <w:r>
        <w:t>En primer lugar, es ya discutible que pueda hablarse propiamente en el caso que nos ocupa de un trato legal desigual y más discutible todavía que tal trato pueda calificarse como discriminatorio.  El que, por un lado, los Secretarios que integraban la categoría segunda de la Rama de Tribunales, y que -art. 4 A, segunda del Decreto 1019/1968, de 2 de mayo- desempeñaban por ello sus funciones en Audiencias, hayan pasado a integrar -norma segunda del art. 10 de la Ley Orgánica 5/1981- la categoría segunda del Cuerpo de Secretarios de la Administración de Justicia, con funciones por lo tanto -art.  6, segunda de la L. O. 5/1981- como Secretarios de Sala de la Audiencia Nacional, de los Tribunales Superiores de Justicia, de las Audiencias Territoriales y Provinciales y de Juzgados servidos por Magistrados; y el que por otro lado los procedentes del Secretariado de Juzgados de Primera Instancia e Instrucción de segunda categoría, que prestaban servicios -art. 4 B, segunda del Decreto 1019/1968- en Juzgados de Primera Instancia e Instrucción servidos por Jueces, hayan sido integrados -norma tercera del art.  10 de la L. O.  5/1981- en la tercera categoría, grado de ascenso, del mismo Cuerpo de Secretarios, pero con funciones -art. 6, tercera de la L. O. 5/1981- en Juzgados servidos por Jueces de ascenso; no puede considerarse todo ello propiamente como trato legal desigual, y menos aún discriminatorio, sino en todo caso distinto, como distintas son las situaciones de base en que se encontraban y encuentran ambos grupos de Secretarios.  Pues, como ha declarado reiteradamente este Tribunal Constitucional, para que pueda hablarse de trato discriminatorio, es preciso que se aplique un trato legal desigual a personas que se encuentren en situaciones de base iguales.</w:t>
      </w:r>
    </w:p>
    <w:p w:rsidR="00256EE9" w:rsidRDefault="00256EE9" w:rsidP="00256EE9">
      <w:pPr>
        <w:pStyle w:val="TextoNormal"/>
      </w:pPr>
      <w:r>
        <w:t>En segundo lugar, no existe, a pesar de los esfuerzos que se hace en la demanda por demostrarla, necesidad jurídica alguna de trato igual a los Secretarios de segunda categoría de la Rama de Tribunales y a los de también segunda categoría de la Rama de Juzgados de Primera Instancia e Instrucción.  Prescindiendo aquí de las afirmaciones que se hacen en la demanda sobre la identidad de los requisitos de ingreso en una y otra Rama, y de la «dureza de las pruebas selectivas» -tan difícil de medir-, lo cierto es que es inexacta la afirmación que se hace en la demanda de que siempre los secretarios de una y otra Rama han sido iguales en derecho y cualificación»; como también es inexacta la de que, antes de la Ley 5/1981, «la primera categoría lo es del Cuerpo, dividida en dos Ramas iguales en derechos, preparación, titulación y cualificación, y lo mismo ocurre con la segunda categoría». Pues de la mera lectura del ya citado Reglamento Orgánico del Cuerpo de Secretarios de la Administración de Justicia, aprobado por el Decreto 1019/1968, de 2 de mayo, se desprende que, con anterioridad a la L. O. 5/1981, las vacantes que se producían en el Secretariado de los Tribunales se proveían entre funcionarios pertenecientes al mismo (art.  14 del Decreto 1019/ 1968), y no, por lo tanto, entre funcionarios del Secretariado de Juzgados de Primera Instancia e Instrucción; que los Secretarios de la Administración de Justicia figuraban en un doble escalafón, que se formaba «por separado para cada rama del Secretariado» (art. 90 del Decreto 1019/1968); que no existían una primera y una segunda categoría del Cuerpo, divididas en dos Ramas cada una, sino a la inversa, dos Ramas distintas, cada una de ellas a su vez con dos categorías (art. 4 del Decreto 1019/1968).</w:t>
      </w:r>
    </w:p>
    <w:p w:rsidR="00256EE9" w:rsidRDefault="00256EE9" w:rsidP="00256EE9">
      <w:pPr>
        <w:pStyle w:val="TextoNormal"/>
      </w:pPr>
      <w:r>
        <w:lastRenderedPageBreak/>
        <w:t>Por todo ello, y de conformidad con la doctrina de la Sentencia 59/1982, citada por los recurrentes, puede decirse que la desigualdad de trato entre antiguos Secretarios de la Rama de Tribunales de la categoría segunda y los de la Rama de Juzgados de Primera Instancia e Instrucción de categoría segunda carece de toda relevancia constitucional, pues no existe principio jurídico alguno que exija su actual inclusión en la misma categoría del Cuerpo de Secretarios de la Administración de Justicia.</w:t>
      </w:r>
    </w:p>
    <w:p w:rsidR="00256EE9" w:rsidRDefault="00256EE9" w:rsidP="00256EE9">
      <w:pPr>
        <w:pStyle w:val="TextoNormal"/>
      </w:pPr>
      <w:r>
        <w:t>En consecuencia, resulta obligado apreciar la concurrencia del motivo de inadmisibilidad del art.  50.2 b) de la Ley Orgánica del Tribunal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declarar inadmisible el presente recurso.</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3" w:name="AUTO_1985_222"/>
      <w:r>
        <w:lastRenderedPageBreak/>
        <w:t>AUTO 222/1985, de 27 de marzo de 1985</w:t>
      </w:r>
    </w:p>
    <w:bookmarkEnd w:id="283"/>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ECLI:ES:TC:1985:222A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37/1985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Registro General de este Tribunal el 15 de enero de 1985, don Argimiro Vázquez Guillén, Procurador de los Tribunales, interpone, en nombre y representación de la Asociación de Mandos Intermedios del Banco de Vizcaya (AMIBV), recurso de amparo constitucional contra la Sentencia del Tribunal Central de Trabajo de 28 de noviembre de 1984. La pretensión postulada se apoya en los siguientes hechos: a) La Entidad recurrente, constituida legalmente como asociación sindical, formalizó el 13 de febrero de 1981 demanda de conflicto colectivo frente al «Banco de Vizcaya, S. A.», a consecuencia de la modificación de la nómina operada por éste. Celebrados sin avenencia los preceptivos actos de conciliación, la Magistratura núm. 3 de las de Sevilla dictó Sentencia el 17 de abril de 1982 en la que estimaba parcialmente las pretensiones deducidas. Interpuesto recurso especial de suplicación, el Tribunal Central de Trabajo, por Sentencia de 16 de julio de ese mismo año, anuló la resolución recurrida. Promovido recurso de amparo, la Sentencia 37/1983, de 11 de mayo, del Tribunal Constitucional lo desestimó, reconociendo, empero, que el sindicato recurrente estaba legitimado constitucionalmente para entablar en lo sucesivo los procedimientos administrativos y judiciales pertinentes sobre conflictos colectivos. b) En fecha 25 de mayo de 1983, la Junta Directiva de AMIBV acordó reiniciar las actuaciones procesales, interponiendo al efecto la oportuna papeleta de conciliación ante el IMAC y, celebrada ésta sin avenencia, dedujo reclamación de conflicto colectivo ante la Dirección General de Trabajo por escrito de 23 de julio de 1983. Efectuada, sin acuerdo, la conciliación, este centro directivo remitió las actuaciones, con su informe preceptivo, a la jurisdicción ordinaria del orden laboral. c) En fecha 30 de julio de 1984, la Magistratura de Trabajo núm. 3 de las de Sevilla dictó Sentencia en parte estimatoria de la demanda promovida por AMIBV, declarando: 1) dejar sin efecto «el desglose que desde los meses de noviembre de 1978 o enero de 1979, según las zonas, efectuó la empresa «Banco de Vizcaya, S. A.» del concepto «sueldo nominal mensual» de lo que pasó a denominar «sueldo mensual reglamentario» y «mejora voluntaria», debiendo integrarse el importe de estos dos conceptos en el único de «sueldo nómina mensual» o «salario base con naturaleza y régimen jurídico de tal salario base»; 2) condenar a la Empresa demandada «a respetar en el futuro las anteriores declaraciones en favor de los interesados, a no aplicar los mecanismos de absorción y compensación a lo que denominó mejora voluntaria, a aplicar sobre la misma como salario base los incrementos habidos por Laudo y Convenios desde 1979 y los que se produzcan en el futuro y a liquidar y abonar a </w:t>
      </w:r>
      <w:r>
        <w:lastRenderedPageBreak/>
        <w:t>los interesados las diferencias económicas producidas desde enero de 1979, como consecuencia de la modificación mencionada»; d) recurrida en suplicación la anterior resolución judicial por el Banco de Vizcaya, el Tribunal Central de Trabajo, por Sentencia de 28 de noviembre de 1984, la revocó, desestimando la demanda y absolviendo a la demandada de las peticiones formuladas en el escrito inicial.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escrito de demanda acusa a la Sentencia dictada por el Tribunal Central de Trabajo de infringir el art. 24.1 de la C. E., fundamentando la denuncia en las razones siguientes: a) La Sentencia combatida resulta incongruente, ya que no analiza ni resuelve los cinco pedimentos deducidos en la reclamación originaria. Esta resolución judicial utiliza como argumento central para la desestimación de las pretensiones la inexistencia de una norma legal o convencional impeditiva de la absorción y compensación, siendo así que el fondo de la litis versaba sobre la existencia de una renuncia válida empresarial a la absorción y compensación determinante «de una condición más beneficiosa basada en un pacto tácito» en favor de los demandantes desde 1971 a 1978, por el que el antiguo sueldo nominal mensual, después desglosado unilateralmente en sueldo mensual reglamentario y mejora voluntaria, resultaba inabsorbible e incompensable y se incrementaba anualmente. La Sentencia de instancia justifica la validez de la renuncia, no admitiendo las modificaciones unilaterales de la Empresa; la del Tribunal Central de Trabajo, empero, se construye sobre una fundamentación «distinta a la esgrimida y analizada en los autos de conflicto colectivo», no justificando la revocación de aquélla e «interpretando sesgadamente un hecho declarado probado». b) La Sentencia impugnada incide en denegación efectiva del derecho fundamental de tutela judicial porque no es motivada. La omisión de «datos reales», el desconocimiento de «pedimentos» y el apartamiento de «una base doctrinal arraigada jurisprudencialmente» son circunstancias que dotan a la Sentencia de una motivación «mera y formal», incompatible con un auténtico Estado Social y Democrático de Derecho. c) Finalmente, la Sentencia combatida resulta presuntamente superficial. En un solo considerando, sin analizar íntegramente el fondo de la litis, ni responder a los pedimentos del conflicto ni «desmontar la aparentemente fundada y correcta doctrina sentada por una Sentencia de Magistratura y avalada por la Dirección General de Trabajo», se resuelve «superficialmente un conflicto colectivo que afectó a un número elevado de personas, que condiciona la política retributiva de una Empresa con un censo de 10.000 empleados y que puede trascender a la política retributiva de otras Entidades bancarias». </w:t>
      </w:r>
    </w:p>
    <w:p w:rsidR="00256EE9" w:rsidRDefault="00256EE9" w:rsidP="00256EE9">
      <w:pPr>
        <w:pStyle w:val="TextoNormal"/>
      </w:pPr>
      <w:r>
        <w:t>En el «suplico» se solicita la nulidad de la Sentencia impugnada y el reconocimiento del derecho de la recurrente a obtener del Tribunal Central de Trabajo una resolución judicial motivada que se pronuncie sobre las cinco peticiones centrales del conflicto, «argumentando o razonando jurídicamente las causas o motivos de la revocación de la Sentencia de la Magistratura de instancia y de la desestimación del conflicto colectivo, así como de la absolución global presunta de la demanda».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13 de febrero de 1985, la Sección acordó tener por promovido recurso de amparo por la Asociación de Mandos Intermedios del Banco de Vizcaya, así como conceder un plazo común de diez días al Ministerio Fiscal y a la solicitante de amparo a fin de que, dentro de dicho término, aleguen lo que estimen pertinente en relación con la posible existencia del motivo de inadmisión consistente en carecer la demanda manifiestamente de contenido que justifique una decisión por parte de este Tribunal Constitucional [art. 50.2 b) de la Ley Orgánica del Tribunal Constitucional (LOTC)]. </w:t>
      </w:r>
    </w:p>
    <w:p w:rsidR="00256EE9" w:rsidRDefault="00256EE9" w:rsidP="00256EE9">
      <w:pPr>
        <w:pStyle w:val="TextoNormal"/>
      </w:pPr>
      <w:r>
        <w:lastRenderedPageBreak/>
        <w:t xml:space="preserve">a) Evacuando el trámite, el Fiscal ante el Tribunal Constitucional, tras exponer los hechos y fundamentos de Derecho de la demanda y sintetizar los criterios sustentados por este Tribunal y el Tribunal Supremo en orden a los principios de la congruencia, indica que en el caso debatido la reclamación ha sido resuelta y contestada. Las peticiones en su día formuladas por la parte actora fueron desestimadas en la Sentencia impugnada, cuyo cuarto considerando alude y trata de la absorción y compensación salarial, médula de los pedimentos instados, no existiendo la inadecuación alegada entre parte dispositiva de la resolución y las pretensiones deducidas y, por consiguiente, la conculcación del derecho consagrado por el art. 24.1 de la Constitución. </w:t>
      </w:r>
    </w:p>
    <w:p w:rsidR="00256EE9" w:rsidRDefault="00256EE9" w:rsidP="00256EE9">
      <w:pPr>
        <w:pStyle w:val="TextoNormal"/>
      </w:pPr>
      <w:r>
        <w:t xml:space="preserve">El Fiscal concluye su informe interesando de este Tribunal Auto declarando la inadmisión del amparo por concurrir la causa mencionada en el art. 50.2 b) de la LOTC. </w:t>
      </w:r>
    </w:p>
    <w:p w:rsidR="00256EE9" w:rsidRDefault="00256EE9" w:rsidP="00256EE9">
      <w:pPr>
        <w:pStyle w:val="TextoNormal"/>
      </w:pPr>
      <w:r>
        <w:t>b) En su escrito de alegaciones, la asociación sindical recurrente se ratifica en los términos expuestos en el escrito de demanda, reiterando que la Sentencia impugnada resulta incongruente, incide en una efectiva denegación del derecho de tutela judicial, no es motivada y no responde, ni enjuicia ni contesta a los pedimentos de la reclamación formulada. Por todo ello, se solicita de este Tribunal ordene la admisión a trámite de la demanda y la práctica de las actuaciones y diligencias a que hubiere lugar en Derecho hasta la culminación del procedimiento.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Entidad recurrente denuncia la violación por la Sentencia impugnada del Tribunal Central de Trabajo del art. 24.1 de la Constitución (C. E.), imputando a la resolución judicial, haber incurrido en tres vicios constitutivos, cada uno de ellos de manera aislada, de una infracción de otras tantas garantías que dicho precepto constitucional consagra; y tales vicios, expuestos por el mismo orden que se enuncian, son los de incongruencia, falta de motivación y superficialidad de la decisión judicial referida.</w:t>
      </w:r>
    </w:p>
    <w:p w:rsidR="00256EE9" w:rsidRDefault="00256EE9" w:rsidP="00256EE9">
      <w:pPr>
        <w:pStyle w:val="TextoNormal"/>
      </w:pPr>
    </w:p>
    <w:p w:rsidR="00256EE9" w:rsidRDefault="00256EE9" w:rsidP="00256EE9">
      <w:pPr>
        <w:pStyle w:val="TextoNormal"/>
      </w:pPr>
      <w:r w:rsidRPr="00256EE9">
        <w:rPr>
          <w:rStyle w:val="NumeroAFNegritaCaracter"/>
        </w:rPr>
        <w:t>2</w:t>
      </w:r>
      <w:r>
        <w:t>. La asociación sindical recurrente denuncia la incongruencia de la resolución combatida, manifestando con apoyo en doctrina establecida por este Tribunal, que lo resuelto por ella, «no es el supuesto realmente planteado, sino un hipotético supuesto distinto».</w:t>
      </w:r>
    </w:p>
    <w:p w:rsidR="00256EE9" w:rsidRDefault="00256EE9" w:rsidP="00256EE9">
      <w:pPr>
        <w:pStyle w:val="TextoNormal"/>
      </w:pPr>
      <w:r>
        <w:t>Este Tribunal, en efecto, ha decidido en reiteradas ocasiones que el vicio de incongruencia, entendido como desajuste entre el fallo judicial y los términos en que las partes formularon sus pretensiones, concediendo más o menos, o cosa distinta de lo pedido, puede entrañar una vulneración del principio de contradición constitutiva de una efectiva denegación de tutela, siempre y cuando la desviación en que consista la incongruencia sea de tal naturaleza «que suponga una completa modificación de los términos del debate procesal» (Sentencia 20/1982, de 5 de mayo).</w:t>
      </w:r>
    </w:p>
    <w:p w:rsidR="00256EE9" w:rsidRDefault="00256EE9" w:rsidP="00256EE9">
      <w:pPr>
        <w:pStyle w:val="TextoNormal"/>
      </w:pPr>
      <w:r>
        <w:t xml:space="preserve">Dicha denuncia de incongruencia ha de analizarse con el fin de precisar su existencia o ausencia, a través de las alegaciones formuladas por la asociación sindical recurrente, que apoya el vicio denunciado a partir de una pluralidad de argumentos, algunos de los cuales nada dicen a efectos de la calificación postulada. Se señala, esencialmente, que la Sentencia del Tribunal Central de Trabajo es incongruente, porque «se basa en una fundamentación distinta a la de autos, no justifica las razones de la revocación de la Sentencia apelada y no razona la falta de fundamento de la pretensión de la actora»; pero estas alegaciones, como se acaba de indicar, son inservibles para la calificación de una Sentencia como incongruente, remitiendo a temas diferentes, como son el del contenido del principio iura </w:t>
      </w:r>
      <w:r>
        <w:lastRenderedPageBreak/>
        <w:t>novit curia, de un lado, y el de la falta de motivación de la resolución judicial, de otro; aquél perteneciente al ámbito lógico-jurídico de los poderes del Juez, no sustraídos a la calificación soberana y diferenciada del mismo, ni constreñidos por el acotamiento realizado por las partes, siempre que quepa el cambio del punto de vista jurídico en el ámbito genérico de las pretensiones; y éste, es decir, el relativo a la articulación argumental de la decisión adoptada, que posteriormente ha de ser objeto de consideración. En definitiva, que la libertad del Juez para crear la argumentación jurídica que enmarque y fundamente su decisión, le permite establecer otra distinta a la alegada por las partes, o de la estimada, en su caso, por la Sentencia recurrida, que cuando resulta incompatible con ésta elude emplear más razones que las derivadas de su no aceptación o de la misma incompatibilidad que existe entre las estimaciones jurídicas opuestas entre si.</w:t>
      </w:r>
    </w:p>
    <w:p w:rsidR="00256EE9" w:rsidRDefault="00256EE9" w:rsidP="00256EE9">
      <w:pPr>
        <w:pStyle w:val="TextoNormal"/>
      </w:pPr>
    </w:p>
    <w:p w:rsidR="00256EE9" w:rsidRDefault="00256EE9" w:rsidP="00256EE9">
      <w:pPr>
        <w:pStyle w:val="TextoNormal"/>
      </w:pPr>
      <w:r w:rsidRPr="00256EE9">
        <w:rPr>
          <w:rStyle w:val="NumeroAFNegritaCaracter"/>
        </w:rPr>
        <w:t>3</w:t>
      </w:r>
      <w:r>
        <w:t>. Pero, además de lo anterior, se arguye que la Sentencia resuelve un supuesto hipotético distinto al planteado, no dando respuesta a los pedimentos deducidos por la parte recurrente; resultando esta tesis, sin embargo, de todo punto inaceptable, pues los problemas jurídicos que se suscitaron en el proceso laboral fueron -y así lo recoge el considerando tercero de la Sentencia de instancia-, de un lado, la estructura de las nóminas de los afectados, y de otro, el régimen jurídico aplicable a los conceptos retributivos que integraban dicha estructura, contrayéndose el tema de fondo a determinar, en definitiva, el carácter absorvible y compensable o no de una concreta partida salarial, que la Empresa demandada había independizado en la nómina de salarios, al desglosar a partir de 1978 la cantidad que abonaba bajo la rúbrica «sueldo nominal mensual» en tres conceptos distintos, uno de los cuales -la «mejora voluntaria»- era «expresivo...  de la mejor retribución...  que disfrutaban los jefes respecto a las fijadas en los convenios colectivos del sector o laudos» -cuarto resultando de hechos probados-.</w:t>
      </w:r>
    </w:p>
    <w:p w:rsidR="00256EE9" w:rsidRDefault="00256EE9" w:rsidP="00256EE9">
      <w:pPr>
        <w:pStyle w:val="TextoNormal"/>
      </w:pPr>
      <w:r>
        <w:t>La Sentencia de la Magistratura de Trabajo estableció en el fallo el carácter inabsorbible de dicha mejora voluntaria y, por consiguiente, la obligación por parte de la Entidad demandada de «aplicar sobre la misma como salario base, los incrementos habidos por laudo y convenio desde 1979 y los que se produzcan en el futuro», fundando tal decisión en la existencia de una condición más beneficiosa por acto expreso y complementado por conducta reiterada, que había evidenciado una renuncia a aplicar tal mecanismo neutralizador, esto es, el de la absorción y compensación -considerando quinto in fine-; pero la Sentencia del Tribunal Central revocó la resolución recurrida por estimar que a dicha condición más beneficiosa le eran de aplicación las técnicas neutralizadoras de mejoras salariales que contempla la legislación.</w:t>
      </w:r>
    </w:p>
    <w:p w:rsidR="00256EE9" w:rsidRDefault="00256EE9" w:rsidP="00256EE9">
      <w:pPr>
        <w:pStyle w:val="TextoNormal"/>
      </w:pPr>
      <w:r>
        <w:t>La conclusión que se extrae de cuanto queda expuesto conduce a apreciar la inexistencia del vicio denunciado, porque si la asociación recurrente pretendía el mantenimiento de la estructura salarial y del régimen jurídico de los conceptos retributivos integrantes del «sueldo nominal mensual» vigente en la Empresa hasta 1978, y además perseguía que los incrementos salariales establecidos por convenio colectivo no fueran absorbidos ni compensados con cargo a la mayor retribución percibida en concepto de «mejora voluntaria», logrando que su tesis fuere aceptada por la resolución de instancia por las razones antes indicadas, sin embargo, la Sentencia del Tribunal Central de Trabajo, ateniéndose en todo momento a los términos de debate y a las posiciones de las partes, y en base a los hechos declarados probados, estimó que no había lugar «al disfrute acumulado de la mejora -por convenio o laudo- de la condición -contractual-», porque como antes se indicó, a través de la efectividad normativa, sobre la condición más beneficiosa habían operado las técnicas de neutralización de las mejoras salariales, suponiendo todo ello un juicio de mera legali</w:t>
      </w:r>
      <w:r>
        <w:lastRenderedPageBreak/>
        <w:t>dad realizado en el ejercicio del deber de juzgar que impone el art.  117.3 de la C. E., y en cuyo contenido no puede entrar este Tribunal, por no ser una tercera instancia, sin que se pueda apreciar, por mucho esfuerzo dialéctico que haga la parte actora, alteración de las pretensiones, que supongan incongruencia, pues no puede confundirse este vicio, en el que radicalmente se opone el fallo a la pretensión, con la distinta valoración de los hechos y de sus consecuencias jurídicas, puestas en debate, por ser éstos de la apreciación propia del quehacer judicial y desarrollo de la técnica jurídica de los Tribunales, que no encuentra límite constitucional y que es lo acaecido en el caso de examen.</w:t>
      </w:r>
    </w:p>
    <w:p w:rsidR="00256EE9" w:rsidRDefault="00256EE9" w:rsidP="00256EE9">
      <w:pPr>
        <w:pStyle w:val="TextoNormal"/>
      </w:pPr>
    </w:p>
    <w:p w:rsidR="00256EE9" w:rsidRDefault="00256EE9" w:rsidP="00256EE9">
      <w:pPr>
        <w:pStyle w:val="TextoNormal"/>
      </w:pPr>
      <w:r w:rsidRPr="00256EE9">
        <w:rPr>
          <w:rStyle w:val="NumeroAFNegritaCaracter"/>
        </w:rPr>
        <w:t>4</w:t>
      </w:r>
      <w:r>
        <w:t>. Dentro de las plurales garantías procesales que consagra el art.  24.1 de la C. E.  en orden a la tutela judicial, se encuentra al poner en relación dicha norma con el art. 120.3 de la misma Ley suprema, la motivación de las Sentencias que dicten los órganos judiciales, lo que tanto supone como obligarles a razonar jurídicamente la decisión, que otorga una garantía esencial, a los justiciables, permitiéndoles conocer y valorar el esencial proceso de subsunción judicial, y constituyendo su vulneración una denegación de la tutela judicial; pero sin que pueda confundirse a tal fin la ausencia de motivación con el razonamiento de legalidad existente, pero que no es aceptado en su contenido por la parte según sus criterios ponderativos, porque en tal supuesto se dejaría la concreción del defecto a la voluntad de la parte procesal, lo que no resulta posible sin riesgo de desnaturalizar el verdadero contenido del indicado derecho constitucionalizado.</w:t>
      </w:r>
    </w:p>
    <w:p w:rsidR="00256EE9" w:rsidRDefault="00256EE9" w:rsidP="00256EE9">
      <w:pPr>
        <w:pStyle w:val="TextoNormal"/>
      </w:pPr>
      <w:r>
        <w:t>En el presente caso, sin embargo, no es de apreciar la infracción alegada, de manera que la denuncia de falta de motivación no es más que un recurso retórico, con el que la demandante manifiesta su enfrentamiento con los criterios de aplicación e interpretación sostenidos por el Tribunal Central en ejercicio de su facultad jurisdiccional, ya que la parte recurrente intenta explicar, una y otra vez, la falta de motivación con base a razones de índole cuantitativa -el considerando que decide el tema lo hace apenas en cincuenta líneas-, cuya fragilidad es palmaria, pues una cosa es la carencia de motivación y otra bien diferente la motivación concretada, aunque precisa y suficiente, pues la Sentencia razona el por qué estima el motivo de impugnación de la Empresa, y lo hace con apoyo en claros y distintos argumentos -incluso invocando una línea jurisprudencial anterior- con los que el solicitante de amparo podrá discrepar, pero no pretender que se acepte un vicio inexistente, al poseer la resolución motivación suficiente para hacer el juicio de legalidad.</w:t>
      </w:r>
    </w:p>
    <w:p w:rsidR="00256EE9" w:rsidRDefault="00256EE9" w:rsidP="00256EE9">
      <w:pPr>
        <w:pStyle w:val="TextoNormal"/>
      </w:pPr>
    </w:p>
    <w:p w:rsidR="00256EE9" w:rsidRDefault="00256EE9" w:rsidP="00256EE9">
      <w:pPr>
        <w:pStyle w:val="TextoNormal"/>
      </w:pPr>
      <w:r w:rsidRPr="00256EE9">
        <w:rPr>
          <w:rStyle w:val="NumeroAFNegritaCaracter"/>
        </w:rPr>
        <w:t>5</w:t>
      </w:r>
      <w:r>
        <w:t>. Por último, la alegación de «superficialidad» de la resolución impugnada, añadiendo que este calificativo sería «el aplicable a una actuación semejante en la Administración...  evaluable políticamente con valoración pública o parlamentaria», no puede permitir abrir la vía del recurso de amparo al pertenecer al campo de lo infrajurídico y apoyarse en una mera apreciación subjetiva, parcial e interesada de la parte, que no se apoya más que en su simple y apasionada apreciación no demostrada, pero no basada en razones objetivas bastantes, por ser meras estimaciones afirmativas, pero sin consistencia jurídica por su falta de rigor y de fuerza persuasiva, que incluso rozan la descortesía procesal debida de observar.  Siendo, en definitiva, tal calificación inapropiada por inexistencia de superficialidad alguna, que no puede estimarse como contraria a la tutela judicial concedida en adecuado juicio de legalidad, aunque el resultado fuera contrario a la parte recurrente.</w:t>
      </w:r>
    </w:p>
    <w:p w:rsidR="00256EE9" w:rsidRDefault="00256EE9" w:rsidP="00256EE9">
      <w:pPr>
        <w:pStyle w:val="TextoNormal"/>
      </w:pPr>
    </w:p>
    <w:p w:rsidR="00256EE9" w:rsidRDefault="00256EE9" w:rsidP="00256EE9">
      <w:pPr>
        <w:pStyle w:val="TextoNormal"/>
      </w:pPr>
      <w:r w:rsidRPr="00256EE9">
        <w:rPr>
          <w:rStyle w:val="NumeroAFNegritaCaracter"/>
        </w:rPr>
        <w:t>6</w:t>
      </w:r>
      <w:r>
        <w:t>. Por todo lo expuesto, resulta necesario aplicar la causa de inadmisión propuesta, al carecer la demanda manifiestamente de contenido constitucional, que justificare una deci</w:t>
      </w:r>
      <w:r>
        <w:lastRenderedPageBreak/>
        <w:t>sión, en Sentencia, por parte de este Tribunal, según determina el art.  50.2 b) de la Ley Orgánica del Tribunal Constitucional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 inadmitir a trámite la demanda formulada por el Procurador don Argimiro Vázquez Guillén, en representación de la Asociación de Mandos Intermedios del Banco de Vizcaya, y el archivo de las actuaciones.</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4" w:name="AUTO_1985_223"/>
      <w:r>
        <w:lastRenderedPageBreak/>
        <w:t>AUTO 223/1985, de 27 de marzo de 1985</w:t>
      </w:r>
    </w:p>
    <w:bookmarkEnd w:id="284"/>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ECLI:ES:TC:1985:223A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38/1985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Procuradora de los Tribunales doña Margarita Goyanes González-Casellas, en nombre y representación de doña María Leonor Ancochea Serraima y de otras 23 personas más, ha formulado demanda de amparo constitucional contra la Sentencia dictada por la Sala Sexta del Tribunal Supremo de 29 de noviembre de 1984, por presunta vulneración del derecho reconocido en el art. 14 de la Constitución o, alternativamente, del derecho reconocido en el art. 24.1 de la misma. Los hechos que fundamentan el recurso en la medida en que son de necesario conocimiento para su resolución pueden resumirse así: </w:t>
      </w:r>
    </w:p>
    <w:p w:rsidR="00256EE9" w:rsidRDefault="00256EE9" w:rsidP="00256EE9">
      <w:pPr>
        <w:pStyle w:val="TextoNormal"/>
      </w:pPr>
      <w:r>
        <w:t xml:space="preserve">a) Los actores, médicos de profesión, fueron contratados en momentos distintos por el Hospital Clínico y Provincial de Barcelona como médicos residentes en distintos grados y con contratos temporales de diversa duración. </w:t>
      </w:r>
    </w:p>
    <w:p w:rsidR="00256EE9" w:rsidRDefault="00256EE9" w:rsidP="00256EE9">
      <w:pPr>
        <w:pStyle w:val="TextoNormal"/>
      </w:pPr>
      <w:r>
        <w:t xml:space="preserve">Tras variadas prórrogas y nuevos contratos fueron cesados a finales del año 1982 por finalización de la relación laboral, si bien dos de ellos fueron despedidos por incumplimiento de su pacto de dedicación exclusiva con el Hospital. </w:t>
      </w:r>
    </w:p>
    <w:p w:rsidR="00256EE9" w:rsidRDefault="00256EE9" w:rsidP="00256EE9">
      <w:pPr>
        <w:pStyle w:val="TextoNormal"/>
      </w:pPr>
      <w:r>
        <w:t xml:space="preserve">b) Planteadas demandas por despido, que fueron acumuladas, la Magistratura de Trabajo núm. 18 de Barcelona declaró, en Sentencia de 16 de noviembre de 1983, la nulidad del despido de los médicos cesados por terminación de contrato y la improcedencia de los despidos disciplinarios. El Magistrado de Trabajo, después de una amplísima fijación de los hechos relevantes para cada demandante, debido a las irregularidades existentes, consideró que los contratos incurrieron en fraude de Ley o abuso de Derecho, estimándolos, por ello, de carácter indefinido. </w:t>
      </w:r>
    </w:p>
    <w:p w:rsidR="00256EE9" w:rsidRDefault="00256EE9" w:rsidP="00256EE9">
      <w:pPr>
        <w:pStyle w:val="TextoNormal"/>
      </w:pPr>
      <w:r>
        <w:t xml:space="preserve">c) Recurrida la Sentencia por el Hospital Clínico, el Tribunal Supremo, en Sentencia de 21 de diciembre de 1984, casa y anula la recurrida, dictando en su lugar otra por la que considera que se ha producido una extinción de contratos de naturaleza especial. Que tenían por finalidad la formación de postgraduados y vigencia temporal. El Tribunal acepta la existencia de irregularidades y de incumplimientos legales en la contratación de los demandantes, pero estima que «la patología de una relación contractual no supone desnaturalización de la misma, sino desviaciones en cuanto a su incumplimiento», por lo que «los actores no pueden apoyarse en los incumplimientos de una y otra parte para pretender que la vigencia del contrato sea definitiva, pues para ello se exigiría que los contratos suscritos no tuvieran finalidad docente y vigencia temporal, por lo que al poseer una y otra no pueden transformarse en contratos laborales definitivos, pues independientemente que la corrección de cualquier irregularidad corresponde a otra vía que no es la presente, ello podría </w:t>
      </w:r>
      <w:r>
        <w:lastRenderedPageBreak/>
        <w:t xml:space="preserve">comportar un fraude de Ley para terceras personas que no han sido parte en estas actuaciones», y concluye señalando que no se dan «los requisitos que la doctrina y la jurisprudencia exigen para que exista el fraude de Ley: acto o actos productores de un resultado contrario a una norma imperativa, amparados en una disposición dictada con una finalidad diferente... supuesto que las irregularidades habidas en el desarrollo de los contratos que ligan a las partes litigantes no pueden comportar que los mismos -nacidos que fueron con arreglo a Derecho- queden desvirtuados, perdiendo su finalidad y vigencia temporal, debiendo, además, tenerse muy presente que la presunción en favor de la relación laboral por tiempo indefinido que establece el Estatuto de los Trabajadores... cede en cuanto la propia naturaleza del nexo jurídico evidencia por sí misma su peculiar condición de contrato temporal». </w:t>
      </w:r>
    </w:p>
    <w:p w:rsidR="00256EE9" w:rsidRDefault="00256EE9" w:rsidP="00256EE9">
      <w:pPr>
        <w:pStyle w:val="TextoNormal"/>
      </w:pPr>
      <w:r>
        <w:t>d) Las irregularidades en los contratos a que se hace referencia en los apartados anteriores y que se exponen detenidamente en los hechos probados, son resumidas por el Tribunal Supremo en un considerando en el que desarrolla, de forma genérica y no con atribución individualizada a cada demandante, los datos básicos para centrar el problema y resolver la controversia: 1.° se celebraban por plazos de un año, aunque las renovaciones no siempre se hacían por este plazo de tiempo; 2.° en todos ellos consta la cláusula siguiente: «el contratado cumplirá las funciones docentes, asistenciales, organizativas y de investigación que le señale su inmediato superior, dependiendo orgánicamente del médico adjunto», sin aludirse para nada a la realización de prácticas; 3.° en los contratos se señalaba el orden numeral del curso a realizar, pero ello según conveniencia de la demandada, de forma que se ingresaba por un curso superior sin haber cursado los anteriores; o al renovarse el contrato, se anotaba el curso primero cuando formalmente se habían superado los siguientes; 4.° los actores han prestado servicios distintos a la demandada, por lo que no coinciden con los cursos exigidos, de manera que los comprendidos en los hechos 13, 15, 16, 20 y 27 lo han hecho por más de cuatro e, incluso, cinco años; 5.° la mayoría de los actores han obtenido el título de especialistas fuera del Hospital Clínico, mientras prestaban en éste sus servicios; f) al renovarse los contratos era frecuente se hiciera con la calidad de interino, sin expresarse el nombre del sustituido; 6.° los actores comprendidos en los hechos 14 y 34 fueron despedidos, además de con el resto de los demandantes, disciplinariamente por no haber observado el pacto de la exclusividad; 7.° los demandados fueron despedidos el 27 de diciembre de 1982 con efectos de 31 de igual mes, pero los actores comprendidos en los hechos 2, 13, 16, 21, 22, 25, 29, 31 y 32 continuaron trabajando durante distintos días del mes de enero; 8.° la mayoría de los actores no han prestado el pacto de exclusividad y dedicación plena durante su formación de postgraduados, y actualmente algunos de ellos prestan servicios en otras Instituciones Sanitarias».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de amparo denuncia la vulneración de los derechos reconocidos en los arts. 14 y, alternativamente, 24 de la Constitución. </w:t>
      </w:r>
    </w:p>
    <w:p w:rsidR="00256EE9" w:rsidRDefault="00256EE9" w:rsidP="00256EE9">
      <w:pPr>
        <w:pStyle w:val="TextoNormal"/>
      </w:pPr>
      <w:r>
        <w:t xml:space="preserve">El primero habría sido vulnerado al haberse otorgado a los demandantes un trato diferente a los restantes trabajadores en lo que atañe a la valoración del fraude de Ley en contratos temporales, y ello por el exclusivo dato de ser médicos y de estar autorizado el organismo hospitalario a realizar contratos de formación de postgraduados. Con abundante cita de Sentencias del Tribunal Supremo sobre el problema, se arguye que este Tribunal no tendría duda alguna en calificar como indefinidos unos contratos con irregularidades similares. La desigualdad deriva del desconocimiento por parte del Tribunal de los hechos probados que demuestran sobradamente la existencia del fraude y abuso de Derecho que, sin embargo, se niegan injustificadamente. </w:t>
      </w:r>
    </w:p>
    <w:p w:rsidR="00256EE9" w:rsidRDefault="00256EE9" w:rsidP="00256EE9">
      <w:pPr>
        <w:pStyle w:val="TextoNormal"/>
      </w:pPr>
      <w:r>
        <w:lastRenderedPageBreak/>
        <w:t xml:space="preserve">Los demandantes reconocen que el Tribunal Supremo, aun equivocándose, es libre de calificar la temporalidad de unos contratos de trabajo, pero siempre que exista correlación entre los hechos y el fallo. La doctrina sobre el fraude a la Ley y el abuso de Derecho se han elaborado a través del examen de la realidad fáctica, de modo que para comprobar si se ha vulnerado derecho reconocido en el art. 14 no basta con atender a los considerandos jurídicos sino que hay que acudir a la realidad a la que se aplican. En el caso de Autos aparece de forma evidente el falso y pretendido carácter formativo de los contratos, y teniendo en cuenta todas las irregularidades que, paradójicamente, resume el Tribunal Supremo, la desigualdad se hace evidente en relación a los demás trabajadores que, en situaciones análogas, y por aplicación de aquellas figuras jurídicas, ven defendido su derecho a la estabilidad en el empleo. </w:t>
      </w:r>
    </w:p>
    <w:p w:rsidR="00256EE9" w:rsidRDefault="00256EE9" w:rsidP="00256EE9">
      <w:pPr>
        <w:pStyle w:val="TextoNormal"/>
      </w:pPr>
      <w:r>
        <w:t>Con carácter alternativo y para el caso en que el Tribunal deniegue el amparo solicitado en el primer motivo, se denuncia también la vulneración del derecho a la tutela judicial efectiva en un doble aspecto. Primero, con relación a todos los demandantes, por haber declarado el Tribunal Supremo que «la corrección de cualquier irregularidad (se entiende, de los contratos) corresponde a otra vía que no es la presente», negando así la tutela judicial, y también por haberse dictado Sentencia prescindiendo total y absolutamente de los hechos probados, englobando a todos los demandantes en una única consideración y sin tener en cuenta la situación personal de cada uno. Y segundo, en relación a determinados demandantes, cuya situación presenta peculiaridades respecto al resto que debió, en todo caso, ser objeto de atención y declaración personalizada.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Cuarta de este Tribunal, en su reunión del día 20 de febrero pasado, acordó poner de manifiesto la posible existencia de la causa de inadmisibilidad que regula el art. 50.2 b) de la Ley Orgánica de este Tribunal, por cuanto la demanda pudiera carecer manifiestamente de contenido que justifique una decisión por parte del Tribunal. </w:t>
      </w:r>
    </w:p>
    <w:p w:rsidR="00256EE9" w:rsidRDefault="00256EE9" w:rsidP="00256EE9">
      <w:pPr>
        <w:pStyle w:val="TextoNormal"/>
      </w:pPr>
      <w:r>
        <w:t>Por ello, en aplicación de lo dispuesto en el art. 50 de la indicada Ley Orgánica, se otorga un plazo común de diez días a las solicitantes de amparo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Los solicitantes de amparo, en su escrito de alegaciones, han insistido en sus iniciales pretensiones, citando numerosas Sentencias, de las cuales, a su juicio, se deduce una clarísima y nunca desviada, doctrina del «abuso del Derecho» y del «fraude de Ley», aplicable a diversas formas irregulares de contratación laboral. Doctrina la indicada que, habiendo sido reiteradísima y continuamente aplicada a diversísimos supuestos fácticos, de toda clase y lugar, ha sido obviada, según los solicitantes del amparo al juzgar su caso, suponiendo ello la conculcación del principio de igualdad ante la Ley. </w:t>
      </w:r>
    </w:p>
    <w:p w:rsidR="00256EE9" w:rsidRDefault="00256EE9" w:rsidP="00256EE9">
      <w:pPr>
        <w:pStyle w:val="TextoNormal"/>
      </w:pPr>
      <w:r>
        <w:t xml:space="preserve">La violación del principio constitucional de la tutela judicial efectiva, contenida en el art. 24 de la Constitución, es a juicio de los solicitantes del amparo si cabe más clara todavía, dado que el Tribunal Supremo ha obviado totalmente y ha desconocido la situación o realidad fáctica, profundamente distinta, de cada uno de mis representados, englobando todas ellas, para la denegación de las pretensiones en una misma causa o argumentación. </w:t>
      </w:r>
    </w:p>
    <w:p w:rsidR="00256EE9" w:rsidRDefault="00256EE9" w:rsidP="00256EE9">
      <w:pPr>
        <w:pStyle w:val="TextoNormal"/>
      </w:pPr>
      <w:r>
        <w:t xml:space="preserve">Finalmente, es todavía más singular la situación de algunos de los solicitantes de amparo que fueron despedidos por causa disciplinaria, totalmente distinta a la de los demás, que lo fue por supuesta terminación temporal de sus contratos, que se olvida totalmente, englobándola en la otra general para todos. </w:t>
      </w:r>
    </w:p>
    <w:p w:rsidR="00256EE9" w:rsidRDefault="00256EE9" w:rsidP="00256EE9">
      <w:pPr>
        <w:pStyle w:val="TextoNormal"/>
      </w:pPr>
      <w:r>
        <w:t xml:space="preserve">El Fiscal General del Estado ha solicitado la inadmisión del recurso. Señalando que las alegaciones de los solicitantes del amparo no parecen aceptables si se tiene en cuenta que </w:t>
      </w:r>
      <w:r>
        <w:lastRenderedPageBreak/>
        <w:t xml:space="preserve">la supuesta desigualdad se radica en la aplicación que el Tribunal Supremo hace del Derecho al caso concreto y en la no estimación por dicho Tribunal del fraude de Ley, que para los recurrentes se ha producido; cuestión que, además de constituir mera legalidad y valoración de prueba, no permite descubrir la desigualdad que se denuncia, ya que en la Sentencia, entre otras circunstancias fácticas, se recoge que... el contratado «cumplirá las funciones docentes... que le señale su inmediato superior»... y después, el Tribunal Supremo, ya en su primer considerando, destaca la naturaleza especial de estos contratos, distinta al contrato laboral ordinario precisamente por su «finalidad formativa y docente», lo que le lleva, a través de una razonada argumentación, a mantener el tratamiento legal especial de dichos contratos. Ni aparece la identidad de situaciones denunciadas (Auto T.C., 21 de diciembre de 1983, núm. de registro 542/1983), ni la comparación de los fundamentos jurídicos de las Sentencias aducidas como término comparativo con la impugnada revelan violación del principio de igualdad (Auto T.C., 21 de diciembre de 1983, núm. de registro 649/1983). </w:t>
      </w:r>
    </w:p>
    <w:p w:rsidR="00256EE9" w:rsidRDefault="00256EE9" w:rsidP="00256EE9">
      <w:pPr>
        <w:pStyle w:val="TextoNormal"/>
      </w:pPr>
      <w:r>
        <w:t xml:space="preserve">La Sentencia del Tribunal Supremo que se ataca, en su tercer considerando, cuando analiza la peculiar naturaleza de los contratos laborales de los actores, a los que califica de «especiales por su finalidad y por las notas que los definen», apunta que «el incumplimiento de alguna o varias de las obligaciones mutuas, por una u otra de las partes, en nada afecta al contrato en sí y menos aún puede ser base fundada para alterar su peculiar naturaleza, pues la patología de una relación contractual no supone desnaturalización de la misma, sino desviaciones en cuanto a su cumplimiento»...; agregando que «los actores no pueden apoyarse en los incumplimientos... para pretender que la vigencia del contrato sea definitiva, pues para ello se exigiría que los contratos suscritos no tuvieran finalidad docente y vigencia temporal, por lo que al poseer una y otra no pueden transformarse en contratos laborales definitivos, pues independientemente que la corrección de cualquier irregularidad corresponde a otra vía que no es la presente, ello podría comportar un fraude de Ley para terceras personas»... </w:t>
      </w:r>
    </w:p>
    <w:p w:rsidR="00256EE9" w:rsidRDefault="00256EE9" w:rsidP="00256EE9">
      <w:pPr>
        <w:pStyle w:val="TextoNormal"/>
      </w:pPr>
      <w:r>
        <w:t xml:space="preserve">Queda claro, por tanto, que el Tribunal Supremo resuelve una cuestión sobre la naturaleza de los contratos que es la que interesa en el asunto debatido, y que la referencia que hace a los posibles incumplimientos de los mismos la considera tangencial y no influyente en la determinación ni variación de aquella naturaleza. </w:t>
      </w:r>
    </w:p>
    <w:p w:rsidR="00256EE9" w:rsidRDefault="00256EE9" w:rsidP="00256EE9">
      <w:pPr>
        <w:pStyle w:val="TextoNormal"/>
      </w:pPr>
      <w:r>
        <w:t xml:space="preserve">Por ello, apoyar la supuesta vulneración del derecho de tutela judicial efectiva contenido en el art. 24.1 de la Constitución en el argumento de que no se ha prestado en la Sentencia atacada aquella tutela porque declara que la corrección de cualquier irregularidad de los contratos corresponde a otra vía es desconocer los propios razonamientos de la resolución que se impugna. </w:t>
      </w:r>
    </w:p>
    <w:p w:rsidR="00256EE9" w:rsidRDefault="00256EE9" w:rsidP="00256EE9">
      <w:pPr>
        <w:pStyle w:val="TextoNormal"/>
      </w:pPr>
      <w:r>
        <w:t>El Tribunal Supremo valoró las pruebas, calificó los hechos y aplicó el Derecho. La Sentencia es razonada y fundada, los recurrentes tuvieron acceso a la jurisdicción, por lo que no se aprecia vulneración del derecho a la tutela judicial efectiva.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presente demanda articula diversas pretensiones, que se dicen alternativas, cuya estimación originaría consecuencias distintas.</w:t>
      </w:r>
    </w:p>
    <w:p w:rsidR="00256EE9" w:rsidRDefault="00256EE9" w:rsidP="00256EE9">
      <w:pPr>
        <w:pStyle w:val="TextoNormal"/>
      </w:pPr>
      <w:r>
        <w:t>Realmente no se trata de pretensiones que sean alternativas entre sí, sino de pretensiones articuladas mediante una relación de subsidiariedad, pues lo que la demanda solicita es que se otorgue el amparo por vulneración del derecho reconocido en el art.  14 de la Cons</w:t>
      </w:r>
      <w:r>
        <w:lastRenderedPageBreak/>
        <w:t>titución, y para el caso en que no se estime así, se haga por vulneración del derecho establecido en el art.  24 en relación con la totalidad de los demandantes y, todavía, para el caso en que ello se rechace, se conceda por vulneración del referido derecho en relación con algunos concretos recurrentes.</w:t>
      </w:r>
    </w:p>
    <w:p w:rsidR="00256EE9" w:rsidRDefault="00256EE9" w:rsidP="00256EE9">
      <w:pPr>
        <w:pStyle w:val="TextoNormal"/>
      </w:pPr>
      <w:r>
        <w:t>La pretensión principal de los demandantes consiste, pues, en la nulidad de la Sentencia del Tribunal Supremo por vulneración del derecho constitucional a la igualdad ante la Ley y en la confirmación de la Sentencia de Magistratura.  En opinión de los solicitantes del amparo, la vulneración del derecho constitucional se habría producido al darse un tratamiento distinto a las irregularidades existentes en sus contratos frente a igual supuesto en otros tipos de trabajadores.  Tales o similares irregularidades habrían motivado con carácter general el reconocimiento de que los contratos incurrían en fraude de Ley y, consiguientemente, la afirmación de su carácter indefinido, lo que se fundamenta mediante la cita de numerosas Sentencias del Tribunal Supremo, de modo que la diferente solución ofrecida en su caso incurre en discriminación, y ello por el exclusivo factor de ser los demandantes médicos y estar autorizado el Hospital a realizar contratos de formación de postgraduados.</w:t>
      </w:r>
    </w:p>
    <w:p w:rsidR="00256EE9" w:rsidRDefault="00256EE9" w:rsidP="00256EE9">
      <w:pPr>
        <w:pStyle w:val="TextoNormal"/>
      </w:pPr>
      <w:r>
        <w:t>La formulación de la presunta desigualdad indica ya el carácter artificial de la pretensión de los actores. De existir la diferencia de trato, sobre lo que posteriormente se hablará, no estaría fundada en causa subjetiva discriminatoria alguna, sino causa objetiva suficiente, pues es claro que el tipo de contrato que se realiza, la causa del mismo y la normativa reguladora son factores diferenciales que razonablemente pueden configurar un margen mayor en la utilización de los contratos temporales y una mayor restricción en cuanto a su conversión en contratos indefinidos.</w:t>
      </w:r>
    </w:p>
    <w:p w:rsidR="00256EE9" w:rsidRDefault="00256EE9" w:rsidP="00256EE9">
      <w:pPr>
        <w:pStyle w:val="TextoNormal"/>
      </w:pPr>
      <w:r>
        <w:t>Por encima de ello, no cabe apreciar fácilmente la igualdad o desigualdad de los supuestos que pretenden compararse que no puede descubrirse atendiendo a los pronunciamientos que se citan. Ni este Tribunal está en condiciones de comprobar la identidad de los hechos, ni partiendo de que no hay identidad absoluta, pues ningún caso se refiere a médicos residentes contratados en igual forma, bajo igual normativa y con iguales irregularidades, le compete entrar a seleccionar dentro del conjunto de hechos cuáles deben ser o no determinantes de la solución y qué similitud o no poseen con los que en otros casos deben ser también determinantes.</w:t>
      </w:r>
    </w:p>
    <w:p w:rsidR="00256EE9" w:rsidRDefault="00256EE9" w:rsidP="00256EE9">
      <w:pPr>
        <w:pStyle w:val="TextoNormal"/>
      </w:pPr>
      <w:r>
        <w:t>El problema de determinar la existencia de un fraude a la Ley en la contratación constituye un delicado problema de valoración de los hechos y de calificación jurídica de carácter tan individualizado que resulta sumamente difícil enjuiciarlo desde la perspectiva del derecho constitucional a la igualdad ante la Ley. Cada caso concreto constituye un supuesto peculiar que sólo puede resolverse teniendo en cuenta todas las singularidades que ofrece.  Es cierto que pueden encontrarse tendencias en los pronunciamientos judiciales e incluso líneas interpretativas reiteradas, pero ni unas ni otras ofrecen base bastante para poder imputar la discriminación inconstitucional a un pronunciamiento que considera que en el caso concreto no se dan las circunstancias necesarias para apreciar el fraude.</w:t>
      </w:r>
    </w:p>
    <w:p w:rsidR="00256EE9" w:rsidRDefault="00256EE9" w:rsidP="00256EE9">
      <w:pPr>
        <w:pStyle w:val="TextoNormal"/>
      </w:pPr>
      <w:r>
        <w:t>Cuando el Tribunal Supremo afirma que las irregularidades en los contratos no alteran su naturaleza y que siendo éstos de formación y temporales no pueden convertirse en definitivos, está delimitado la singularidad del supuesto de hecho no comparable con otros diferentes. Conscientes, sin duda, de ello, los demandantes se esfuerzan en demostrar la incorrección de la afirmación jurisprudencial, pues de ello depende el que, una vez negado el presupuesto fundamentador de la resolución del Tribunal Supremo, pueda exigirse la aplicabilidad de igual doctrina que la dictada en supuestos que, ahora sí, podrían considerarse similares.  Sucede, sin embargo, que se trata de un problema en el que no correspon</w:t>
      </w:r>
      <w:r>
        <w:lastRenderedPageBreak/>
        <w:t>de entrar a este Tribunal, pues la calificación de un contrato es cuestión enteramente ajena a su competencia, del mismo modo que lo es resolver sobre el significado de las irregularidades contractuales.</w:t>
      </w:r>
    </w:p>
    <w:p w:rsidR="00256EE9" w:rsidRDefault="00256EE9" w:rsidP="00256EE9">
      <w:pPr>
        <w:pStyle w:val="TextoNormal"/>
      </w:pPr>
      <w:r>
        <w:t>A la postre, la decisión del Tribunal Supremo podría eventualmente considerarse como incorrecta.  Todavía más, podría en su caso ser vulneradora de la legalidad.  Pero en ello no existiría nunca un problema constitucional que afecte a derechos de los demandantes, ni siquiera recurriendo al derecho a la igualdad, pues es claro que cuando se produce una interpretación errónea o una inaplicación de un precepto legal no se vulnera la igualdad en relación a aquellos sujetos para los que presuntamente se aplicó e interpretó correctamente.</w:t>
      </w:r>
    </w:p>
    <w:p w:rsidR="00256EE9" w:rsidRDefault="00256EE9" w:rsidP="00256EE9">
      <w:pPr>
        <w:pStyle w:val="TextoNormal"/>
      </w:pPr>
    </w:p>
    <w:p w:rsidR="00256EE9" w:rsidRDefault="00256EE9" w:rsidP="00256EE9">
      <w:pPr>
        <w:pStyle w:val="TextoNormal"/>
      </w:pPr>
      <w:r w:rsidRPr="00256EE9">
        <w:rPr>
          <w:rStyle w:val="NumeroAFNegritaCaracter"/>
        </w:rPr>
        <w:t>2</w:t>
      </w:r>
      <w:r>
        <w:t>. Tanto en relación con la invocación del derecho a la igualdad en relación con el derecho constitucional a una tutela judicial efectiva, alegan los demandantes que la Sentencia impugnada se dictó desconociendo enteramente los hechos declarados probados y, más en concreto, las peculiaridades concurrentes en todos o algunos de los actores.</w:t>
      </w:r>
    </w:p>
    <w:p w:rsidR="00256EE9" w:rsidRDefault="00256EE9" w:rsidP="00256EE9">
      <w:pPr>
        <w:pStyle w:val="TextoNormal"/>
      </w:pPr>
      <w:r>
        <w:t>No existe, sin embargo, el menor indicio de que se haya producido la situación que se denuncia.  Es cierto que el Tribunal Supremo no realiza un concreto análisis de la situación fáctica con referencia a cada uno de los afectados, pero ello obedece a que, en atención a los criterios jurídicos que mantiene, las específicas peculiaridades de cada contrato carecen de relevancia. Lo que demuestra, en todo caso, que no se dicta un pronunciamiento ajeno a la resultante fáctica es que expresamente se relacionan en un considerando las irregularidades existentes en los contratos para negar después que pueda extraerse de ellas la consecuencia pretendida.</w:t>
      </w:r>
    </w:p>
    <w:p w:rsidR="00256EE9" w:rsidRDefault="00256EE9" w:rsidP="00256EE9">
      <w:pPr>
        <w:pStyle w:val="TextoNormal"/>
      </w:pPr>
      <w:r>
        <w:t>Cuando los demandantes denuncian que se ha fallado prescindiendo de los hechos, lo que realmente están alegando es que el fallo no es acorde a su propia comprensión del problema, pues resulta demostrado, como se ha dicho, que los hechos han sido expresamente contemplados en la Sentencia.</w:t>
      </w:r>
    </w:p>
    <w:p w:rsidR="00256EE9" w:rsidRDefault="00256EE9" w:rsidP="00256EE9">
      <w:pPr>
        <w:pStyle w:val="TextoNormal"/>
      </w:pPr>
      <w:r>
        <w:t>Y cuando alegan que se ha englobado a todos los demandantes en una misma consideración sin tener en cuenta la situación personal de cada uno, están de nuevo cuestionando realmente el pronunciamiento de fondo.</w:t>
      </w:r>
    </w:p>
    <w:p w:rsidR="00256EE9" w:rsidRDefault="00256EE9" w:rsidP="00256EE9">
      <w:pPr>
        <w:pStyle w:val="TextoNormal"/>
      </w:pPr>
      <w:r>
        <w:t>En ambos casos lo que extraña a los demandantes es que, partiendo de los hechos probados, se haya obtenido una solución en su opinión ilegítima y por ello creen entender que no se han tomado en consideración los hechos, o que, siendo las circunstancias muy diferentes y las irregularidades distintas, la solución haya sido la misma para todos los demandantes, olvidando que todo ello no es sino consecuencia del criterio de fondo sobre la ineficacia de las irregularidades en los contratos -y de cualquier irregularidad- para modificar la naturaleza de éstos, criterio que no puede ser cuestionado por este Tribunal por recaer sobre un problema ajeno a su competencia y sobre el que la Constitución es plenamente indiferente.</w:t>
      </w:r>
    </w:p>
    <w:p w:rsidR="00256EE9" w:rsidRDefault="00256EE9" w:rsidP="00256EE9">
      <w:pPr>
        <w:pStyle w:val="TextoNormal"/>
      </w:pPr>
      <w:r>
        <w:t xml:space="preserve">Tampoco hay problema constitucional por el hecho de que no se haya razonado expresa y concretamente sobre la situación de dos trabajadores que habían sido objeto, según se expresa en los hechos, de un despido disciplinario. El Tribunal Supremo tuvo igualmente en cuenta esta situación, pues hizo referencia a ella en el considerando en el que expone los datos de interés para el enjuiciamiento. Si posteriormente no se razona sobre el tema es, sin duda, por entender que pese a ello pueden también incluirse en la situación general de extinción de los contratos por cumplimiento del plazo.  Sea correcto o no dicho planteamiento, es algo que, de nuevo, no puede ser cuestionado por este Tribunal. En la medida en que existe pronunciamiento sobre ellos en el fallo de la Sentencia no se incurre en </w:t>
      </w:r>
      <w:r>
        <w:lastRenderedPageBreak/>
        <w:t>vicio de incongruencia, y tampoco puede hablarse de falta de motivación, pues les alcanza la motivación general.</w:t>
      </w:r>
    </w:p>
    <w:p w:rsidR="00256EE9" w:rsidRDefault="00256EE9" w:rsidP="00256EE9">
      <w:pPr>
        <w:pStyle w:val="TextoNormal"/>
      </w:pPr>
    </w:p>
    <w:p w:rsidR="00256EE9" w:rsidRDefault="00256EE9" w:rsidP="00256EE9">
      <w:pPr>
        <w:pStyle w:val="TextoNormal"/>
      </w:pPr>
      <w:r w:rsidRPr="00256EE9">
        <w:rPr>
          <w:rStyle w:val="NumeroAFNegritaCaracter"/>
        </w:rPr>
        <w:t>3</w:t>
      </w:r>
      <w:r>
        <w:t>. Por último, se alega una vulneración del derecho a la tutela judicial efectiva por negar el Tribunal Supremo que las irregularidades puedan ser corregidas en vía judicial, remitiendo a otra vía que no se precisa, pero es claro que no puede fundarse una pretendida vulneración de un derecho fundamental en una frase extraída de un considerando de la Sentencia sino únicamente en el fallo, pues es éste el que crea, en su caso, la situación vulneradora. La resolución judicial no infringe el derecho a la tutela, pues resuelve razonadamente el problema planteado tras un proceso en que no ha existido defecto alguno.</w:t>
      </w:r>
    </w:p>
    <w:p w:rsidR="00256EE9" w:rsidRDefault="00256EE9" w:rsidP="00256EE9">
      <w:pPr>
        <w:pStyle w:val="TextoNormal"/>
      </w:pPr>
      <w:r>
        <w:t>Todo ello, además, con independencia de que no puede otorgarse a la frase en cuestión el significado que se le atribuye.  Cuando el Tribunal Supremo remite a otras vías la corrección de las irregularidades contractuales no está limitando la competencia de los Tribunales o reduciendo el ámbito de la tutela judicial, sino, mucho más simplemente, negando que posean eficacia jurídica en el concreto proceso y para los fines pretendidos, dejando, por otro lado, expresamente a salvo la posible eficacia a otros efectos y por los procedimientos que corresponda.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presente recurso de amparo.</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5" w:name="AUTO_1985_224"/>
      <w:r>
        <w:lastRenderedPageBreak/>
        <w:t>AUTO 224/1985, de 27 de marzo de 1985</w:t>
      </w:r>
    </w:p>
    <w:bookmarkEnd w:id="285"/>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ECLI:ES:TC:1985:224A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40/1985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Juan Carpio García y otros, representados por Procurador y asistidos de Letrado, interponen recurso de amparo contra la Sentencia de la Audiencia Territorial de Sevilla de 19 de diciembre de 1984, por la que fue declarado inadmisible el recurso contencioso-administrativo 961/1983 interpuesto contra los Acuerdos de la Diputación Provincial de Córdoba de 4 de julio y 6 de abril de 1983.</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en que se fundamenta la demanda son los siguientes: </w:t>
      </w:r>
    </w:p>
    <w:p w:rsidR="00256EE9" w:rsidRDefault="00256EE9" w:rsidP="00256EE9">
      <w:pPr>
        <w:pStyle w:val="TextoNormal"/>
      </w:pPr>
      <w:r>
        <w:t xml:space="preserve">a) Los solicitantes de amparo, todos ellos Ayudantes Técnicos Sanitarios al servicio de la Diputación Provincial de Córdoba, solicitaron de esta última en 1977, junto con otros miembros de su colectivo, el reconocimiento del coeficiente retributivo 3,6, en lugar del 1,9 que se les venía aplicando. </w:t>
      </w:r>
    </w:p>
    <w:p w:rsidR="00256EE9" w:rsidRDefault="00256EE9" w:rsidP="00256EE9">
      <w:pPr>
        <w:pStyle w:val="TextoNormal"/>
      </w:pPr>
      <w:r>
        <w:t xml:space="preserve">b) La Corporación denegó tal petición mediante acuerdo de 27 de octubre de 1977, que fue notificado a todos los peticionarios, si bien -se dice- en unas notificaciones se consignó la fecha de las mismas y en otras se omitió tal requisito. </w:t>
      </w:r>
    </w:p>
    <w:p w:rsidR="00256EE9" w:rsidRDefault="00256EE9" w:rsidP="00256EE9">
      <w:pPr>
        <w:pStyle w:val="TextoNormal"/>
      </w:pPr>
      <w:r>
        <w:t xml:space="preserve">c) Todos los peticionarios, una vez interpuesto recurso de reposición, que fue desestimado, formularon recurso contencioso-administrativo núm. 714/1978 de la Sala de lo Contencioso-Administrativo de la Audiencia Territorial de Sevilla, en el que recayó Sentencia -se dice, sin aportar copia de la misma- con los siguientes «pronunciamientos básicos»: </w:t>
      </w:r>
    </w:p>
    <w:p w:rsidR="00256EE9" w:rsidRDefault="00256EE9" w:rsidP="00256EE9">
      <w:pPr>
        <w:pStyle w:val="TextoNormal"/>
      </w:pPr>
      <w:r>
        <w:t xml:space="preserve">a') «Se reconocía con carácter general para el colectivo de los Ayudantes Técnicos Sanitarios el coeficiente 3,6, con efectos retroactivos desde el año 1973, por estimar la Sala que con anterioridad habían sido erróneamente coeficientados». </w:t>
      </w:r>
    </w:p>
    <w:p w:rsidR="00256EE9" w:rsidRDefault="00256EE9" w:rsidP="00256EE9">
      <w:pPr>
        <w:pStyle w:val="TextoNormal"/>
      </w:pPr>
      <w:r>
        <w:t xml:space="preserve">b') «Se les reconocía expresamente este derecho a siete de los recurrentes, concretamente aquellos a los que el primitivo acuerdo de la Diputación de Córdoba les había sido notificado sin consignar fecha en dicha notificación; y se les negaba dicho derecho a los restantes, hoy demandantes de amparo, por estimar que su recurso de reposición en vía administrativa había sido interpuesto tardíamente». </w:t>
      </w:r>
    </w:p>
    <w:p w:rsidR="00256EE9" w:rsidRDefault="00256EE9" w:rsidP="00256EE9">
      <w:pPr>
        <w:pStyle w:val="TextoNormal"/>
      </w:pPr>
      <w:r>
        <w:t xml:space="preserve">d) La Comisión de Gobierno de la Diputación de Córdoba, en sesión de 30 de junio de 1982, acordó abonar la diferencia de aplicar el coeficiente 3,6 en lugar del 1,9, desde el 1 de julio de 1973 hasta el 31 de enero de 1979, a los siete Ayudantes Técnicos a los que la Audiencia les había reconocido el coeficiente 3,6. </w:t>
      </w:r>
    </w:p>
    <w:p w:rsidR="00256EE9" w:rsidRDefault="00256EE9" w:rsidP="00256EE9">
      <w:pPr>
        <w:pStyle w:val="TextoNormal"/>
      </w:pPr>
      <w:r>
        <w:lastRenderedPageBreak/>
        <w:t xml:space="preserve">e) Los ahora demandantes de amparo, mediante escrito de 27 de octubre de 1982, dedujeron la petición de que también les fueran abonados a ellos las expresadas diferencias, «para no verse discriminados respecto a los demás», petición que fue desestimada mediante Acuerdo de la Corporación de 6 de abril de 1983. </w:t>
      </w:r>
    </w:p>
    <w:p w:rsidR="00256EE9" w:rsidRDefault="00256EE9" w:rsidP="00256EE9">
      <w:pPr>
        <w:pStyle w:val="TextoNormal"/>
      </w:pPr>
      <w:r>
        <w:t xml:space="preserve">f) Interpuesto recurso de reposición, éste fue a su vez desestimado mediante otro Acuerdo de 4 de julio de 1983. </w:t>
      </w:r>
    </w:p>
    <w:p w:rsidR="00256EE9" w:rsidRDefault="00256EE9" w:rsidP="00256EE9">
      <w:pPr>
        <w:pStyle w:val="TextoNormal"/>
      </w:pPr>
      <w:r>
        <w:t xml:space="preserve">g) Interpuesto recurso contencioso-administrativo, en cuyo procedimiento se dice haber invocado formalmente como vulnerado el derecho a la igualdad proclamado en el art. 14 de la C.E., recayó Sentencia de la Audiencia Territorial de Sevilla de 19 de diciembre de 1984, en recurso 961/1983, notificada al parecer el 27 de diciembre y de la que se acompaña copia, por la que se declaró inadmisible tal recurso. La declaración de inadmisibilidad fue fundada en que las acciones ejercitadas en este último proceso y en el anterior recurso 714/1978 eran las mismas. </w:t>
      </w:r>
    </w:p>
    <w:p w:rsidR="00256EE9" w:rsidRDefault="00256EE9" w:rsidP="00256EE9">
      <w:pPr>
        <w:pStyle w:val="TextoNormal"/>
      </w:pPr>
      <w:r>
        <w:t>En cuanto a la pretendida vulneración del principio de igualdad, la Sala de lo Contencioso-Administrativo considera que tal vulneración no se había producido, ya que «no nos encontramos en identidad de situaciones. Sí son iguales las circunstancias, pero el trato desigual se ha producido como consecuencia de una actuación propia de los recurrentes, y es ésa la que les ha hecho de peor condición».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la demanda de amparo se cita como infringido el art. 14 de la C.E. </w:t>
      </w:r>
    </w:p>
    <w:p w:rsidR="00256EE9" w:rsidRDefault="00256EE9" w:rsidP="00256EE9">
      <w:pPr>
        <w:pStyle w:val="TextoNormal"/>
      </w:pPr>
      <w:r>
        <w:t xml:space="preserve">y se alega haber sufrido discriminación; aunque se dice que la demanda no se funda «plenamente» en un trato discriminatorio con respecto a los compañeros de los solicitantes, que tuvieron éxito en el primer recurso contencioso-administrativo, sino -al parecer, aunque ello no se expresa claramente- en la desigualdad que se habría producido frente a aquellos que ni siquiera tomaron parte en el grupo que dedujo las peticiones iniciales, ni acudieron a procedimiento contencioso-administrativo alguno, y sin embargo se beneficiaron del éxito de tales peticiones, habiendo visto reconocido por las Corporaciones Locales su derecho al abono con efectos retroactivos de las diferencias que derivan del reconocimiento del coeficiente 3,6. </w:t>
      </w:r>
    </w:p>
    <w:p w:rsidR="00256EE9" w:rsidRDefault="00256EE9" w:rsidP="00256EE9">
      <w:pPr>
        <w:pStyle w:val="TextoNormal"/>
      </w:pPr>
      <w:r>
        <w:t xml:space="preserve">Se solicita se declare: </w:t>
      </w:r>
    </w:p>
    <w:p w:rsidR="00256EE9" w:rsidRDefault="00256EE9" w:rsidP="00256EE9">
      <w:pPr>
        <w:pStyle w:val="TextoNormal"/>
      </w:pPr>
      <w:r>
        <w:t xml:space="preserve">a) La nulidad de la Sentencia de 19 de diciembre de 1984 de la Sala de lo Contencioso-Administrativo de la Audiencia Territorial de Sevilla dictada en recurso 861/1983, que discrimina y hace de peor condición a los solicitantes de amparo frente a los ATS que ni siquiera tomaron parte en el recurso contencioso-administrativo 714/1978. </w:t>
      </w:r>
    </w:p>
    <w:p w:rsidR="00256EE9" w:rsidRDefault="00256EE9" w:rsidP="00256EE9">
      <w:pPr>
        <w:pStyle w:val="TextoNormal"/>
      </w:pPr>
      <w:r>
        <w:t>b) El reconocimiento del derecho a la igualdad de trato con los ATS, al servicio de las Corporaciones Locales en general, y de la Diputación de Córdoba en particular, y en consecuencia el abono de la diferencia entre los coeficientes 1,9 y 3,6 con efectos desde la entrada en vigor del Decreto de 27 de julio de 1973.</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del pasado 27 de febrero, la Sección Tercera puso de manifiesto a los recurrentes y al Ministerio Fiscal la posible existencia de la causa de inadmisión a que se refiere el art. 50.2 b) de la LOTC. </w:t>
      </w:r>
    </w:p>
    <w:p w:rsidR="00256EE9" w:rsidRDefault="00256EE9" w:rsidP="00256EE9">
      <w:pPr>
        <w:pStyle w:val="TextoNormal"/>
      </w:pPr>
      <w:r>
        <w:t xml:space="preserve">Dentro del plazo establecido por la anterior providencia, han presentado sus alegaciones la representación de los recurrentes y el Ministerio Fiscal. </w:t>
      </w:r>
    </w:p>
    <w:p w:rsidR="00256EE9" w:rsidRDefault="00256EE9" w:rsidP="00256EE9">
      <w:pPr>
        <w:pStyle w:val="TextoNormal"/>
      </w:pPr>
      <w:r>
        <w:t xml:space="preserve">La representación de los recurrentes sostiene que éstos han sido colocados en una situación de desigualdad injustificada en relación con el resto de los ATS dependientes de la Diputación Provincial de Córdoba, que no pidieron anteriormente la elevación de su coeficiente, pero la piden ahora o podrían pedirla en el futuro. La única causa por la que los </w:t>
      </w:r>
      <w:r>
        <w:lastRenderedPageBreak/>
        <w:t xml:space="preserve">recurrentes se encuentran ahora discriminados o colocados en peor situación es la de haber fracasado inicialmente en el intento de que se concediera a todos los ATS un derecho que, efectivamente, les pertenecía, según declaró la Audiencia Territorial de Sevilla al fallar el recurso contencioso-administrativo 714/1978. Agregan que, sin negar la doctrina de la cosa juzgada, se debe reconocer que ésta tiene matices, pues cuando un miembro de un colectivo de funcionarios consigue que se reconozca en su favor un derecho hasta ahora negado a ese colectivo, los efectos de la decisión judicial deben hacerse extensivos a todos los miembros del mismo. </w:t>
      </w:r>
    </w:p>
    <w:p w:rsidR="00256EE9" w:rsidRDefault="00256EE9" w:rsidP="00256EE9">
      <w:pPr>
        <w:pStyle w:val="TextoNormal"/>
      </w:pPr>
      <w:r>
        <w:t xml:space="preserve">El Ministerio Fiscal, por su parte, tras afirmar que la Sentencia impugnada jamás pudo ocasionar la violación del derecho al principio de igualdad que ahora se dice, violación que, si acaso, sólo podría achacarse a la anterior Sentencia de 29 de noviembre de 1979 o quizás a los anteriores acuerdos de la Diputación de Córdoba, sostiene que, además de ello, es claro que no ha existido ni existe la desigualdad discriminatoria que los recurrentes aducen. </w:t>
      </w:r>
    </w:p>
    <w:p w:rsidR="00256EE9" w:rsidRDefault="00256EE9" w:rsidP="00256EE9">
      <w:pPr>
        <w:pStyle w:val="TextoNormal"/>
      </w:pPr>
      <w:r>
        <w:t>A éstos, en efecto, se les aplica el mismo coeficiente que al resto de los ATS, de manera que la única diferencia que existe entre ellos y el resto de los que fueron parte en el recurso contencioso-administrativo 714/1978, es la de que a ellos este coeficiente se les abona sólo a partir de la fecha de la Sentencia y no como a los demás, con efectos retroactivos desde 1973, porque, en su caso, el recurso contencioso-administrativo no podía prosperar por no haber acudido a él después de haber interpuesto en tiempo el recurso de reposición ante la Diputación. La causa de la diferencia es, pues, una consecuencia jurídica ineluctable de unas diferencias temporales que el Derecho no puede ignorar.</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 evidente que, como señala el Fiscal, la Sentencia impugnada, que no hace pronunciamiento alguno sobre la pretensión de los recurrentes en la vía contencioso-administrativa, no pudo violar el principio de igualdad en relación con el régimen retributivo de los ATS dependientes de la Diputación de Córdoba.  Esa Sentencia se limita a declarar inadmisible el recurso por entender que la pretensión que en el mismo se deduce es simple reproducción de la que fue ya decidida por la Sentencia de 29 de noviembre de 1979, con fuerza de cosa juzgada.</w:t>
      </w:r>
    </w:p>
    <w:p w:rsidR="00256EE9" w:rsidRDefault="00256EE9" w:rsidP="00256EE9">
      <w:pPr>
        <w:pStyle w:val="TextoNormal"/>
      </w:pPr>
      <w:r>
        <w:t>Bastaría esta simple consideración para poner de manifiesto la falta de contenido constitucional de la presente demanda, cuya argumentación no ofrece razón alguna para sostener la violación del principio de igualdad en este caso concreto.</w:t>
      </w:r>
    </w:p>
    <w:p w:rsidR="00256EE9" w:rsidRDefault="00256EE9" w:rsidP="00256EE9">
      <w:pPr>
        <w:pStyle w:val="TextoNormal"/>
      </w:pPr>
      <w:r>
        <w:t>No obstante ello, conviene también entrar a considerar la argumentación de fondo de los recurrentes para fundamentar con mayor fuerza nuestra decisión.  En cuanto esta argumentación va dirigida realmente contra la Sentencia de 29 de noviembre de 1979, que fue la que los colocó en una situación peor respecto de otros ATS, este análisis de sus propios argumentos suscita, a su vez, la sospecha de que pudiera darse otra causa de inadmisión, pues, en efecto, si el acto que realmente se ataca es la citada Sentencia de 1979, el recurso de amparo es claramente extemporáneo y no puede ser admitido a trámite. La reiteración en el mismo orden jurisdiccional de una demanda ya decidida mediante Sentencia firme, no puede ser considerada como un recurso utilizable contra esta Sentencia, en el sentido que este concepto tiene en el art. 44.1 a) de la LOTC y, en consecuencia, una decisión de inadmisión como la producida en este caso no reabre, en modo alguno, el plazo para acudir ante nosotros en solicitud de amparo contra la Sentencia efectivamente ata</w:t>
      </w:r>
      <w:r>
        <w:lastRenderedPageBreak/>
        <w:t>cada. Pasemos, sin embargo, también por encima de este obstáculo, que ahora no podríamos tomar en consideración sin prolongar inútilmente este trámite dando nuevamente audiencia a las partes acerca de la posible existencia del mismo.</w:t>
      </w:r>
    </w:p>
    <w:p w:rsidR="00256EE9" w:rsidRDefault="00256EE9" w:rsidP="00256EE9">
      <w:pPr>
        <w:pStyle w:val="TextoNormal"/>
      </w:pPr>
    </w:p>
    <w:p w:rsidR="00256EE9" w:rsidRDefault="00256EE9" w:rsidP="00256EE9">
      <w:pPr>
        <w:pStyle w:val="TextoNormal"/>
      </w:pPr>
      <w:r w:rsidRPr="00256EE9">
        <w:rPr>
          <w:rStyle w:val="NumeroAFNegritaCaracter"/>
        </w:rPr>
        <w:t>2</w:t>
      </w:r>
      <w:r>
        <w:t>. La argumentación de fondo de los recurrentes es la de que si el derecho al coeficiente del 3,6 es un derecho de los ATS dependientes de la Diputación de Córdoba, este derecho debe ser reconocido por igual a todos los funcionarios de este género, de tal modo que todo tratamiento desigual a este respecto habrá de ser tenido por discriminatorio y contrario a la Constitución.</w:t>
      </w:r>
    </w:p>
    <w:p w:rsidR="00256EE9" w:rsidRDefault="00256EE9" w:rsidP="00256EE9">
      <w:pPr>
        <w:pStyle w:val="TextoNormal"/>
      </w:pPr>
      <w:r>
        <w:t>Así expuesta, la postura de los recurrentes es ciertamente inobjetable y no puede la Administración aplicar coeficientes distintos a los funcionarios de un mismo Cuerpo, según que lo pidan o no, por hallarse mejor o peor informados de sus derechos, pues los órganos de la Administración, como Poderes Públicos, están vinculados por el principio de igualdad. Sucede, sin embargo, que si ésta fuera realmente la postura de los recurrentes, nada tendrían ahora que solicitar, pues actualmente -a juzgar por lo que ellos mismos dicen-, no se aplican coeficientes distintos a los ATS de la Diputación de Córdoba.  En donde ellos ven, realmente, la desigualdad es en el hecho de que a quienes vieron su demanda estimada en el recurso contenciosoadministrativo, este derecho a ser retribuidos con arreglo al mencionado coeficiente se les reconoció, además, con efectos retroactivos desde la implantación del mismo, en tanto que a ellos, cuya demanda fue desestimada por no haber acudido antes en reposición ante la Administración, no se les reconoce ese derecho, aunque, por supuesto, sí se les retribuya, a partir de entonces, con arreglo al nuevo coeficiente. Efectivamente, hay una diferencia entre los unos y los otros, pero esta diferencia no es, en modo alguno, injustificada, arbitraria o discriminatoria, sino que es una diferencia obligada y razonable que deriva necesariamente de la aplicación igual de las normas a supuestos de hechos distintos.  En un caso, los funcionarios procedieron de modo inobjetable en el plano procedimental y procesal; en el otro, el de los recurrentes, se cometieron errores procedimentales que no pueden ser ignorados, pues los obligados al pago de sueldos o retribuciones, aunque sean las Administraciones Públicas, pueden aspirar a que los Tribunales de Justicia y, en general, todos los Poderes Públicos, respeten escrupulosamente la Ley y el principio de seguridad jurídica que el art.  9.3 de la Constitución garantiza.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Sección ha acordado la inadmisión del presente recurso de amparo.</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6" w:name="AUTO_1985_225"/>
      <w:r>
        <w:lastRenderedPageBreak/>
        <w:t>AUTO 225/1985, de 27 de marzo de 1985</w:t>
      </w:r>
    </w:p>
    <w:bookmarkEnd w:id="286"/>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ECLI:ES:TC:1985:225A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44/1985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ocasión de una huelga convocada para el 5 de mayo de 1984 por el Sindicato Provincial de Comisiones Obreras de Banca y Ahorro de Sevilla, que afectaría a las oficinas del Banco Atlántico de dicha provincia, la Empresa formuló demanda judicial solicitando la declaración de ilegalidad de la huelga. La Magistratura de Trabajo dictó Auto de 25 de junio de 1984, declarándose incompetente por razón de la materia para conocer de la demanda y sin prevenir a la parte el uso de su derecho en otro orden judicial por no existir competencia judicial alguna para su pretensión. Después de dedicar el último considerando a razonar el recurso utilizable contra tal decisión en razón a la indeterminación de la cuantía, el Magistrado de Trabajo declara en el fallo que «se advierte también a la parte actora que, si recurre, al personarse entregará en la Secretaría del Tribunal Supremo los resguardos de los depósitos de 5.000 pesetas por cada recurso, que habrán de efectuarse en la Caja General de Depósitos, siendo recurso procedente el de casación ante la Sala Sexta del Tribunal Supremo». </w:t>
      </w:r>
    </w:p>
    <w:p w:rsidR="00256EE9" w:rsidRDefault="00256EE9" w:rsidP="00256EE9">
      <w:pPr>
        <w:pStyle w:val="TextoNormal"/>
      </w:pPr>
      <w:r>
        <w:t>La Entidad demandante anunció recurso de casación por infracción de Ley y doctrina legal, y efectuada la personación, la Sala Sexta del Tribunal Supremo dictó Auto de 23 de noviembre de 1984, inadmitiéndolo por no haber sido precedido del de reposición tal y como exige el art. 3 de la Ley de Procedimiento Laboral. Contra dicho Auto se interpuso recurso de súplica que fue declarado improcedente por otro de 14 de diciembre siguiente debido a que la Ley de Enjuiciamiento Civil no admite recurso alguno contra las resoluciones del Tribunal Supremo que pongan término al pleito.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Contra este Auto se interpuso por «Banco Atlántico, S. A.» el presente recurso de amparo mediante demanda, presentada el 15 de enero pasado, sustancialmente fundada en la vulneración del art. 24 de la Constitución por haberse negado a la recurrente el pronunciamiento sobre el fondo del asunto en su recurso, toda vez la Magistratura de Trabajo no advirtió sobre la exigibilidad del recurso de reposición, incumpliendo el mandato legal, por lo que no cabe desviar a la parte la responsabilidad de la omisión producida por haber sido inducida a error por el órgano judicial. La Entidad demandante significa que el Auto del Tribunal Supremo razona la inadmisión en no haber agotado el recurso de reposición «que previamente deberá utilizarse», privándole injustificadamente del derecho al recurso, </w:t>
      </w:r>
      <w:r>
        <w:lastRenderedPageBreak/>
        <w:t xml:space="preserve">pues el art. 3 de la L.P.L. no exige la reposición, sino que al decir que «podrá ejercitarse» dicho recurso le atribuye carácter potestativo. </w:t>
      </w:r>
    </w:p>
    <w:p w:rsidR="00256EE9" w:rsidRDefault="00256EE9" w:rsidP="00256EE9">
      <w:pPr>
        <w:pStyle w:val="TextoNormal"/>
      </w:pPr>
      <w:r>
        <w:t>La demanda concluye solicitando que se declare la nulidad de los Autos impugnados y se disponga que por el Tribunal Supremo sea admitido el recurso de casación y se resuelva sobre el mismo.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20 de febrero se acordó oír a la demandante y al Ministerio Fiscal acerca de la posible inadmisión del recurso por la causa que regula el art. 50.2 b) de la Ley Orgánica de este Tribunal, por cuanto pudiera la demanda carecer de contenido estrictamente constitucional. </w:t>
      </w:r>
    </w:p>
    <w:p w:rsidR="00256EE9" w:rsidRDefault="00256EE9" w:rsidP="00256EE9">
      <w:pPr>
        <w:pStyle w:val="TextoNormal"/>
      </w:pPr>
      <w:r>
        <w:t xml:space="preserve">La parte demandante ha alegado que el contenido de la demanda viene dado por la vulneración del art. 24.1 de la Constitución, ya que, sin entrar en la cuestión de fondo y por razones puramente formales, la Sala Sexta del Tribunal Supremo le ha denegado la posibilidad de mantener el recurso de casación que ya había formulado, con lo que se le ha privado de la tutela a que tiene derecho en el ejercicio de sus derechos e intereses legítimos. </w:t>
      </w:r>
    </w:p>
    <w:p w:rsidR="00256EE9" w:rsidRDefault="00256EE9" w:rsidP="00256EE9">
      <w:pPr>
        <w:pStyle w:val="TextoNormal"/>
      </w:pPr>
      <w:r>
        <w:t>El Ministerio Fiscal ha expuesto que el art. 179 de la L.P.L. establece que si el Magistrado incurriese en error al determinar el recurso procedente contra la Sentencia que haya dictado y, tramitado éste, se declare así, el recurrente podrá entablar el que corresponda según dicha declaración; y que, en tal caso, el plazo para promoverlo se contará a partir del día siguiente al de la notificación al interesado de la resolución que declare improcedente el recurso equivocadamente planteado. Al no actuar así la parte demandante, no puede considerar vulneración alguna algo que ella misma pudo remediar.</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Es manifiesta la falta de contenido constitucional de la demanda, pues no se aprecia defecto alguno en el Auto dictado por la Sala Sexta del Tribunal Supremo inadmitiendo recurso de casación por no haberse interpuesto previamente el de reposición, ya que así lo exige el art. 3 de la Ley de Procedimiento Laboral, y sin que pueda ser atendida la argumentación de la parte recurrente en el sentido de que tal recurso de reposición, según la dicción legal, «podrá» ser interpuesto, como previo a los de suplicación o casación, ya que lo cierto es que esa norma es concordante con la del art. 151 de la misma Ley, y no hace otra cosa, al utilizar el término «podrá», que expresar -como no puede ser por menos- que queda a la decisión o voluntad de la parte iniciar o no la cadena de recursos, pero, en caso afirmativo, principiando, por supuesto, por el de reposición, técnica igualmente seguida en multitud de pasajes de la normativa procesal de todos los órdenes jurisdiccionales, siendo fácilmente comprobable que el legislador distingue los supuestos de exigibilidad o no de la previa reposición y se refiere a su carácter «potestativo» o «preceptivo», de lo que son ejemplo los ordenamientos económico y contencioso-administrativo.</w:t>
      </w:r>
    </w:p>
    <w:p w:rsidR="00256EE9" w:rsidRDefault="00256EE9" w:rsidP="00256EE9">
      <w:pPr>
        <w:pStyle w:val="TextoNormal"/>
      </w:pPr>
      <w:r>
        <w:t>Tampoco cabe obtener conclusión alguna favorable a la parte recurrente extraída de cuanto invoca acerca de no haberse indicado a la misma en la notificación practicada por Magistratura de Trabajo, que procedía el recurso de reposición contra la resolución que se comunicaba, puesto que de conformidad con lo establecido en el art. 93 de la Ley de Procedimiento Laboral, ese requisito sólo es exigible en la notificación de Sentencias.</w:t>
      </w:r>
    </w:p>
    <w:p w:rsidR="00256EE9" w:rsidRDefault="00256EE9" w:rsidP="00256EE9">
      <w:pPr>
        <w:pStyle w:val="TextoNormal"/>
      </w:pPr>
      <w:r>
        <w:t>Así pues, el motivo de inadmisión establecido en el art. 50.2 b) de la LOTC concurre en este caso, y así debe decretarse.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7" w:name="AUTO_1985_226"/>
      <w:r>
        <w:lastRenderedPageBreak/>
        <w:t>AUTO 226/1985, de 27 de marzo de 1985</w:t>
      </w:r>
    </w:p>
    <w:bookmarkEnd w:id="287"/>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ECLI:ES:TC:1985:226A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haber lugar al desistimiento del actor en el recurso de amparo 54/1985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Juan Corujo y López Villamil, en nombre y representación de la entidad mercantil «Glasurit, S. A.», presentó escrito con fecha 22 de enero de 1985, en el Registro General de este Tribunal Constitucional formulando demanda de amparo constitucional, contra las Sentencias de la Magistratura de Trabajo núm. 9 de Valencia, de 15 de julio de 1983, y de la Sala Sexta del Tribunal Supremo, de 3 de diciembre de 1984, que desestimaron la pretensión de la recurrente sobre abono por el Estado de salarios de tramitación, por estimar que vulneran el derecho a la igualdad, protegido por el art. 14, en concordancia con el 121, de la Constitución Española. Los hechos en que se fundamenta la demanda son los siguientes: </w:t>
      </w:r>
    </w:p>
    <w:p w:rsidR="00256EE9" w:rsidRDefault="00256EE9" w:rsidP="00256EE9">
      <w:pPr>
        <w:pStyle w:val="TextoNormal"/>
      </w:pPr>
      <w:r>
        <w:t xml:space="preserve">a) En juicio sobre despido seguido a instancias de don Francisco Ribelles Milán contra la empresa «Glasurit, S. A.», la Magistratura de Trabajo núm. 9 de Valencia dictó Sentencia de 7 de diciembre de 1979 declarando su nulidad y condenando a la Empresa a la readmisión y al abono de los salarios dejados de percibir. Interpuesto recurso de casación, durante cuyo transcurso la Empresa estuvo abonando los salarios sin percepción de trabajo, el Tribunal Supremo casó la Sentencia de Magistratura por la suya de 7 de agosto de 1982, que declaró la incompetencia de la jurisdicción laboral por razón de la materia por no ser el actor trabajador por cuenta ajena. </w:t>
      </w:r>
    </w:p>
    <w:p w:rsidR="00256EE9" w:rsidRDefault="00256EE9" w:rsidP="00256EE9">
      <w:pPr>
        <w:pStyle w:val="TextoNormal"/>
      </w:pPr>
      <w:r>
        <w:t xml:space="preserve">b) El 13 de julio de 1982 la Empresa reclamó a la Dirección Provincial de Trabajo y Seguridad Social el abono de los salarios de tramitación pagados, con apoyo en el Real Decreto 924/1982, de 17 de abril, sobre reclamaciones al Estado por salarios de tramitación en juicios por despido. Resuelta la reclamación por silencio negativo, se formuló demanda judicial en la que recayó Sentencia de la Magistratura de Trabajo núm. 9 de Valencia, de 15 de julio de 1983, que declaró la incompetencia de la jurisdicción laboral para conocer sobre el fondo del asunto. El Magistrado de Trabajo fundamenta su resolución en que la Ley de Procedimiento Laboral y el Decreto en cuestión sólo prevén la reclamación al Estado cuando el despido sea declarado improcedente en primera instancia y procedente en recurso, cuando la improcedencia sea declarada en instancia después de sesenta días o cuando la improcedencia sea declarada por primera vez por el Tribunal Superior, extendiendo coherentemente el art. 1 de la Ley de Procedimiento Laboral la competencia de la jurisdicción a las reclamaciones contra el Estado «cuando éste pueda ser responsable de salarios de tramitación»; dado que el supuesto de autos no es de los previstos y que no existe base legal para que exista responsabilidad del Estado en tales circunstancias, es </w:t>
      </w:r>
      <w:r>
        <w:lastRenderedPageBreak/>
        <w:t xml:space="preserve">obligado declarar la incompetencia jurisdiccional, tanto más cuanto que la extinción se produjo con anterioridad al Estatuto de los Trabajadores y se debe regir por la normativa vigente en la fecha en que tuvo lugar que no preveía la responsabilidad del Estado. </w:t>
      </w:r>
    </w:p>
    <w:p w:rsidR="00256EE9" w:rsidRDefault="00256EE9" w:rsidP="00256EE9">
      <w:pPr>
        <w:pStyle w:val="TextoNormal"/>
      </w:pPr>
      <w:r>
        <w:t>c) Interpuesto recurso de casación, fue desestimado por Sentencia del Tribunal Supremo de 10 de diciembre de 1984. Después de destacar la defectuosa formulación de los motivos que sería suficiente para la desestimación del recurso, el Tribunal Supremo expone que la incompetencia de jurisdición «no es sino la consecuencia indeclinable de la estimación de la excepción de incompetencia por esta misma Sala, en virtud de la prosperabilidad del recurso de casación interpuesto contra la Sentencia del año 1980 dictada en el proceso principal del que el actual es solamente una incidencia, y que por ello debe atenerse a la decisión definitiva recaída en aquél».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Entidad demandante alega que el pronunciamiento de la Magistratura de Trabajo no es acorde al Real Decreto 924/1982, que amplía lo prevenido en la Ley de Procedimiento Laboral, y dispone la responsabilidad del Estado también en supuestos de extinción de la relación laboral producidos entre la entrada en vigor de la Ley 8/1980, Estatuto de los Trabajadores, y la del propio Decreto, siendo esta situación la existente en su caso, pues la Sentencia del Tribunal Supremo se dictó dentro del período contemplado. </w:t>
      </w:r>
    </w:p>
    <w:p w:rsidR="00256EE9" w:rsidRDefault="00256EE9" w:rsidP="00256EE9">
      <w:pPr>
        <w:pStyle w:val="TextoNormal"/>
      </w:pPr>
      <w:r>
        <w:t xml:space="preserve">La decisión judicial discrimina a la Empresa al apartarla de un beneficio igualatorio establecido en el Real Decreto, estimando la parte que la declaración de incompetencia de jurisdición formulada en el proceso de despido debe hacerse equivaler al despido procedente o a la extinción objetiva de la relación laboral que permite la responsabilidad del Estado. </w:t>
      </w:r>
    </w:p>
    <w:p w:rsidR="00256EE9" w:rsidRDefault="00256EE9" w:rsidP="00256EE9">
      <w:pPr>
        <w:pStyle w:val="TextoNormal"/>
      </w:pPr>
      <w:r>
        <w:t xml:space="preserve">Y termina suplicando una Sentencia por la que declarando nula la pronunciada el 15 de julio de 1983 por la Magistratura de Trabajo núm. 9 de las de Valencia en resolución del expediente núm. </w:t>
      </w:r>
    </w:p>
    <w:p w:rsidR="00256EE9" w:rsidRDefault="00256EE9" w:rsidP="00256EE9">
      <w:pPr>
        <w:pStyle w:val="TextoNormal"/>
      </w:pPr>
      <w:r>
        <w:t>25.040-bis/1982, se otorgue el amparo previsto en el art. 53 a), y concordantes de la Ley Orgánica del Tribunal Constitucional y se declare igualmente nula la Sentencia recaída en el recurso de casación núm. 31/1984 y pronunciada con fecha 10 de diciembre de 1984 por la Sala de lo Social del Tribunal Supremo, por violación de los arts. 121 y 14 de la Constitución restableciendo a su representada en la integridad de su derecho de igualdad.</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27 de febrero pasado se puso de manifiesto la posible concurrencia de las causas de inadmisión del art. 50.1 b) en relación con el art. 44.2 b), del art. 50.a b), todas de la LOTC. En el mismo día presentó el Procurador don Juan Corujo López Villamil, en nombre de «Glasurit, S. A.», escrito desistiendo del presente recurso. El Ministerio Fiscal, en el trámite de alegaciones, sostuvo que el recurso es inadmisible.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desistimiento, efectuado por el recurrente, y en su nombre, por su Procurador, con poder que le faculta para ello, es modo de terminación del proceso, pues si al actor corresponde la disponibilidad de la pretensión puede abandonarla, y como así lo ha hecho, procede declarar terminado este proceso por desistimiento del actor.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terminado este proceso promovido por «Glasurit, S. A.», en virtud de desistimiento.</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8" w:name="AUTO_1985_227"/>
      <w:r>
        <w:lastRenderedPageBreak/>
        <w:t>AUTO 227/1985, de 27 de marzo de 1985</w:t>
      </w:r>
    </w:p>
    <w:bookmarkEnd w:id="288"/>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ECLI:ES:TC:1985:227A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73/1985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pasado día 1 de febrero fue registrado en el Tribunal Constitucional un escrito mediante el cual don Pascual García Porras, Procurador de los Tribunales de Madrid, interpuso recurso de amparo en nombre de sus poderdantes, don Joaquín Roglan Llop y doña Josefa Macías García, contra resolución del Encargado del Registro Civil de Barcelona, de 20 de julio de 1984, confirmada por el Juzgado Decano de Primera Instancia de aquella capital y posteriormente por la Dirección General de los Registros y del Notariado. </w:t>
      </w:r>
    </w:p>
    <w:p w:rsidR="00256EE9" w:rsidRDefault="00256EE9" w:rsidP="00256EE9">
      <w:pPr>
        <w:pStyle w:val="TextoNormal"/>
      </w:pPr>
      <w:r>
        <w:t xml:space="preserve">Se basa la demanda de amparo en las siguientes consideraciones de hecho: </w:t>
      </w:r>
    </w:p>
    <w:p w:rsidR="00256EE9" w:rsidRDefault="00256EE9" w:rsidP="00256EE9">
      <w:pPr>
        <w:pStyle w:val="TextoNormal"/>
      </w:pPr>
      <w:r>
        <w:t xml:space="preserve">a) Los recurrentes, con fecha de 20 de julio de 1984, instaron la inscripción en el Registro Civil de la ciudad de Barcelona del nacimiento de la hija de ambos, manifestando su deseo de imponerle los nombres de «Lola-Guiomar». Tal designación resultó rechazada en resolución del mismo día 20 por el Juez encargado del Registro «por estimar que se trata de un apelativo familiar del nombre de Dolores, que es el que corresponde en pureza de Ley y claridad registral», requiriéndose a los padres para la imposición de nombre distinto, bajo apercibimiento de que, pasados tres días, le sería impuesto de oficio el de «Guiomar». </w:t>
      </w:r>
    </w:p>
    <w:p w:rsidR="00256EE9" w:rsidRDefault="00256EE9" w:rsidP="00256EE9">
      <w:pPr>
        <w:pStyle w:val="TextoNormal"/>
      </w:pPr>
      <w:r>
        <w:t xml:space="preserve">b) Ante esta negación de la inscripción recurrieron quienes hoy lo hacen en amparo ante el Juzgado Decano de los de Primera Instancia e Instrucción de Barcelona, fundamentando su pretensión a la imposición del nombre de «Lola» en la propia Entidad de éste frente al de «Dolores» e invocando al efecto la Circular de 2 de julio de 1980 de la Dirección General de los Registros y del Notariado, resolución ésta de la que -a su juicio- se seguiría la razón de su petición. El recurso fue resuelto por Auto de 18 de septiembre de 1984, en el que se confirmaba el rechazo a la inscripción del nombre propuesto en virtud de no compadecerse éste con la necesidad de «dar certeza y dignidad a la denominación de las personas, última ratio perseguida por la norma registral». </w:t>
      </w:r>
    </w:p>
    <w:p w:rsidR="00256EE9" w:rsidRDefault="00256EE9" w:rsidP="00256EE9">
      <w:pPr>
        <w:pStyle w:val="TextoNormal"/>
      </w:pPr>
      <w:r>
        <w:t>c) Frente a esta desestimación de su recurso, interpusieron los actores apelación ante la Dirección General de los Registros y del Notariado, reiterando los argumentos expuestos en la instancia anterior. El día 4 de diciembre de 1984 recayó resolución de la Dirección General en la que se desestimaba el recurso confirmándose así el Auto apelado. En esta resolución se invocó específicamente lo dispuesto en el art. 54 de la Ley del Registro Civil respecto de las prohibiciones en él previstas para la inscripción de nombres (este precepto impide, in fine, la inscripción de todo nombre «que haga confusa la identificación»).</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xml:space="preserve">. La fundamentación en Derecho de la demanda de amparo puede sintetizarse del modo siguiente: </w:t>
      </w:r>
    </w:p>
    <w:p w:rsidR="00256EE9" w:rsidRDefault="00256EE9" w:rsidP="00256EE9">
      <w:pPr>
        <w:pStyle w:val="TextoNormal"/>
      </w:pPr>
      <w:r>
        <w:t xml:space="preserve">a) Los recurrentes aluden a lo dispuesto en el art. 10 de la Constitución, así como a la aconfesionalidad del Estado según el art. 16.3 de la misma. </w:t>
      </w:r>
    </w:p>
    <w:p w:rsidR="00256EE9" w:rsidRDefault="00256EE9" w:rsidP="00256EE9">
      <w:pPr>
        <w:pStyle w:val="TextoNormal"/>
      </w:pPr>
      <w:r>
        <w:t xml:space="preserve">Enlazan con la primera cita normativa -con el segundo apartado del art. 10 de la Norma fundamental- la invocación a lo dispuesto en los arts. 9 del Convenio para la Protección de los Derechos Humanos y de las Libertades Fundamentales, de 1950, y 18 de la Declaración Universal de Derechos Humanos, de 1948 (preceptos en los que, por lo que aquí interesa, se declara la libertad de pensamiento, de conciencia y de religión). </w:t>
      </w:r>
    </w:p>
    <w:p w:rsidR="00256EE9" w:rsidRDefault="00256EE9" w:rsidP="00256EE9">
      <w:pPr>
        <w:pStyle w:val="TextoNormal"/>
      </w:pPr>
      <w:r>
        <w:t xml:space="preserve">b) Afirman los actores que al buscar la imposición del nombre «Lola» a su hija no pretendieron vulnerar la seguridad o la moral pública o ir contra las libertades ajenas. Destacan la entidad propia del nombre pretendido (no sólo nombre personal -dijo-, sino también topónimo) y aluden a casos anteriores en los que el nombre de «Lola» ha sido objeto de inscripción registral. </w:t>
      </w:r>
    </w:p>
    <w:p w:rsidR="00256EE9" w:rsidRDefault="00256EE9" w:rsidP="00256EE9">
      <w:pPr>
        <w:pStyle w:val="TextoNormal"/>
      </w:pPr>
      <w:r>
        <w:t>En conclusión, solicitan del Tribunal la declaración de nulidad de la resolución inicial recurrida, así como igual declaración respecto de las dictadas posteriormente confirmando la primera, reconociendo el derecho de los recurrentes a imponer a su hija el nombre entonces interesado.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27 de febrero pasado se acordó oír a los demandantes y al Ministerio Fiscal acerca de la posible inadmisión de la demanda por la causa que regula el art. 50.1 b), en relación al 43.1 de la Ley Orgánica de este Tribunal, por haberse planteado sin previo proceso en la vía judicial ordinaria y a través de los cauces procedentes. </w:t>
      </w:r>
    </w:p>
    <w:p w:rsidR="00256EE9" w:rsidRDefault="00256EE9" w:rsidP="00256EE9">
      <w:pPr>
        <w:pStyle w:val="TextoNormal"/>
      </w:pPr>
      <w:r>
        <w:t xml:space="preserve">La representación de los recurrentes ha alegado que la Resolución de la Dirección General de los Registros y del Notariado es definitiva y firme, y no puede plantearse procedimiento alguno contra ella, ni en vía contencioso-administrativa ni en la ordinaria: en la primera porque las cuestiones relativas al Registro Civil son completamente extrañas a dicha jurisdicción (Sentencia del Tribunal Supremo del 27 de septiembre de 1951); y en la segunda porque después de la última reforma de la Ley de Enjuiciamiento Civil la cuestión que plantean los recurrentes no tiene cabida en ningún tipo de juicio declarativo, pues excluyendo las referencias a las cuantías que aquí nada importan ni tienen que ver, no se trata de derechos relativos a derechos honoríficos de la persona, no se trata tampoco de cuestión relativa a filiación, a paternidad, a maternidad, a capacidad o al estado civil de las personas. Por otra parte, la Dirección General de los Registros y del Notariado tiene competencia y unas atribuciones específicas que la distinguen de otras, entre ellas la resolución de los recursos gubernativos que se establecen conforme a las Leyes en materia registral y la consiguiente creación de una doctrina uniforme (art. 55 del Decreto de 12 de junio de 1968). </w:t>
      </w:r>
    </w:p>
    <w:p w:rsidR="00256EE9" w:rsidRDefault="00256EE9" w:rsidP="00256EE9">
      <w:pPr>
        <w:pStyle w:val="TextoNormal"/>
      </w:pPr>
      <w:r>
        <w:t xml:space="preserve">Además, corresponde al Servicio de la Nacionalidad y del Estado Civil: «Estudiar y formular propuestas de resolución en las apelaciones entabladas contra las decisiones de los Jueces de Primera Instancia en materia de matrimonio civil y, en general, las relativas al estado civil en su aspecto sustantivo, así como la rectificación y reconstrucción del Registro y demás relativas al Registro Civil» [art. 67 e) del referido Decreto]. </w:t>
      </w:r>
    </w:p>
    <w:p w:rsidR="00256EE9" w:rsidRDefault="00256EE9" w:rsidP="00256EE9">
      <w:pPr>
        <w:pStyle w:val="TextoNormal"/>
      </w:pPr>
      <w:r>
        <w:t xml:space="preserve">Por todo lo cual estima que el recurso formulado es admisible. </w:t>
      </w:r>
    </w:p>
    <w:p w:rsidR="00256EE9" w:rsidRDefault="00256EE9" w:rsidP="00256EE9">
      <w:pPr>
        <w:pStyle w:val="TextoNormal"/>
      </w:pPr>
      <w:r>
        <w:t>En su escrito de alegaciones, el Ministerio Fiscal expone que la Resolución de la Dirección General de los Registros indica y pone de manifiesto el derecho que asiste a los demandantes de acudir a la jurisdicción ordinaria, de acuerdo con el art. 362 de la Ley de Registro Civil, por lo cual no ha existido la vía judicial previa.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En la Resolución de la Dirección General de los Registros que como terminal se impugna en este recurso de amparo se dejó expresa constancia, al referirse a que contra la misma no cabía recurso alguno, de la salvedad de acudir a la vía judicial ordinaria «cuando corresponda», con cita del art. 362 del Reglamento, de Registro Civil -que tal dispone-, lo que no es otra cosa que transcripción del contenido del primer párrafo, in fine, del art. 29 de la Ley de dicho Registro, de todo lo cual se infiere la posibilidad de instar, frente a una Resolución como la cuestionada, un proceso ante la jurisdicción del orden civil, bien que sea innecesario en el presente recurso de amparo toda consideración definitiva sobre este extremo, entre ellas la puesta de relieve por la parte recurrente en el sentido de que la última modificación de la Ley de Enjuiciamiento Civil, al dar nueva redacción a los arts. 483 y 484, ha vedado la repetida posibilidad, aunque sí cabe decir que tales preceptos atienden a establecer las «reglas para determinar el juicio correspondiente», pero no atribuyen ni niegan competencia objetiva, la que puede por supuesto quedar fijada por otras normativas legales, de lo que existen abundantes muestras, que es ocioso relacionar aquí.</w:t>
      </w:r>
    </w:p>
    <w:p w:rsidR="00256EE9" w:rsidRDefault="00256EE9" w:rsidP="00256EE9">
      <w:pPr>
        <w:pStyle w:val="TextoNormal"/>
      </w:pPr>
      <w:r>
        <w:t>Es lo cierto que la promoción de un recurso constitucional de amparo so pretexto de violación de derechos y libertades fundamentales originadas por disposiciones, actos jurídicos o simples vías de hecho de autoridades o funcionarios -entre otros-, exige el agotamiento de la vía judicial procedente (art. 43.1 de la LOTC), de acuerdo con el art.  53.2 de la C. E., vía judicial procedente que en último término será la establecida en la Ley 62/1978, de Protección de los Derechos y Libertades Fundamentales, sin posibilidad en caso alguno de acudir al recurso de amparo directamente, circunstancia obstativa puesta de relieve en la providencia inicial dictada en este recurso, y que en este instante ha de adquirir efectividad, cual previene el art.  50.1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89" w:name="AUTO_1985_228"/>
      <w:r>
        <w:lastRenderedPageBreak/>
        <w:t>AUTO 228/1985, de 27 de marzo de 1985</w:t>
      </w:r>
    </w:p>
    <w:bookmarkEnd w:id="289"/>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ECLI:ES:TC:1985:228A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79/1985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Juan Miguel Sánchez Masa, Procurador de los Tribunales, en nombre y representación de don Jorge Luis Ochoa Vázquez, de nacionalidad colombiana, ha interpuesto recurso de amparo, registrado el 2 de febrero de 1985, contra la providencia de 10 de enero de 1985, y subsidiariamente, contra la providencia de 24 de enero de 1985, dictadas por el Juzgado Central de Instrucción núm. 2 en el expediente de extradición núm. 35/1984. En las susodichas providencias se declararon inadmisibles sendos recursos de reforma, y ello violó, en opinión del recurrente, por acción y omisión, el derecho a la tutela judicial efectiva, reconocido en el art. 24.1 de la Constitución. </w:t>
      </w:r>
    </w:p>
    <w:p w:rsidR="00256EE9" w:rsidRDefault="00256EE9" w:rsidP="00256EE9">
      <w:pPr>
        <w:pStyle w:val="TextoNormal"/>
      </w:pPr>
      <w:r>
        <w:t xml:space="preserve">El demandante asegura que el expediente de extradición seguido contra él es consecuencia de una acción encubierta de los servicios secretos de los Estados Unidos contra el Gobierno de la República de Nicaragua y dice que la operación se inició en septiembre de 1984, mediante una denuncia anónima al Fiscal Especial antidroga, en la que se le identificaba y acusaba de un delito contra la salud pública. Posteriormente, en nota verbal dirigida al Ministerio español de Asuntos Exteriores, la Embajada de los Estados Unidos solicitó la detención del recurrente, a efectos de extradición, que se efectuó el 15 de noviembre de 1984, por el funcionario que había designado Washington, que aplicó la Ley Orgánica 11/1980, de 1 de diciembre; habiéndose abierto, con anterioridad y contra el repetido recurrente, diligencias previas número 365/1984, por supuestos delitos contra la salud pública, a instancias de la Policía y en preparación de la detención. </w:t>
      </w:r>
    </w:p>
    <w:p w:rsidR="00256EE9" w:rsidRDefault="00256EE9" w:rsidP="00256EE9">
      <w:pPr>
        <w:pStyle w:val="TextoNormal"/>
      </w:pPr>
      <w:r>
        <w:t xml:space="preserve">Durante los seis días de incomunicación en Comisaría, el funcionario español seleccionado por el Gobierno de Washington propuso al señor Ochoa Vázquez que aceptara colaborar con las Autoridades norteamericanas, para denunciar la participación en el tráfico ilícito de estupefacientes del Gobierno de Nicaragua, a cambio de no llevarse a cabo la extradición a los Estados Unidos, en todo lo cual intervino un agente de los servicios secretos de este país llamado William Mockler Jr., quien mientras el recurrente se hallaba incomunicado, formuló una denuncia contra él ante la Policía, imputándole ser miembro de una banda armada en América. Sobre la base de esta denuncia, que ha resultado ser falsa, el Juzgado Central de Instrucción núm. 1, a petición del Ministerio Fiscal, cambió el concepto jurídico de las diligencias previas 365/1984 e incoó sumario por «colaboración con bandas armadas y organizadas», decretando la prisión incondicional del demandante, sin previo procesamiento, el 21 de noviembre de 1984. </w:t>
      </w:r>
    </w:p>
    <w:p w:rsidR="00256EE9" w:rsidRDefault="00256EE9" w:rsidP="00256EE9">
      <w:pPr>
        <w:pStyle w:val="TextoNormal"/>
      </w:pPr>
      <w:r>
        <w:lastRenderedPageBreak/>
        <w:t xml:space="preserve">El 10 de diciembre, la Junta de Régimen del Centro Penitenciario de Carabanchel aplicó al recurrente la sanción máxima que la Ley Orgánica General Penitenciaria contempla en su art. 10. </w:t>
      </w:r>
    </w:p>
    <w:p w:rsidR="00256EE9" w:rsidRDefault="00256EE9" w:rsidP="00256EE9">
      <w:pPr>
        <w:pStyle w:val="TextoNormal"/>
      </w:pPr>
      <w:r>
        <w:t xml:space="preserve">Personado el señor Ochoa Vázquez por medio de Procurador en el expediente de extradición seguido contra él, pidió vista del mismo y solicitó ser oído dentro del plazo que fija la Ley, al amparo de los arts. 23 y 91 de la Ley de Procedimiento Administrativo, pero se le desconoció su derecho. </w:t>
      </w:r>
    </w:p>
    <w:p w:rsidR="00256EE9" w:rsidRDefault="00256EE9" w:rsidP="00256EE9">
      <w:pPr>
        <w:pStyle w:val="TextoNormal"/>
      </w:pPr>
      <w:r>
        <w:t xml:space="preserve">Contra los hechos descritos, el solicitante presentó una denuncia por falsedad ante el Juzgado de Guardia de Madrid, lo que determinó, según el solicitante del amparo, una resolución judicial, por la que se autorizó la prórroga de la detención, por falsa imputación de delitos por los mismos funcionarios y por violación de secretos también de dichos funcionarios. Elevada a querella la denuncia, fue admitida a trámite el 12 de enero de 1985, en el Juzgado de Instrucción núm. 27 de Madrid, diligencias previas 1370/1984. </w:t>
      </w:r>
    </w:p>
    <w:p w:rsidR="00256EE9" w:rsidRDefault="00256EE9" w:rsidP="00256EE9">
      <w:pPr>
        <w:pStyle w:val="TextoNormal"/>
      </w:pPr>
      <w:r>
        <w:t>Por otra parte, el demandante interpuso recurso de reforma y alzada, seguido de recurso contencioso-administrativo ante la Audiencia Territorial de Madrid, al amparo de la Ley 62/1978, de 26 de diciembre, por las diligencias previas 365/1984 abiertas contra él, y ante la Sala Tercera del Tribunal Supremo, al amparo de la citada Ley, pidiendo la declaración de nulidad del expediente de extradición.</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Don Jorge Luis Ochoa Vázquez interpuso recurso de reforma contra la providencia de 29 de diciembre de 1984, en la que se acordaba que los documentos remitidos por la Subsecretaría del Ministerio de Justicia se unieran al expediente gubernativo de extradición y que, vista la fotocopia de la nota verbal de la Embajada de los Estados Unidos; una vez que la documentación presentada en el Ministerio de Asuntos Exteriores se recibiera en el Juzgado o hubiera concluido el segundo plazo de cuarenta días a que se refiere el Auto del propio Juzgado de 22 de noviembre pasado, se decidiría lo procedente. En providencia de 10 de enero de 1985, el Juzgado de Instrucción núm. 2 decretó no haber lugar a admitir a trámite el recurso de reforma citado. </w:t>
      </w:r>
    </w:p>
    <w:p w:rsidR="00256EE9" w:rsidRDefault="00256EE9" w:rsidP="00256EE9">
      <w:pPr>
        <w:pStyle w:val="TextoNormal"/>
      </w:pPr>
      <w:r>
        <w:t>El 19 de enero de 1985, el Juzgado de Instrucción dictó nueva providencia en la que, visto que el señor Ochoa Vázquez se oponía a la extradición, se acordaba elevar todo lo actuado a la Audiencia Nacional. Contra ella interpuso el demandante recurso de reforma que no fue admitido a trámite, en providencia de 24 de enero.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su demanda de amparo, don Jorge Luis Ochoa Vázquez considera que la providencia recurrida vulnera su derecho a la tutela judicial efectiva, al no haber obtenido en reforma la solución de su petición en razón de ser inadmitido el recurso de reforma, siendo así que no existe ningún motivo de inadmisibilidad referente a los recursos de reforma que planteó en su momento, puesto que del art. 141.3 de la Ley de Enjuiciamiento Criminal, resulta que podrá interponerse recurso de reposición contra las providencias del Juez de Instrucción y la palabra «reposición» equivale a «reforma»; y que la inadmisión de aquéllos no se produjo en aplicación razonada de una causa legal. </w:t>
      </w:r>
    </w:p>
    <w:p w:rsidR="00256EE9" w:rsidRDefault="00256EE9" w:rsidP="00256EE9">
      <w:pPr>
        <w:pStyle w:val="TextoNormal"/>
      </w:pPr>
      <w:r>
        <w:t>Por todo ello, suplica que se dicte Sentencia en la que se declare la nulidad de la providencia del Juzgado Central de Instrucción núm. 2, de 10 de enero de 1985, y, subsidiariamente, de la providencia de 24 de enero, retrotrayendo las actuaciones al momento inmediatamente anterior al de dictarla.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xml:space="preserve">. La Sección Cuarta de este Tribunal, en su reunión del 20 de febrero del corriente año acordó poner de manifiesto la posible existencia de las siguientes causas de inadmisibilidad: 1.ª la del art. 50.1 b) en relación con el 49.2 a), ambos de la Ley Orgánica de este Tribunal, por no haberse aportado el documento que acredite la representación del Procurador; 2.ª la del artículo 50.1 b) en relación con el 44.1 a), ambos de la indicada Ley Orgánica, por no haberse agotado los recursos utilizables en la vía judicial. </w:t>
      </w:r>
    </w:p>
    <w:p w:rsidR="00256EE9" w:rsidRDefault="00256EE9" w:rsidP="00256EE9">
      <w:pPr>
        <w:pStyle w:val="TextoNormal"/>
      </w:pPr>
      <w:r>
        <w:t xml:space="preserve">Por ello, en aplicación de lo dispuesto en el art. 50 de la Ley Orgánica antes citada, otorgó un plazo común de diez días al solicitante de amparo y al Ministerio Fiscal para realizar alegaciones y subsanar, en su caso, lo procedente. </w:t>
      </w:r>
    </w:p>
    <w:p w:rsidR="00256EE9" w:rsidRDefault="00256EE9" w:rsidP="00256EE9">
      <w:pPr>
        <w:pStyle w:val="TextoNormal"/>
      </w:pPr>
      <w:r>
        <w:t xml:space="preserve">El solicitante del amparo ha efectuado sus alegaciones, señalando que acompaña un poder general para pleitos suficiente para demandar el amparo constitucional. La exigencia del art. 50.1 b) en relación con el 44.1 a), ambos de la Ley Orgánica del Tribunal Constitucional, en lo relativo a no haberse agotado los recursos utilizables en la vía judicial, se ha cumplido en el presente recurso según la opinión del solicitante del amparo. </w:t>
      </w:r>
    </w:p>
    <w:p w:rsidR="00256EE9" w:rsidRDefault="00256EE9" w:rsidP="00256EE9">
      <w:pPr>
        <w:pStyle w:val="TextoNormal"/>
      </w:pPr>
      <w:r>
        <w:t xml:space="preserve">La resolución del Juzgado Central de Instrucción núm. 2, de fecha 24 de enero de 1985, tiene por objeto resolver el recurso de reforma establecido en el art. 16.2 de la Ley de 26 de diciembre de 1958, de Extradición Pasiva. Recurso de reforma interpuesto el 23 de enero contra la resolución judicial que evacuaba precisamente la actuación normada en dicho art. 16, subsiguiente a la comunicación al Juzgado Central de Instrucción, el 14 de enero, de la Resolución del Consejo de Ministros de 9 de enero, dando lugar «a continuar su curso el procedimiento de extradición» (arts. 12 y 15 de la Ley de Extradición Pasiva) y claramente dice el art. 16 citado que contra la resolución judicial que resuelve el recurso de reforma no cabe recurso alguno. </w:t>
      </w:r>
    </w:p>
    <w:p w:rsidR="00256EE9" w:rsidRDefault="00256EE9" w:rsidP="00256EE9">
      <w:pPr>
        <w:pStyle w:val="TextoNormal"/>
      </w:pPr>
      <w:r>
        <w:t xml:space="preserve">Así lo ha entendido el Tribunal Constitucional, quien ya ha tenido ocasión de admitir a trámite recursos de amparo interpuestos contra la resolución judicial del Juzgado Central de Instrucción establecida en el meritado art. 16 de la Ley citada. </w:t>
      </w:r>
    </w:p>
    <w:p w:rsidR="00256EE9" w:rsidRDefault="00256EE9" w:rsidP="00256EE9">
      <w:pPr>
        <w:pStyle w:val="TextoNormal"/>
      </w:pPr>
      <w:r>
        <w:t xml:space="preserve">Frente a la resolución impugnada en amparo, de fecha 10 de enero de 1985, del Juzgado Central de Instrucción núm. 2, declarando inadmisible, sin fundamento en Derecho, un recurso de reforma contra anterior resolución del mismo Juzgado, tampoco cabe recurso judicial alguno por razones que son comunes a la Resolución de 24 de enero, impugnada con carácter subsidiario. </w:t>
      </w:r>
    </w:p>
    <w:p w:rsidR="00256EE9" w:rsidRDefault="00256EE9" w:rsidP="00256EE9">
      <w:pPr>
        <w:pStyle w:val="TextoNormal"/>
      </w:pPr>
      <w:r>
        <w:t xml:space="preserve">La resolución judicial impugnada declarando la inadmisión de un recurso es en sí misma susceptible de ser impugnada a través del amparo constitucional, cuando a ella se imputa, de modo inmediato y directo, la violación de un derecho constitucional garantizado. </w:t>
      </w:r>
    </w:p>
    <w:p w:rsidR="00256EE9" w:rsidRDefault="00256EE9" w:rsidP="00256EE9">
      <w:pPr>
        <w:pStyle w:val="TextoNormal"/>
      </w:pPr>
      <w:r>
        <w:t xml:space="preserve">La resolución judicial impugnada tiene lugar el 10 de enero de 1985, dentro de la fase administrativa de un procedimiento de extradición pasiva. Fase que tiene carácter gubernativo-administrativo, según establece el preámbulo de la Ley de 26 de diciembre de 1958 y reconoce la doctrina del Tribunal Supremo, de la Audiencia Nacional y del Tribunal Constitucional. </w:t>
      </w:r>
    </w:p>
    <w:p w:rsidR="00256EE9" w:rsidRDefault="00256EE9" w:rsidP="00256EE9">
      <w:pPr>
        <w:pStyle w:val="TextoNormal"/>
      </w:pPr>
      <w:r>
        <w:t xml:space="preserve">Esta fase del procedimiento de extradición sigue teniendo carácter gubernativo, aunque sea necesaria la intervención judicial por mantener privado de libertad al reclamado más de setenta y dos horas, por imperativo del art. 17.2 de la Constitución. Las resoluciones que adopta en esta fase administrativa el Juez Central de Instrucción no admiten recurso alguno ante la Audiencia Nacional, pues esta última sólo entra a conocer y decidir en el expediente de extradición una vez iniciada la segunda fase del procedimiento, la judicial. Que en este caso concreto se inicia una vez que el Juez Central dicta la resolución establecida en el art. 16.2 en relación con el art. 17.2 de la Ley de 26 de diciembre de 1958. </w:t>
      </w:r>
    </w:p>
    <w:p w:rsidR="00256EE9" w:rsidRDefault="00256EE9" w:rsidP="00256EE9">
      <w:pPr>
        <w:pStyle w:val="TextoNormal"/>
      </w:pPr>
      <w:r>
        <w:lastRenderedPageBreak/>
        <w:t xml:space="preserve">La doctrina sentada por la Audiencia Nacional es constante en reiterar que las resoluciones y actuaciones judiciales o administrativas, efectuadas durante la fase administrativo-gubernativa del procedimiento no son susceptibles de revisión por la Audiencia Nacional, ni siquiera en la fase judicial del procedimiento de extradición, ni tan siquiera cuando se ha vulnerado una garantía o derecho constitucionalmente protegidos. </w:t>
      </w:r>
    </w:p>
    <w:p w:rsidR="00256EE9" w:rsidRDefault="00256EE9" w:rsidP="00256EE9">
      <w:pPr>
        <w:pStyle w:val="TextoNormal"/>
      </w:pPr>
      <w:r>
        <w:t xml:space="preserve">Semejante doctrina ha sido ya objeto de consideración del Tribunal Constitucional, quien la ha mantenido y reafirmado en ocasión del recurso de amparo núm. de registro 322/1983, Sala Segunda, Sección Tercera, promovido por el súbdito alemán Bern Dessauer por haber sido mantenido en prisión administrativa durante sesenta días, sin ser puesto a disposición judicial. </w:t>
      </w:r>
    </w:p>
    <w:p w:rsidR="00256EE9" w:rsidRDefault="00256EE9" w:rsidP="00256EE9">
      <w:pPr>
        <w:pStyle w:val="TextoNormal"/>
      </w:pPr>
      <w:r>
        <w:t xml:space="preserve">En consecuencia, la doctrina sentada por la Audiencia Nacional y el Tribunal Constitucional coinciden en su lógica jurídica en que contra la resolución del Juez Central de Instrucción, durante la fase gubernativa del procedimiento de extradición pasiva, no cabe recurso judicial alguno. Por lo que, de producirse una violación de derecho susceptible de amparo constitucional en un acto u omisión del Juzgado Central de Instrucción, de modo directo e inmediato, sólo cabe recurrir al amparo establecido en el art. 53.2 de la Constitución. </w:t>
      </w:r>
    </w:p>
    <w:p w:rsidR="00256EE9" w:rsidRDefault="00256EE9" w:rsidP="00256EE9">
      <w:pPr>
        <w:pStyle w:val="TextoNormal"/>
      </w:pPr>
      <w:r>
        <w:t xml:space="preserve">El recurso interpuesto ante este Alto Tribunal tiene por objeto que se reconozca expresamente el derecho del recurrente a que el recurso de reforma no se declare inadmisible sino por aplicación razonada de una causa legal, sin que proceda que esta Sala dicte una resolución sobre el fondo. En consecuencia, no procede que estas alegaciones se extiendan a consideraciones atinentes al fondo de los recursos de reforma interpuestos ante el Juzgado Central de Instrucción núm. 2 e inadmitidos por éste, sin aplicación razonada de una causa legal. </w:t>
      </w:r>
    </w:p>
    <w:p w:rsidR="00256EE9" w:rsidRDefault="00256EE9" w:rsidP="00256EE9">
      <w:pPr>
        <w:pStyle w:val="TextoNormal"/>
      </w:pPr>
      <w:r>
        <w:t xml:space="preserve">El Fiscal ha solicitado la inadmisión del asunto. Dice el Fiscal que aunque las resoluciones impugnadas adoptaron la forma de providencias, debieron configurarse como «Autos» por exigencia del art. 141 de la Ley de Enjuiciamiento Criminal, ya que decidían la reposición de providencias y que prescindiendo de su acierto en cuanto al fondo de lo resuelto, es indudable que eran impugnables. </w:t>
      </w:r>
    </w:p>
    <w:p w:rsidR="00256EE9" w:rsidRDefault="00256EE9" w:rsidP="00256EE9">
      <w:pPr>
        <w:pStyle w:val="TextoNormal"/>
      </w:pPr>
      <w:r>
        <w:t xml:space="preserve">Invocándose, como se invoca, en la demanda de amparo que las resoluciones combatidas violaban un derecho constitucional, como el definido en el art. 24.1 de la Constitución, es patente que no cabe calificarlas de providencias de mera tramitación, aunque refiriéndose a la Ley de Enjuiciamiento Civil y, por tanto, susceptibles de reposición que una vez desatendido dejaba abierta la apelación. </w:t>
      </w:r>
    </w:p>
    <w:p w:rsidR="00256EE9" w:rsidRDefault="00256EE9" w:rsidP="00256EE9">
      <w:pPr>
        <w:pStyle w:val="TextoNormal"/>
      </w:pPr>
      <w:r>
        <w:t>Que es así se reconoce en la propia demanda de amparo, por lo que parece evidente que incide en la causa de inadmisión prevista en el art. 50.1 b) por incumplimiento de lo dispuesto en el 44.1 a), ambos de la Ley Orgánica del Tribunal Constitucional, que exige la utilización de todos los medios normales de impugnación previstos en las Leyes, siendo así que el hoy recurrente de amparo las consintió acudiendo directamente a esta sede, cuando podía y debía haber empleado el régimen general de recursos, dada la vigencia en materia de extradición del Titulo VI del Libro IV de la Ley de Enjuiciamiento Criminal en virtud del art. 29 de la Ley de 26 de diciembre de 1958 y, en definitiva, de los arts. 216 a 219 y concordantes de aquélla, que viabilizaban la posibilidad de recurrir en reforma e incluso en apelación o, alternativamente del de queja, tanto más si, en el fondo, se estaba solicitando la libertad del extraditurus por prever expresamente el art. 16 de la Ley de Extradición el recurso de reforma e incluso -podría sostenerse-, aunque no se mencione, el de apelación conforme a lo dispuesto en los arts. 517 y 518 de la Ley de Enjuiciamiento Cri</w:t>
      </w:r>
      <w:r>
        <w:lastRenderedPageBreak/>
        <w:t>minal y el mismo art. 504, todos de la Ley de Enjuiciamiento Criminal, reformado el último por Ley Orgánica 9/1984.</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posible causa de inadmisión que en nuestro Acuerdo de 20 de febrero pasado pusimos de manifiesto en este asunto, era la prevenida en el art. 50.1 b), en relación con el art. 44.1 a) de la Ley Orgánica de este Tribunal y la formulamos, de conformidad con la letra del precepto últimamente indicado haciéndola consistir en no haberse agotado los recursos utilizables en la vía judicial. Aun cuando la literalidad del inciso a) del apartado 1 del artículo 44 de la Ley Orgánica de este Tribunal no es enteramente expresiva, este Tribunal ha tenido ocasión de interpretar el precepto en múltiples ocasiones y de esta interpretación pueden extraerse ya algunas directrices que permiten esclarecer el precepto y con ello la situación en alguna medida confusa en que el solicitante del presente amparo se coloca.  Este Tribunal ha señalado en múltiples ocasiones que cuando una violación de los derechos constitucionales, reconocidos en el art.  24 de la Constitución se comete en algún tramo o trámite de un procedimiento judicial, no es ajustado a la Ley Orgánica de este Tribunal interrumpir dicho procedimiento y acudir per saltum a este Tribunal sin haber agotado las vías judiciales procedentes, de suerte que el agotamiento de recursos de que habla el art. 44.1 a) de la Ley Orgánica de este Tribunal presupone el agotamiento de la vía judicial previa, pues, de otra manera, el precepto carecería del sentido que necesita para coordinarse con el art. 43, que requiere el agotamiento de una vía judicial.</w:t>
      </w:r>
    </w:p>
    <w:p w:rsidR="00256EE9" w:rsidRDefault="00256EE9" w:rsidP="00256EE9">
      <w:pPr>
        <w:pStyle w:val="TextoNormal"/>
      </w:pPr>
      <w:r>
        <w:t>El art. 44 requiere el agotamiento de la vía judicial con el plus de la interposición de los recursos que en ella se pueden entablar, y si bien la doctrina de este Tribunal ha suavizado esta exigencia, señalando que los aludidos recursos no son todos los posibles o imaginables, sino aquellos que deben considerarse razonablemente útiles, de ello no se puede extraer la conclusión de que no haya de interponerse ninguno.</w:t>
      </w:r>
    </w:p>
    <w:p w:rsidR="00256EE9" w:rsidRDefault="00256EE9" w:rsidP="00256EE9">
      <w:pPr>
        <w:pStyle w:val="TextoNormal"/>
      </w:pPr>
      <w:r>
        <w:t>Hemos declarado también que cuando está en juego un derecho constitucional, que se ha invocado adecuadamente, poniendo de manifiesto ante los órganos jurisdiccionales del Estado la pretensión jurídico-constitucional que el particular ejercita, es necesario articular algún recurso y si el órgano jurisdiccional los deniega, debe insistirse en el mismo sentido ante los superiores jerárquicos de él.</w:t>
      </w:r>
    </w:p>
    <w:p w:rsidR="00256EE9" w:rsidRDefault="00256EE9" w:rsidP="00256EE9">
      <w:pPr>
        <w:pStyle w:val="TextoNormal"/>
      </w:pPr>
    </w:p>
    <w:p w:rsidR="00256EE9" w:rsidRDefault="00256EE9" w:rsidP="00256EE9">
      <w:pPr>
        <w:pStyle w:val="TextoNormal"/>
      </w:pPr>
      <w:r w:rsidRPr="00256EE9">
        <w:rPr>
          <w:rStyle w:val="NumeroAFNegritaCaracter"/>
        </w:rPr>
        <w:t>2</w:t>
      </w:r>
      <w:r>
        <w:t>. El caso actualmente sometido a nuestra consideración, después de un examen detenido del mismo, permite sacar la conclusión, en estos momentos, de que las vías judiciales previas no se encuentran agotadas y que el ejercicio de los derechos constitucionales de don Jorge Luis Ochoa Vázquez en vía de amparo ante este Tribunal, es cuando menos intempestivo por anticipación.</w:t>
      </w:r>
    </w:p>
    <w:p w:rsidR="00256EE9" w:rsidRDefault="00256EE9" w:rsidP="00256EE9">
      <w:pPr>
        <w:pStyle w:val="TextoNormal"/>
      </w:pPr>
      <w:r>
        <w:t xml:space="preserve">Ante todo, es digno de ser resaltado que el señor Ochoa Vázquez tiene abierto un proceso jurisdiccional, amparado en la Ley 62/1978, de Protección de los Derechos Constitucionales, contra el Acuerdo del Consejo de Ministros, que autorizó su extradición y este proceso se encuentra todavía sin haber sido resuelto o, por lo menos, sin que de su solución se nos haya dado noticia; y es ese el trámite adecuado en el que pueden ponerse de manifiesto las irregularidades que puedan haberse cometido en la fase gubernativa del expediente de extradición.  A más de ello, ha de observarse que lo recurrido en amparo en este asunto son dos providencias del Juzgado Central de Instrucción núm. 2, las dictadas con fechas 10 de enero y 24 de enero de 1985, de las que se quiere deducir una negativa </w:t>
      </w:r>
      <w:r>
        <w:lastRenderedPageBreak/>
        <w:t>del Juzgado a proporcionar al solicitante del amparo la vía de los recursos judiciales; conclusión que no se obtiene necesariamente de la lectura de los antecedentes; pues lo cierto es que con ocasión de una providencia de mera tramitación, el solicitante del amparo pretendió, por la vía de intentar un recurso de reforma de dicha providencia, articular todos sus agravios contra el expediente de extradición, siendo de notar que en la providencia subsiguiente el Juez Central de Instrucción deja constancia de la oposición del interesado al expediente de extradición y a su extradición misma, ordenando la remisión de las actuaciones a la Audiencia Nacional, y que la decisión de tal órgano no ha sido requerida o, por lo menos, no se nos ha justificado que lo haya sido. Y si bien es verdad que el solicitante del amparo alega que la Audiencia Nacional viene sosteniendo la tesis de que en la fase jurisdiccional de la extradición, que se abre ante ella, no se pueden realizar alegaciones atinentes a la fase gubernativa, es verdad también que de acuerdo con los antecedentes que se nos han facilitado, el Acuerdo que puso fin a tal fase gubernativa se encuentra sometido a una decisión del Tribunal Supremo de Justicia, como hemos destacado en el apartado anterior.</w:t>
      </w:r>
    </w:p>
    <w:p w:rsidR="00256EE9" w:rsidRDefault="00256EE9" w:rsidP="00256EE9">
      <w:pPr>
        <w:pStyle w:val="TextoNormal"/>
      </w:pPr>
      <w:r>
        <w:t>Todas las observaciones que hemos hecho permiten concluir que, efectivamente, las vías judiciales previas no se encuentran agotadas y que la interposición en el momento actual del recurso de amparo resulta intempestiva por su anticipación, lo que hace que concurra la propuesta causa de inadmisibilidad del art. 50.1 b) de la Ley Orgánica de este Tribunal.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lo expuesto, la Sección acuerda la inadmisión del recurso de amparo interpuesto por don Jorge Luis Ochoa Vázquez.</w:t>
      </w:r>
    </w:p>
    <w:p w:rsidR="00256EE9" w:rsidRDefault="00256EE9" w:rsidP="00256EE9">
      <w:pPr>
        <w:pStyle w:val="TextoNormal"/>
      </w:pPr>
    </w:p>
    <w:p w:rsidR="00256EE9" w:rsidRDefault="00256EE9" w:rsidP="00256EE9">
      <w:pPr>
        <w:pStyle w:val="TextoNormal"/>
      </w:pPr>
      <w:r>
        <w:t>Madrid, a veintisiete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0" w:name="AUTO_1985_229"/>
      <w:r>
        <w:lastRenderedPageBreak/>
        <w:t>AUTO 229/1985, de 27 de marzo de 1985</w:t>
      </w:r>
    </w:p>
    <w:bookmarkEnd w:id="290"/>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ECLI:ES:TC:1985:229A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80/1985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1" w:name="AUTO_1985_230"/>
      <w:r>
        <w:lastRenderedPageBreak/>
        <w:t>AUTO 230/1985, de 28 de marzo de 1985</w:t>
      </w:r>
    </w:p>
    <w:bookmarkEnd w:id="291"/>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ECLI:ES:TC:1985:230A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Denegando la solicitud de recibimiento a prueba en el conflicto positivo de competencia 724/1984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En 22 de octubre de 1984, el Abogado del Estado, en representación del Gobierno, plantea conflicto constitucional positivo de competencia en relación con la Resolución de 10 de febrero de 1984, de la Dirección General de Industrias y Minas del Departamento de Industria y Energía del Consejo Ejecutivo de la Generalidad de Cataluña, «de autorización y declaración, en concreto, de utilidad pública de la línea aérea de alta tensión a 380 KV. desde la E.R. Sentmenat hasta la E.R. Girona-Sur, solicitada por la empresa «Fuerzas Eléctricas de Cataluña, S. A.». </w:t>
      </w:r>
    </w:p>
    <w:p w:rsidR="00256EE9" w:rsidRDefault="00256EE9" w:rsidP="00256EE9">
      <w:pPr>
        <w:pStyle w:val="TextoNormal"/>
      </w:pPr>
      <w:r>
        <w:t>El Abogado del Estado suplica se dicte en su día Sentencia por la que se declare que el Estado, a través del Ministerio de Industria y Energía, es el titular de la competencia para resolver sobre la autorización de la instalación de la línea de transporte de energía eléctrica a 380 KV., denominada «Estación Receptora Sentmenat-Estación Receptora Girona-Sur», y declaración de utilidad pública a efectos expropiatorios, declarando por tanto la nulidad de la resolución objeto del conflicto. Por otrosí, solicita la imposición de costas al Consejo Ejecutivo de la Generalidad de Cataluña, dada la práctica identidad de supuestos entre el presente conflicto y el que fue resuelto por la Sentencia del Tribunal 12/1984, y la falta de fundamentación, a juicio del Abogado del Estado, del rechazo al requerimiento por el Consejo Ejecutivo de la Generalidad.</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7 de noviembre de 1984, la Sección Segunda acordó admitir a trámite el conflicto, dar traslado al Consejo Ejecutivo de la Generalidad para que en el plazo de veinte días aportara cuantos documentos y alegaciones considerase conveniente, dirigir comunicación al Presidente de la Audiencia Territorial de Barcelona y publicar la formalización del recurso.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19 de diciembre de 1984, el Consejo Ejecutivo de la Generalidad, representado por el Abogado don Ramón María Llevadot i Roig, formula escrito de alegaciones en el que suplica se desestime la petición adversa y se declare que la Generalidad de Cataluña </w:t>
      </w:r>
      <w:r>
        <w:lastRenderedPageBreak/>
        <w:t xml:space="preserve">es competente para dictar la resolución impugnada. Por otrosí, al amparo del art. 89.1 de la LOTC, solicita del Tribunal acuerde la siguiente prueba: a) Solicitar del Consejo de Ministros copia literal del Acuerdo de fecha 9 de marzo de 1983, y la motivación del mismo, por el que se desiste del conflicto positivo de competencia planteado a la Generalidad de Cataluña en relación con la Resolución de 20 de abril de 1982 de autorización de la línea eléctrica entre E.R. </w:t>
      </w:r>
    </w:p>
    <w:p w:rsidR="00256EE9" w:rsidRDefault="00256EE9" w:rsidP="00256EE9">
      <w:pPr>
        <w:pStyle w:val="TextoNormal"/>
      </w:pPr>
      <w:r>
        <w:t xml:space="preserve">Sentmenat y E.R. Estangento. b) Solicitar igualmente de la Comisión Permanente del Consejo de Estado copia literal del dictamen de fecha 18 de noviembre de 1982 (número 44.625) emitido en relación con la Resolución de 20 de abril de 1982 de la Generalidad de Cataluña -Dirección General de Industria del Departamento de Industria y Energía e autorización y declaración de utilidad pública de una instalación eléctrica. </w:t>
      </w:r>
    </w:p>
    <w:p w:rsidR="00256EE9" w:rsidRDefault="00256EE9" w:rsidP="00256EE9">
      <w:pPr>
        <w:pStyle w:val="TextoNormal"/>
      </w:pPr>
      <w:r>
        <w:t>En el escrito de alegaciones se especifica que el mencionado dictamen corresponde al emitido por el Consejo de Estado en relación al conflicto que fue resuelto por este Tribunal en la Sentencia 12/1984 -que transcribe en lo que interesa-, en el sentido de considerar que existían razones suficientes para desistir del conflicto constitucional planteado; dictamen que dio lugar a que el Consejo de Ministros, en 9 de marzo de 1984, acordara el desistimiento en el indicado conflicto de competencia.</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16 de enero de 1985, la Sección acordó dar traslado de las alegaciones al Abogado del Estado para que en el plazo de diez días alegara lo que estimase procedente respecto a lo que se solicita en el otrosí del dicho escrito.</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Por escrito de 30 de enero de 1985, el Abogado del Estado solicita se declare la improcedencia de la prueba cuya práctica se solicita en el otrosí del representante del Consejo Ejecutivo de la Generalidad de Cataluña; asimismo, suplica que se le dé nuevo traslado para que pueda formular las alegaciones procedentes respecto a los documentos acompañados como anexos núms. 1, 2, 3 y 4 del mencionado escrito. </w:t>
      </w:r>
    </w:p>
    <w:p w:rsidR="00256EE9" w:rsidRDefault="00256EE9" w:rsidP="00256EE9">
      <w:pPr>
        <w:pStyle w:val="TextoNormal"/>
      </w:pPr>
      <w:r>
        <w:t xml:space="preserve">En cuanto a la improcedencia de la prueba, el Abogado del Estado manifiesta que tuvo conocimiento del dictamen del Consejo de Estado de 18 de noviembre de 1982, pero que ha ignorado hasta este momento que el Consejo de Ministros hubiera adoptado acuerdo alguno desistiendo del anterior conflicto núm. 358/1982, sin que en momento alguno llegara a recibir instrucciones para desistir del mismo, aun cuando reconoce su existencia por haberla podido confirmar después del escrito de alegaciones formulado por la Generalidad. </w:t>
      </w:r>
    </w:p>
    <w:p w:rsidR="00256EE9" w:rsidRDefault="00256EE9" w:rsidP="00256EE9">
      <w:pPr>
        <w:pStyle w:val="TextoNormal"/>
      </w:pPr>
      <w:r>
        <w:t xml:space="preserve">La documentación interesada, en cuanto pudiera tener relevancia a efectos de la imposición de costas, no es de necesaria aportación, a juicio del Abogado del Estado, dado que es suficiente con que por su parte no contradiga los hechos a que se refiere. Pero ocurre que la prueba no puede tener otra significación, dado que tal documentación se refiere a un proceso constitucional diferente, ya resuelto por Sentencia firme, y que en el dictamen emitido por el Consejo de Estado con carácter previo a la formalización del presente conflicto se sostiene que existen fundamentos jurídicos suficientes para mantener el requerimiento de incompetencia, al igual que sucede con respecto al criterio del Consejo de Ministros, que en sus Acuerdos de 1 de agosto y 17 de octubre de 1984, ordenó a la Abogacía del Estado la formalización del presente conflicto. </w:t>
      </w:r>
    </w:p>
    <w:p w:rsidR="00256EE9" w:rsidRDefault="00256EE9" w:rsidP="00256EE9">
      <w:pPr>
        <w:pStyle w:val="TextoNormal"/>
      </w:pPr>
      <w:r>
        <w:t>Nota común a ambas pruebas interesadas, prosigue el Abogado del Estado, es la de que la actividad probatoria no haría referencia a unos hechos que han quedado admitidos y por tanto no aparecen controvertidos. Lo que en realidad aparecería como objeto de la actividad probatoria son las consideraciones jurídicas en que la Comisión Permanente del Con</w:t>
      </w:r>
      <w:r>
        <w:lastRenderedPageBreak/>
        <w:t xml:space="preserve">sejo de Estado, y haciéndolas suyas el Consejo de Ministros, fundamentaron la decisión de desistir respecto al conflicto 358/1982. Después de referirse a la naturaleza de la actuación consultiva y a que la falta de eficacia del acuerdo del Consejo de Ministros en su momento corrobora la improcedencia de pretender ahora su exteriorización en un proceso distinto, manifiesta que la solicitud de la Generalidad implica, para el caso de que se accediese a la misma, la apertura de un período probatorio en el que la representación del Gobierno habría de tener la posibilidad de proponer nuevos medios de prueba. </w:t>
      </w:r>
    </w:p>
    <w:p w:rsidR="00256EE9" w:rsidRDefault="00256EE9" w:rsidP="00256EE9">
      <w:pPr>
        <w:pStyle w:val="TextoNormal"/>
      </w:pPr>
      <w:r>
        <w:t>Por último, el Abogado del Estado manifiesta que el escrito que formula se contrae a las alegaciones relativas a la prueba solicitada en el otrosí del escrito del Consejo Ejecutivo. Al margen de lo anterior, añade, y dado que en función de los términos del traslado que se evacúa estas alegaciones no deben extenderse a la documentación acompañada como anexos 1 a 4 del escrito del representante del Consejo Ejecutivo, se interesa del Tribunal un nuevo traslado para -según se entiende exigido por el principio de igualdad entre las partes en cuanto a posibilidades de contradicción procesalpoder formular tales alegaciones.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89.1 de la Ley Orgánica del Tribunal Constitucional establece que el Tribunal, de oficio o a instancia de parte, podrá acordar la práctica de prueba cuando lo estime necesario y resolverá libremente sobre la forma y el tiempo de su realización, sin que en ningún caso pueda exceder de treinta días.</w:t>
      </w:r>
    </w:p>
    <w:p w:rsidR="00256EE9" w:rsidRDefault="00256EE9" w:rsidP="00256EE9">
      <w:pPr>
        <w:pStyle w:val="TextoNormal"/>
      </w:pPr>
      <w:r>
        <w:t>En el presente caso, la prueba solicitada por el representante del Consejo Ejecutivo de la Generalidad afecta a unos documentos -cuya existencia reconoce el Abogado del Estado-, que se refieren a otro conflicto ya resuelto por la Sentencia 12/1984 de este Tribunal. Por ello, resulta claro que el conocimiento de dichos documentos no resulta necesario para resolver el presente conflicto y, en consecuencia, procede denegar la prueba indicada.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el Pleno del Tribunal acuerda denegar la prueba propuesta por la representación del Consejo Ejecutivo de la Generalidad de Cataluña.</w:t>
      </w:r>
    </w:p>
    <w:p w:rsidR="00256EE9" w:rsidRDefault="00256EE9" w:rsidP="00256EE9">
      <w:pPr>
        <w:pStyle w:val="TextoNormal"/>
      </w:pPr>
    </w:p>
    <w:p w:rsidR="00256EE9" w:rsidRDefault="00256EE9" w:rsidP="00256EE9">
      <w:pPr>
        <w:pStyle w:val="TextoNormal"/>
      </w:pPr>
      <w:r>
        <w:t>Madrid, a veintiocho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2" w:name="AUTO_1985_231"/>
      <w:r>
        <w:lastRenderedPageBreak/>
        <w:t>AUTO 231/1985, de 28 de marzo de 1985</w:t>
      </w:r>
    </w:p>
    <w:bookmarkEnd w:id="292"/>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ECLI:ES:TC:1985:231A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Denegando la suspensión solicitada por el Gobierno de la Resolución de 10 de febrero de 1984, de la Dirección General de Industria y Minas, del Departamento de Industria y Energía del Consejo Ejecutivo de la Generalidad de Cataluña, en el conflicto positivo de competencia 724/1984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en 22 de octubre de 1984, el Abogado del Estado, en representación del Gobierno, plantea conflicto constitucional positivo de competencia en relación con la Resolución de 10 de febrero de 1984, de la Dirección General de Industria y Minas del Departamento de Industria y Energía del Consejo Ejecutivo de la Generalidad de Cataluña «de autorización y declaración, en concreto, de utilidad pública de la línea aérea de alta tensión de 380 KV. desde la E.R. Sentmenat hasta la E.R. Girona-Sur, solicitada por la empresa «Fuerzas Eléctricas de Cataluña, S. A.», con la súplica de que se dicte Sentencia por la que se declare que el Estado, a través del Ministerio de Industria y Energía, es el titular de la competencia controvertida y, asimismo, la nulidad de la resolución objeto del conflicto.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5 de febrero de 1985, el Abogado del Estado presenta un nuevo escrito en el que suplica que, al haber invocado el Gobierno el art. 161.2 de la Constitución, se acuerde la suspensión inmediata de la resolución objeto del conflicto. </w:t>
      </w:r>
    </w:p>
    <w:p w:rsidR="00256EE9" w:rsidRDefault="00256EE9" w:rsidP="00256EE9">
      <w:pPr>
        <w:pStyle w:val="TextoNormal"/>
      </w:pPr>
      <w:r>
        <w:t xml:space="preserve">El Abogado del Estado manifiesta que se invocó por el Gobierno el artículo 161.2 de la Constitución, como acredita el punto segundo de la certificación del Consejo de Ministros de fecha 17 de octubre de 1984, acompañada al escrito de interposición del conflicto. </w:t>
      </w:r>
    </w:p>
    <w:p w:rsidR="00256EE9" w:rsidRDefault="00256EE9" w:rsidP="00256EE9">
      <w:pPr>
        <w:pStyle w:val="TextoNormal"/>
      </w:pPr>
      <w:r>
        <w:t>En dicho escrito, prosigue el Abogado del Estado, se omitió tal extremo, lo que explica que en el correspondiente anuncio publicado en el «Boletín Oficial del Estado» no se hiciera constar la mencionada invocación y consiguiente suspensión de la resolución autonómica; no obstante, la realidad de la invocación por el Gobierno del art. 161.2 de la Constitución en el momento de la formalización del conflicto ha de entenderse que determina el efecto de suspensión inmediata previsto en el art. 64.2 de la LOTC.</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Por providencia de la Sección Segunda de 7 de febrero de 1985, se acordó dar traslado del anterior escrito al Consejo Ejecutivo de la Generalidad de Cataluña, para que en el plazo de cinco días pueda exponer lo que estime al respecto.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En 21 de febrero de 1985, la representación del Consejo Ejecutivo presenta escrito por el que se opone a la suspensión solicitada. </w:t>
      </w:r>
    </w:p>
    <w:p w:rsidR="00256EE9" w:rsidRDefault="00256EE9" w:rsidP="00256EE9">
      <w:pPr>
        <w:pStyle w:val="TextoNormal"/>
      </w:pPr>
      <w:r>
        <w:t xml:space="preserve">Dicha representación sostiene que, de acuerdo con los arts. 64.2 y 82.2 de la LOTC y con el Real Decreto de 11 de julio de 1980, por el que se crea la Abogacía del Estado ante el Tribunal Constitucional, el requisito de la invocación expresa por el Abogado del Estado del art. 161.2 de la Constitución, a los efectos de obtener la suspensión, se configura como un elemento procesal imprescindible para la eficacia de la solicitud. </w:t>
      </w:r>
    </w:p>
    <w:p w:rsidR="00256EE9" w:rsidRDefault="00256EE9" w:rsidP="00256EE9">
      <w:pPr>
        <w:pStyle w:val="TextoNormal"/>
      </w:pPr>
      <w:r>
        <w:t xml:space="preserve">Por otra parte, en cuanto al momento y lugar en que debiera hacerse la invocación del art. 161.2 de la Constitución, afirma que, conforme al art. 85.1 de la LOTC, no puede ser otro que en el escrito de iniciación del proceso constitucional, en el que deberá fijarse con precisión y claridad lo que se pida, sin que la orden del Consejo de Ministros dirigida al Abogado del Estado pueda tener eficacia procesal a los efectos de producir una suspensión que no fue solicitada en el término y trámite establecidos. Desde una perspectiva procesal el escrito presentado por el Abogado del Estado constituye una velada e improcedente ampliación de la demanda que se fundamenta en un acuerdo del Consejo de Ministros anterior y conocido por el mismo, pretendiendo que se tenga por hecha una invocación que en su día no se hizo, después de que la relación procesal ha quedado perfecta y válidamente constituida. </w:t>
      </w:r>
    </w:p>
    <w:p w:rsidR="00256EE9" w:rsidRDefault="00256EE9" w:rsidP="00256EE9">
      <w:pPr>
        <w:pStyle w:val="TextoNormal"/>
      </w:pPr>
      <w:r>
        <w:t xml:space="preserve">El mecanismo de la suspensión prevista por el art. 161.2 de la Constitución, y recogido más específicamente en el art. 64.2 de la LOTC, para el conflicto positivo de competencia, opera de forma automática como consecuencia de su invocación ante el Tribunal Constitucional, operatividad que evidencia la adopción del principio de justicia rogada, no pudiendo el Tribunal, sin incurrir en incongruencia, acordar más o algo distinto de lo acordado. </w:t>
      </w:r>
    </w:p>
    <w:p w:rsidR="00256EE9" w:rsidRDefault="00256EE9" w:rsidP="00256EE9">
      <w:pPr>
        <w:pStyle w:val="TextoNormal"/>
      </w:pPr>
      <w:r>
        <w:t xml:space="preserve">El carácter excepcional de la suspensión previsto en el art. 64.2 de la LOTC, derivado de su operatividad automática por invocación del art. 161.2 de la Constitución, da lugar a que la interpretación del mismo se haga necesariamente de forma restrictiva. </w:t>
      </w:r>
    </w:p>
    <w:p w:rsidR="00256EE9" w:rsidRDefault="00256EE9" w:rsidP="00256EE9">
      <w:pPr>
        <w:pStyle w:val="TextoNormal"/>
      </w:pPr>
      <w:r>
        <w:t xml:space="preserve">Por otra parte, prosigue la representación del Consejo Ejecutivo, el carácter privilegiado que se atribuye a la impugnación por el Gobierno de una disposición o resolución de una Comunidad Autónoma, con invocación del art. 161.2 de la Constitución, viene compensado por la LOTC -art. 64.2- al vincular de modo indisoluble la invocación del art. 161.2 a la formalización del conflicto. </w:t>
      </w:r>
    </w:p>
    <w:p w:rsidR="00256EE9" w:rsidRDefault="00256EE9" w:rsidP="00256EE9">
      <w:pPr>
        <w:pStyle w:val="TextoNormal"/>
      </w:pPr>
      <w:r>
        <w:t>Finalmente, la representación del Consejo Ejecutivo insiste en la naturaleza del orden público que revisten las normas procesales y los requisitos que las mismas establecen, siendo incuestionable que tanto aquéllas como éstos han sido concebidos y actúan no como arbitrarios obstáculos a superar para obtener la tutela efectiva de los Tribunales, sino como instrumentos de garantía del ejercicio de los derechos.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 xml:space="preserve">Unico.  El art.  64.2 de la Ley Orgánica del Tribunal Constitucional establece que si el conflicto positivo hubiere sido entablado por el Gobierno con invocación del art. 161.2 de la Constitución, su formalización comunicada por el Tribunal suspenderá inmediatamente la vigencia de la disposición, resolución o acto que hubiesen dado origen al conflicto.  Y, </w:t>
      </w:r>
      <w:r>
        <w:lastRenderedPageBreak/>
        <w:t>por otra parte, el art.  82.2 de la propia Ley establece que los órganos ejecutivos del Estado serán representados y defendidos por los Abogados del Estado.</w:t>
      </w:r>
    </w:p>
    <w:p w:rsidR="00256EE9" w:rsidRDefault="00256EE9" w:rsidP="00256EE9">
      <w:pPr>
        <w:pStyle w:val="TextoNormal"/>
      </w:pPr>
      <w:r>
        <w:t>En el presente caso el Abogado del Estado no invocó el art.  161.2 de la Constitución en el escrito de formalización del conflicto, y pretende con posterioridad que tal invocación se tenga por efectuada por el hecho de que en el Acuerdo del Consejo de Ministros de 17 de octubre de 1984 -acompañado al escrito inicial- se ordenara a la Abogacía del Estado ante el Tribunal el planteamiento del conflicto con expresa invocación del art.  161.2 de la Constitución.</w:t>
      </w:r>
    </w:p>
    <w:p w:rsidR="00256EE9" w:rsidRDefault="00256EE9" w:rsidP="00256EE9">
      <w:pPr>
        <w:pStyle w:val="TextoNormal"/>
      </w:pPr>
      <w:r>
        <w:t>Esta posición del Abogado del Estado no puede ser compartida por el Tribunal, que resuelve en función de las alegaciones y pretensiones formuladas en el proceso y no en función de las instrucciones que recibe la representación de las partes.  El Tribunal no puede tener por realizada una invocación del art.  161.2 de la Constitución, que no se ha efectuado en el proceso, con los efectos jurídicos correspondientes al supuesto en que se hubiera realizado.</w:t>
      </w:r>
    </w:p>
    <w:p w:rsidR="00256EE9" w:rsidRDefault="00256EE9" w:rsidP="00256EE9">
      <w:pPr>
        <w:pStyle w:val="TextoNormal"/>
      </w:pPr>
      <w:r>
        <w:t>El Abogado del Estado tampoco efectúa ahora la invocación, sino que nos remite a las instrucciones que recibió del Gobierno, que son intrascendentes al no haber sido reflejadas en modo alguno en el escrito de formalización del conflicto. Pero aun cuando pudiera entenderse que la invocación se hace en el escrito presentado con posterioridad, debería señalarse que una vez pasado el trámite adecuado para ello -y una vez perfeccionada la relación procesal- la invocación del art.  161.2 ya no puede efectuarse. Podría admitirse que se pidiera la suspensión acreditando que de otro modo se producirían daños de difícil o imposible reparación; pero tal invocación no se efectúa en el proceso, por lo que no es necesario entrar en un examen detenido de este supuesto.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de todo lo expuesto, el Tribunal acuerda denegar la suspensión solicitada por el Abogado del Estado.</w:t>
      </w:r>
    </w:p>
    <w:p w:rsidR="00256EE9" w:rsidRDefault="00256EE9" w:rsidP="00256EE9">
      <w:pPr>
        <w:pStyle w:val="TextoNormal"/>
      </w:pPr>
    </w:p>
    <w:p w:rsidR="00256EE9" w:rsidRDefault="00256EE9" w:rsidP="00256EE9">
      <w:pPr>
        <w:pStyle w:val="TextoNormal"/>
      </w:pPr>
      <w:r>
        <w:t>Madrid, a veintiocho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3" w:name="AUTO_1985_232"/>
      <w:r>
        <w:lastRenderedPageBreak/>
        <w:t>AUTO 232/1985, de 28 de marzo de 1985</w:t>
      </w:r>
    </w:p>
    <w:bookmarkEnd w:id="293"/>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ECLI:ES:TC:1985:232A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Acordando haber lugar al desistimiento del Abogado del Estado en el conflicto positivo de competencia 35/1985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Gobierno de la Nación, mediante escrito presentado el 14 de enero de 1985, plantea conflicto positivo de competencia, con expresa invocación del art. 161.2 de la Constitución a efectos de suspensión, en relación con el Decreto de la Comunidad Autónoma de las Islas Baleares 55/1984, de 26 de julio, de creación de la Gerencia de la campaña para la normalización lingüística.</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16 de enero de 1985, la Sección Primera del Pleno de este Tribunal Constitucional acuerda admitir a trámite el conflicto, con suspensión de la vigencia y aplicación del referido Decreto, y dar traslado del escrito de planteamiento y documentos presentados al Gobierno de la Comunidad Autónoma de las Islas Baleares, a fin de que formule las alegaciones que considere convenientes en el plazo legal habilitado al efecto.</w:t>
      </w:r>
    </w:p>
    <w:p w:rsidR="00256EE9" w:rsidRDefault="00256EE9" w:rsidP="00256EE9">
      <w:pPr>
        <w:pStyle w:val="TextoNormal"/>
      </w:pPr>
    </w:p>
    <w:p w:rsidR="00256EE9" w:rsidRDefault="00256EE9" w:rsidP="00256EE9">
      <w:pPr>
        <w:pStyle w:val="TextoNormal"/>
      </w:pPr>
      <w:r w:rsidRPr="00256EE9">
        <w:rPr>
          <w:rStyle w:val="NumeroAFNegritaCaracter"/>
        </w:rPr>
        <w:t>3</w:t>
      </w:r>
      <w:r>
        <w:t>. Por escrito presentado el 8 de febrero pasado, el Gobierno de la Comunidad Autónoma de las Islas Baleares, comparecido en tiempo y forma, solicita de este Tribunal dicte en su día Sentencia por la que declare haber sido atendido el requerimiento de incompetencia y haber quedado sin objeto el conflicto positivo de competencia planteado y, subsidiariamente, en su caso, que la cuestión suscitada no es competencia del Tribunal Constitucional, sino que debe residenciarse ante la jurisdición contencioso-administrativa.</w:t>
      </w:r>
    </w:p>
    <w:p w:rsidR="00256EE9" w:rsidRDefault="00256EE9" w:rsidP="00256EE9">
      <w:pPr>
        <w:pStyle w:val="TextoNormal"/>
      </w:pPr>
    </w:p>
    <w:p w:rsidR="00256EE9" w:rsidRDefault="00256EE9" w:rsidP="00256EE9">
      <w:pPr>
        <w:pStyle w:val="TextoNormal"/>
      </w:pPr>
      <w:r w:rsidRPr="00256EE9">
        <w:rPr>
          <w:rStyle w:val="NumeroAFNegritaCaracter"/>
        </w:rPr>
        <w:t>4</w:t>
      </w:r>
      <w:r>
        <w:t>. El Abogado del Estado, en escrito presentado el 22 de febrero de 1985, al que adjunta certificación del Ministro de la Presidencia y Secretario del Consejo de Ministros de 6 de febrero del corriente, manifiesta que, en ejecución de lo acordado por el Consejo de Ministros en su reunión de 6 de febrero de 1985, viene a desistir del mencionado conflicto, a la vista de que el Gobierno balear ha dictado el Decreto 153/1984, de 6 de diciembre, por el que se modifica el impugnado, adaptándolo a las previsiones de la Ley 30/1984, de Medidas Urgentes para la Reforma de la Función Pública y subsanando con ello los motivos que justificaron el planteamiento del conflicto.</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La Sección Primera del Pleno de este Tribunal, en providencia de 27 de febrero último, acuerda dar traslado del referido escrito al Gobierno de la Comunidad Autónoma de las Islas Baleares para que alegue lo que estime procedente con respecto a dicho desistimiento. </w:t>
      </w:r>
    </w:p>
    <w:p w:rsidR="00256EE9" w:rsidRDefault="00256EE9" w:rsidP="00256EE9">
      <w:pPr>
        <w:pStyle w:val="TextoNormal"/>
      </w:pPr>
      <w:r>
        <w:t>Dentro del plazo concedido el Abogado del Gobierno de la referida Comunidad, evacuando el traslado conferido, manifiesta que no tiene nada que oponer al desistimiento efectuado por el Gobierno.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Señala expresamente el art. 86 de la Ley Orgánica del Tribunal Constitucional como una de las posibles formas de decisión de los procesos constitucionales el desistimiento mediante Auto, y el art.  80 de la misma Ley remite a la de Enjuiciamiento Civil con carácter supletorio en dicha materia de desistimiento que, si bien no aparece regulado de manera clara y sistemática, la jurisprudencia muy reiteradamente lo configura como modo admitido para poner fin al proceso.</w:t>
      </w:r>
    </w:p>
    <w:p w:rsidR="00256EE9" w:rsidRDefault="00256EE9" w:rsidP="00256EE9">
      <w:pPr>
        <w:pStyle w:val="TextoNormal"/>
      </w:pPr>
    </w:p>
    <w:p w:rsidR="00256EE9" w:rsidRDefault="00256EE9" w:rsidP="00256EE9">
      <w:pPr>
        <w:pStyle w:val="TextoNormal"/>
      </w:pPr>
      <w:r w:rsidRPr="00256EE9">
        <w:rPr>
          <w:rStyle w:val="NumeroAFNegritaCaracter"/>
        </w:rPr>
        <w:t>2</w:t>
      </w:r>
      <w:r>
        <w:t>. Formulada por el Abogado del Estado, en representación del Gobierno, solicitud de que se le tenga por desistido del presente conflicto positivo de competencia y habiendo mostrado su conformidad a tal petición, el Abogado del Gobierno de la Comunidad Autónoma de las Islas Baleares, procede declarar terminado este proceso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su virtud, el Pleno del Tribunal Constitucional ha acordado tener al Abogado del Estado, en representación del Gobierno de la Nación, por desistido del conflicto positivo de competencia núm.</w:t>
      </w:r>
    </w:p>
    <w:p w:rsidR="00256EE9" w:rsidRDefault="00256EE9" w:rsidP="00256EE9">
      <w:pPr>
        <w:pStyle w:val="TextoNormal"/>
      </w:pPr>
      <w:r>
        <w:t>35/1985, promovido en relación con el Decreto de la Comunidad Autónoma de las Islas Baleares 55/1984, de 26 de julio, de creación de la Gerencia de la campaña para la normalización lingüística, levantándose, en consecuencia, la suspensión de dicho</w:t>
      </w:r>
    </w:p>
    <w:p w:rsidR="00256EE9" w:rsidRDefault="00256EE9" w:rsidP="00256EE9">
      <w:pPr>
        <w:pStyle w:val="TextoNormal"/>
      </w:pPr>
      <w:r>
        <w:t>Decreto que fue acordada en providencia de la Sección Primera del Pleno de este Tribunal de 16 de enero de 1985 y publicada en el «Boletín Oficial del Estado» núm. 24, de 28 de enero del corriente.</w:t>
      </w:r>
    </w:p>
    <w:p w:rsidR="00256EE9" w:rsidRDefault="00256EE9" w:rsidP="00256EE9">
      <w:pPr>
        <w:pStyle w:val="TextoNormal"/>
      </w:pPr>
    </w:p>
    <w:p w:rsidR="00256EE9" w:rsidRDefault="00256EE9" w:rsidP="00256EE9">
      <w:pPr>
        <w:pStyle w:val="TextoNormal"/>
      </w:pPr>
      <w:r>
        <w:t>Publíquese el desistimiento y levantamiento acordados en el «Boletín Oficial del Estado» y en el «Boletín Oficial de la Comunidad Autónoma de las Islas Baleares», y comuníquese al Presidente de la Audiencia Territorial de Palma de Mallorca a los efectos</w:t>
      </w:r>
    </w:p>
    <w:p w:rsidR="00256EE9" w:rsidRDefault="00256EE9" w:rsidP="00256EE9">
      <w:pPr>
        <w:pStyle w:val="TextoNormal"/>
      </w:pPr>
      <w:r>
        <w:t>del art. 61.2 de la Ley Orgánica del Tribunal Constitucional.</w:t>
      </w:r>
    </w:p>
    <w:p w:rsidR="00256EE9" w:rsidRDefault="00256EE9" w:rsidP="00256EE9">
      <w:pPr>
        <w:pStyle w:val="TextoNormal"/>
      </w:pPr>
      <w:r>
        <w:t>Madrid, a veintiocho de marzo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4" w:name="AUTO_1985_233"/>
      <w:r>
        <w:lastRenderedPageBreak/>
        <w:t>AUTO 233/1985, de 10 de abril de 1985</w:t>
      </w:r>
    </w:p>
    <w:bookmarkEnd w:id="294"/>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ECLI:ES:TC:1985:233A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572/1984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26 de julio de 1984, tuvo entrada en este Tribunal Constitucional recurso de amparo formulado por la Procuradora de los Tribunales doña María del Carmen Vinader Moraleda, en nombre y representación de don Ramón Rodríguez Touza, frente a Sentencia dictada en apelación por la Sección Sexta de la Audiencia Provincial de Madrid, mediante la que se confirmó la del Juzgado de Distrito núm. 30 en autos sobre revisión de rentas. </w:t>
      </w:r>
    </w:p>
    <w:p w:rsidR="00256EE9" w:rsidRDefault="00256EE9" w:rsidP="00256EE9">
      <w:pPr>
        <w:pStyle w:val="TextoNormal"/>
      </w:pPr>
      <w:r>
        <w:t xml:space="preserve">El recurso de amparo se basa, en sustancia, en los hechos siguientes: </w:t>
      </w:r>
    </w:p>
    <w:p w:rsidR="00256EE9" w:rsidRDefault="00256EE9" w:rsidP="00256EE9">
      <w:pPr>
        <w:pStyle w:val="TextoNormal"/>
      </w:pPr>
      <w:r>
        <w:t xml:space="preserve">A) Con fecha 22 de julio de 1983, el Juzgado de Distrito núm. 30 de Madrid dictó Sentencia por la que estimando la demanda formulada en juicio de cognición por «Inmobiliaria Urbis, S. A.» contra el hoy demandante de amparo, declaró la legitimidad del aumento de renta derivada de la aplicación de la cláusula de revisión pactada en contrato de arrendamiento celebrado por las partes y condenó, en consecuencia, al señor Rodríguez Touza, como arrendatario, al pago del referido aumento de renta con imposición de costas. </w:t>
      </w:r>
    </w:p>
    <w:p w:rsidR="00256EE9" w:rsidRDefault="00256EE9" w:rsidP="00256EE9">
      <w:pPr>
        <w:pStyle w:val="TextoNormal"/>
      </w:pPr>
      <w:r>
        <w:t>B) Frente a la anterior Sentencia, interpuso el señor Rodríguez Touza recurso de apelación, en el que, con fecha 21 de mayo de 1984, la Sección Sexta de la Audiencia Provincial de Madrid dictó Sentencia, notificada, según se alega en el escrito de amparo, el día 2 de julio siguiente, por la que desestimó la apelación interpuesta, confirmando en su integridad la Sentencia de instancia.</w:t>
      </w:r>
    </w:p>
    <w:p w:rsidR="00256EE9" w:rsidRDefault="00256EE9" w:rsidP="00256EE9">
      <w:pPr>
        <w:pStyle w:val="TextoNormal"/>
      </w:pPr>
    </w:p>
    <w:p w:rsidR="00256EE9" w:rsidRDefault="00256EE9" w:rsidP="00256EE9">
      <w:pPr>
        <w:pStyle w:val="TextoNormal"/>
      </w:pPr>
      <w:r w:rsidRPr="00256EE9">
        <w:rPr>
          <w:rStyle w:val="NumeroAFNegritaCaracter"/>
        </w:rPr>
        <w:t>2</w:t>
      </w:r>
      <w:r>
        <w:t>. La presente demanda de amparo se dirige frente a la referida Sentencia de la Sección Sexta de la Audiencia Provincial de Madrid y se fundamenta en la presunta violación de los derechos a la igualdad, a una tutela jurisdiccional efectiva y a la seguridad jurídica, reconocidos respectivamente por los arts. 14, 24.1, 9 y 17 de la C.E. Dicha violación se habría producido, según se alega en el escrito de amparo, al dictar otras Secciones del mismo organismo judicial, cuya resolución aquí se impugna, con anterioridad (18 de febrero de 1984, Sentencia de la Sección Quinta), y con posterioridad (4 de julio, Sentencia de la Sección Segunda) a ésta, resoluciones distintas y en sentido favorable respecto a otros arrendatarios de viviendas propiedad de «Inmobiliaria Urbis», en base a una cláusula idéntica de revisión de la renta.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Se solicita de este Tribunal que declare la nulidad de la referida Sentencia de la Audiencia Provincial de Madrid, reconociendo expresamente el derecho del recurrente a que se acuerde por esa Audiencia la revisión y práctica de un nuevo recurso de apelación al objeto de que dicte Sentencia unívoca e igual a las que por los mismos hechos se han dictado por dicha Audiencia.</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mediante providencia de 3 de octubre de 1984, hizo saber a la representación del demandante de amparo la posible concurrencia del siguiente motivo de inadmisión: carecer la demanda manifiestamente de contenido que justifique una decisión por parte del Tribunal Constitucional, conforme a lo establecido en la Ley Orgánica del mismo (LOTC). Por lo que, según lo dispuesto en el art. 50 de la LOTC, se concedió al recurrente y al Ministerio Fiscal un plazo común de diez días, a fin de que formulasen las alegaciones que estimasen convenientes.</w:t>
      </w:r>
    </w:p>
    <w:p w:rsidR="00256EE9" w:rsidRDefault="00256EE9" w:rsidP="00256EE9">
      <w:pPr>
        <w:pStyle w:val="TextoNormal"/>
      </w:pPr>
    </w:p>
    <w:p w:rsidR="00256EE9" w:rsidRDefault="00256EE9" w:rsidP="00256EE9">
      <w:pPr>
        <w:pStyle w:val="TextoNormal"/>
      </w:pPr>
      <w:r w:rsidRPr="00256EE9">
        <w:rPr>
          <w:rStyle w:val="NumeroAFNegritaCaracter"/>
        </w:rPr>
        <w:t>5</w:t>
      </w:r>
      <w:r>
        <w:t>. El Ministerio Fiscal, dentro del plazo conferido, formuló sus alegaciones, en el sentido de apreciar que concurría el vicio señalado por la anterior providencia. De un lado, expone el Ministerio Fiscal que es inexistente la violación del principio de igualdad, pues de las dos Sentencias que se aportan como término de comparación, únicamente la que es anterior en el tiempo a la que es aquí impugnada en amparo, sería relevante a los efectos de estimar la supuesta violación constitucional, y lo cierto es que no puede afirmarse que dicha Sentencia implique un tratamiento distinto para un caso igual, pues la misma contiene solamente la declaración de que la operación matemática que produce la elevación de la renta, está mal realizada por haber equivocación en el índice de aumento, elegido para concretar la revisión. De otro lado, considera que tampoco ha existido violación del art. 24.1 de la C.E., puesto que el solicitante de amparo ha tenido acceso al proceso, ha aportado las pruebas pertinentes y ha obtenido una resolución judicial conforme al contenido de dicho mandato constitucional, independientemente de que éste haya sido favorable o no a sus tesis. Por todo ello, concluye el Ministerio Fiscal interesando de este Tribunal la inadmisión del recurso de amparo.</w:t>
      </w:r>
    </w:p>
    <w:p w:rsidR="00256EE9" w:rsidRDefault="00256EE9" w:rsidP="00256EE9">
      <w:pPr>
        <w:pStyle w:val="TextoNormal"/>
      </w:pPr>
    </w:p>
    <w:p w:rsidR="00256EE9" w:rsidRDefault="00256EE9" w:rsidP="00256EE9">
      <w:pPr>
        <w:pStyle w:val="TextoNormal"/>
      </w:pPr>
      <w:r w:rsidRPr="00256EE9">
        <w:rPr>
          <w:rStyle w:val="NumeroAFNegritaCaracter"/>
        </w:rPr>
        <w:t>6</w:t>
      </w:r>
      <w:r>
        <w:t>. Dentro del mismo plazo, la representación del recurrente formuló escrito de alegaciones en el que se reiteran básicamente las ya aducidas en su escrito inicial de solicitud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Auto es determinar si concurre en el presente recurso el motivo de inadmisión previsto en el art. 50.2 b) de la LOTC y señalado en nuestra Providencia de 3 de octubre de 1984, consistente en la falta manifiesta de contenido que justifique una decisión por parte de este Tribunal Constitucional.  El recurrente alega que la Sentencia impugnada vulnera los arts.  14, 24.1, 9.3 y 17 de la Constitución.  Sin embargo, la cuestión planteada se limita, en último término, como se verá inmediatamente, a la posible vulneración del principio de igualdad consagrado por el primero de los artículos citados.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efecto, del resto de los preceptos constitucionales invocados por el recurrente, hay que descartar de entrada el art. 9, aparte de otras razones, porque los derechos que de </w:t>
      </w:r>
      <w:r>
        <w:lastRenderedPageBreak/>
        <w:t>él pudieran derivarse no son susceptibles de amparo según los arts. 53.2 de la Constitución y 41.1 de la LOTC. Tampoco requiere un examen particular el art. 24.1 relativo a la tutela judicial efectiva, puesto que el recurrente ha tenido acceso al proceso, ha expuesto en sus dos instancias los argumentos que ha creído oportuno y ha obtenido decisiones judiciales fundadas en Derecho, todo lo cual constituye el núcleo esencial del derecho a la tutela judicial efectiva, con independencia de que esas decisiones le fuesen o no favorables. Y en cuanto al art. 17 de la Constitución, esta norma se refiere a supuestos de libertad y seguridad personales, muy diferentes del alcance fundamentalmente económico del proceso que da origen al presente recurso de amparo.</w:t>
      </w:r>
    </w:p>
    <w:p w:rsidR="00256EE9" w:rsidRDefault="00256EE9" w:rsidP="00256EE9">
      <w:pPr>
        <w:pStyle w:val="TextoNormal"/>
      </w:pPr>
    </w:p>
    <w:p w:rsidR="00256EE9" w:rsidRDefault="00256EE9" w:rsidP="00256EE9">
      <w:pPr>
        <w:pStyle w:val="TextoNormal"/>
      </w:pPr>
      <w:r w:rsidRPr="00256EE9">
        <w:rPr>
          <w:rStyle w:val="NumeroAFNegritaCaracter"/>
        </w:rPr>
        <w:t>3</w:t>
      </w:r>
      <w:r>
        <w:t>. Centrando, por tanto, la cuestión planteada en una supuesta violación del principio de igualdad por los órganos judiciales, por haber dictado Sentencias en sentido opuesto a la que ha recaído en su proceso, y en supuestos en sustancia iguales, la misma Audiencia Provincial de Madrid, conviene recordar ante todo la doctrina sentada en la materia por este Tribunal. Puede resumirse esta doctrina diciendo que se produce una lesión al principio de igualdad cuando el mismo órgano judicial dicta resoluciones contradictorias en casos iguales, siempre que no se aduzcan razones que expliquen un cambio de doctrina. Pero no puede invocarse ese principio cuando las Sentencias proceden de órganos judiciales distintos, y ello porque cada Juez es independiente en el ejercicio de su función jurisdiccional (Sentencia núm. 49/1982, de 14 de julio, cuya doctrina ha sido reiterada en numerosas resoluciones posteriores).  En el presente recurso el recurrente invoca dos Sentencias, una anterior y otra posterior, a la que se dictó en su caso.  Esta última no es aceptable como término de comparación, pues al ser como se acaba de decir posterior a la que ahora se impugna sería aquélla y no ésta la que hubiese podido producir la desigualdad que se denuncia.</w:t>
      </w:r>
    </w:p>
    <w:p w:rsidR="00256EE9" w:rsidRDefault="00256EE9" w:rsidP="00256EE9">
      <w:pPr>
        <w:pStyle w:val="TextoNormal"/>
      </w:pPr>
    </w:p>
    <w:p w:rsidR="00256EE9" w:rsidRDefault="00256EE9" w:rsidP="00256EE9">
      <w:pPr>
        <w:pStyle w:val="TextoNormal"/>
      </w:pPr>
      <w:r w:rsidRPr="00256EE9">
        <w:rPr>
          <w:rStyle w:val="NumeroAFNegritaCaracter"/>
        </w:rPr>
        <w:t>4</w:t>
      </w:r>
      <w:r>
        <w:t>. Reducido el término de comparación a la resolución anterior a la impugnada es de observar que una y otra han sido dictadas por distintas Secciones de la misma Audiencia Provincial.  Pero esas Secciones, aunque están integradas en el mismo órgano, actúan como juzgadores independientes entre sí, por lo que a los efectos que aquí importan, les es aplicable el mismo razonamiento y la misma conclusión que si fueran órganos distintos, es decir, por su independencia en el ejercicio de la función jurisdiccional, no puede afirmarse que sus resoluciones, aunque fuesen contradictorias, vulneren el principio de igualdad ante la Ley.  Esta conclusión hace que sea superfluo entrar en el examen llevado a cabo por el Ministerio Fiscal de si es cierta o no la existencia de una verdadera contradicción entre ambas Sentencias. Es de advertir que también la Sentencia posterior a la impugnada procede de una Sección de la Audiencia diferente de la que pronunció las dos anteriores, aunque, como se ha dicho, no quepa a los fines del presente recurso tomarla en consideración.</w:t>
      </w:r>
    </w:p>
    <w:p w:rsidR="00256EE9" w:rsidRDefault="00256EE9" w:rsidP="00256EE9">
      <w:pPr>
        <w:pStyle w:val="TextoNormal"/>
      </w:pPr>
    </w:p>
    <w:p w:rsidR="00256EE9" w:rsidRDefault="00256EE9" w:rsidP="00256EE9">
      <w:pPr>
        <w:pStyle w:val="TextoNormal"/>
      </w:pPr>
      <w:r w:rsidRPr="00256EE9">
        <w:rPr>
          <w:rStyle w:val="NumeroAFNegritaCaracter"/>
        </w:rPr>
        <w:t>5</w:t>
      </w:r>
      <w:r>
        <w:t>. De todo lo expuesto, resulta que la Sentencia no vulnera ninguno de los preceptos constitucionales invocados, por lo que concurre en la demanda el supuesto de inadmisión señalado en nuestra providencia de 3 de octubre de 1984, es decir, la carencia manifiesta de contenido que justifique una decisión (entiéndase por Sentencia) de este Tribunal Constitucional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En consecuencia, la Sección acuerda la inadmisión del recurso, y el archivo de las actuaciones.</w:t>
      </w:r>
    </w:p>
    <w:p w:rsidR="00256EE9" w:rsidRDefault="00256EE9" w:rsidP="00256EE9">
      <w:pPr>
        <w:pStyle w:val="TextoNormal"/>
      </w:pPr>
    </w:p>
    <w:p w:rsidR="00256EE9" w:rsidRDefault="00256EE9" w:rsidP="00256EE9">
      <w:pPr>
        <w:pStyle w:val="TextoNormal"/>
      </w:pPr>
      <w:r>
        <w:t>Madrid, a diez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5" w:name="AUTO_1985_234"/>
      <w:r>
        <w:lastRenderedPageBreak/>
        <w:t>AUTO 234/1985, de 10 de abril de 1985</w:t>
      </w:r>
    </w:p>
    <w:bookmarkEnd w:id="295"/>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ECLI:ES:TC:1985:234A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756/1984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este Tribunal el día 31 de octubre de 1984, don Alfonso González Aranda dice interponer recurso de amparo contra la Sentencia dictada por la Audiencia Provincial de Málaga de 22 de marzo de 1983, que le condenaba como autor de un delito contra la salud pública. Estima el recurrente que dicha Sentencia, que fue confirmada en casación, vulnera el art. 24 de la Constitución, por cuanto no se ha tenido en cuenta el principio de la presunción de inocencia. </w:t>
      </w:r>
    </w:p>
    <w:p w:rsidR="00256EE9" w:rsidRDefault="00256EE9" w:rsidP="00256EE9">
      <w:pPr>
        <w:pStyle w:val="TextoNormal"/>
      </w:pPr>
      <w:r>
        <w:t>Dice el demandante en su escrito que el Juzgado de Instrucción núm. 2 de Marbella tramitó el sumario núm. 3/1982 por el supuesto delito contra la salud pública en el que estaban inculpadas varias personas, entre ellas el hoy compareciente, sumario que fue tramitado en virtud de denuncia formulada por la policía, a causa de haber encontrado cierta cantidad de haschis y L.S.D. en el bolso de mano de la señora Zora Marrach que iba dentro del coche que conducía el recurrente. En el sumario tramitado no se presentó prueba alguna y sólo constan las declaraciones de los policías, sin que se demostraran ni probaran. Por medio de otrosí solicita el beneficio de justicia gratuita, interesando la designación de Procurador y Abogado del turno de oficio. Igualmente solicitó la suspensión de la Sentencia impugnada, ofreciendo como fianza la ya consignada por importe de 400.000 pesetas.</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Tercera, por proveído de 5 de diciembre pasado acordó oficiar al Colegio de Procuradores de Madrid para la designación del colegiado del turno de oficio y requerir al Abogado que firma el escrito presentado para que manifieste si asume la defensa en el recurso de amparo. Una vez que fue aceptada la defensa por el Letrado don Valeriano Ladrón de Guevara y designada para la representación la Procuradora doña Purificación Flores Rodríguez, se concedió a ambos un plazo de veinte días para formalizar las demandas de amparo y justicia gratuita.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el escrito presentado por la representación del recurrente formalizando el recurso de amparo, da por reproducidos, íntegramente, todos los hechos y fundamentos de Derecho del escrito inicial. </w:t>
      </w:r>
    </w:p>
    <w:p w:rsidR="00256EE9" w:rsidRDefault="00256EE9" w:rsidP="00256EE9">
      <w:pPr>
        <w:pStyle w:val="TextoNormal"/>
      </w:pPr>
      <w:r>
        <w:t xml:space="preserve">Destaca el hecho de que el demandante ha negado siempre su participación en los hechos que se le imputan y resultó condenado por Sentencia de la Audiencia Provincial de </w:t>
      </w:r>
      <w:r>
        <w:lastRenderedPageBreak/>
        <w:t xml:space="preserve">Málaga al ser considerado como autor de tráfico de droga solamente por las acusaciones de la Policía, siendo así que de las pruebas practicadas en el juicio oral no se deduce en forma alguna que fuera autor del delito que se le imputa. Dice el recurrente que todas las actuaciones practicadas fuera del acto del juicio deben ser adveradas en ese momento para que puedan ser tomadas en cuenta por el Tribunal y en el caso que es objeto del presente recurso de amparo, todos los testigos, excepto los informes de la Policía coinciden en que Alfonso González Aranda es inocente de los hechos que se le acusan y que la única intervención que tuvo en los mismos fue la de ser «amigo y acompañante» de la mujer que transportaba la droga. Por otra parte el vocablo tráfico se refiere a la compraventa, pero no al mero transporte, pues de otra forma en el art. 344 no se hablaría más que de autores, pero no de cómplices o encubridores, lo cual estima absurdo, injusto e ilegal. </w:t>
      </w:r>
    </w:p>
    <w:p w:rsidR="00256EE9" w:rsidRDefault="00256EE9" w:rsidP="00256EE9">
      <w:pPr>
        <w:pStyle w:val="TextoNormal"/>
      </w:pPr>
      <w:r>
        <w:t>La facultad que el art. 741 de la L.E.Cr. concede al Tribunal para valorar las pruebas y dictar Sentencia queda condicionada por el párrafo 2 del art. 849 del mismo cuerpo legal al hablar del recurso de casación por infracción de Ley «cuando en la apreciación de las pruebas haya habido error de hecho...». También el párrafo 4 del art. 849 de la L.E.Cr. en su redacción del año 1949 decía que se daría recurso de casación por infracción de Ley «cuando se haya cometido error de Derecho al determinar la participación de cada uno de los procesados en los hechos que se declaren probados en la Sentencia». Ambos textos demuestran que la facultad concedida al Juez sentenciador en el art. 741 de la L.E.Cr. no es tan amplia como parece, ni es intangible, sino que es susceptible de ser revisada y ajustada al verdadero derecho aplicable. Entiende el recurrente que ampliar la figura del mero llevar una mercancía de un lugar para otro como si fuera un acto de compraventa no es interpretar las normas penales de forma restrictiva y se incurre en un error de Derecho, por lo que suplica se declare la nulidad de la Sentencia pronunciada por la Audiencia de Málaga y se deje sin efecto el fallo de la misma en cuanto se refiere a Alfonso González Aranda, por haberse omitido en la tramitación y enjuiciamiento las garantías formales que reconoce el art. 24.2 de la Constitución. Insiste nuevamente en la suspensión de la Sentencia recurrida hasta que el Tribunal Constitucional se pronuncie sobre el recurso de amparo.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27 de febrero pasado se concedió a la representación del recurrente y al Ministerio Fiscal un plazo de diez días para que presentaran alegaciones sobre la posible existencia de las causas de inadmisión reguladas por los arts. 50.1 a), en relación con el 44.2 de la Ley Orgánica de este Tribunal; la del 50.1 b), en relación al 44.1 c), y 50.2 b) de la LOTC. </w:t>
      </w:r>
    </w:p>
    <w:p w:rsidR="00256EE9" w:rsidRDefault="00256EE9" w:rsidP="00256EE9">
      <w:pPr>
        <w:pStyle w:val="TextoNormal"/>
      </w:pPr>
      <w:r>
        <w:t xml:space="preserve">En su escrito de alegaciones, la representación del recurrente y con referencia a la primera de las causas de inadmisión señaladas, hace constar que la Sentencia del Tribunal Supremo que desestima el recurso de casación, no le ha sido notificada hasta la fecha, y con respecto a la Sentencia de la Audiencia de Málaga, con fecha 10 de octubre de 1984 solicitó rectificación de la misma al amparo de la disposición transitoria de la Ley Orgánica 8/1983, de 25 de junio, a lo cual contesta la Audiencia en 17 de octubre de 1984 que no ha lugar, siendo a partir de este momento cuando se han agotado todos los recursos utilizables dentro de la vía judicial. El escrito de interposición del recurso de amparo se presentó catorce días después, por lo que entendemos que está dentro del plazo legal que señala el art. 44.2 de la LOTC. </w:t>
      </w:r>
    </w:p>
    <w:p w:rsidR="00256EE9" w:rsidRDefault="00256EE9" w:rsidP="00256EE9">
      <w:pPr>
        <w:pStyle w:val="TextoNormal"/>
      </w:pPr>
      <w:r>
        <w:t>En cuanto a la causa de inadmisión señalada en el art. 50.1 b), en relación con el 44.1 c) hace constar que durante toda la tramitación del proceso se han hecho protestas de inocencia y diversas Sentencias del Tribunal Constitucional sientan el criterio de que basta el sentido racional de alegación de inocencia del procesado sobre la mera formalidad escritu</w:t>
      </w:r>
      <w:r>
        <w:lastRenderedPageBreak/>
        <w:t xml:space="preserve">taria para considerar hecha la alegación del art. 44.1 b) de la LOTC. A mayor abundamiento, en el escrito en que se solicitaba la libertad provisional del procesado George Rein, se hace referencia a la Constitución Española y este escrito fue conocido y no contradicho por los demás procesados. </w:t>
      </w:r>
    </w:p>
    <w:p w:rsidR="00256EE9" w:rsidRDefault="00256EE9" w:rsidP="00256EE9">
      <w:pPr>
        <w:pStyle w:val="TextoNormal"/>
      </w:pPr>
      <w:r>
        <w:t xml:space="preserve">Con respecto a que la demanda pudiera carecer de contenido constitucional, estima que no cabe tal hipótesis, puesto que el derecho que defiende está amparado por el art. 24 de la C.E. La Sentencia de la Audiencia Provincial de Málaga dice en uno de sus considerandos que «...pese a las anomalías de algunas declaraciones...». Es decir, la propia Sala admite la existencia de anomalías. Y en el segundo considerando se dice claramente que los tres motivos que sirven de base para tal Sentencia son: a) algunas declaraciones (prestadas con anomalías procesales); b) las declaraciones vertidas en el acto de la vista del juicio oral (en las que nadie acusa al demandante de amparo, excepto el Fiscal, y ni siquiera las sospechas de la Policía fueron probadas); c) las demás diligencias policiales (el Tribunal Supremo y la Fiscalía del Estado han dicho que carecen de valor probatorio si no son adveradas por otros medios). </w:t>
      </w:r>
    </w:p>
    <w:p w:rsidR="00256EE9" w:rsidRDefault="00256EE9" w:rsidP="00256EE9">
      <w:pPr>
        <w:pStyle w:val="TextoNormal"/>
      </w:pPr>
      <w:r>
        <w:t>El Fiscal General del Estado en su escrito hace constar que estima existen los motivos de inadmisión señalados en la providencia de la Sección, ya que la demanda fue presentada fuera de plazo, el día 31 de octubre de 1984, cuando la Sentencia del Tribunal Supremo es de 1 de junio de 1984, aunque no consta la fecha de la notificación. No se ha acreditado que se haya invocado en el momento oportuno, que era, sin duda, el de interposición del recurso de casación, el derecho constitucional supuestamente vulnerado. En cuanto a la carencia de contenido constitucional de la demanda, dice el Fiscal que la presunción de inocencia es de naturaleza iuris tantum y se desvirtúa por una «mínima actividad probatoria producida con las garantías procesales que de alguna forma pueda entenderse de cargo», como declaró la Sentencia que el propio recurrente invoca, núm. 31/1981, de 28 de julio. Por ello interesa la inadmisión de la demanda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Si la Sentencia que puso fin, en casación, a la causa es de 1 de junio de 1984, y el amparo se ha interpuesto en 31 de octubre del mismo año, y aquélla fue notificada al Procurador del recurrente en fecha que se oculta al Tribunal, pero en tiempo que sitúa al amparo fuera de la previsión temporal del art.  44.2 de la LOTC, es claro que el recurso es extemporáneo e incurso, por ello, en la causa de inadmisión del art. 50.1 a) de la mencionada Ley.  Y no son válidas para desvirtuar tal extemporaneidad el que se diga que la Sentencia no fue notificada personalmente al condenado, aludiendo, con invocación del art.  160 de la Ley de Enjuiciamiento Criminal, a la necesidad de una notificación personal, o que ha instado a la Audiencia Provincial la revisión de la Sentencia a tenor de lo dispuesto en la Ley Orgánica 8/1983 de reforma parcial y urgente del Código Penal, siendo resuelta denegatoriamente tal petición de revisión, pues en cuanto a lo primero, y sin entrar a analizar el alcance de la regla del art.  160 en cuanto a las Sentencias de casación, es lo cierto que el cómputo del plazo de veinte días que señala el art. 44.2 es a partir de la notificación de la Sentencia y notificación es la que se realiza al representante procesal de la parte; y en cuanto a lo segundo, ajena la revisión a la invocación del derecho a la presunción de inocencia, no interrumpe la petición de revisión del plazo del amparo, caducado, por lo demás, cuando se instó la revisión de la causa.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Junto a la causa de inadmisión del art. 50.1 a) concurre en el presente caso la del art. 50.1 b) en relación con el art. 44.1 c), todos de la LOTC, pues no cabe decir que se cumple con el requisito al que el art. 44.1 c) condiciona la admisibilidad del amparo, en cuanto a la invocación del derecho a la presunción de inocencia, que el recurrente en todo el curso de la instrucción sostuvo que era inocente del delito que se le acusaba, pues se requiere que a través de las vías procesalmente establecidas -en el caso, el recurso de casacion- se articule una pretensión con contenido constitucional, esto es, cualificada por la invocación del derecho fundamental que se reputa violado, para de este modo respetar el carácter subsidiario que tiene el amparo.</w:t>
      </w:r>
    </w:p>
    <w:p w:rsidR="00256EE9" w:rsidRDefault="00256EE9" w:rsidP="00256EE9">
      <w:pPr>
        <w:pStyle w:val="TextoNormal"/>
      </w:pPr>
      <w:r>
        <w:t>En la casación los motivos que sirvieron para sustentar la posición de la parte condenada fueron la aplicación indebida del art.  344, en su párrafo primero y, a raíz de la modificación establecida por la Ley Orgánica 8/1983, y no motivos que configuraran una queja subsumible en el derecho a la presunción de inocencia.  Si no se ha invocado el derecho que ahora se alega como violado, es claro que no se cumple lo dispuesto en el art. 44.1 c) y por esto, el recurso es también inadmisible. La interposición extemporánea y el incumplimiento de lo que preceptúa el art.  44.1 c) hace innecesario el análisis de la otra causa de inadmisión puesta de manifiesto [la del art. 50.2 b)].</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interpuesto por don Alfonso González Aranda, lo que hace innecesario pronunciarse sobre la suspensión solicitada.</w:t>
      </w:r>
    </w:p>
    <w:p w:rsidR="00256EE9" w:rsidRDefault="00256EE9" w:rsidP="00256EE9">
      <w:pPr>
        <w:pStyle w:val="TextoNormal"/>
      </w:pPr>
    </w:p>
    <w:p w:rsidR="00256EE9" w:rsidRDefault="00256EE9" w:rsidP="00256EE9">
      <w:pPr>
        <w:pStyle w:val="TextoNormal"/>
      </w:pPr>
      <w:r>
        <w:t>Madrid, a diez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6" w:name="AUTO_1985_235"/>
      <w:r>
        <w:lastRenderedPageBreak/>
        <w:t>AUTO 235/1985, de 10 de abril de 1985</w:t>
      </w:r>
    </w:p>
    <w:bookmarkEnd w:id="296"/>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ECLI:ES:TC:1985:235A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33/1985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Tribunal Constitucional el 12 de enero de 1985, don José Sempere Muriel, Procurador de los Tribunales, interpuso recurso de amparo en nombre y representación de don Martín Andreu Agudo contra Sentencias del Tribunal Supremo de 11 de diciembre de 1984 y de la Sala de lo Contencioso-Administrativo de la Audiencia Territorial de Zaragoza, de 30 de marzo de 1983, así como contra las Resoluciones de la Dirección General de Seguridad de entonces de 1 de marzo de 1975 y de 1 de abril de 1975, por las que se trasladaba en forma forzosa al solicitante de amparo desde Zaragoza a Rosal de la Frontera y se le concedía la excedencia voluntaria. Pide que se restablezca su derecho a residir en Zaragoza mediante la reposición en la posesión del cargo en la misma ciudad, con todas las consecuencias que sean conformes a Derecho. </w:t>
      </w:r>
    </w:p>
    <w:p w:rsidR="00256EE9" w:rsidRDefault="00256EE9" w:rsidP="00256EE9">
      <w:pPr>
        <w:pStyle w:val="TextoNormal"/>
      </w:pPr>
      <w:r>
        <w:t xml:space="preserve">Los hechos y fundamentos de Derecho deducidos en la demanda son, en síntesis, los siguientes: </w:t>
      </w:r>
    </w:p>
    <w:p w:rsidR="00256EE9" w:rsidRDefault="00256EE9" w:rsidP="00256EE9">
      <w:pPr>
        <w:pStyle w:val="TextoNormal"/>
      </w:pPr>
      <w:r>
        <w:t xml:space="preserve">a) Don Martín Andreu Agudo, Inspector del entonces Cuerpo General de Policía, con destino en Zaragoza, fue trasladado a Rosal de la Frontera -con carácter forzoso- por Orden del Director General de Seguridad de entonces de 1 de marzo de 1975. Manifiesta que dicho traslado se debió a las quejas que el recurrente formulaba por la organización de los servicios. </w:t>
      </w:r>
    </w:p>
    <w:p w:rsidR="00256EE9" w:rsidRDefault="00256EE9" w:rsidP="00256EE9">
      <w:pPr>
        <w:pStyle w:val="TextoNormal"/>
      </w:pPr>
      <w:r>
        <w:t xml:space="preserve">Tras obedecer la orden, pidió pasar a la situación de excedencia voluntaria, que le fue concedida por Resolución de 1 de abril de 1975. </w:t>
      </w:r>
    </w:p>
    <w:p w:rsidR="00256EE9" w:rsidRDefault="00256EE9" w:rsidP="00256EE9">
      <w:pPr>
        <w:pStyle w:val="TextoNormal"/>
      </w:pPr>
      <w:r>
        <w:t xml:space="preserve">b) Por escrito de 13 de abril de 1982, solicitó la declaración de nulidad de la Orden de 1 de marzo de 1975 y de la Resolución de 1 de abril de 1975, con la pretensión de que se le repusiera en su puesto de plantilla de Zaragoza. La Dirección General de Seguridad del Estado denegó su petición el 3 de septiembre de 1982. Contra tal Resolución interpuso recurso de reposición, y contra su desestimación presunta por silencio administrativo, recurso contencioso-administrativo, que fue desestimado por Sentencia de 30 de mayo de 1983 de la Audiencia Territorial de Zaragoza. Interpuso recurso de apelación por desviación de poder ante la Sala Quinta de lo Contencioso-Administrativo del Tribunal Supremo, que fue desestimado por Sentencia de 11 de diciembre de 1984. </w:t>
      </w:r>
    </w:p>
    <w:p w:rsidR="00256EE9" w:rsidRDefault="00256EE9" w:rsidP="00256EE9">
      <w:pPr>
        <w:pStyle w:val="TextoNormal"/>
      </w:pPr>
      <w:r>
        <w:t xml:space="preserve">c) Entiende el recurrente que se ha vulnerado el art. 19 de la Constitución (C.E.), ya que la Orden de 1 de marzo de 1975 conculcó el derecho del recurrente de residir libremente en Zaragoza. </w:t>
      </w:r>
    </w:p>
    <w:p w:rsidR="00256EE9" w:rsidRDefault="00256EE9" w:rsidP="00256EE9">
      <w:pPr>
        <w:pStyle w:val="TextoNormal"/>
      </w:pPr>
      <w:r>
        <w:lastRenderedPageBreak/>
        <w:t xml:space="preserve">d) Se ha vulnerado asimismo el art. 24 de la Constitución por la Orden de 1 de marzo de 1975, ya que tal resolución no estaba fundada y no cumplía los requisitos del art. 79 de la Ley de Procedimiento Administrativo (L.P.A.), indicando los recursos procedentes, etc. El traslado forzoso es una sanción por falta grave y se impuso sin incoar el preceptivo expediente disciplinario. </w:t>
      </w:r>
    </w:p>
    <w:p w:rsidR="00256EE9" w:rsidRDefault="00256EE9" w:rsidP="00256EE9">
      <w:pPr>
        <w:pStyle w:val="TextoNormal"/>
      </w:pPr>
      <w:r>
        <w:t>e) Se ha vulnerado finalmente el art. 25 de la C.E., pues el traslado impuesto, que es sanción por falta grave, se impuso como consecuencia de las quejas del recurrente sobre los abusos en el servicio.</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por providencia de 27 de febrero, acordó poner de manifiesto al solicitante de amparo y al Ministerio Fiscal la posible existencia de las siguientes causas de inadmisibilidad: 1.ª La del art. 50.1 b) en relación con el 49.1, ambos de la Ley Orgánica de este Tribunal (LOTC), por falta de claridad en la exposición de los hechos que fundamentan el recurso, y de precisión en el amparo que se solicita. 2.ª La del art. 50.2 b) de la misma Ley Orgánica por cuanto la demanda pudiera carecer manifiestamente de contenido que justifique una decisión por parte del Tribunal Constitucional; otorgándoles (art. 50) un plazo común de diez días para alegaciones.</w:t>
      </w:r>
    </w:p>
    <w:p w:rsidR="00256EE9" w:rsidRDefault="00256EE9" w:rsidP="00256EE9">
      <w:pPr>
        <w:pStyle w:val="TextoNormal"/>
      </w:pPr>
    </w:p>
    <w:p w:rsidR="00256EE9" w:rsidRDefault="00256EE9" w:rsidP="00256EE9">
      <w:pPr>
        <w:pStyle w:val="TextoNormal"/>
      </w:pPr>
      <w:r w:rsidRPr="00256EE9">
        <w:rPr>
          <w:rStyle w:val="NumeroAFNegritaCaracter"/>
        </w:rPr>
        <w:t>3</w:t>
      </w:r>
      <w:r>
        <w:t>. En su escrito registrado el 6 de marzo, el recurrente se refirió al cese de que había sido objeto en la plantilla de Zaragoza y su traslado forzoso a la de Rosal de la Frontera (Huelva), señalando que «se somete al amparo de este Tribunal Constitucional la Orden del Director General de Seguridad de 1 de marzo de 1975», por la que dicho traslado se imponía. En cuanto a la falta de precisión en el amparo solicitado, pide al Tribunal «que se le restablezca en su derecho de residencia en la plantilla de Zaragoza en su relación de servicios al Estado, reponiéndole en la posesión del cargo para ello», mediante la nulidad de la referida resolución. Y por lo que se refiere a la falta de contenido constitucional, hace constar que «mediante el presente recurso de amparo se trata de la pretensión del derecho de residencia elegido por mí, representado en Zaragoza, como funcionario civil del Estado al momento mismo y anterior» a la orden de traslado forzoso.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Fiscal ante el Tribunal Constitucional, que presentó sus alegaciones el 12 de marzo, aduce que no deja de entenderse lo que el recurrente pide en amparo, que es la nulidad de las Sentencias dictadas en el orden contencioso-administrativo, así como las resoluciones de la Dirección General de Seguridad entonces, en virtud de las cuales se le trasladaba forzoso y se aceptaba su petición de excedencia voluntaria, y que se le restablezca en su derecho a residir en Zaragoza mediante la reposición en la posesión del cargo en la misma ciudad. La cuestión, más que en la inconcisión del art. 49.1, debe situarse en su manifiesta falta de contenido constitucional. </w:t>
      </w:r>
    </w:p>
    <w:p w:rsidR="00256EE9" w:rsidRDefault="00256EE9" w:rsidP="00256EE9">
      <w:pPr>
        <w:pStyle w:val="TextoNormal"/>
      </w:pPr>
      <w:r>
        <w:t>Las supuestas vulneraciones de derechos fundamentales sólo pudieron ser originadas por las resoluciones administrativas. Y estas últimas, por las razones indicadas por la Audiencia de Zaragoza, son inatacables, transcurridos más de siete años sin que hubiese impedimento alguno para impugnarlas. De ahí que proceda la inadmisión del recurso por concurrir la causa del art. 50.2 b).</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El escrito de alegaciones presentado por el recurrente no ha desvanecido la imprecisión señalada en nuestra providencia de 27 de febrero en cuanto al amparo solicitado, pues se ha limitado a transcribir la Resolución de 1 de marzo de 1975 del entonces Director General de Seguridad por la que se le ordenaba el «cese» en la plantilla de Zaragoza y el traslado «forzoso» a la de Rosal de la Frontera, y pedir su anulación, así como la de otra, de 1 de abril del mismo año, efecto de la imposición del cambio de residencia no aceptado. Ahora bien, es obvio que ni la demanda de amparo ni las alegaciones tienen la menor consistencia.  Se invoca una lesión harto hipotética de derechos fundamentales acaecida en 1975, y que consumó sus efectos en dicho año al solicitar el recurrente la excedencia voluntaria.</w:t>
      </w:r>
    </w:p>
    <w:p w:rsidR="00256EE9" w:rsidRDefault="00256EE9" w:rsidP="00256EE9">
      <w:pPr>
        <w:pStyle w:val="TextoNormal"/>
      </w:pPr>
      <w:r>
        <w:t>El solicitante de amparo, que acató y cumplió la primera Resolución de la Dirección General de Seguridad y provocó la segunda, con la petición de excedencia voluntaria, ha tardado siete años en impetrar el auxilio jurisdiccional (desde el 1 de abril de 1975 al 13 de abril de 1982), siendo así que no se hallaba inerme, como recuerda la Sentencia de la Audiencia Territorial también impugnada, ni desasistido de medios jurídicos en defensa de sus pretendidos derechos, alegando simplemente que «desconocía los medios jurídicos de su defensa», sin que quepa olvidar, por otra parte, que la Constitución no tiene eficacia retroactiva.  No es preciso insistir más en la carencia absoluta de contenido constitucional de la demanda, señalado en nuestra providencia.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w:t>
      </w:r>
    </w:p>
    <w:p w:rsidR="00256EE9" w:rsidRDefault="00256EE9" w:rsidP="00256EE9">
      <w:pPr>
        <w:pStyle w:val="TextoNormal"/>
      </w:pPr>
    </w:p>
    <w:p w:rsidR="00256EE9" w:rsidRDefault="00256EE9" w:rsidP="00256EE9">
      <w:pPr>
        <w:pStyle w:val="TextoNormal"/>
      </w:pPr>
      <w:r>
        <w:t>Madrid, a diez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7" w:name="AUTO_1985_236"/>
      <w:r>
        <w:lastRenderedPageBreak/>
        <w:t>AUTO 236/1985, de 10 de abril de 1985</w:t>
      </w:r>
    </w:p>
    <w:bookmarkEnd w:id="297"/>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ECLI:ES:TC:1985:236A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43/1985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Agustín Gómez de Agueda, Procurador de los Tribunales, en nombre de don Salustiano Bravo Martín y su esposa, doña Nemesia Higuera Lázaro, recurre en amparo ante este Tribunal Constitucional (T. C.) por escrito de demanda que tuvo entrada en el Registro General el día 17 de enero de 1985, con la pretensión de que se anule la Sentencia dictada por la Audiencia Provincial de Segovia de 18 de diciembre de 1984 en el recurso de apelación civil núm. 47/1984, procedente del Juzgado de Distrito de Segovia en el proceso de cognición núm. 187/1984. La parte recurrente considera que en dicha resolución se han vulnerado los arts. 19 y 33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que se refiere la demanda son, en síntesis, los siguientes: </w:t>
      </w:r>
    </w:p>
    <w:p w:rsidR="00256EE9" w:rsidRDefault="00256EE9" w:rsidP="00256EE9">
      <w:pPr>
        <w:pStyle w:val="TextoNormal"/>
      </w:pPr>
      <w:r>
        <w:t xml:space="preserve">a) Los recurrentes son dueños de una vivienda en el término municipal de La Losa (Segovia), en la calle de las Damas núm. 6, vivienda que fue arrendada a don Francisco Barreno Granda con fecha de 21 de abril de 1964. </w:t>
      </w:r>
    </w:p>
    <w:p w:rsidR="00256EE9" w:rsidRDefault="00256EE9" w:rsidP="00256EE9">
      <w:pPr>
        <w:pStyle w:val="TextoNormal"/>
      </w:pPr>
      <w:r>
        <w:t xml:space="preserve">b) Alegando la causa de necesidad, los recurrentes en amparo enviaron por conducto notarial una carta al arrendatario en la que le anunciaban la denegación de la prórroga del contrato y al no acceder el arrendatario a dicha denegación, promovieron un juicio de cognición ante el Juzgado de Distrito de Segovia, que desestimó la demanda por considerar que la jubilación del actor se había producido hacía doce años y no era admisible tras tan largo período de tiempo utilizarla como pretexto para privar al demandado del derecho previsto en el art. 57 de la Ley de Arrendamientos Urbanos. </w:t>
      </w:r>
    </w:p>
    <w:p w:rsidR="00256EE9" w:rsidRDefault="00256EE9" w:rsidP="00256EE9">
      <w:pPr>
        <w:pStyle w:val="TextoNormal"/>
      </w:pPr>
      <w:r>
        <w:t>c) La Sentencia dictada el día 26 de octubre de 1984 fue apelada ante la Audiencia Provincial de Segovia, alegándose que el Juzgado de Distrito había vulnerado el art. 19 de la C. E. y por Sentencia de fecha de 18 de diciembre de 1984 la Audiencia desestima el recurso de apelación, sin hacer mención del art. 19 de la C. E., ante cuya resolución esta parte presentó un escrito de aclaración que fue desestimado por extemporáneo el día 26 de diciembre de 1984.</w:t>
      </w:r>
    </w:p>
    <w:p w:rsidR="00256EE9" w:rsidRDefault="00256EE9" w:rsidP="00256EE9">
      <w:pPr>
        <w:pStyle w:val="TextoNormal"/>
      </w:pPr>
    </w:p>
    <w:p w:rsidR="00256EE9" w:rsidRDefault="00256EE9" w:rsidP="00256EE9">
      <w:pPr>
        <w:pStyle w:val="TextoNormal"/>
      </w:pPr>
      <w:r w:rsidRPr="00256EE9">
        <w:rPr>
          <w:rStyle w:val="NumeroAFNegritaCaracter"/>
        </w:rPr>
        <w:t>3</w:t>
      </w:r>
      <w:r>
        <w:t>. La parte recurrente considera que han sido vulnerados los arts. 19 de la C. E. en cuanto el derecho a elegir libremente la residencia, y el art. 33 de la C. E. sobre el derecho de propiedad privada.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xml:space="preserve">. Por providencia de la Sección Segunda de la Sala Primera de este Tribunal Constitucional, de 13 de febrero de 1985, se tuvo por personado y parte al Procurador don Agustín Gómez de Agueda en nombre y representación de los señores Bravo Martín y a tenor del art. 50 de la Ley Orgánica del Tribunal Constitucional (LOTC) se concedió un plazo de diez días al Ministerio Fscal y a los solicitantes del amparo para que alegaran lo procedente sobre los siguientes motivos de inadmisión: </w:t>
      </w:r>
    </w:p>
    <w:p w:rsidR="00256EE9" w:rsidRDefault="00256EE9" w:rsidP="00256EE9">
      <w:pPr>
        <w:pStyle w:val="TextoNormal"/>
      </w:pPr>
      <w:r>
        <w:t xml:space="preserve">a) Carecer la demanda manifiestamente de contenido constitucional [art. 50.2 b) de la LOTC]. </w:t>
      </w:r>
    </w:p>
    <w:p w:rsidR="00256EE9" w:rsidRDefault="00256EE9" w:rsidP="00256EE9">
      <w:pPr>
        <w:pStyle w:val="TextoNormal"/>
      </w:pPr>
      <w:r>
        <w:t xml:space="preserve">b) Deducirse la demanda respecto del art. 33 de la C. E. sobre derechos o libertades no susceptibles de amparo constitucional [art. 50.2 a) de la LOTC]. </w:t>
      </w:r>
    </w:p>
    <w:p w:rsidR="00256EE9" w:rsidRDefault="00256EE9" w:rsidP="00256EE9">
      <w:pPr>
        <w:pStyle w:val="TextoNormal"/>
      </w:pPr>
      <w:r>
        <w:t>c) Haber sido presentada la demanda fuera de plazo [art. 50.1 a), en conexión con el art. 44.2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Tribunal Constitucional, por escrito de 26 de febrero de 1985, alegó sucintamente lo siguiente: </w:t>
      </w:r>
    </w:p>
    <w:p w:rsidR="00256EE9" w:rsidRDefault="00256EE9" w:rsidP="00256EE9">
      <w:pPr>
        <w:pStyle w:val="TextoNormal"/>
      </w:pPr>
      <w:r>
        <w:t xml:space="preserve">a) La demanda utiliza el art. 19 de la C. E. en un sentido distinto del que verdaderamente tiene. Al mantener que la Sentencia le impide la libre elección de residencia incurre en inexactitud, y la Sentencia lo que declara es que las alegaciones realizadas por el recurrente no justifican la denegación de la prórroga del contrato de arrendamiento por causa de necesidad. </w:t>
      </w:r>
    </w:p>
    <w:p w:rsidR="00256EE9" w:rsidRDefault="00256EE9" w:rsidP="00256EE9">
      <w:pPr>
        <w:pStyle w:val="TextoNormal"/>
      </w:pPr>
      <w:r>
        <w:t xml:space="preserve">Lo único que declara la resolución, es que no ha justificado la necesidad, desde el punto de vista de la Ley de Arrendamientos Urbanos, para la resolución del contrato y no le impide que se traslade a vivir al pueblo elegido, pero no admite que tenga la necesidad que se exige para dicha resolución. </w:t>
      </w:r>
    </w:p>
    <w:p w:rsidR="00256EE9" w:rsidRDefault="00256EE9" w:rsidP="00256EE9">
      <w:pPr>
        <w:pStyle w:val="TextoNormal"/>
      </w:pPr>
      <w:r>
        <w:t xml:space="preserve">b) En el caso concreto la Autoridad judicial ha declarado que la necesidad alegada por el recurrente, no reúne las condiciones señaladas en la Ley y por lo tanto no se da el supuesto legal. El recurrente puede trasladar su residencia a la localidad querida, porque ejerce un derecho que la resolución judicial no conculca, lo que no puede es resolver el contrato porque esta voluntad de traslado de domicilio no sirve de contenido a la necesidad de la Ley de Arrendamientos Urbanos. A juicio del Fiscal son dos contenidos distintos que no tienen conexión y que el recurrente pretende identificar para dar dimensión constitucional al amparo, por lo que estima que concurre la causa de inadmisión del art. 50.2 b) de la LOTC. </w:t>
      </w:r>
    </w:p>
    <w:p w:rsidR="00256EE9" w:rsidRDefault="00256EE9" w:rsidP="00256EE9">
      <w:pPr>
        <w:pStyle w:val="TextoNormal"/>
      </w:pPr>
      <w:r>
        <w:t xml:space="preserve">c) En el supuesto que contemplamos la Resolución se dicta con fecha 18 de diciembre de 1984 y se encuentra ya archivada el día 22 del mismo mes. </w:t>
      </w:r>
    </w:p>
    <w:p w:rsidR="00256EE9" w:rsidRDefault="00256EE9" w:rsidP="00256EE9">
      <w:pPr>
        <w:pStyle w:val="TextoNormal"/>
      </w:pPr>
      <w:r>
        <w:t xml:space="preserve">Con fecha posterior el recurrente interpone un recurso de aclaración que no se admite, por no haber sido deducido al día siguiente de la notificación de la Sentencia, por lo que es extemporáneo el mismo. De la documentación aportada se deduce que ha transcurrido con exceso el plazo de veinte días exigidos por la LOTC, pues, si el día 22 de diciembre es encontraba el proceso archivado necesariamente la notificación de la Sentencia tuvo que realizarse con anterioridad, lo que determina que el plazo de veinte días concluía antes de la fecha en que fue presentado. Concurre por tanto la causa de inadmisión del art. 50.1 a) en relación con el art. 44.2 de la LOTC. </w:t>
      </w:r>
    </w:p>
    <w:p w:rsidR="00256EE9" w:rsidRDefault="00256EE9" w:rsidP="00256EE9">
      <w:pPr>
        <w:pStyle w:val="TextoNormal"/>
      </w:pPr>
      <w:r>
        <w:t xml:space="preserve">d) El art. 41 de la LOTC determina los derechos y libertades que son objeto de recurso de amparo y entre ellos no se encuentra el recogido en el art. 33, invocado por el recurrente como base del mismo, por lo que concurre la causa de inadmisión del art. 50.2 a) de la LOTC. </w:t>
      </w:r>
    </w:p>
    <w:p w:rsidR="00256EE9" w:rsidRDefault="00256EE9" w:rsidP="00256EE9">
      <w:pPr>
        <w:pStyle w:val="TextoNormal"/>
      </w:pPr>
      <w:r>
        <w:lastRenderedPageBreak/>
        <w:t>El Fiscal interesa del Tribunal Constitucional dicte de acuerdo con el artículo 86.1 de la LOTC Auto desestimando la demanda de amparo por concurrir las causas de inadmisión recogidas en el cuerpo del escrito.</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Don Agustín Gómez de Agueda, Procurador de los Tribunales, en nombre y representación de don Salustiano Bravo Martín y de su esposa, doña Nemesia Higuera Lázaro, por escrito de 4 de marzo de 1985 formula, en extracto, las siguientes alegaciones: </w:t>
      </w:r>
    </w:p>
    <w:p w:rsidR="00256EE9" w:rsidRDefault="00256EE9" w:rsidP="00256EE9">
      <w:pPr>
        <w:pStyle w:val="TextoNormal"/>
      </w:pPr>
      <w:r>
        <w:t xml:space="preserve">a) La parte recurrente estima suficientemente acreditado que la demanda conlleva contenido para ser objeto de amparo por el Tribunal Constitucional, ya que se fundamenta en el derecho de todos los españoles a elegir libremente su residencia, y se cumplen en ella todos los requisitos que previene el art. 44 de la LOTC, pues se han agotado todos los recursos utilizables en la vía judicial, conforme se ha acreditado con los documentos acompañados a la demanda; la violación del derecho recurrido al que se ha hecho referencia es imputable de modo inmediato a una acción del órgano judicial y se ha invocado formalmente en el proceso el derecho constitucional vulnerado. </w:t>
      </w:r>
    </w:p>
    <w:p w:rsidR="00256EE9" w:rsidRDefault="00256EE9" w:rsidP="00256EE9">
      <w:pPr>
        <w:pStyle w:val="TextoNormal"/>
      </w:pPr>
      <w:r>
        <w:t xml:space="preserve">b) Si bien es cierto que en el hecho sexto de la demanda se hace mención al art. 33 de la propia C. E. en relación con el invocado para conseguir el amparo del Tribunal Constitucional, en ningún momento se deduce de modo alguno que dicho art. 33 constituye el derecho invocado para pretender el amparo constitucional. </w:t>
      </w:r>
    </w:p>
    <w:p w:rsidR="00256EE9" w:rsidRDefault="00256EE9" w:rsidP="00256EE9">
      <w:pPr>
        <w:pStyle w:val="TextoNormal"/>
      </w:pPr>
      <w:r>
        <w:t xml:space="preserve">c) En el escrito de demanda, por error material de transcripción, se ha puesto como fecha el 12 de diciembre de 1984, debiendo decir y entenderse 12 de enero de 1985. </w:t>
      </w:r>
    </w:p>
    <w:p w:rsidR="00256EE9" w:rsidRDefault="00256EE9" w:rsidP="00256EE9">
      <w:pPr>
        <w:pStyle w:val="TextoNormal"/>
      </w:pPr>
      <w:r>
        <w:t xml:space="preserve">La última resolución judicial recaída y que agotaba la vía judicial, fue con fecha 26 de diciembre de 1984, notificada al siguiente día, 27 de diciembre de 1984, y computado el tiempo transcurrido desde el día siguiente al de la notificación de la resolución judicial, es decir desde el día 28 de diciembre de 1984, hasta el día de la presentación de la demanda ante este alto Tribunal el día 17 de enero de 1.985, teniendo en cuenta que quedan excluidos del cómputo de los días inhábiles, resulta ser el último día de plazo hábil para la presentación y admisión a trámite de la demanda el día 21 de enero de 1985. </w:t>
      </w:r>
    </w:p>
    <w:p w:rsidR="00256EE9" w:rsidRDefault="00256EE9" w:rsidP="00256EE9">
      <w:pPr>
        <w:pStyle w:val="TextoNormal"/>
      </w:pPr>
      <w:r>
        <w:t>La parte recurrente solicita continuar el trámite del amparo hasta dictar Sentencia acorde con el petitum de la demanda.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recurso consiste en determinar si concurren los motivos de inadmisión de los que se dio traslado al recurrente y al Ministerio Fiscal en la providencia de 13 de febrero de 1985 y, en consecuencia, procede analizar en primer lugar el motivo de inadmisión previsto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La parte recurrente considera que la Sentencia dictada por la Audiencia Provincial de Segovia de 18 de diciembre de 1984 vulnera el art.  19 de la C.  E., ya que se priva a esta parte del derecho de fijar libremente su residencia, al haber alegado el solicitante en un proceso de arrendamientos urbanos la causa de necesidad para proceder al desahucio de una vivienda de la que es propietario en la localidad de La Losa (Segovia).</w:t>
      </w:r>
    </w:p>
    <w:p w:rsidR="00256EE9" w:rsidRDefault="00256EE9" w:rsidP="00256EE9">
      <w:pPr>
        <w:pStyle w:val="TextoNormal"/>
      </w:pPr>
      <w:r>
        <w:t xml:space="preserve">La apreciación de la necesidad como causa legal de resolución del contrato de arrendamiento urbano y denegación de la prórroga obligatoria del arrendamiento es apreciable por los Tribunales en cada caso concreto y en conexión con la situación o estado de hecho que la provoca, de acuerdo con el art.  117.3 de la C. E., y en la cuestión planteada, según </w:t>
      </w:r>
      <w:r>
        <w:lastRenderedPageBreak/>
        <w:t>se infiere de la lectura de la resolución recurrida, pronunciada en juicio de legalidad, la jubilación del recurrente acaecida doce años antes del ejercicio de la acción constituye un mero pretexto para obtener la resolución contractual.</w:t>
      </w:r>
    </w:p>
    <w:p w:rsidR="00256EE9" w:rsidRDefault="00256EE9" w:rsidP="00256EE9">
      <w:pPr>
        <w:pStyle w:val="TextoNormal"/>
      </w:pPr>
    </w:p>
    <w:p w:rsidR="00256EE9" w:rsidRDefault="00256EE9" w:rsidP="00256EE9">
      <w:pPr>
        <w:pStyle w:val="TextoNormal"/>
      </w:pPr>
      <w:r w:rsidRPr="00256EE9">
        <w:rPr>
          <w:rStyle w:val="NumeroAFNegritaCaracter"/>
        </w:rPr>
        <w:t>3</w:t>
      </w:r>
      <w:r>
        <w:t>. En la cuestión planteada ante este Tribunal Constitucional no entendemos vulnerado el art.  19 de la C. E., pues expresamente en el primer considerando de la resolución recurrida reconoce al dueño el derecho a situar su residencia en el lugar que elija y a su simple arbitrio, y la Sentencia estimamos que no sanciona ni limita el derecho del actor previsto en el art.  19 de la C. E., sino que valora la circunstancia de la residencia habitual del recurrente en Segovia, formulando un juicio de legalidad que no es constitutivo de recurso constitucional, por no rozar el derecho del art.  19 de la C. E.</w:t>
      </w:r>
    </w:p>
    <w:p w:rsidR="00256EE9" w:rsidRDefault="00256EE9" w:rsidP="00256EE9">
      <w:pPr>
        <w:pStyle w:val="TextoNormal"/>
      </w:pPr>
      <w:r>
        <w:t>y quedar fuera la pretensión del recurrente del contenido peculiar del proceso de amparo.</w:t>
      </w:r>
    </w:p>
    <w:p w:rsidR="00256EE9" w:rsidRDefault="00256EE9" w:rsidP="00256EE9">
      <w:pPr>
        <w:pStyle w:val="TextoNormal"/>
      </w:pPr>
    </w:p>
    <w:p w:rsidR="00256EE9" w:rsidRDefault="00256EE9" w:rsidP="00256EE9">
      <w:pPr>
        <w:pStyle w:val="TextoNormal"/>
      </w:pPr>
      <w:r w:rsidRPr="00256EE9">
        <w:rPr>
          <w:rStyle w:val="NumeroAFNegritaCaracter"/>
        </w:rPr>
        <w:t>4</w:t>
      </w:r>
      <w:r>
        <w:t>. Los razonamientos precedentes conducen a la conclusión de que el recurso está comprendido en el motivo de inadmisión previsto en el art. 50.2 b) de la LOTC y carece de contenido constitucional que justifique una resolución de fondo, en forma de Sentencia, con el desarrollo procesal consiguiente.</w:t>
      </w:r>
    </w:p>
    <w:p w:rsidR="00256EE9" w:rsidRDefault="00256EE9" w:rsidP="00256EE9">
      <w:pPr>
        <w:pStyle w:val="TextoNormal"/>
      </w:pPr>
    </w:p>
    <w:p w:rsidR="00256EE9" w:rsidRDefault="00256EE9" w:rsidP="00256EE9">
      <w:pPr>
        <w:pStyle w:val="TextoNormal"/>
      </w:pPr>
      <w:r w:rsidRPr="00256EE9">
        <w:rPr>
          <w:rStyle w:val="NumeroAFNegritaCaracter"/>
        </w:rPr>
        <w:t>5</w:t>
      </w:r>
      <w:r>
        <w:t>. A mayor abundamiento, el solicitante del amparo fundamentaba además el recurso en la posible vulneración por la resolución recurrida del art.  33 de la C. E., que no es susceptible de amparo constitucional, por lo que el recurso está comprendido en el motivo de inadmisión previsto en el art.  50. 2 a) de la LOTC y la demanda es extemporánea, por aplicación del art. 50.1 a) en conexión con el art. 44.2 de la LOTC, ya que la última resolución recurrida es de fecha 18 de diciembre de 1984 y el recurso tuvo entrada en el Registro General de este Tribunal el día 17 de enero de 1985, sin que reabra el plazo para interponer el recurso la petición de aclaración de la Sentencia de la Audiencia Provincial instada por la parte recurrente también extemporáneamente.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Sección acuerda declarar inadmisible el recurso de amparo interpuesto por el Procurador de los Tribunales don Agustín Gómez de Agueda, en nombre de don Salustiano Bravo Marín y su esposa, doña Nemesia Higuera Lázaro, y</w:t>
      </w:r>
    </w:p>
    <w:p w:rsidR="00256EE9" w:rsidRDefault="00256EE9" w:rsidP="00256EE9">
      <w:pPr>
        <w:pStyle w:val="TextoNormal"/>
      </w:pPr>
      <w:r>
        <w:t>el archivo de las actuaciones.</w:t>
      </w:r>
    </w:p>
    <w:p w:rsidR="00256EE9" w:rsidRDefault="00256EE9" w:rsidP="00256EE9">
      <w:pPr>
        <w:pStyle w:val="TextoNormal"/>
      </w:pPr>
    </w:p>
    <w:p w:rsidR="00256EE9" w:rsidRDefault="00256EE9" w:rsidP="00256EE9">
      <w:pPr>
        <w:pStyle w:val="TextoNormal"/>
      </w:pPr>
      <w:r>
        <w:t>Madrid, a diez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8" w:name="AUTO_1985_237"/>
      <w:r>
        <w:lastRenderedPageBreak/>
        <w:t>AUTO 237/1985, de 10 de abril de 1985</w:t>
      </w:r>
    </w:p>
    <w:bookmarkEnd w:id="298"/>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ECLI:ES:TC:1985:237A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64/1985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Argimiro Vázquez Guillén en nombre de don Juan Carlos Bazarra García, ha interpuesto recurso de amparo, mediante escrito que tuvo su entrada el 29 de enero de 1985, contra la Sentencia de la Sección Segunda de la Audiencia Provincial de La Coruña de 20 de diciembre de 1984. </w:t>
      </w:r>
    </w:p>
    <w:p w:rsidR="00256EE9" w:rsidRDefault="00256EE9" w:rsidP="00256EE9">
      <w:pPr>
        <w:pStyle w:val="TextoNormal"/>
      </w:pPr>
      <w:r>
        <w:t xml:space="preserve">La petición de amparo se funda en los hechos siguientes: a) el solicitante del amparo formuló demanda de juicio de cognición ante el Juzgado de Distrito núm. 3 de La Coruña, con base en lo dispuesto por la Ley 19/1983, de 16 de noviembre, sobre regulación del derecho a instalar en el exterior de los inmuebles antenas de estaciones radio-eléctricas de aficionados, contra la Comunidad de Propietarios del inmueble en que habita, así como -se dice- contra los propietarios e inquilinos de los pisos 6.° dcha. y 6.° izqda. del mismo inmueble; b) el Juzgado de Distrito dictó Sentencia estimando íntegramente la demanda y declarando el derecho del actor a instalar una antena de radio-aficionado en la forma pedida, así como a pasar por los pisos 6.° dcha. y 6.° izqda. para la instalación, abonando en su caso los perjuicios que ocasionase; c) apelada la Sentencia anterior por la Comunidad de Propietarios, la Sección Segunda de la Audiencia Provincial de La Coruña dictó Sentencia de 20 de diciembre de 1984, notificada -se dice- el 11 de enero, de la que se acompaña certificación. En dicha Sentencia se revocó totalmente la apelada, se desestimó totalmente la demanda y se absolvió a la Comunidad de Propietarios. En los considerandos de dicha Sentencia previta cita de la Ley 19/1983, del art. 396 del Código Civil y de diversos preceptos de la Ley de Propiedad Horizontal y ponderándose las circunstancias que concurren en el caso, se dice que no deben «en este supuesto prevalecer los derechos que otorgan las Leyes administrativas sobre las reglas que rigen las complejas y difíciles relaciones de la propiedad horizontal». </w:t>
      </w:r>
    </w:p>
    <w:p w:rsidR="00256EE9" w:rsidRDefault="00256EE9" w:rsidP="00256EE9">
      <w:pPr>
        <w:pStyle w:val="TextoNormal"/>
      </w:pPr>
      <w:r>
        <w:t>En la demanda de amparo, con independencia de diversos argumentos sobre la legalidad que se estima aplicable, se citan como infringidos los arts. 14, 20.1 a) y d) y 24.1 de la Constitución y se solicita que se declare el derecho del demandante a instalar su antena de radio-aficionado en el tejado de la casa que se indica, facilitándole para ello el acceso a través de los pisos 6.° dcha. y 6.° izqda. del edificio.</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Cuarta de este Tribunal, en su reunión del día 27 de febrero pasado, ha acordado poner de manifiesto la posible existencia de la causa de inadmisibilidad que re</w:t>
      </w:r>
      <w:r>
        <w:lastRenderedPageBreak/>
        <w:t xml:space="preserve">gula el art. 50.2 b) de la Ley Orgánica de este Tribunal, por cuanto la demanda pudiera carecer manifiestamente de contenido que justifique una decisión por parte del Tribunal Constitucional. </w:t>
      </w:r>
    </w:p>
    <w:p w:rsidR="00256EE9" w:rsidRDefault="00256EE9" w:rsidP="00256EE9">
      <w:pPr>
        <w:pStyle w:val="TextoNormal"/>
      </w:pPr>
      <w:r>
        <w:t xml:space="preserve">Por ello, en aplicación de lo dispuesto en el art. 50 de la Ley Orgánica antes citada, se otorgó un plazo común de diez días al solicitante de amparo y al Ministerio Fiscal para alegaciones. </w:t>
      </w:r>
    </w:p>
    <w:p w:rsidR="00256EE9" w:rsidRDefault="00256EE9" w:rsidP="00256EE9">
      <w:pPr>
        <w:pStyle w:val="TextoNormal"/>
      </w:pPr>
      <w:r>
        <w:t xml:space="preserve">El solicitante del amparo, en su escrito de alegaciones ha insistido en sus iniciales pretensiones afirmando que según la Constitución «todas las personas tienen derecho a obtener la tutela efectiva de los Jueces y Tribunales en el ejercicio de sus derechos e intereses legítimos, sin que, en ningún caso, pueda producirse indefensión»; y que es un derecho e interés legítimo el suyo, amparado en la Ley 19/1983, de 16 de noviembre, de instalar su antena radio-eléctrica de aficionado en el tejado del inmueble en que habita y del que es copropietario, por lo que es evidente que la Sentencia recurrida de amparo, vulnera la tutela efectiva de un derecho e interés legítimo, y por tanto, susceptible de ser admitida en amparo, en mérito a lo cual la demanda tiene contenido suficiente que justifique una decisión por parte del Tribunal Constitucional, por vulnerar, precisamente, el art. 24 del Texto constitucional. </w:t>
      </w:r>
    </w:p>
    <w:p w:rsidR="00256EE9" w:rsidRDefault="00256EE9" w:rsidP="00256EE9">
      <w:pPr>
        <w:pStyle w:val="TextoNormal"/>
      </w:pPr>
      <w:r>
        <w:t xml:space="preserve">A juicio del solicitante del amparo, además, la resolución recurrida implica una desigualdad manifiesta frente a los demás ciudadanos que ejercen su derecho fuera del ámbito de la jurisdicción de la Audiencia Provincial de La Coruña, puesto que a ellos se les permite la instalación de sus antenas de radio-aficionados. </w:t>
      </w:r>
    </w:p>
    <w:p w:rsidR="00256EE9" w:rsidRDefault="00256EE9" w:rsidP="00256EE9">
      <w:pPr>
        <w:pStyle w:val="TextoNormal"/>
      </w:pPr>
      <w:r>
        <w:t xml:space="preserve">Asimismo se justifica una decisión del Tribunal, según el solicitante del amparo, con base en el art. 20 de la Constitución, apartados a) y d) del número 1, que consagra el derecho a expresar y difundir libremente los pensamientos, ideas y opiniones mediante la palabra y a comunicar o recibir libremente información veraz por cualquier medio de difusión. </w:t>
      </w:r>
    </w:p>
    <w:p w:rsidR="00256EE9" w:rsidRDefault="00256EE9" w:rsidP="00256EE9">
      <w:pPr>
        <w:pStyle w:val="TextoNormal"/>
      </w:pPr>
      <w:r>
        <w:t xml:space="preserve">Al negarle al solicitante del amparo la posibilidad de instalar su antena de radio-aficionado, se le está negando, según él, los derechos a que se refieren los preceptos aludidos. </w:t>
      </w:r>
    </w:p>
    <w:p w:rsidR="00256EE9" w:rsidRDefault="00256EE9" w:rsidP="00256EE9">
      <w:pPr>
        <w:pStyle w:val="TextoNormal"/>
      </w:pPr>
      <w:r>
        <w:t xml:space="preserve">El Fiscal nos ha pedido la inadimisión del recurso. Según el Fiscal, es manifiesto que no existe violación del art. 24.1 de la Constitución, porque el recurrente ha obtenido del Tribunal una respuesta jurídica a su pretensión y esta respuesta está racionalmente fundada en Derecho. Podrá estar de acuerdo o no con la misma, pero esa divergencia no pertenece al campo del recurso de amparo. No indica cuál sea la violación que denuncia y no argumenta la misma. Sus alegaciones servirían de base a una tercera instancia, lo que no es el recurso de amparo. El Tribunal ha interpretado el derecho aplicable y se ha movido en el estricto campo de la legalidad ordinaria ajena al conocimiento del Tribunal Constitucional. </w:t>
      </w:r>
    </w:p>
    <w:p w:rsidR="00256EE9" w:rsidRDefault="00256EE9" w:rsidP="00256EE9">
      <w:pPr>
        <w:pStyle w:val="TextoNormal"/>
      </w:pPr>
      <w:r>
        <w:t xml:space="preserve">Tampoco tiene contenido constitucional la pretendida violación del art. 14 de la Constitución, que se refiere al campo de la aplicación de la Ley por los Tribunales. Es necesaria la aportación de un término de comparación que permita contrastar las dos resoluciones del mismo Tribunal para examinar la identidad sustancial del supuesto de hecho y la diferente consecuencia jurídica dada en las dos resoluciones. </w:t>
      </w:r>
    </w:p>
    <w:p w:rsidR="00256EE9" w:rsidRDefault="00256EE9" w:rsidP="00256EE9">
      <w:pPr>
        <w:pStyle w:val="TextoNormal"/>
      </w:pPr>
      <w:r>
        <w:t xml:space="preserve">La discriminación que alega el recurrente no se puede aceptar porque el supuesto de hecho respecto al que establece la desigualdad, es distinto, por lo tanto no es apta para fundamentar la misma. El arrendatario tiene una posición jurídica distinta de la del copropietario y las normas que regulan dicha situación jurídica son distintas, porque responden a principios distintos y además no se ha acreditado que en un caso idéntico se produzca distintos efectos. </w:t>
      </w:r>
    </w:p>
    <w:p w:rsidR="00256EE9" w:rsidRDefault="00256EE9" w:rsidP="00256EE9">
      <w:pPr>
        <w:pStyle w:val="TextoNormal"/>
      </w:pPr>
      <w:r>
        <w:lastRenderedPageBreak/>
        <w:t>El recurrente afirma, por último, la presunta violación del art. 20.1.2 de la Constitución, pero no fundamenta la vulneración, ya que el contenido de este derecho, no tiene relación con el caso concreto que se estudia, por lo tanto no existe violación del mismo. Una cosa es el derecho a la libertad de expresión y otra cosa distinta es el dar satisfacción a una afición digna y respetable, pero sin conexión con este derecho.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 manifiesto que en el presente asunto no se ha producido ninguna vulneración del derecho a la tutela judicial efectiva de los derechos e intereses legítimos, que consagra el art.  24 de la Constitución, pues tal tutela judicial no significa en modo alguno que las pretensiones de los litigantes hayan necesariamente de triunfar.  Significa el derecho a obtener, tras la apertura del correspondiente proceso, una Sentencia de fondo, fundada en Derecho y excepcionalmente un pronunciamiento de inadmisión, cuando la Ley lo permita y la legitimidad constitucional de los requisitos de inadmisión no sea cuestionada, lo que no es ahora el caso.  El art.  24.2 de la Constitución no otorga derecho a una Sentencia favorable, como reiteradamente ha dicho este Tribunal, ni faculta al mismo para revisar la interna corrección de las decisiones de los Tribunales ordinarios cuando en ellas no se produzca por otra vía una vulneración de algún otro derecho constitucional con sustantividad propia.</w:t>
      </w:r>
    </w:p>
    <w:p w:rsidR="00256EE9" w:rsidRDefault="00256EE9" w:rsidP="00256EE9">
      <w:pPr>
        <w:pStyle w:val="TextoNormal"/>
      </w:pPr>
    </w:p>
    <w:p w:rsidR="00256EE9" w:rsidRDefault="00256EE9" w:rsidP="00256EE9">
      <w:pPr>
        <w:pStyle w:val="TextoNormal"/>
      </w:pPr>
      <w:r w:rsidRPr="00256EE9">
        <w:rPr>
          <w:rStyle w:val="NumeroAFNegritaCaracter"/>
        </w:rPr>
        <w:t>2</w:t>
      </w:r>
      <w:r>
        <w:t>. Es igualmente manifiesto que no se ha producido en el presente caso una vulneración del derecho a la igualdad, reconocido en el art.  14 de la Constitución, pues, el recurrente que no sitúa la pretendida vulneración que dice haber sufrido en un trato legal discriminatorio, sino en la diferencia de criterio producido entre algunos órganos jurisdiccionales respecto de un problema similar al que a él le ocupa, se limita a mencionar, sin mayor argumentación, la existencia de Sentencias discrepantes en Algeciras y en Cáceres, lo que por sí solo es claro que no puede fundar una situación de desigualdad con relevancia constitucional. A mayor abundamiento hay que destacar que no se nos ofrecen los términos en que puedan haberse pronunciado las mencionadas Sentencias, de manera que tampoco se puede detectar la alegada falta de igualdad.</w:t>
      </w:r>
    </w:p>
    <w:p w:rsidR="00256EE9" w:rsidRDefault="00256EE9" w:rsidP="00256EE9">
      <w:pPr>
        <w:pStyle w:val="TextoNormal"/>
      </w:pPr>
    </w:p>
    <w:p w:rsidR="00256EE9" w:rsidRDefault="00256EE9" w:rsidP="00256EE9">
      <w:pPr>
        <w:pStyle w:val="TextoNormal"/>
      </w:pPr>
      <w:r w:rsidRPr="00256EE9">
        <w:rPr>
          <w:rStyle w:val="NumeroAFNegritaCaracter"/>
        </w:rPr>
        <w:t>3</w:t>
      </w:r>
      <w:r>
        <w:t>. Por último, es asimismo manifiesto que en este caso no se produce ningún tipo de violación de los derechos reconocidos en el art. 20 de la Constitución.</w:t>
      </w:r>
    </w:p>
    <w:p w:rsidR="00256EE9" w:rsidRDefault="00256EE9" w:rsidP="00256EE9">
      <w:pPr>
        <w:pStyle w:val="TextoNormal"/>
      </w:pPr>
      <w:r>
        <w:t xml:space="preserve">Dentro del art. 20 hay que distinguir lo que realmente constituye el contenido de la libertad de expresión y del derecho a comunicar y recibir información, por un lado, de los posibles derechos o facultades relativas a los medios o soportes materiales necesarios para difundir el pensamiento o para comunicar o recibir información, por otro. Por ello, aún admitiendo que las estaciones de radio-aficionados fuesen vehículos aptos para el ejercicio de los derechos o libertades reconocidos por el art. 20.1 a) y d) de la Constitución, habría que entender que no toda limitación o delimitación, derivada de normas de Derecho civil o administrativo, de los derechos sobre tales medios o de las facultades relativas a su utilización han de suponer necesariamente una restricción o limitación -y menos todavía una vulnercion- de aquellos derechos o libertades fundamentales.  Así, este Tribunal en su Sentencia 79/1982, de 20 de diciembre, estimó, en relación con el servicio público de la radiodifusión, que como el derecho a comunicar libremente información precisa aquí de un medio o soporte de difusión, cuya gestión requiere el otorgamiento de una concesión, </w:t>
      </w:r>
      <w:r>
        <w:lastRenderedPageBreak/>
        <w:t>no puede afirmarse aquí que se ha vulnerado el art. 20.1 a) y d) de la Constitución, que son los preceptos sobre los que se funda la demanda de amparo.  No correspondiendo, en principio, a este Tribunal Constitucional revisar los criterios sobre legalidad ordinaria relativos a instalación de antenas tenidos en cuenta por los Jueces y Tribunales ordinarios, y menos aún cuando -como en este caso- no hay constancia de que la pretensión ejercitada en la vía jurisdiccional ordinaria lo haya sido desde la perspectiva del ejercicio de derechos o libertades fundamentales, sino sólo desde la de si se habían cumplido o no los requisitos establecidos por la legislación administrativa y habian quedado o no suficientemente salvaguardados los derechos de propiedad de los vecinos del inmueble en el que pretende instalar su antena el solicitante de amparo.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ha acordado declarar inadmisible el presente recurso de amparo.</w:t>
      </w:r>
    </w:p>
    <w:p w:rsidR="00256EE9" w:rsidRDefault="00256EE9" w:rsidP="00256EE9">
      <w:pPr>
        <w:pStyle w:val="TextoNormal"/>
      </w:pPr>
    </w:p>
    <w:p w:rsidR="00256EE9" w:rsidRDefault="00256EE9" w:rsidP="00256EE9">
      <w:pPr>
        <w:pStyle w:val="TextoNormal"/>
      </w:pPr>
      <w:r>
        <w:t>Madrid, a diez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299" w:name="AUTO_1985_238"/>
      <w:r>
        <w:lastRenderedPageBreak/>
        <w:t>AUTO 238/1985, de 10 de abril de 1985</w:t>
      </w:r>
    </w:p>
    <w:bookmarkEnd w:id="299"/>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ECLI:ES:TC:1985:238A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71/1985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Mediante escrito presentado en el Registro General de este Tribunal Constitucional con fecha 1 de febrero pasado, el Magistrado don Joaquín Luis Sánchez Carrión, actuando en propio nombre y derecho, formula demanda de amparo constitucional contra la Sentencia del Pleno del Tribunal Supremo de 19 de diciembre de 1984 por vulneración de los arts. 14, 15 y 35 de la C. E. La demanda se apoya en los siguientes hechos: </w:t>
      </w:r>
    </w:p>
    <w:p w:rsidR="00256EE9" w:rsidRDefault="00256EE9" w:rsidP="00256EE9">
      <w:pPr>
        <w:pStyle w:val="TextoNormal"/>
      </w:pPr>
      <w:r>
        <w:t xml:space="preserve">a) El 14 de diciembre de 1982, la Sección Displinaria del Consejo General del Poder Judicial, acordó imponer al hoy demandante de amparo, por determinadas faltas cometidas en el desempeño de su plaza de Juez de Instrucción núm. 1 de San Sebastián, la sanción de reprensión calificada y pérdida de sueldo por dos meses, en aplicación del art. 743 de la Ley Orgánica del Poder Judicial, en relación con el art. 741 de igual cuerpo legal. Interpuestos recursos de alzada y de reposición, ante el Pleno del Consejo fueron desestimados por Acuerdos de 23 de febrero y 8 de junio de 1983. </w:t>
      </w:r>
    </w:p>
    <w:p w:rsidR="00256EE9" w:rsidRDefault="00256EE9" w:rsidP="00256EE9">
      <w:pPr>
        <w:pStyle w:val="TextoNormal"/>
      </w:pPr>
      <w:r>
        <w:t>b) En recurso seguido conforme al procedimiento especial regulado en los arts. 113 a 117 de la Ley de la Jurisdicción Contencioso-Administrativa, el Pleno del Tribunal Supremo dictó Sentencia en 19 de diciembre de 1984, estimando en parte el recurso y declarando que la sanción que se impone al recurrente es la de reprensión calificada y pérdida de sueldo durante veinte días, por considerar que tal es el límite máximo legalmente posible.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demandante denuncia la vulneración del art. 14 de la Constitución, que afectaría a la Sentencia judicial y al art. 743 en relación con el art. 741, de la Ley Orgánica del Poder Judicial, por imponer a los miembros de la Carrera Judicial una sanción de privación de sueldo que no se impone a ningún otro sujeto, pues ni el Estatuto del Ministerio Fiscal, ni el Reglamento de los Facultativos del Consejo General del Poder Judicial, ni las normas aplicables a los trabajadores por cuenta ajena establecen tal tipo de sanción. </w:t>
      </w:r>
    </w:p>
    <w:p w:rsidR="00256EE9" w:rsidRDefault="00256EE9" w:rsidP="00256EE9">
      <w:pPr>
        <w:pStyle w:val="TextoNormal"/>
      </w:pPr>
      <w:r>
        <w:t xml:space="preserve">La sanción impugnada vulnera igualmente el art. 15 de la Constitución, que prohíbe la imposición de penas degradantes, calificativo que sin duda posee la imposición por el Estado a una persona de que trabaje para él sin percibir retribución, lo que atenta igualmente al derecho a una remuneración proporcional al trabajo desarrollado garantizado por el art. 35 de la Constitución. </w:t>
      </w:r>
    </w:p>
    <w:p w:rsidR="00256EE9" w:rsidRDefault="00256EE9" w:rsidP="00256EE9">
      <w:pPr>
        <w:pStyle w:val="TextoNormal"/>
      </w:pPr>
      <w:r>
        <w:lastRenderedPageBreak/>
        <w:t xml:space="preserve">La demanda concluye solicitando que se declare la nulidad de la Sentencia impugnada y se reconozca que el recurrente no puede ser privado por vía de sanción de su derecho a sueldo durante veinte días si al mismo tiempo no se le ha suspendido de empleo por igual periodo, no pudiéndosele obligar a trabajar para la Administración sin percibir la remuneración correlativa, declarándose la inconstitucionalidad del art. 743 de la Ley Orgánica del Poder Judicial de 1870. </w:t>
      </w:r>
    </w:p>
    <w:p w:rsidR="00256EE9" w:rsidRDefault="00256EE9" w:rsidP="00256EE9">
      <w:pPr>
        <w:pStyle w:val="TextoNormal"/>
      </w:pPr>
      <w:r>
        <w:t>Mediante otrosí, se solicitaba suspensión de la Sentencia recurrida, toda vez que la privación actual del sueldo ocasionaría al recurrente un gravísimo perjuicio que haría perder al amparo su finalidad.</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Tercera de este Tribunal, en reunión celebrada el día 27 de febrero pasado, acordó poner de manifiesto la posible existencia de la causa de inadmisibilidad que regula el art. 50.2 b) de la LOTC por cuanto la demanda pudiera carecer manifiestamente de contenido que justifique una decisión por parte del Tribunal Constitucional. </w:t>
      </w:r>
    </w:p>
    <w:p w:rsidR="00256EE9" w:rsidRDefault="00256EE9" w:rsidP="00256EE9">
      <w:pPr>
        <w:pStyle w:val="TextoNormal"/>
      </w:pPr>
      <w:r>
        <w:t xml:space="preserve">Por ello, en aplicación de lo dispuesto en el art. 50 de la indicada Ley Orgánica, otorgó un plazo común de diez días al solicitante de amparo y al Ministerio Fiscal para alegaciones. </w:t>
      </w:r>
    </w:p>
    <w:p w:rsidR="00256EE9" w:rsidRDefault="00256EE9" w:rsidP="00256EE9">
      <w:pPr>
        <w:pStyle w:val="TextoNormal"/>
      </w:pPr>
      <w:r>
        <w:t xml:space="preserve">El solicitante de amparo en escrito presentado en el Registro General de este Tribunal Constitucional, con fecha 8 de marzo de 1984, solicita que se estime el amparo solicitado, reponiéndole en su derecho a no verse privado de su sueldo mientras preste servicios efectivos a la Administración, y declarando la nulidad de la sanción pecuniaria de privación de sueldo por veinte días impuesta por el Tribunal Supremo en Sentencia de 14 de diciembre de 1984. </w:t>
      </w:r>
    </w:p>
    <w:p w:rsidR="00256EE9" w:rsidRDefault="00256EE9" w:rsidP="00256EE9">
      <w:pPr>
        <w:pStyle w:val="TextoNormal"/>
      </w:pPr>
      <w:r>
        <w:t xml:space="preserve">El amparo solicitado -alega el recurrente- se basa en las siguientes argumentaciones: </w:t>
      </w:r>
    </w:p>
    <w:p w:rsidR="00256EE9" w:rsidRDefault="00256EE9" w:rsidP="00256EE9">
      <w:pPr>
        <w:pStyle w:val="TextoNormal"/>
      </w:pPr>
      <w:r>
        <w:t xml:space="preserve">a) Inconstitucionalidad del segundo inciso del art. 743 de la vetusta Ley Orgánica del Poder Judicial de 1870, en cuanto determina que la sanción de reprensión calificada consistirá, además de la comunicación hecha al interesado del modo previsto en el art. 742, en la «pérdida de sueldo correspondiente de uno a tres meses», que es la sanción impuesta al recurrente, bien que reducida a veinte días por estimar el Tribunal Supremo que éste es el límite máximo de dicha privación pecuniaria a partir de la Ley 11/1966, de 18 de marzo. Pero sea cual fuere el limite aplicable, lo que en definitiva se impugna es la base de tal sanción económica -no la de la reprensión, que se acepta- del art. 743 de la LOPJ, que obliga al sancionado a continuar trabajando para la Administración (en el presente caso durante veinte días) sin percibir a cambio remuneración alguna, lo que atenta contra tres principios constitucionales: 1) el principio de igualdad del art. 14, por constituir una desigualdad injustificada que, por la mera circunstancia social de ser funcionario judicial, se puede obligar, en base a un precepto como el impugnado, a trabajar sin cobrar sueldo, sanción única en el Ordenamiento español, ya que en los demás colectivos del Estado tanto de funcionarios como de trabajadores ello está vedado (para estos últimos por el art. 58.3 del Estatuto de los Trabajadores, que prohíbe la privación de haberes como sanción), permitiéndose sólo la privación de sueldo cuando va acompañada de la suspensión de empleo, sanción ésta que también se recoge en la LOPJ y que de haber sido aplicada al recurrente, no hubiera sido objeto de tacha de inconstitucionalidad; 2) el principio del art. 15 de la Constitución, que prohíbe la imposición de penas o sanciones degradantes, pues nada hay más degradante que exigir a una persona que preste sus servicios a un tercero y no pagarle el sueldo que le corresponde, amparándose en su superioridad; 3) el principio del art. 35, que exige una remuneración proporcional al trabajo desarrollado, por lo que si no </w:t>
      </w:r>
      <w:r>
        <w:lastRenderedPageBreak/>
        <w:t xml:space="preserve">se ha suspendido de empleo al recurrente y se le obliga a continuar desempeñando su profesión ha de abonársele el sueldo que le corresponde. </w:t>
      </w:r>
    </w:p>
    <w:p w:rsidR="00256EE9" w:rsidRDefault="00256EE9" w:rsidP="00256EE9">
      <w:pPr>
        <w:pStyle w:val="TextoNormal"/>
      </w:pPr>
      <w:r>
        <w:t xml:space="preserve">b) A consecuencia de la inconstitucionalidad del inciso segundo del art. 743 de la LOPJ, es preciso declarar la nulidad de la sanción pecuniaria impuesta al recurrente por el Tribunal Supremo en la Sentencia de 19 de diciembre de 1984, ya que no se puede privar a un funcionario por vía disciplinaria de su derecho al sueldo si no se le suspende al propio tiempo de empleo -suspensión ésta que no regula el precepto aplicado al demandante y que no es factible ahora señalar por la prohibición de la reformatio in peius-, al ser contrario a la naturaleza y a la Constitución el pretender obligar a una persona a trabajar sin abonarle el salario que le corresponde. </w:t>
      </w:r>
    </w:p>
    <w:p w:rsidR="00256EE9" w:rsidRDefault="00256EE9" w:rsidP="00256EE9">
      <w:pPr>
        <w:pStyle w:val="TextoNormal"/>
      </w:pPr>
      <w:r>
        <w:t xml:space="preserve">c) No es objeto del presente recurso la sanción de reprensión calificada impuesta por el Tribunal Supremo en base al primer inciso del art. 743 de la LOPJ, en cuanto se acepta que dicha sanción es constitucionalmente correcta y que ha de consistir exclusivamente en la comunicación efectuada al interesado del modo previsto en el art. 742 de la repetida LOPJ, con exclusión de la pérdida de sueldo que actualmente lleva aparejada. </w:t>
      </w:r>
    </w:p>
    <w:p w:rsidR="00256EE9" w:rsidRDefault="00256EE9" w:rsidP="00256EE9">
      <w:pPr>
        <w:pStyle w:val="TextoNormal"/>
      </w:pPr>
      <w:r>
        <w:t xml:space="preserve">Y termina dando por reproducida la solicitud de que se acuerde la suspensión de la ejecutividad de la Sentencia impugnada, de acuerdo con el art. 56 de la LOTC. </w:t>
      </w:r>
    </w:p>
    <w:p w:rsidR="00256EE9" w:rsidRDefault="00256EE9" w:rsidP="00256EE9">
      <w:pPr>
        <w:pStyle w:val="TextoNormal"/>
      </w:pPr>
      <w:r>
        <w:t xml:space="preserve">El Fiscal ante el Tribunal Constitucional pide la inadmisión de la demanda al incidir en el motivo que se recoge en el art. 50.2 b) de la LOTC. </w:t>
      </w:r>
    </w:p>
    <w:p w:rsidR="00256EE9" w:rsidRDefault="00256EE9" w:rsidP="00256EE9">
      <w:pPr>
        <w:pStyle w:val="TextoNormal"/>
      </w:pPr>
      <w:r>
        <w:t xml:space="preserve">En esencia, tanto de la demanda del amparo como de las actuaciones precedentes se obtiene que el actor acepta la sanción de reprensión cualificada e impugna la de privación del sueldo durante veinte días que comporta prestación de servicio sin remuneración. </w:t>
      </w:r>
    </w:p>
    <w:p w:rsidR="00256EE9" w:rsidRDefault="00256EE9" w:rsidP="00256EE9">
      <w:pPr>
        <w:pStyle w:val="TextoNormal"/>
      </w:pPr>
      <w:r>
        <w:t xml:space="preserve">Entiende que a través del bloque de resoluciones tanto de los órganos del Consejo General del Poder Judicial, como del Pleno del Tribunal Supremo, han sido vulnerados los derechos que se consagran en los arts. 14, 15 y 35 de la Constitución. </w:t>
      </w:r>
    </w:p>
    <w:p w:rsidR="00256EE9" w:rsidRDefault="00256EE9" w:rsidP="00256EE9">
      <w:pPr>
        <w:pStyle w:val="TextoNormal"/>
      </w:pPr>
      <w:r>
        <w:t xml:space="preserve">En relación al primero de los preceptos constitucionales y consiguientemente respecto del principio de igualdad ante la Ley, cabe señalar que el actor como término de comparación se está refiriendo al tratamiento sancionador que las normas aplicables a otros cuerpos de funcionarios establecen, y a ello cabe responder que con independencia de que la jurisprudencia del alto Tribunal al que tenemos el honor de dirigirnos ha matizado reiteradamente este aspecto distinguiendo y justificando el distinto tratamiento normativo de cada cuerpo de funcionarios con arreglo a sus especiales características, es lo cierto que las normas que el actor califica de obsoletas, no son tales puesto que: </w:t>
      </w:r>
    </w:p>
    <w:p w:rsidR="00256EE9" w:rsidRDefault="00256EE9" w:rsidP="00256EE9">
      <w:pPr>
        <w:pStyle w:val="TextoNormal"/>
      </w:pPr>
      <w:r>
        <w:t xml:space="preserve">1.° El art. 91 del Texto articulado de la Ley de Funcionarios Civiles del Estado de 7 de febrero de 1964 al enunciar las sanciones correspondientes a determinados tipos de infracciones disciplinarias, recoge la de pérdida de sueldo en diversas proporciones en relación con la entidad de la infracción. </w:t>
      </w:r>
    </w:p>
    <w:p w:rsidR="00256EE9" w:rsidRDefault="00256EE9" w:rsidP="00256EE9">
      <w:pPr>
        <w:pStyle w:val="TextoNormal"/>
      </w:pPr>
      <w:r>
        <w:t xml:space="preserve">2.° La Ley 30/1984, de 2 de agosto, de Medidas para la Reforma de la Función Pública, en su art. 31, modifica la enunciación de las faltas muy graves, es decir, afecta de lleno al art. 88 del Texto articulado de 7 de febrero de 1964, pero en ningún momento varía el régimen sancionador contenido en esta última norma, por lo que la sanción de pérdida de sueldo en modo alguno es obsoleta, como se pretende, sino de plena vigencia. </w:t>
      </w:r>
    </w:p>
    <w:p w:rsidR="00256EE9" w:rsidRDefault="00256EE9" w:rsidP="00256EE9">
      <w:pPr>
        <w:pStyle w:val="TextoNormal"/>
      </w:pPr>
      <w:r>
        <w:t xml:space="preserve">3.° La Ley de 18 de marzo de 1966 de Reforma Orgánica y Adaptación de los Cuerpos de la Administración de Justicia a la Ley de Funcionarios Civiles del Estado, Ley por lo tanto de especifica aplicación al interesado, y en base a la cual se le sanciona por el Tribunal Supremo, reconoce idénticos tipos de sanción. </w:t>
      </w:r>
    </w:p>
    <w:p w:rsidR="00256EE9" w:rsidRDefault="00256EE9" w:rsidP="00256EE9">
      <w:pPr>
        <w:pStyle w:val="TextoNormal"/>
      </w:pPr>
      <w:r>
        <w:t xml:space="preserve">4.° Si armonizamos tal cuadro normativo resulta evidente que por lo menos cerca de un millón de funcionarios está sujeto al mismo régimen sancionador, por lo que en manera </w:t>
      </w:r>
      <w:r>
        <w:lastRenderedPageBreak/>
        <w:t xml:space="preserve">alguna puede afirmarse que al hacer aplicación al interesado de tales normas no se haya quebrantado en su perjuicio el principio de igualdad ante la Ley, advirtiéndose que en el fondo del proceso de amparo, lo que se pretende es discutir si esa sanción ha de mantenerse o no en el ordenamiento sancionador, y esto es tema que queda al margen del proceso de amparo. </w:t>
      </w:r>
    </w:p>
    <w:p w:rsidR="00256EE9" w:rsidRDefault="00256EE9" w:rsidP="00256EE9">
      <w:pPr>
        <w:pStyle w:val="TextoNormal"/>
      </w:pPr>
      <w:r>
        <w:t xml:space="preserve">En segundo lugar, se afirma que con la sanción impuesta se vulnera el art. 5 de la Constitución en cuanto entiende que se le ha impuesto una pena «degradante». Dejando aparte la interpretación extensiva que el actor verifica respecto del concepto «penas», incluyendo entre ellas a las «sanciones» disciplinarias lo cierto es que en modo alguno puede afirmarse que una sanción de privación de sueldo durante un período de veinte días puede merecer tal calificativo puesto que, y desde el momento que el interesado se remite a la doctrina del Tribunal Europeo de Derechos Humanos basta recordar que precisamente este Tribunal ha entendido que el concepto de pena degradante hace referencia a un plus en cuanto a la violación de la dignidad humana. No acertamos a comprender cómo la sanción impuesta al interesado pueda calificarse de degradante, violando la dignidad humana. </w:t>
      </w:r>
    </w:p>
    <w:p w:rsidR="00256EE9" w:rsidRDefault="00256EE9" w:rsidP="00256EE9">
      <w:pPr>
        <w:pStyle w:val="TextoNormal"/>
      </w:pPr>
      <w:r>
        <w:t xml:space="preserve">Finalmente se contiene en la demanda una referencia al art. 35 de la Constitución, referencia que no necesita de mayor examen puesto que como es sabido, el derecho que se reconoce en el art. 35 de la Constitución queda al margen de aquellos que por imperativo del art. 53.2 de la misma Norma fundamental son susceptibles de protección por la vía de amparo. </w:t>
      </w:r>
    </w:p>
    <w:p w:rsidR="00256EE9" w:rsidRDefault="00256EE9" w:rsidP="00256EE9">
      <w:pPr>
        <w:pStyle w:val="TextoNormal"/>
      </w:pPr>
      <w:r>
        <w:t>De este examen y sin perjuicio de cuanto el interesado pueda alegar y acreditar en el presente trámite, se desprende la inexistencia de lesión de derechos fundamentales tutelables por la vía de amparo constitucional por lo que se evidencia que estamos ante el supuesto de inadmisión que señala el art. 50.2 b) de la LOTC.</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Prescindiendo de la invocación del derecho al trabajo (art.  35 de la Constitución) pues no es de los comprendidos en el art.  53.2 también de la Constitución y en inmediata relación con él, en el art.  4.  de la LOTC que son para los que está prevista la vía constitucional del amparo, y por esto, en este particular, incurso en el caso del art.  50.2 a) de aquella Ley, el recurso se reduce a la mención de los arts.  5 (nadie podrá ser sometido a tortura ni a penas o tratos inhumanos o degradantes) y 4 (la igualdad en y ante la Ley), preceptos cuya sola mención puesta en relación con la sanción disciplinaria impuesta (pérdida de haberes durante veinte días) revelan pronto -y lo revelan con el carácter de lo manifiesto- la fata de contenido constitucional [art.  50.2 b)].  En cuanto a la prohibición que dice e art.  5, inspirada en el art.  5 de la Declaración Universal de Derechos Humanos, y derivada directamente del principio de dignidad de la persona humana, que el art. 10 proclama como fundamento del orden político y de la paz social, no puede decirse seriamente que la prohibición de los malos tratos y de las penas que por su crueldad o contenido vejatorio o humillante atentan contra la dignidad de la persona, o su vida o integridad física o moral, incluye una sanción como la disciplinaria de pérdida de haberes, frecuente en el derecho disciplinario funcionarial, y que tiene un carácter económico, ajena a toda idea de inhumanidad o degradación.</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No es sostenible, desde ningún aspecto, que la inclusión en una regulación de un Cuerpo, o de personal al servicio de la Justicia, de un cuadro de sanciones que no coincide </w:t>
      </w:r>
      <w:r>
        <w:lastRenderedPageBreak/>
        <w:t>con algunas otras regulaciones funcionariales acarrea para las distintas la tacha de inconstitucionalidad por violación de la igualdad ante la Ley.  Pero es que, además, no es infrecuente, antes al contrario, tónica general que la sanción de pérdida de haberes se establezca en otras regulaciones, y, desde luego, en las que contienen el régimen funcionarial general.  El Estatuto jurídico de los Jueces y Tribunales, a los que por exigencias constitucionales se impone, junto a la independencia, un régimen de responsabilidad que comprende también la disciplinaria (arts.  117.1 y 122.1), puede comprender, y así lo comprende el régimen vigente, un cuadro sancionador dirigido a una cabal exigencia de sus deberes en el ejercicio de la alta función que tienen encomendada. No hay, pues, violación del art. 14 y esto aparece como manifiesto desde ahora, por lo que debe aplicarse la causa del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de amparo interpuesto por don Joaquín Luis Sánchez Carrión, lo que hace innecesario proveer sobre la suspensión del acto impugnado.</w:t>
      </w:r>
    </w:p>
    <w:p w:rsidR="00256EE9" w:rsidRDefault="00256EE9" w:rsidP="00256EE9">
      <w:pPr>
        <w:pStyle w:val="TextoNormal"/>
      </w:pPr>
    </w:p>
    <w:p w:rsidR="00256EE9" w:rsidRDefault="00256EE9" w:rsidP="00256EE9">
      <w:pPr>
        <w:pStyle w:val="TextoNormal"/>
      </w:pPr>
      <w:r>
        <w:t>Madrid, a diez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0" w:name="AUTO_1985_239"/>
      <w:r>
        <w:lastRenderedPageBreak/>
        <w:t>AUTO 239/1985, de 11 de abril de 1985</w:t>
      </w:r>
    </w:p>
    <w:bookmarkEnd w:id="300"/>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ECLI:ES:TC:1985:239A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Levantando parcialmente la suspensión, previamente acordada, de la Orden de 30 de abril de 1984, de la Consejería de Agricultura, Pesca y Alimentación de la Junta de Galicia, en el conflicto positivo de competencia 723/1984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Gobierno de la Nación, mediante escrito de 20 de octubre de 1984, planteó conflicto positivo de competencia en relación con la Orden de 30 de abril de 1984, de la Consejería de Agricultura, Pesca y Alimentación de la Junta de Galicia, por la que se aprueba el Reglamento de la Denominación Específica «Albariño» y de su Consejo Regulador, con invocación expresa del art. 161.2 de la Constitución al objeto de que fuese ordenada la suspensión de la Orden impugnada.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la Sección Tercera del Pleno de este Tribunal, de 31 de octubre de 1981, se tuvo por planteado el conflicto y se dio traslado de la demanda a la Junta de Galicia, teniéndose por producida la suspensión de la Orden objeto del conflicto desde la fecha de su formalización, de conformidad con lo dispuesto en el art. 64.2 de la Ley Orgánica del Tribunal Constitucional (LOTC), lo que se participó al Presidente de la Junta de Galicia y se publicó en los periódicos oficiales del Estado y de la Comunidad Autónoma. </w:t>
      </w:r>
    </w:p>
    <w:p w:rsidR="00256EE9" w:rsidRDefault="00256EE9" w:rsidP="00256EE9">
      <w:pPr>
        <w:pStyle w:val="TextoNormal"/>
      </w:pPr>
      <w:r>
        <w:t>La Junta de Galicia se personó y presentó escrito de alegaciones el 1 de diciembre de 1984, en solicitud de que en su día se dicte Sentencia declarando que la competencia controvertida corresponde a la Junta de Galicia.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la Sección Tercera de 6 de marzo del corriente, se acordó oír a las partes para que hicieran alegaciones en relación con el mantenimiento o levantamiento de la suspensión de la Orden objeto del conflicto. </w:t>
      </w:r>
    </w:p>
    <w:p w:rsidR="00256EE9" w:rsidRDefault="00256EE9" w:rsidP="00256EE9">
      <w:pPr>
        <w:pStyle w:val="TextoNormal"/>
      </w:pPr>
      <w:r>
        <w:t xml:space="preserve">El Abogado del Estado, en escrito de 15 de marzo último, interesa el mantenimiento de la suspensión, en consideración a que la Orden objeto del conflicto afecta a un delicado sistema de protección comercial que trasciende con mucho del ámbito territorial de la Comunidad Autónoma que recibe sus plenos efectos jurídicos de la Ley 25/1970, de 2 de diciembre, y su Reglamento de 23 de marzo de 1972, y porque la innovación que introduce la regulación autónomica altera el sistema que hasta ahora ha venido rigiendo, pudiendo </w:t>
      </w:r>
      <w:r>
        <w:lastRenderedPageBreak/>
        <w:t xml:space="preserve">incluso inducir a confusión en una materia en la que las denominaciones responden a reglas «standard» conocidas. </w:t>
      </w:r>
    </w:p>
    <w:p w:rsidR="00256EE9" w:rsidRDefault="00256EE9" w:rsidP="00256EE9">
      <w:pPr>
        <w:pStyle w:val="TextoNormal"/>
      </w:pPr>
      <w:r>
        <w:t>La Junta de Galicia, en escrito recibido en este Tribunal el 21 de marzo último, en cumplimiento del traslado conferido, solicita el levantamiento de la suspensión, que a su juicio se impone tanto más cuanto se reconoce la titularidad competencial del Estado en cuanto al comercio exterior-exportación. Invoca en apoyo de esta petición que la inaplicación de la Orden en el ámbito territorial de la Comunidad Autónoma de Galicia impide poner en marcha una serie de acciones tendentes al impulso de una política vitivinícola regional que acelere la aproximación a las cotas que el sector requiere para que el impacto de la adhesión a la Comunidad Económica Europea cause los menores trastornos posibles, sin que, por otra parte, el levantamiento de la suspensión produzca efectos irreparables, mientras que la ponderación de los valores que han de determinar una u otras decisión se traduce en derivar consecuencias difícilmente reparables para la Comunidad Autónoma gallega, de naturaleza esencialmente económica, en el caso del mantenimiento.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Según la reiterada doctrina de este Tribunal Constitucional, el mantenimiento o alzamiento de la suspensión de una norma autonómica en conflicto debe decidirse teniendo en cuenta el alcance de la misma y las consecuencias que para los intereses públicos y, en su caso, para los particulares afectados podrían derivarse de una u otra medida, estimando como uno de los criterios relevantes la irreparabilidad o dificultad de reparación de las situaciones que pudieran generarse, según el sentido de la decisión del conflicto, todo ello examinado desde el ángulo del carácter preventivo de la medida y al margen de toda previsibilidad acerca de la solución que reclame en su día la decisión de fondo.</w:t>
      </w:r>
    </w:p>
    <w:p w:rsidR="00256EE9" w:rsidRDefault="00256EE9" w:rsidP="00256EE9">
      <w:pPr>
        <w:pStyle w:val="TextoNormal"/>
      </w:pPr>
    </w:p>
    <w:p w:rsidR="00256EE9" w:rsidRDefault="00256EE9" w:rsidP="00256EE9">
      <w:pPr>
        <w:pStyle w:val="TextoNormal"/>
      </w:pPr>
      <w:r w:rsidRPr="00256EE9">
        <w:rPr>
          <w:rStyle w:val="NumeroAFNegritaCaracter"/>
        </w:rPr>
        <w:t>2</w:t>
      </w:r>
      <w:r>
        <w:t>. En el presente caso existe acuerdo entre las partes por lo que se refiere al mantenimiento de la suspensión de un precepto concreto de la norma impugnada, cual es el art.  17.2 de la citada Orden de la Consejería de Agricultura, Pesca y Alimentación de la Junta de Galicia. En efecto, en su escrito de oposición de 30 de noviembre de 1984 en el conflicto suscitado, la Junta instó el levantamiento de la suspensión acordada inicialmente por el Tribunal para el momento procesal oportuno, «excepción efectuada del art. 17.2, inciso 2.°, excepción ésta, relativa al comercio exterior, a la que hace también referencia en su escrito de 14 de marzo de 1985, por el que hace sus alegaciones sobre la procedencia o no de mantener la suspensión.  Por lo que se refiere al mencionado art.  17.2, inciso 2.°, la suspensión debe, pues, mantenerse.</w:t>
      </w:r>
    </w:p>
    <w:p w:rsidR="00256EE9" w:rsidRDefault="00256EE9" w:rsidP="00256EE9">
      <w:pPr>
        <w:pStyle w:val="TextoNormal"/>
      </w:pPr>
    </w:p>
    <w:p w:rsidR="00256EE9" w:rsidRDefault="00256EE9" w:rsidP="00256EE9">
      <w:pPr>
        <w:pStyle w:val="TextoNormal"/>
      </w:pPr>
      <w:r w:rsidRPr="00256EE9">
        <w:rPr>
          <w:rStyle w:val="NumeroAFNegritaCaracter"/>
        </w:rPr>
        <w:t>3</w:t>
      </w:r>
      <w:r>
        <w:t>. En cuanto al resto de la Orden en conflicto, el retraso de su eficacia puede acarrear perjuicios económicos a productores de los caldos a que se refiere dicha Orden y a los que con ellos comercian, e indirectamente a la economía agrícola de la Comunidad Autónoma gallega, como aduce el representante de su Junta en el conflicto, sin que por el contrario haya aportado el Abogado del Estado argumentos suficientes que acrediten que del levantamiento de la suspensión resulten perjuicios de carácter general de imposible o difícil reparación.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En virtud de lo expuesto, el Tribunal acuerda levantar la suspensión de la Orden de 30 de abril de 1984 de la Consejería de Agricultura, Pesca y Alimentación de la Junta de Galicia por la que se aprueba el Reglamento de la Denominación Específica</w:t>
      </w:r>
    </w:p>
    <w:p w:rsidR="00256EE9" w:rsidRDefault="00256EE9" w:rsidP="00256EE9">
      <w:pPr>
        <w:pStyle w:val="TextoNormal"/>
      </w:pPr>
      <w:r>
        <w:t>«Albariño» y de su Consejo Regulador, con la excepción de su art.  17.2, inciso 2.°; suspensión que apareció publicada en el «Boletín Oficial del Estado» de 21 de noviembre de 1984.</w:t>
      </w:r>
    </w:p>
    <w:p w:rsidR="00256EE9" w:rsidRDefault="00256EE9" w:rsidP="00256EE9">
      <w:pPr>
        <w:pStyle w:val="TextoNormal"/>
      </w:pPr>
    </w:p>
    <w:p w:rsidR="00256EE9" w:rsidRDefault="00256EE9" w:rsidP="00256EE9">
      <w:pPr>
        <w:pStyle w:val="TextoNormal"/>
      </w:pPr>
      <w:r>
        <w:t>Publíquese en el «Boletín Oficial del Estado» y «Diario Oficial de Galicia».</w:t>
      </w:r>
    </w:p>
    <w:p w:rsidR="00256EE9" w:rsidRDefault="00256EE9" w:rsidP="00256EE9">
      <w:pPr>
        <w:pStyle w:val="TextoNormal"/>
      </w:pPr>
      <w:r>
        <w:t>Madrid, a once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1" w:name="AUTO_1985_240"/>
      <w:r>
        <w:lastRenderedPageBreak/>
        <w:t>AUTO 240/1985, de 17 de abril de 1985</w:t>
      </w:r>
    </w:p>
    <w:bookmarkEnd w:id="301"/>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ECLI:ES:TC:1985:240A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300/1984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Tribunal Constitucional el 25 de abril de 1984, don Juan Luis Pérez Mulet y Suárez, Procurador de los Tribunales, en nombre y representación de doña María Asunción Cavero Moncanut y 1.417 más interpone recurso de amparo constitucional contra la Sentencia de la Sala Quinta del Tribunal Supremo de 3 de marzo de 1984 (recurso 514.609), así como contra la Sentencia de la Sala de lo Contencioso-Administrativo de la Audiencia Territorial de Madrid de 24 de julio de 1982, por violación del art. 14 de la Constitución. </w:t>
      </w:r>
    </w:p>
    <w:p w:rsidR="00256EE9" w:rsidRDefault="00256EE9" w:rsidP="00256EE9">
      <w:pPr>
        <w:pStyle w:val="TextoNormal"/>
      </w:pPr>
      <w:r>
        <w:t>Piden que se declare la nulidad de las referidas Sentencias y se reconozca el derecho de los recurrentes a percibir el complemento de destino en un grado B, nivel 22.</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recurrentes fundan su demanda de amparo en los siguientes hechos: </w:t>
      </w:r>
    </w:p>
    <w:p w:rsidR="00256EE9" w:rsidRDefault="00256EE9" w:rsidP="00256EE9">
      <w:pPr>
        <w:pStyle w:val="TextoNormal"/>
      </w:pPr>
      <w:r>
        <w:t xml:space="preserve">A) Los 1.418 funcionarios recurrentes formularon reclamación administrativa, y posteriormente contencioso-administrativa, con la pretensión de que se les reconociera y abonara el complemento de destino que estimaban les correspondía por ser funcionarios de Administración especial, pertenecientes a un Cuerpo Técnico para cuyo ingreso se exigen conocimientos especiales y con especial responsabilidad. </w:t>
      </w:r>
    </w:p>
    <w:p w:rsidR="00256EE9" w:rsidRDefault="00256EE9" w:rsidP="00256EE9">
      <w:pPr>
        <w:pStyle w:val="TextoNormal"/>
      </w:pPr>
      <w:r>
        <w:t xml:space="preserve">B) Esta reclamación fue rechazada por la Administración y por la Audiencia Territorial de Madrid, pese a existir reiterada jurisprudencia y práctica administrativa que ha reconocido el derecho a complemento de destino a funcionarios que se encontraban en las mismas circunstancias. La Audiencia Territorial de Madrid ofreció expresamente a los recurrentes recurso extraordinario de revisión. </w:t>
      </w:r>
    </w:p>
    <w:p w:rsidR="00256EE9" w:rsidRDefault="00256EE9" w:rsidP="00256EE9">
      <w:pPr>
        <w:pStyle w:val="TextoNormal"/>
      </w:pPr>
      <w:r>
        <w:t>C) Interpuesto el citado recurso, fue desestimado por la Sala Quinta del Tribunal Supremo. Alegan los recurrentes que en los autos correspondientes al recurso de revisión aportaron 12 Sentencias (que citan) todas ellas de Audiencias Territoriales en las que se reconoció la procedencia del complemento de destino a personas que se encuentran en situación idéntica a las demandantes. Durante la tramitación del recurso de revisión aportaron otras cinco Sentencias (que también relacionan) y, todavía, después de fallada la revisión, otras dos Sentencias que también invocan.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de la pretensión de amparo son los siguientes: </w:t>
      </w:r>
    </w:p>
    <w:p w:rsidR="00256EE9" w:rsidRDefault="00256EE9" w:rsidP="00256EE9">
      <w:pPr>
        <w:pStyle w:val="TextoNormal"/>
      </w:pPr>
      <w:r>
        <w:lastRenderedPageBreak/>
        <w:t xml:space="preserve">A) De todas las Sentencias citadas se deduce que los funcionarios están siendo tratados desigualmente por los Tribunales y por la Administración, lo que produce una vulneración clara del art. 14 de la Constitución. </w:t>
      </w:r>
    </w:p>
    <w:p w:rsidR="00256EE9" w:rsidRDefault="00256EE9" w:rsidP="00256EE9">
      <w:pPr>
        <w:pStyle w:val="TextoNormal"/>
      </w:pPr>
      <w:r>
        <w:t xml:space="preserve">B) La Sentencia de la Audiencia Territorial de Albacete de 24 de noviembre de 1981 (Recs. acds. 64, 65, 66 y 67/1981) afirma respecto de la concesión de un complemento de destino: </w:t>
      </w:r>
    </w:p>
    <w:p w:rsidR="00256EE9" w:rsidRDefault="00256EE9" w:rsidP="00256EE9">
      <w:pPr>
        <w:pStyle w:val="TextoNormal"/>
      </w:pPr>
      <w:r>
        <w:t xml:space="preserve">«Que si a los recurrentes para su ingreso en la escala de Ingenieros Técnicos Agrícolas del Instituto Nacional de Reforma y Desarrollo Agrario se les exige tal título, conforme al Decreto 2049/1971, de 13 de agosto, determinante de las competencias y facultades de los mismos que les habilitaba para unas específicas actividades de carácter esencialmente técnico y por tanto no realizables por quien carezca del mismo; es forzoso reconocer que concurre en sus puestos de trabajo al menos una de las dos condiciones alternativamente exigidas por el art. 8 del Real Decreto de 1 de febrero de 1973 (hoy Decreto 1086/1977, de 13 de mayo), para ser clasificados como acreedores al complemento de destino, esto es, la de la particular preparación técnica y, todo ello se relaciona además con las funciones concretas que realizan en la Jefatura Provincial de Albacete, similares a las de otros Ingenieros Técnicos Agrícolas, con complemento de destino reconocido, ha de llegarse, necesariamente, a la consecuencia de que se da también la segunda de las condiciones alternativas precisas para el reconocimiento de este derecho, así como por su negativa representaría una manifiesta violación del principio de igualdad jurídica reconocida por el art. 14 de la Constitución, que no puede excusarse, como hace la Administración, en base a los condicionamientos derivados de las consignaciones presupuestarias.» De lo que resulta que la propia Audiencia invoca el art. 14 como justificación de la necesidad de establecer para todos los funcionarios que se hallasen en estas condiciones la necesaria atribución del complemento de destino. </w:t>
      </w:r>
    </w:p>
    <w:p w:rsidR="00256EE9" w:rsidRDefault="00256EE9" w:rsidP="00256EE9">
      <w:pPr>
        <w:pStyle w:val="TextoNormal"/>
      </w:pPr>
      <w:r>
        <w:t xml:space="preserve">C) Se ha vulnerado el principio de igualdad, siendo injusto que a funcionarios con idéntica titulación, funciones y responsabilidades se les retribuya en forma desigual. Las Sentencias frente a las que se deduce el recurso de amparo son excepcionales dentro de la corriente uniforme que se aprecia en casi todas las Audiencias Territoriales de España, donde se reconoce la procedencia del reconocimiento y abono del complemento de destino a los funcionarios que pertenecen a la Escala de Ingenieros Técnicos, en este caso del Ministerio de Agricultura. </w:t>
      </w:r>
    </w:p>
    <w:p w:rsidR="00256EE9" w:rsidRDefault="00256EE9" w:rsidP="00256EE9">
      <w:pPr>
        <w:pStyle w:val="TextoNormal"/>
      </w:pPr>
      <w:r>
        <w:t xml:space="preserve">Se trata de igualdad dentro de la legalidad, que es la que ha supuesto que existan más de veinte Sentencias de Audiencias Territoriales con pronunciamientos que básicamente afirman una interpretación concorde con las tesis que sostienen los recurrentes y que se desprende del Decreto 315/1964; art. 67 del Decreto 2043/1971; del Real Decreto-ley 22/1977, de 30 de marzo, y del Real Decreto 1086/1977, de 13 de mayo, en las que se dispone que el complemento de destino es el que corresponde a puestos de trabajo que requieren especial preparación técnica o implican especial responsabilidad. </w:t>
      </w:r>
    </w:p>
    <w:p w:rsidR="00256EE9" w:rsidRDefault="00256EE9" w:rsidP="00256EE9">
      <w:pPr>
        <w:pStyle w:val="TextoNormal"/>
      </w:pPr>
      <w:r>
        <w:t xml:space="preserve">Los Ingenieros Técnicos accedieron a la función pública en virtud de la especialidad de que estaban investidos y que determinó su integración en un Cuerpo de Administración especial. </w:t>
      </w:r>
    </w:p>
    <w:p w:rsidR="00256EE9" w:rsidRDefault="00256EE9" w:rsidP="00256EE9">
      <w:pPr>
        <w:pStyle w:val="TextoNormal"/>
      </w:pPr>
      <w:r>
        <w:t xml:space="preserve">Desde el punto de vista de la responsabilidad, todas las Ingenierías Técnicas tienen la facultad de proyectar y dirigir obras en el seno de la Administración y esto comporta una evidente e indudable responsabilidad tanto de orden civil como penal. </w:t>
      </w:r>
    </w:p>
    <w:p w:rsidR="00256EE9" w:rsidRDefault="00256EE9" w:rsidP="00256EE9">
      <w:pPr>
        <w:pStyle w:val="TextoNormal"/>
      </w:pPr>
      <w:r>
        <w:t xml:space="preserve">D) En conclusión entienden que el principio de igualdad ante la Ley se encuentra quebrantado gravemente por la actuación de la Administración y por las Sentencias impugnadas. Las identidades existentes entre los beneficiarios de las Sentencias que se incorporan </w:t>
      </w:r>
      <w:r>
        <w:lastRenderedPageBreak/>
        <w:t>a los recursos de referencia son evidentes y han sido reconocidas incluso por la Sala Quinta del Tribunal Supremo, al desestimar el recurso de revisión. Muchas de estas Sentencias se producen respecto de compañeros de trabajo de los recurrentes y otras sólo difieren en la titulación de los afectados que, incluso en algún caso es inferior, lo que hace notoria la desigualdad infringida. Se remiten al contenido de las Sentencias aportadas que se recogerán en los Autos que se reclamen, a todos los efectos.</w:t>
      </w:r>
    </w:p>
    <w:p w:rsidR="00256EE9" w:rsidRDefault="00256EE9" w:rsidP="00256EE9">
      <w:pPr>
        <w:pStyle w:val="TextoNormal"/>
      </w:pPr>
    </w:p>
    <w:p w:rsidR="00256EE9" w:rsidRDefault="00256EE9" w:rsidP="00256EE9">
      <w:pPr>
        <w:pStyle w:val="TextoNormal"/>
      </w:pPr>
      <w:r w:rsidRPr="00256EE9">
        <w:rPr>
          <w:rStyle w:val="NumeroAFNegritaCaracter"/>
        </w:rPr>
        <w:t>4</w:t>
      </w:r>
      <w:r>
        <w:t>. La Sala Quinta del Tribunal Supremo, en la Sentencia impugnada de 3 de marzo de 1984, entendió que la Sentencia recurrida en revisión era contraria a otras alcanzadas en idéntica situación. Que, comprobada la contradicción entre las decisiones judiciales, era necesario comprobar cuál de los pronuncimientos contradictorios era el jurídicamnte correcto, llegando a la conclusión de que la doctrina establecida en la Sentencia sometida a revisión era la que debía prevalecer. Y que «la Administración debe analizar las circunstancias que concurren en cada puesto de trabajo para que aquellos en que se aprecie esa particular exigencia de preparación técnica o especial responsabilidad sean remunerados por ese cuestionado complemento».</w:t>
      </w:r>
    </w:p>
    <w:p w:rsidR="00256EE9" w:rsidRDefault="00256EE9" w:rsidP="00256EE9">
      <w:pPr>
        <w:pStyle w:val="TextoNormal"/>
      </w:pPr>
    </w:p>
    <w:p w:rsidR="00256EE9" w:rsidRDefault="00256EE9" w:rsidP="00256EE9">
      <w:pPr>
        <w:pStyle w:val="TextoNormal"/>
      </w:pPr>
      <w:r w:rsidRPr="00256EE9">
        <w:rPr>
          <w:rStyle w:val="NumeroAFNegritaCaracter"/>
        </w:rPr>
        <w:t>5</w:t>
      </w:r>
      <w:r>
        <w:t>. Por providencia de 6 de junio de 1984 la Sección Segunda acordó tener por formulado el escrito de demanda y requerir a la representación de los actores para que, en el plazo de diez días, y con carácter previo a que se decidiera sobre la admisibilidad o inadmisibilidad del recurso, aportase las correspondientes escrituras de poder acreditativas de su representación.</w:t>
      </w:r>
    </w:p>
    <w:p w:rsidR="00256EE9" w:rsidRDefault="00256EE9" w:rsidP="00256EE9">
      <w:pPr>
        <w:pStyle w:val="TextoNormal"/>
      </w:pPr>
    </w:p>
    <w:p w:rsidR="00256EE9" w:rsidRDefault="00256EE9" w:rsidP="00256EE9">
      <w:pPr>
        <w:pStyle w:val="TextoNormal"/>
      </w:pPr>
      <w:r w:rsidRPr="00256EE9">
        <w:rPr>
          <w:rStyle w:val="NumeroAFNegritaCaracter"/>
        </w:rPr>
        <w:t>6</w:t>
      </w:r>
      <w:r>
        <w:t>. Cumplimentado tal requisito, la representación de los actores aportó a los Autos diversas Sentencias y resoluciones dictadas en casos análogos al que provoca el presente recurso, por entender que ostentaban relevancia para el enjuiciamiento del mismo.</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Por providencia de 23 de enero de 1985 la Sección dio por cumplimentado su proveído de 6 de junio de 1984 y por personado y parte al Procurador señor Pérez Mulet en nombre de los 1.418 recurrentes que figuran relacionados en el encabezado del presente Auto. Asimismo, según lo establecido en el art. 50 de la Ley Orgánica del Tribunal Constitucional (LOTC), concedió a los recurrentes y al Ministerio Fiscal un plazo común de diez días a fin de que, en dicho término, formulasen las alegaciones que estimasen pertinentes sobre la posible concurrencia de los siguientes motivos de inadmisión: </w:t>
      </w:r>
    </w:p>
    <w:p w:rsidR="00256EE9" w:rsidRDefault="00256EE9" w:rsidP="00256EE9">
      <w:pPr>
        <w:pStyle w:val="TextoNormal"/>
      </w:pPr>
      <w:r>
        <w:t xml:space="preserve">a) No haberse invocado formalmente en el proceso el derecho constitucional vulnerado tan pronto como, una vez conocida, hubiere lugar para ello [art. 44.1 c) en relación con el 50.1 b) de la LOTC]. </w:t>
      </w:r>
    </w:p>
    <w:p w:rsidR="00256EE9" w:rsidRDefault="00256EE9" w:rsidP="00256EE9">
      <w:pPr>
        <w:pStyle w:val="TextoNormal"/>
      </w:pPr>
      <w:r>
        <w:t>b) Carecer la demanda manifiestamente de contenido que justifique una decisión por parte del Tribunal Constitucional [art. 50.2 b)].</w:t>
      </w:r>
    </w:p>
    <w:p w:rsidR="00256EE9" w:rsidRDefault="00256EE9" w:rsidP="00256EE9">
      <w:pPr>
        <w:pStyle w:val="TextoNormal"/>
      </w:pPr>
    </w:p>
    <w:p w:rsidR="00256EE9" w:rsidRDefault="00256EE9" w:rsidP="00256EE9">
      <w:pPr>
        <w:pStyle w:val="TextoNormal"/>
      </w:pPr>
      <w:r w:rsidRPr="00256EE9">
        <w:rPr>
          <w:rStyle w:val="NumeroAFNegritaCaracter"/>
        </w:rPr>
        <w:t>8</w:t>
      </w:r>
      <w:r>
        <w:t xml:space="preserve">. Por escrito de 30 de enero de 1985, la representación de los recurrentes presentó escrito de alegaciones en el que manifiesta: </w:t>
      </w:r>
    </w:p>
    <w:p w:rsidR="00256EE9" w:rsidRDefault="00256EE9" w:rsidP="00256EE9">
      <w:pPr>
        <w:pStyle w:val="TextoNormal"/>
      </w:pPr>
      <w:r>
        <w:t xml:space="preserve">A) Respecto de la primera de las causas de inadmisión puestas de manifiesto, que han invocado el art. 14 de la Constitución en el fundamento 1, de los de Derecho, del escrito de demanda de amparo ante este Tribunal y que, asimismo, dicho precepto se invoca expresamente en la Sentencia de la Audiencia Territorial de Albacete de 24 de noviembre de 1981 de la que acompañaron copia en su momento. Acompañan también un documento </w:t>
      </w:r>
      <w:r>
        <w:lastRenderedPageBreak/>
        <w:t xml:space="preserve">emanado por el Ministerio de Agricultura en el que asimismo se invoca el art. 14 de la Constitución Española (C. E.). Entienden por ello que no sólo los Tribunales sino la misma Administración son quienes resuelven en base al principio de igualdad. </w:t>
      </w:r>
    </w:p>
    <w:p w:rsidR="00256EE9" w:rsidRDefault="00256EE9" w:rsidP="00256EE9">
      <w:pPr>
        <w:pStyle w:val="TextoNormal"/>
      </w:pPr>
      <w:r>
        <w:t>B) Respecto de la segunda de las causas de inadmisión, que la intervención del Tribunal Constitucional está plenamente justificada pues el principio de igualdad puede ser gravemente puesto en entredicho por docenas de Sentencias de los Tribunales contradictorias entre sí.</w:t>
      </w:r>
    </w:p>
    <w:p w:rsidR="00256EE9" w:rsidRDefault="00256EE9" w:rsidP="00256EE9">
      <w:pPr>
        <w:pStyle w:val="TextoNormal"/>
      </w:pPr>
    </w:p>
    <w:p w:rsidR="00256EE9" w:rsidRDefault="00256EE9" w:rsidP="00256EE9">
      <w:pPr>
        <w:pStyle w:val="TextoNormal"/>
      </w:pPr>
      <w:r w:rsidRPr="00256EE9">
        <w:rPr>
          <w:rStyle w:val="NumeroAFNegritaCaracter"/>
        </w:rPr>
        <w:t>9</w:t>
      </w:r>
      <w:r>
        <w:t xml:space="preserve">. El Ministerio Fiscal, en escrito de 29 de enero de 1985, puso de manifiesto que no se le había dado traslado de la demanda de amparo ni de las resoluciones impugnadas. Por providencia de 6 de febrero de 1985 la Sección ordenó que se diera traslado al Fiscal de los documentos requeridos, por término de diez días. Por escrito de 19 de febrero de 1985, manifiesta que concurre la causa de inadmisión prevista en el art. 50.2 b) de la LOTC. </w:t>
      </w:r>
    </w:p>
    <w:p w:rsidR="00256EE9" w:rsidRDefault="00256EE9" w:rsidP="00256EE9">
      <w:pPr>
        <w:pStyle w:val="TextoNormal"/>
      </w:pPr>
      <w:r>
        <w:t xml:space="preserve">Si bien se manifiesta, en algún apartado de la demanda, que la lesión de principio de igualdad ha sido provocada por la Administración, lo cierto es que en el «suplico» sólo se pide la nulidad de las Sentencias de la Audiencia de Madrid y del Tribunal Supremo. No consta, además, que la Administración haya concedido a otros funcionarios lo que niega a los recurrentes. Por tanto la desigualdad se invoca porque hay fallos judiciales que estiman pretensiones semejantes a las que se han desestimado en el caso que se enjuicia. Se trata por tanto de un supuesto de desigualdad en la aplicación de la Ley. El Tribunal Supremo ha razonado, como anteriormente hizo la Audiencia, que la decisión conforme a Derecho era la sometida a su consideración y no las de las otras Sentencias aportadas como parámetros de referencia. Todo ello en un recurso de revisión que es el procedente para determinar cuál de los pronunciamientos contradictorios era el correcto. </w:t>
      </w:r>
    </w:p>
    <w:p w:rsidR="00256EE9" w:rsidRDefault="00256EE9" w:rsidP="00256EE9">
      <w:pPr>
        <w:pStyle w:val="TextoNormal"/>
      </w:pPr>
      <w:r>
        <w:t>Respecto de la segunda de las causas de inadmisión invocadas, estima el Fiscal que es innecesario determinar si concurre o no, aunque existen justificadas dudas de que se haya invocado formalmente el derecho vulnerado.</w:t>
      </w:r>
    </w:p>
    <w:p w:rsidR="00256EE9" w:rsidRDefault="00256EE9" w:rsidP="00256EE9">
      <w:pPr>
        <w:pStyle w:val="TextoNormal"/>
      </w:pPr>
    </w:p>
    <w:p w:rsidR="00256EE9" w:rsidRDefault="00256EE9" w:rsidP="00256EE9">
      <w:pPr>
        <w:pStyle w:val="TextoNormal"/>
      </w:pPr>
      <w:r w:rsidRPr="00256EE9">
        <w:rPr>
          <w:rStyle w:val="NumeroAFNegritaCaracter"/>
        </w:rPr>
        <w:t>10</w:t>
      </w:r>
      <w:r>
        <w:t>. El 14 de febrero de 1984, la representación de los recurrentes presenta nuevo escrito ampliatorio de sus alegaciones, con aportación de nuevas Sentencias, fuera ya del plazo que le había sido conferido.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Los solicitantes de amparo piden la declaración de nulidad de la Sentencia de la Sala Quinta del Tribunal Supremo de 3 de marzo de 1984 y, asimismo, la de la Sala de lo Contencioso-Administrativo de la Audiencia Territorial de Madrid, de 24 de julio de 1982 por vulnerar, ambas, el principio de igualdad, pretendiéndose en concreto que este Tribunal reconozca a los 1.418 funcionarios recurrentes el derecho a percibir entre sus remuneraciones el complemento de destino en un grado B, nivel 22.</w:t>
      </w:r>
    </w:p>
    <w:p w:rsidR="00256EE9" w:rsidRDefault="00256EE9" w:rsidP="00256EE9">
      <w:pPr>
        <w:pStyle w:val="TextoNormal"/>
      </w:pPr>
      <w:r>
        <w:t>El fundamento de la lesión constitucional del principio de igualdad, que en este caso sería igualdad en la aplicación de la Ley, radica en que las resoluciones judiciales que impugnan son contradictorias con otras en la que se reconoce la procedencia de abonar el complemento retributivo reclamado a otros funcionarios con idéntica titulación, funciones y responsabilidades de los demandantes.</w:t>
      </w:r>
    </w:p>
    <w:p w:rsidR="00256EE9" w:rsidRDefault="00256EE9" w:rsidP="00256EE9">
      <w:pPr>
        <w:pStyle w:val="TextoNormal"/>
      </w:pPr>
      <w:r>
        <w:lastRenderedPageBreak/>
        <w:t>Centrada así la cuestión es preciso examinar, con carácter previo, si concurren o no los dos motivos de inadmisión que, en debate contradictorio, se han puesto de manifiesto al Ministerio Fiscal y a los demandantes de amparo.</w:t>
      </w:r>
    </w:p>
    <w:p w:rsidR="00256EE9" w:rsidRDefault="00256EE9" w:rsidP="00256EE9">
      <w:pPr>
        <w:pStyle w:val="TextoNormal"/>
      </w:pPr>
    </w:p>
    <w:p w:rsidR="00256EE9" w:rsidRDefault="00256EE9" w:rsidP="00256EE9">
      <w:pPr>
        <w:pStyle w:val="TextoNormal"/>
      </w:pPr>
      <w:r w:rsidRPr="00256EE9">
        <w:rPr>
          <w:rStyle w:val="NumeroAFNegritaCaracter"/>
        </w:rPr>
        <w:t>2</w:t>
      </w:r>
      <w:r>
        <w:t>. Como bien señala el Ministerio Fiscal la pretendida lesión del principio de igualdad en la aplicación de la Ley se imputa a las dos resoluciones judiciales de que se ha hecho mérito, siendo éstas, y no otras, las Sentencias que han de ser examinadas para comprobar si, en efecto, han producido la vulneración constitucional que se trata de remediar en este proceso.</w:t>
      </w:r>
    </w:p>
    <w:p w:rsidR="00256EE9" w:rsidRDefault="00256EE9" w:rsidP="00256EE9">
      <w:pPr>
        <w:pStyle w:val="TextoNormal"/>
      </w:pPr>
      <w:r>
        <w:t>El art.  44.1 c) de la LOTC exige como requisito procesal de inexcusable observancia para quienes intenten la vía de amparo ante este Tribunal Constitucional que «se haya invocado formalmente en el proceso de derecho constitucional vulnerado tan pronto como, una vez conocida la violación, hubiere lugar para ello», y puesto de manfiesto en trámite de inadmisión la inobservancia de tal presupuesto, los recurrentes en su alegación protestan el haber cumplido este requisito en su escrito de demanda ante el Tribunal Constitucional, lo cual no es obviamente admisible, pues como se ha declarado doctrinalmente en reiteradas ocasiones, el Tribunal Constitucional no es una primera instancia ante la cual quepa plantear, por vez primera, posibles violaciones de los derechos fundamentales sin que hayan conocido de ellas, con anterioridad, los órganos del orden jurisdiccional ordinario (entre otros en el Auto de 14 de diciembre de 1983 en recurso de amparo 660/1983), ya que dicha exigencia encuentra su razón de ser en la finalidad misma del requisito establecido en el art. 44.1 c), que, como también se ha repetido, no es otra que la de garantizar que los órganos jurisdiccionales ordinarios puedan tomar en consideración y, en su caso, corregir, la vulneración alegada por lo que en la pretensión que se ejercita ante los órganos de la jurisdicción ordinaria tiene que invocarse con una dimensión constitucional «tan pronto como, una vez conocida la violación, hubiere lugar para ello», no pudiendo admitirse la preterición de dicha alegación ante las mismas, y menos sustituirla por su formulación en la demanda de amparo, por ser inadecuada y extemporánea al faltar la base previa de apoyo.</w:t>
      </w:r>
    </w:p>
    <w:p w:rsidR="00256EE9" w:rsidRDefault="00256EE9" w:rsidP="00256EE9">
      <w:pPr>
        <w:pStyle w:val="TextoNormal"/>
      </w:pPr>
      <w:r>
        <w:t xml:space="preserve">En el presente caso la violación del art.  14 de la Constitución se habría producido, según los argumentos de los recurrentes, en la Sentencia de la Audiencia Territorial de Madrid de 24 de julio de 1982, y ello en la medida precisa en que tal resolución es contradictoria con otras numerosas Sentencias, que se han invocado como término de comparación, en las que, en cambio, se concedía a otros recurrentes en los que concurrían idénticas circunstancias el complemento solicitado.  Aquí se pone ya de manifiesto la insuficiencia de la segunda argumentación esgrimida por la representación de los demandantes de amparo, al alegar que han cumplido el repetido requisito previsto en el art. 44.1 c), ya que no basta con que las Sentencias judiciales que se aducen como tertium comparationis citen como vulnerado el art. 14 de la Constitución, pues tal invocación, como la que se dice efectúa en un documento del Ministerio de Agricultura, se han producido en procesos extraños a los que ahora nos ocupan y en los que los recurrentes no han sido parte, y toda vez que la invocación del derecho fundamental vulnerado, se infirió precisamente a quienes impetran el auxilio de esta jurisdicción, debiendo inexcusablemente los solicitantes del amparo efectuar en el recurso de revisión ante la Sala Quinta del Tribunal Supremo la alegación de haberse lesionado por la Sentencia de la Audiencia recurrida el principio de igualdad en la aplicación de la Ley, y como quiera que no ha sido así o, por lo menos, no se ha acreditado que así fuera en el trámite de alegaciones, y nada se recoge en la Sentencia de dicha </w:t>
      </w:r>
      <w:r>
        <w:lastRenderedPageBreak/>
        <w:t>Sala Quinta, debemos concluir que concurre indudablemente en el presente caso la falta de invocación prevista en el repetido art. 44.1 c) de la LOTC.</w:t>
      </w:r>
    </w:p>
    <w:p w:rsidR="00256EE9" w:rsidRDefault="00256EE9" w:rsidP="00256EE9">
      <w:pPr>
        <w:pStyle w:val="TextoNormal"/>
      </w:pPr>
      <w:r>
        <w:t>Cierto es, aunque la representación de los recurrentes no lo haya siquiera alegado, que en el recurso de revisión se ha pretendido obtener un trato igual en la aplicación de la Ley que el obtenido por quienes han visto satisfechas sus pretensiones por otras Sentencias contradictorias con la dictada por la Audiencia Territorial de Madrid, pero tal circunstancia no demuestra que la pretensión esgrimida haya sido constitucional en este caso, ni que tampoco se haya dado cumplimiento al tantas veces citado art.  44.1 c).  Lo que ocurre en realidad es que las dos causas de inadmisión puestas de manifiesto en este proceso [art. 44.1 c) y art. 50.2 b) de la LOTC] se encuentran íntimamente relacionadas como hemos de ver a continuación.</w:t>
      </w:r>
    </w:p>
    <w:p w:rsidR="00256EE9" w:rsidRDefault="00256EE9" w:rsidP="00256EE9">
      <w:pPr>
        <w:pStyle w:val="TextoNormal"/>
      </w:pPr>
    </w:p>
    <w:p w:rsidR="00256EE9" w:rsidRDefault="00256EE9" w:rsidP="00256EE9">
      <w:pPr>
        <w:pStyle w:val="TextoNormal"/>
      </w:pPr>
      <w:r w:rsidRPr="00256EE9">
        <w:rPr>
          <w:rStyle w:val="NumeroAFNegritaCaracter"/>
        </w:rPr>
        <w:t>3</w:t>
      </w:r>
      <w:r>
        <w:t>. El art.  102.1 b) de la Ley reguladora de la Jurisdicción Contencioso-Administrativa establece que contra las Sentencias firmes de las Salas de lo Contencioso-Administrativo del Tribunal Supremo y de las Audiencias Territoriales podrá utilizarse el recurso de revisión, entre otros, en los casos en que las Salas de lo Contencioso-Administrativo hubieran dictado resoluciones contrarias entre sí o con Sentencias del Tribunal Supremo respecto a los mismos litigantes u otros diferentes en idéntica situación, donde, en mérito a hechos, fundamentos y pretensiones sustancialmente iguales, se llegue a pronunciamientos distintos.</w:t>
      </w:r>
    </w:p>
    <w:p w:rsidR="00256EE9" w:rsidRDefault="00256EE9" w:rsidP="00256EE9">
      <w:pPr>
        <w:pStyle w:val="TextoNormal"/>
      </w:pPr>
      <w:r>
        <w:t>Este recurso, en cuanto implica una excepción del principio de seguridad jurídica que constituye uno de los fundamentos de la cosa juzgada, tiene carácter excepcional y extraordinario y ostenta como finalidad no sólo la de unificar la doctrina jurisprudencial, sino muy especialmente la de robustecer la función de la justicia administrativa.</w:t>
      </w:r>
    </w:p>
    <w:p w:rsidR="00256EE9" w:rsidRDefault="00256EE9" w:rsidP="00256EE9">
      <w:pPr>
        <w:pStyle w:val="TextoNormal"/>
      </w:pPr>
      <w:r>
        <w:t>En el presente caso la Sentencia de la Sala Quinta del Tribunal Supremo ha estimado, respecto de las Sentencias contradictorias alegadas por los recurrentes, que efectivamente concurren las circunstancias de identidad exigidas por el art.  102.1 b) de la LJCA para poder entrar a resolver sobre la contradicción planteada, pero ha llegado a la conclusión de que la resolución correcta era la obtenida por los recurrentes por entender que la doctrina contenida en la Sentencia de la Audiencia Territorial de Madrid era la acertada, y la que debía prevalecer, frente a las fijadas en las demás Sentencias que se alegaron.</w:t>
      </w:r>
    </w:p>
    <w:p w:rsidR="00256EE9" w:rsidRDefault="00256EE9" w:rsidP="00256EE9">
      <w:pPr>
        <w:pStyle w:val="TextoNormal"/>
      </w:pPr>
      <w:r>
        <w:t>Resulta, de esta forma, que la vulneración del principio de igualdad no puede imputarse a las Sentencias de la Audiencia Territorial que ha consagrado la interpretación legal que se ha estimado correcta, según ha confirmado el Tribunal Supremo, siendo precisamente la doctrina contradictoria establecida en las demás Sentencias no ajustada a la legalidad, pues no existe igualdad en la ilegalidad como ha declarado este Tribunal en sus Sentencias 37/1982, de 16 de junio, y 42/1982, de 6 de julio, sino sólo dentro de la legalidad y el Tribunal Supremo ha entendido que la interpretación de la legalidad ordinaria que debe prevalecer es la que han obtenido los recurrentes en la resolución de la Audiencia Territorial de Madrid, aunque les fuera desfavorable, tratándose de un juicio acerca de la legalidad ordinaria en el que este Tribunal no puede entrar.</w:t>
      </w:r>
    </w:p>
    <w:p w:rsidR="00256EE9" w:rsidRDefault="00256EE9" w:rsidP="00256EE9">
      <w:pPr>
        <w:pStyle w:val="TextoNormal"/>
      </w:pPr>
      <w:r>
        <w:t>Pero tampoco es admisible imputar la violación del principio de igualdad a la Sentencia de la Sala Quinta del Tribunal Supremo, pues éste es el que asegura y realiza el principio de igualdad mediante un recurso de revisión dirigido a uniformar la jurisprudencia, y en el caso concreto estableció la jurisprudencia unificada, eligiendo una de las dos opciones opuestas.</w:t>
      </w:r>
    </w:p>
    <w:p w:rsidR="00256EE9" w:rsidRDefault="00256EE9" w:rsidP="00256EE9">
      <w:pPr>
        <w:pStyle w:val="TextoNormal"/>
      </w:pPr>
      <w:r>
        <w:t xml:space="preserve">Como se ha afirmado en el fundamento 2 de la Sentencia 49/1982, de 14 de julio, la institución que realiza la igualdad en la aplicación de la Ley cuando ésta se refiere a la </w:t>
      </w:r>
      <w:r>
        <w:lastRenderedPageBreak/>
        <w:t>aplicación por una pluralidad de órganos jurisdiccionales es la jurisprudencia encomendada a órganos jurisdiccionales de superior rango, porque el principio de igualdad en la aplicación de la Ley tiene necesariamente que cohonestarse con el principio de independencia de los órganos encargados de la aplicación de la Ley cuando éstos son órganos jurisdiccionales.</w:t>
      </w:r>
    </w:p>
    <w:p w:rsidR="00256EE9" w:rsidRDefault="00256EE9" w:rsidP="00256EE9">
      <w:pPr>
        <w:pStyle w:val="TextoNormal"/>
      </w:pPr>
      <w:r>
        <w:t>Este criterio resulta confirmado en las Sentencias 55/1982, de 22 de julio, y 2/1983, de 24 de enero, y en numerosos Autos de inadmisión de ambas Salas de este Tribunal (vgr. Sala Primera, Autos de 27 de abril de 1983 -recurso de amparo 249/1982- y 19 de enero de 1983 -recurso de amparo 388/1982-).</w:t>
      </w:r>
    </w:p>
    <w:p w:rsidR="00256EE9" w:rsidRDefault="00256EE9" w:rsidP="00256EE9">
      <w:pPr>
        <w:pStyle w:val="TextoNormal"/>
      </w:pPr>
      <w:r>
        <w:t>Los recurrentes no aducen otra vulneración constitucional que la contradicción de Sentencias ya examinada y corregida por el Tribunal Supremo en el ejercicio de su función jurisdiccional, estableciendo, como se dijo, la jurisprudencia unificadora y prevalente por lo que no hay, pues, pretensión constitucional alguna, sino un problema de mera legalidad en el que no puede entrar este Tribunal, por no ser una tercera instancia que controle tal legalidad, al no hallarse afectado ningún derecho constitucional, y en particular el alegado en el art.  14 de la Constitución.</w:t>
      </w:r>
    </w:p>
    <w:p w:rsidR="00256EE9" w:rsidRDefault="00256EE9" w:rsidP="00256EE9">
      <w:pPr>
        <w:pStyle w:val="TextoNormal"/>
      </w:pPr>
      <w:r>
        <w:t>En atención a todo lo expuesto, el recurso carece manifiestamente de contenido constitucional que justifique una decisión por parte del Tribunal Constitucional, en Sentencia, existiendo la causa de inadmisión establecida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 la inadmisión del presente recurso de amparo formulado por el Procurador don Juan Luis Pérez Mulet y Suárez, en nombre y representación de las personas consignadas en el antecedente 1 de esta resolución, y el archivo de las actuaciones.</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2" w:name="AUTO_1985_241"/>
      <w:r>
        <w:lastRenderedPageBreak/>
        <w:t>AUTO 241/1985, de 17 de abril de 1985</w:t>
      </w:r>
    </w:p>
    <w:bookmarkEnd w:id="302"/>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ECLI:ES:TC:1985:241A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499/1984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Doña María Rosa Serra Guasch, presentó en 5 de julio de 1984, un escrito en el que solicitaba amparo frente a la Sentencia que había sido dictada en 10 de mayo de dicho año por el Tribunal Central de Trabajo. </w:t>
      </w:r>
    </w:p>
    <w:p w:rsidR="00256EE9" w:rsidRDefault="00256EE9" w:rsidP="00256EE9">
      <w:pPr>
        <w:pStyle w:val="TextoNormal"/>
      </w:pPr>
      <w:r>
        <w:t xml:space="preserve">Según se expone en dicho escrito y se deriva del resultando de hechos probados de la Sentencia impugnada, doña María Rosa Serra Guasch estuvo casada con don Pau Andreu Esteve, trabajador agrícola por cuenta propia, hasta que éste falleció en 25 de octubre de 1966, cuando la señora Serra Guasch contaba treinta y ocho años de edad. No pudo en aquel momento obtener pensión de viudedad y en 5 de septiembre de 1979 se dirigió al Instituto Nacional de la Seguridad Social solicitando dicha pensión, que le fue denegada por resolución dictada en el mes de julio de 1980. Interpuso la señora Serra Guasch demanda judicial y la Magistratura de Trabajo núm. 8 de Barcelona dictó Sentencia en 23 de febrero de 1982, reconociendo el derecho de la demandante a percibir una pensión de viudedad, por considerar que era aplicable a su caso la Ley de 4 de enero de 1980, que había atribuido derecho de pensión a las viudas de trabajadores agrícolas afiliados a la Seguridad Social Agraria, que no alcanzaran los cincuenta años de edad al fallecer sus esposos con anterioridad al año 1975. </w:t>
      </w:r>
    </w:p>
    <w:p w:rsidR="00256EE9" w:rsidRDefault="00256EE9" w:rsidP="00256EE9">
      <w:pPr>
        <w:pStyle w:val="TextoNormal"/>
      </w:pPr>
      <w:r>
        <w:t xml:space="preserve">El Instituto Nacional de la Seguridad Social interpuso recurso de suplicación y el Tribunal Central de Trabajo, en 10 de mayo de 1984, dictó Sentencia por la que revocó el pronunciamiento de la Magistratura de Trabajo, estimando que la Ley de 4 de enero de 1980, sólo alcanzaba a las viudas de los trabajadores afiliados al régimen especial agrario de la Seguridad Social que había entrado en vigor en el año 1967 y no a las viudas de trabajadores fallecidos con anterioridad a dicha fecha bajo la vigencia de otros regímenes de previsión. </w:t>
      </w:r>
    </w:p>
    <w:p w:rsidR="00256EE9" w:rsidRDefault="00256EE9" w:rsidP="00256EE9">
      <w:pPr>
        <w:pStyle w:val="TextoNormal"/>
      </w:pPr>
      <w:r>
        <w:t>La señora Serra Guasch, que en su escrito solicitaba el nombramiento de Abogado y Procurador de oficio, alegaba la vulneración del derecho a la vida contenido en el art. 15 de la Constitución; del derecho a la dignidad de la persona establecido por el art. 10; del derecho a la tutela judicial efectiva consagrado por el art. 24 y del deber de los Poderes Públicos de asegurar la protección económica y jurídica de la familia establecida en el art. 39 de la Constitución, solicitando en virtud de todo ello la nulidad de la Sentencia del Tribunal Central de Trabajo de 10 de mayo de 1984 y la plena vigencia de la que había sido dictada por la Magistratura de Trabajo núm. 8 de Barcelona.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De acuerdo con la solicitud de doña María Rosa Serra Guasch, tras la tramitación oportuna, se le designó Procurador para que la representara a don Carlos Navarro Gutiérrez y Abogado para que la asistiera a don José Enrique Hernández Sanz, los cuales formalizaron, por escrito de 6 de febrero de 1985, el pertinente recurso de amparo en el que se limitaron a dar por reproducidas las motivaciones de hecho y de Derecho que la interesada había formulado en su escrito inicial.</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Sección Cuarta de este Tribunal, en su reunión del día 6 de marzo del corriente año acordó poner de manifiesto, en este asunto, la posible existencia de las siguientes causas de inadmisibilidad: 1.ª la del art. 50.2 a) de la Ley Orgánica del Tribunal, en cuanto a la invocación de los derechos contenidos en los arts. 10 y 39 de la Constitución; 2.ª la del art. 50.2 b) de la mencionada Ley Orgánica en cuanto a la invocación de los derechos consagrados por los arts. 15 y 25 de la Constitución; y en virtud de ello, otorgó un plazo común de diez días a la solicitante de amparo y al Ministerio Fiscal para que realizaran las alegaciones que consideraran pertinentes. </w:t>
      </w:r>
    </w:p>
    <w:p w:rsidR="00256EE9" w:rsidRDefault="00256EE9" w:rsidP="00256EE9">
      <w:pPr>
        <w:pStyle w:val="TextoNormal"/>
      </w:pPr>
      <w:r>
        <w:t xml:space="preserve">La solicitante del amparo, a través del Abogado y el Procurador designados de oficio, en escrito fechado en 20 de marzo del corriente año, han realizado sus alegaciones, insistiendo en sus pretensiones iniciales, y diciendo que la invocación de los arts. 10 y 39 de la Constitución no debe suponer causa de inadmisibilidad de su recurso de amparo, pues, si bien en rigor procesal los mencionados artículos no se mencionan en el art. 41 de la Ley Orgánica del Tribunal, con un criterio extensivo se puede afirmar que el art. 10 supone un derecho general que se desarrolla en los arts. 14 y siguientes y es por tanto susceptible de amparo; y por lo que se refiere al art. 39, el fin perseguido por la solicitante del amparo es la protección de un derecho de familia. </w:t>
      </w:r>
    </w:p>
    <w:p w:rsidR="00256EE9" w:rsidRDefault="00256EE9" w:rsidP="00256EE9">
      <w:pPr>
        <w:pStyle w:val="TextoNormal"/>
      </w:pPr>
      <w:r>
        <w:t xml:space="preserve">Asimismo, considera la solicitante del amparo que su recurso posee contenido constitucional, toda vez que la obtención de la pensión de viudedad supone para ella el gozar del derecho reconocido en el art. 15 de una forma digna, ya que, al carecer de medios económicos por razón de su edad, en otro caso su subsistencia se desarrollaría en un marco de absoluta precariedad. </w:t>
      </w:r>
    </w:p>
    <w:p w:rsidR="00256EE9" w:rsidRDefault="00256EE9" w:rsidP="00256EE9">
      <w:pPr>
        <w:pStyle w:val="TextoNormal"/>
      </w:pPr>
      <w:r>
        <w:t>Por su parte, el Fiscal General del Estado ha pedido en su escrito de alegaciones la inadmisión del presente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delimitación de los derechos fundamentales, que pueden ser objeto de recurso de amparo, no se encuentra establecida solamente por el art. 41 de la Ley Orgánica del Tribunal Constitucional, ya que dicho artículo no hace otra cosa que reproducir el mandato de los arts. 53.2 y 161.1 b) de la Constitución, con una claridad y una univocidad que impiden cualquier pretensión de utilización de criterios extensivos en su aplicación, como la solicitante del amparo desea.</w:t>
      </w:r>
    </w:p>
    <w:p w:rsidR="00256EE9" w:rsidRDefault="00256EE9" w:rsidP="00256EE9">
      <w:pPr>
        <w:pStyle w:val="TextoNormal"/>
      </w:pPr>
      <w:r>
        <w:t xml:space="preserve">Se desprende de ello, con absoluta notoriedad que no puede ser objeto de amparo el principio de dignidad de la persona a que se refiere el art.  10 de la Constitución, con independencia de que tal idea constituye además o no un derecho subjetivo.  Lo mismo debe.  decirse del art. 39.1 de la Constitución, que se encuentra dentro de una rúbrica en la que se habla de los «principios rectores de la política social y económica» y que no enuncia ningún tipo de derecho subjetivo sino un deber de los Poderes Públicos o una garantía colocada bajo la tutela de éstos. En virtud de todo ello se debe entender que, respecto de </w:t>
      </w:r>
      <w:r>
        <w:lastRenderedPageBreak/>
        <w:t>las alegaciones de los derechos establecidos en los arts.  10 y 39 de la Constitución, concurre la causa de inadmisión del art. 50.2 a) de la Ley Orgánica de este Tribunal.</w:t>
      </w:r>
    </w:p>
    <w:p w:rsidR="00256EE9" w:rsidRDefault="00256EE9" w:rsidP="00256EE9">
      <w:pPr>
        <w:pStyle w:val="TextoNormal"/>
      </w:pPr>
    </w:p>
    <w:p w:rsidR="00256EE9" w:rsidRDefault="00256EE9" w:rsidP="00256EE9">
      <w:pPr>
        <w:pStyle w:val="TextoNormal"/>
      </w:pPr>
      <w:r w:rsidRPr="00256EE9">
        <w:rPr>
          <w:rStyle w:val="NumeroAFNegritaCaracter"/>
        </w:rPr>
        <w:t>2</w:t>
      </w:r>
      <w:r>
        <w:t>. Asimismo, concurre la segunda de las causas de inadmisión que se propusieron en nuestra Resolución de 6 de marzo, esto es, la del art. 50.2 b) de la referida Ley Orgánica, por carecer la pretensión de doña María Rosa Serra Guasch, de un contenido que justifique una decisión por parte de este Tribunal, pues ha de decirse que, con independencia de que la situación de precariedad vital de que la solicitante del amparo habla puede considerarse, efectivamente, lamentable, la función de este Tribunal debe limitarse al examen de si en la Sentencia del Tribunal Central de Trabajo de 10 de mayo de 1984 que se ataca, se ha cometido alguna violación de los derechos constitucionales alegados, que son los reconocidos en los arts.  15 y 24 de la Constitución. Y así limitado el papel de la decisión que este Tribunal puede adoptar, es manifiesto que el otorgamiento o la denegación de una pensión de viudedad no guarda relación con el derecho a la vida a que se refiere el art.  15, pues en él el concepto vida debe entenderse en su significado estricto, lo mismo que los ataques a ella. La garantía de la asistencia y de las prestaciones sociales suficientes en caso de necesidad se encuentra establecida en la Constitución en el art. 41 que pertenece al campo de los principios rectores de la política social y económica y que no es objeto de recurso de amparo.</w:t>
      </w:r>
    </w:p>
    <w:p w:rsidR="00256EE9" w:rsidRDefault="00256EE9" w:rsidP="00256EE9">
      <w:pPr>
        <w:pStyle w:val="TextoNormal"/>
      </w:pPr>
      <w:r>
        <w:t>Por último, señalaremos que no existe tampoco indicio alguno de una violación del derecho, reconocido en el art.  24 de la Constitución, a una tutela juidicial efectiva, que en la pretensión de amparo se formula sin desarrollo ninguno, pues como insistentemente ha dicho este Tribunal el derecho a la tutela judicial efectiva es básicamente el derecho a un pronunciamiento de los Tribunales sobre las pretensiones de los ciudadanos y no un derecho a que éstas tengan éxito, y en el presente caso doña María Rosa Serra Guasch ha obtenido dos Sentencias, una en la Magistratura de Trabajo núm. 8 de Barcelona y otra del Tribunal Central de Trabajo, por lo cual, su derecho a una tutela judicial efectiva ha quedado satisfecho, con independencia de que sus susodichas pretensiones no hayan alcanzado éxito.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ello, la Sección acuerda declarar inadmisible el presente recurso de amparo.</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3" w:name="AUTO_1985_242"/>
      <w:r>
        <w:lastRenderedPageBreak/>
        <w:t>AUTO 242/1985, de 17 de abril de 1985</w:t>
      </w:r>
    </w:p>
    <w:bookmarkEnd w:id="303"/>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ECLI:ES:TC:1985:242A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799/1984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Manuel Sánchez Martín, Sargento Primero de Ingenieros, dirigió escrito a este Tribunal, que tuvo entrada el 19 de noviembre de 1984, interponiendo recurso de amparo contra la Sentencia de 16 de octubre de 1984 de la Sala Segunda del Tribunal Supremo solicitando anular lo actuado por la jurisdicción ordinaria, produciéndose la correspondiente inhibición en favor de la jurisdicción militar para la conclusión del proceso. </w:t>
      </w:r>
    </w:p>
    <w:p w:rsidR="00256EE9" w:rsidRDefault="00256EE9" w:rsidP="00256EE9">
      <w:pPr>
        <w:pStyle w:val="TextoNormal"/>
      </w:pPr>
      <w:r>
        <w:t xml:space="preserve">De dicho escrito y documentación aportada se deduce lo siguiente: </w:t>
      </w:r>
    </w:p>
    <w:p w:rsidR="00256EE9" w:rsidRDefault="00256EE9" w:rsidP="00256EE9">
      <w:pPr>
        <w:pStyle w:val="TextoNormal"/>
      </w:pPr>
      <w:r>
        <w:t xml:space="preserve">a) El recurrente fue procesado por la jurisdicción militar como presunto autor de un delito de homicidio en la persona de su esposa, siendo condenado por el consejo de guerra celebrado en Las Palmas de Gran Canaria a la pena de veinte años y un día de reclusión mayor. Recurrida dicha Sentencia, y a propuesta por el defensor del condenado, se solicitó, entre otras alternativas, la inhibición de la jurisdicción militar en favor de la ordinaria; y el Consejo Supremo de Justicia Militar por Resolución de 1 de abril de 1981 declinó el conocimiento de la causa. </w:t>
      </w:r>
    </w:p>
    <w:p w:rsidR="00256EE9" w:rsidRDefault="00256EE9" w:rsidP="00256EE9">
      <w:pPr>
        <w:pStyle w:val="TextoNormal"/>
      </w:pPr>
      <w:r>
        <w:t xml:space="preserve">b) En virtud de dicha inhibición el Juzgado de Instrucción núm. 2 de Las Palmas de Gran Canaria instruyó el sumario, dictándose Sentencia por la Audiencia Provincial de dicha capital de 16 de junio de 1983, condenando al procesado por un delito de parricidio, con la concurrencia de la agravante de alevosía y la atenuante de arrepentimiento espontáneo, a la pena de veintitrés años, cuatro meses y un día de reclusión mayor, a las accesorias e indemnización de daños y perjuicios. Contra dicha resolución el condenado interpuso recurso de casación ante la Sala Segunda del Tribunal Supremo, por infracción de Ley, dictándose Sentencia declarando no haber lugar al mismo, siendo esta resolución la recurrida en este amparo. </w:t>
      </w:r>
    </w:p>
    <w:p w:rsidR="00256EE9" w:rsidRDefault="00256EE9" w:rsidP="00256EE9">
      <w:pPr>
        <w:pStyle w:val="TextoNormal"/>
      </w:pPr>
      <w:r>
        <w:t xml:space="preserve">Anteriormente la Sala Segunda indicada, ante la petición de suspensión de la vista, dictó una providencia disponiendo no haber lugar a la suspensión pedida, ya que habiendo procedido la jurisdicción ordinaria con arreglo a Derecho, y al no estar planteada cuestión de competencia alguna entre ambas jurisdicciones, no existía causa que justificare tal suspensión. </w:t>
      </w:r>
    </w:p>
    <w:p w:rsidR="00256EE9" w:rsidRDefault="00256EE9" w:rsidP="00256EE9">
      <w:pPr>
        <w:pStyle w:val="TextoNormal"/>
      </w:pPr>
      <w:r>
        <w:t xml:space="preserve">El escrito indicado, junto al disentimiento de las actuaciones llevadas a cabo por la jurisdicción ordinaria, contiene una vaga apelación a «indefensión encubierta, padecida durante todo el proceso y que dio lugar a la inhibición de la jurisdicción militar en favor de la ordinaria, con anuencia de ambas, permitiendo la transgresión de la legislación vigente y, por ende, del art. 117.3, 4 y 5 de la Constitución». Formula una serie de consideraciones </w:t>
      </w:r>
      <w:r>
        <w:lastRenderedPageBreak/>
        <w:t>sobre dicha Sentencia, y realiza una interpretación personal del alcance de la Ley Orgánica 9/1980, que a su juicio ha sido mal aplicada, lo que le lleva a realizar la súplica anteriormente indicada.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por providencia, acordó tener por interpuesto el recurso de amparo, y poner de manifiesto el motivo subsanable, de inadmisión por falta de postulación, al no estar representado por Procurador ni actuar bajo dirección de Abogado otorgándole un plazo de diez días para su designación. </w:t>
      </w:r>
    </w:p>
    <w:p w:rsidR="00256EE9" w:rsidRDefault="00256EE9" w:rsidP="00256EE9">
      <w:pPr>
        <w:pStyle w:val="TextoNormal"/>
      </w:pPr>
      <w:r>
        <w:t>Se presentó el 15 de febrero de 1985 un escrito por el Procurador don Carlos Ibáñez de la Cadiniere, asumiendo la representación de don Manuel Sánchez Martín y personándose en las actuaciones, y asumiendo la defensa el Abogado don Evangelino Díez Muñiz, haciendo suyo el recurso de amparo presentado por el indicado y solicitando se le tuviera por cumplimentado lo exigido en el anterior proveído.</w:t>
      </w:r>
    </w:p>
    <w:p w:rsidR="00256EE9" w:rsidRDefault="00256EE9" w:rsidP="00256EE9">
      <w:pPr>
        <w:pStyle w:val="TextoNormal"/>
      </w:pPr>
    </w:p>
    <w:p w:rsidR="00256EE9" w:rsidRDefault="00256EE9" w:rsidP="00256EE9">
      <w:pPr>
        <w:pStyle w:val="TextoNormal"/>
      </w:pPr>
      <w:r w:rsidRPr="00256EE9">
        <w:rPr>
          <w:rStyle w:val="NumeroAFNegritaCaracter"/>
        </w:rPr>
        <w:t>3</w:t>
      </w:r>
      <w:r>
        <w:t>. Por nueva resolución de la Sección se tuvo por personado al Procurador indicado, en nombre del recurrente, mandándose entender con él las sucesivas diligencias y concediéndole un plazo para que formulase la demanda de amparo correspondiente.</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Cumpliendo lo acabado de indicar, se formuló la demanda de amparo por el Procurador señor Ibáñez y bajo la firma del Letrado indicado, en la que se establecen como hechos: </w:t>
      </w:r>
    </w:p>
    <w:p w:rsidR="00256EE9" w:rsidRDefault="00256EE9" w:rsidP="00256EE9">
      <w:pPr>
        <w:pStyle w:val="TextoNormal"/>
      </w:pPr>
      <w:r>
        <w:t xml:space="preserve">1.° Que el 4 de noviembre de 1984 le fue notificada la Sentencia de 16 de octubre de la Sala Segunda del Tribunal Supremo declarando no haber lugar al recurso de casación interpuesto contra la Sentencia de la Audiencia Provincial de Las Palmas de 23 de julio de 1983, en la causa 94/1981. </w:t>
      </w:r>
    </w:p>
    <w:p w:rsidR="00256EE9" w:rsidRDefault="00256EE9" w:rsidP="00256EE9">
      <w:pPr>
        <w:pStyle w:val="TextoNormal"/>
      </w:pPr>
      <w:r>
        <w:t xml:space="preserve">2.° La causa se instruyó contra el actor como presunto autor de un delito de parricidio en la persona de su esposa, cometido en establecimiento militar, habiéndose instruido sumario por el Juzgado Militar permanente de Las Palmas, y celebrado consejo de guerra el 11 de diciembre de 1980, dictándose Sentencia condenando al procesado a la pena de veinte años y un día de reclusión mayor. </w:t>
      </w:r>
    </w:p>
    <w:p w:rsidR="00256EE9" w:rsidRDefault="00256EE9" w:rsidP="00256EE9">
      <w:pPr>
        <w:pStyle w:val="TextoNormal"/>
      </w:pPr>
      <w:r>
        <w:t xml:space="preserve">3. Recurrida la Sentencia ante el Capitán General de Canarias, elevó el recurso al Consejo Supremo de Justicia Militar, y el defensor del recurrente, en contra de la voluntad del mismo, propuso entre otras alternativas la inhibición de la jurisdicción militar en favor de la ordinaria, dictándose Resolución por dicho Consejo el 1 de abril de 1981, declinando espontáneamente la jurisdicción militar el conocimiento de la causa, sin estar planteado ningún problema de competencia entre ambas jurisdicciones, violándose por consiguiente los arts. 6.1 y 194.1 del Código de Justicia Militar y en especial el art. 455 del mismo Código y la disposición transitoria cuarta de la Ley 9/1980. </w:t>
      </w:r>
    </w:p>
    <w:p w:rsidR="00256EE9" w:rsidRDefault="00256EE9" w:rsidP="00256EE9">
      <w:pPr>
        <w:pStyle w:val="TextoNormal"/>
      </w:pPr>
      <w:r>
        <w:t xml:space="preserve">4. El Tribunal Supremo conocía la transgresión de los artículos acabados de indicar porque la madre del actor mediante instancia elevada al Presidente del Tribunal Supremo, solicitó la suspensión de la vista, en tanto no se llevara a cabo la resolución del problema de competencias que debía solicitar. </w:t>
      </w:r>
    </w:p>
    <w:p w:rsidR="00256EE9" w:rsidRDefault="00256EE9" w:rsidP="00256EE9">
      <w:pPr>
        <w:pStyle w:val="TextoNormal"/>
      </w:pPr>
      <w:r>
        <w:t xml:space="preserve">En los fundamentos de Derecho considera vulnerados los siguientes preceptos de la Constitución, diciendo literalmente: </w:t>
      </w:r>
    </w:p>
    <w:p w:rsidR="00256EE9" w:rsidRDefault="00256EE9" w:rsidP="00256EE9">
      <w:pPr>
        <w:pStyle w:val="TextoNormal"/>
      </w:pPr>
      <w:r>
        <w:t xml:space="preserve">Art. 17.1: «Nadie puede ser privado de su libertad... y en los casos y en la forma previstos en la Ley». </w:t>
      </w:r>
    </w:p>
    <w:p w:rsidR="00256EE9" w:rsidRDefault="00256EE9" w:rsidP="00256EE9">
      <w:pPr>
        <w:pStyle w:val="TextoNormal"/>
      </w:pPr>
      <w:r>
        <w:t xml:space="preserve">Art. 24: «Todos tienen derecho al Juez ordinario predeterminado por la Ley». </w:t>
      </w:r>
    </w:p>
    <w:p w:rsidR="00256EE9" w:rsidRDefault="00256EE9" w:rsidP="00256EE9">
      <w:pPr>
        <w:pStyle w:val="TextoNormal"/>
      </w:pPr>
      <w:r>
        <w:lastRenderedPageBreak/>
        <w:t xml:space="preserve">En la súplica pide se anule lo actuado por la jurisdicción ordinaria, produciéndose la correspondiente inhibición en favor de la jurisdicción militar para la conclusión del proceso. </w:t>
      </w:r>
    </w:p>
    <w:p w:rsidR="00256EE9" w:rsidRDefault="00256EE9" w:rsidP="00256EE9">
      <w:pPr>
        <w:pStyle w:val="TextoNormal"/>
      </w:pPr>
      <w:r>
        <w:t>En un escrito posterior la parte actora, citando el art. 56 de la Ley Orgánica de este Tribunal (LOTC), solicita se abra incidente de suspensión para que no se lleve a efecto la ejecución de la Sentencia del Tribunal Supremo, a fin de que no cause baja el actor en el Ejército, hasta tanto se pronuncie el Tribunal Constitucional al respecto.</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La Sección dictó providencia, abriendo el trámite de inadmisión de la demanda por la posible existencia de los siguientes motivos: </w:t>
      </w:r>
    </w:p>
    <w:p w:rsidR="00256EE9" w:rsidRDefault="00256EE9" w:rsidP="00256EE9">
      <w:pPr>
        <w:pStyle w:val="TextoNormal"/>
      </w:pPr>
      <w:r>
        <w:t xml:space="preserve">a) No haberse agotado todos los recursos utilizables dentro de la vía judicial militar, al producirse la inhibición de la competencia, por el Consejo Supremo de Justicia Militar en favor de la jurisdicción ordinaria [art. 44.1 a) en relación con el 50.1 b) de la LOTC]. </w:t>
      </w:r>
    </w:p>
    <w:p w:rsidR="00256EE9" w:rsidRDefault="00256EE9" w:rsidP="00256EE9">
      <w:pPr>
        <w:pStyle w:val="TextoNormal"/>
      </w:pPr>
      <w:r>
        <w:t xml:space="preserve">b) No haberse invocado formalmente en el proceso judicial penal ordinario, ni en el recurso de casación que originó la Sentencia de la Sala Segunda del Tribunal Supremo recurrida, los derechos constitucionales que se creen vulnerados en la demanda de amparo [art. 44.1 c) en relación con el 50.1 b) de la LOTC]. </w:t>
      </w:r>
    </w:p>
    <w:p w:rsidR="00256EE9" w:rsidRDefault="00256EE9" w:rsidP="00256EE9">
      <w:pPr>
        <w:pStyle w:val="TextoNormal"/>
      </w:pPr>
      <w:r>
        <w:t>c) Carecer la demanda manifiestamente de contenido constitucional, que justifique una decisión por parte de este Tribunal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Ministerio Fiscal evacuando dicho traslado afirma que proceden las tres causas de inadmisión indicadas: </w:t>
      </w:r>
    </w:p>
    <w:p w:rsidR="00256EE9" w:rsidRDefault="00256EE9" w:rsidP="00256EE9">
      <w:pPr>
        <w:pStyle w:val="TextoNormal"/>
      </w:pPr>
      <w:r>
        <w:t xml:space="preserve">La primera de ellas, porque contra la inhibición que la jurisdicción militar hizo en favor de la ordinaria, no se dedujo en su momento, que se sepa, ninguna reclamación judicial, reclamándose por primera vez en el amparo. </w:t>
      </w:r>
    </w:p>
    <w:p w:rsidR="00256EE9" w:rsidRDefault="00256EE9" w:rsidP="00256EE9">
      <w:pPr>
        <w:pStyle w:val="TextoNormal"/>
      </w:pPr>
      <w:r>
        <w:t xml:space="preserve">En segundo término, porque ante el Tribunal Supremo no se hizo invocación de que hubiesen sido violados los derechos que se estiman lesionados, ni al interponer el recurso ni en la vista. </w:t>
      </w:r>
    </w:p>
    <w:p w:rsidR="00256EE9" w:rsidRDefault="00256EE9" w:rsidP="00256EE9">
      <w:pPr>
        <w:pStyle w:val="TextoNormal"/>
      </w:pPr>
      <w:r>
        <w:t>Y en tercer lugar, porque no existe lesión del art. 17 de la C. E., ya que la libertad de que se vio privado el recurrente es en virtud de la Sentencia; y porque las Sentencias de la Audiencia y el Tribunal Supremo fueron motivadas, observándose la tutela judicial.</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La parte recurrente en relación a dicho trámite de inadmisión alegó: </w:t>
      </w:r>
    </w:p>
    <w:p w:rsidR="00256EE9" w:rsidRDefault="00256EE9" w:rsidP="00256EE9">
      <w:pPr>
        <w:pStyle w:val="TextoNormal"/>
      </w:pPr>
      <w:r>
        <w:t xml:space="preserve">En relación al no agotamiento de los recursos judiciales utilizables: que no concurren los supuestos de la disposición transitoria cuarta de la Ley Orgánica 9/1980, de 6 de noviembre, reformando el Código de Justicia Militar, pues ya se había dictado Sentencia y el hecho delictivo no había dejado de ser de la competencia de la jurisdicción militar. Ante esta situación, de petición por el Letrado del actor, de la inhibición de la jurisdicción militar que fue aceptada, no podía utilizar aquél recurso alguno, porque no podía ir contra sus propios actos, pero el actor protestó, negándose a firmar el enterado de dicha inhibición, envió escrito al Fiscal de dicho Consejo Supremo rechazando la inhibición, y su madre envió una instancia al Tribunal Supremo. </w:t>
      </w:r>
    </w:p>
    <w:p w:rsidR="00256EE9" w:rsidRDefault="00256EE9" w:rsidP="00256EE9">
      <w:pPr>
        <w:pStyle w:val="TextoNormal"/>
      </w:pPr>
      <w:r>
        <w:t xml:space="preserve">En orden a la no invocación formalmente del derecho vulnerado en el proceso penal y en el recurso de casación, alegó: que es cierto que no lo hizo así pero que no era necesario. </w:t>
      </w:r>
    </w:p>
    <w:p w:rsidR="00256EE9" w:rsidRDefault="00256EE9" w:rsidP="00256EE9">
      <w:pPr>
        <w:pStyle w:val="TextoNormal"/>
      </w:pPr>
      <w:r>
        <w:t>Y, por fin, en orden a la aplicación de la causa del art. 50.2 b): que la violación de los arts. 17.1 y 24 de la C. E. permiten solicitar el amparo ante el Tribunal Constitucional.</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demanda de amparo se apoya en los hechos de haber sido sometido el actor a un proceso militar por delito de parricidio cometido en la persona de su esposa, e incluso condenado por Sentencia del Consejo de Guerra, y de que al haber apelado de la misma ante el Consejo Supremo de Justicia Militar, este órgano, a petición de su defensor, declinó su jurisdicción en favor de la jurisdicción ordinaria, que la aceptó, siendo sometido a proceso penal común y condenado por la Audiencia provincial, por dicho delito, y confirmada la Sentencia por la Sala Segunda del Tribunal Supremo, al desestimar sobre el fondo el recurso de casación, contra cuya Sentencia se recurre en amparo, por violación del art.  17 de la C. E., ya que «nadie puede ser privado de libertad», y del art. 24.2 en cuanto «todos tienen derecho al Juez ordinario predeterminado por la Ley», sin otra cita ni argumentación de apoyo alguna, solicitando la anulación de todo lo actuado por la jurisdicción ordinaria, y que se produzca la correspondiente inhibición en favor de la jurisdicción militar para la conclusión del proceso.</w:t>
      </w:r>
    </w:p>
    <w:p w:rsidR="00256EE9" w:rsidRDefault="00256EE9" w:rsidP="00256EE9">
      <w:pPr>
        <w:pStyle w:val="TextoNormal"/>
      </w:pPr>
    </w:p>
    <w:p w:rsidR="00256EE9" w:rsidRDefault="00256EE9" w:rsidP="00256EE9">
      <w:pPr>
        <w:pStyle w:val="TextoNormal"/>
      </w:pPr>
      <w:r w:rsidRPr="00256EE9">
        <w:rPr>
          <w:rStyle w:val="NumeroAFNegritaCaracter"/>
        </w:rPr>
        <w:t>2</w:t>
      </w:r>
      <w:r>
        <w:t>. Es muy reiterada doctrina de este Tribunal sobre el art. 44.1 a) de la LOTC, que exige agotar los recursos utilizables en la vía judicial ordinaria, por ser el recurso de amparo un cauce subsidiario, al que no se puede acceder per saltum sin antes entablar los recursos razonablemente útiles establecidos en el ordenamiento jurídico, con la finalidad de que los órganos judiciales puedan decidir lo que resulta adecuado, en orden a la defensa de los derechos fundamentales y libertades públicas, cuya defensa primera tienen encomendada.</w:t>
      </w:r>
    </w:p>
    <w:p w:rsidR="00256EE9" w:rsidRDefault="00256EE9" w:rsidP="00256EE9">
      <w:pPr>
        <w:pStyle w:val="TextoNormal"/>
      </w:pPr>
      <w:r>
        <w:t>En el caso de examen, se produce la anómala situación de reconocerse que la inhibición de la jurisdicción militar de la causa penal, seguida contra el actor, en favor de la jurisdicción ordinaria, se produjo precisamente a instancia de la defensa de aquél, alegándose sin embargo en el trámite de inadmisión del recurso de amparo, que vinculado por la efectividad de los propios actos no podía la parte recurrir contra tal decisión, pero que el actor «a su manera» no se acomodó a la nueva situación competencial, negándose a firmar el enterado de la inhibición, formulando escrito al Fiscal Militar sobre ella, enviando su madre una carta al Tribunal Supremo pidiendo la suspensión de la vista del recurso de casación, y rechazando la competencia de la Audiencia. Todo ello supone que la inhibición pedida por la defensa del recurrente, constituye el ejercicio de una pretensión que al aceptarse se consintió, sin que la perjudiquen unas vagas e incomprobadas alegaciones como las indicadas, que no tienen efectividad alguna por haber sido todas ellas rechazadas, y hallarse al margen de sistema de recursos procesales establecido en el ordenamiento jurídico, por lo que ha de estimarse incumplida la exigencia de referencia, ya que lo procedente hubiera sido pedir en forma la nulidad de las actuaciones si el defensor obró sin su consentimiento, y en todo caso, ejercitar la excepción declinatoria de jurisdicción, como artículo de previo y especial pronunciamiento ante la Audiencia, de acuerdo con el art. 666.1 de la Ley de Enjuiciamiento Criminal, y en el supuesto de su desestimación, promover recurso de casación autorizado por el art.  676, con reproducción de la misma excepción en el acto del juicio oral de conformidad con el art.  678 y formulación final de recurso de casación contra la Sentencia de la Audiencia que no lo acogiera, ninguno de cuyos recursos ha sido ejercitado por el recurrente, por lo que indudablemente incurrió en la causa de inadmisión de dicho art.  44.1 a) en relación con el 50.1 b) de la LOTC.</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Incurre también la demanda en la causa de inadmisión señalada en el art.  44.1 c) de la LOTC, por ausencia de invocación formal, en el proceso penal previo, del derecho constitucional vulnerado, tan pronto como, una vez conocida la violación, hubiere lugar para ello, puesto que como se reconoce en el escrito de alegaciones sobre la inadmisión propuesta por la Sección, esa exigencia no fue cumplida, sin que se formule razón alguna válida para dejar de cumplirla, aunque ciertamente haya de reconocerse, que quien no propuso el tema competencial en debida forma, a través de los oportunos recursos utilizables, dificilmente podía alegar la vulneración de derechos fundamentales, por lo que ambas causas de rechazo de la demanda de amparo se complementan en su efectividad como causa y efecto, impidiendo su admisión a trámite.</w:t>
      </w:r>
    </w:p>
    <w:p w:rsidR="00256EE9" w:rsidRDefault="00256EE9" w:rsidP="00256EE9">
      <w:pPr>
        <w:pStyle w:val="TextoNormal"/>
      </w:pPr>
    </w:p>
    <w:p w:rsidR="00256EE9" w:rsidRDefault="00256EE9" w:rsidP="00256EE9">
      <w:pPr>
        <w:pStyle w:val="TextoNormal"/>
      </w:pPr>
      <w:r w:rsidRPr="00256EE9">
        <w:rPr>
          <w:rStyle w:val="NumeroAFNegritaCaracter"/>
        </w:rPr>
        <w:t>4</w:t>
      </w:r>
      <w:r>
        <w:t>. Por último, también la demanda carece manifiestamente de contenido constitucional para llegar a una decisión, en Sentencia, por parte de este Tribunal, de conformidad con el art. 50.2 b) de la LOTC, toda vez que las vulneraciones de normas constitucionales, tan escuetas y sin fundamento alguno que las apoyen, alegadas como posibles, son absolutamente inexistentes: la del art.  17, porque la privación de libertad de quien estuvo sometido a un proceso judicial y vinculado a dos Sentencias firmes recaídas en instancia y casación, que le condenaron por un grave delito de uxoricidio, con pena de reclusión mayor, se está ejecutando, sin que nada sobre esta alegación hubiera sido puesto de relieve en las instancias previas, y cuya situación personal no puede modificarse por el mero hecho de entablarse el amparo sobre una cuestión competencial; y la del art.  24.2, relativa al Juez ordinario predeterminado por la Ley, porque no corresponde a este Tribunal decidir simples cuestiones de competencia entre órganos jurisdiccionales, como ha manifestado el Auto de 22 de marzo de 1985 (R. A. 512/1984), y con mayor razón aún, resolver sobre temas de mera legalidad, no articulados en instancia debidamente, consentidos por el recurrente, y traídos per saltum al recurso de amparo, cuando por su mismo contenido no afectan, en el momento presente, a los derechos fundamentales y libertades públicas.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acogiendo las tres indicadas causas de inadmisión del recurso de amparo, acordó:</w:t>
      </w:r>
    </w:p>
    <w:p w:rsidR="00256EE9" w:rsidRDefault="00256EE9" w:rsidP="00256EE9">
      <w:pPr>
        <w:pStyle w:val="TextoNormal"/>
      </w:pPr>
      <w:r>
        <w:t>Declarar no haber lugar a la admisión de la demanda de amparo formulada por el Procurador don Carlos Ibáñez de la Cadiniere, en representación de don Manuel Sánchez Martín, y el archivo de las actuaciones.</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4" w:name="AUTO_1985_243"/>
      <w:r>
        <w:lastRenderedPageBreak/>
        <w:t>AUTO 243/1985, de 17 de abril de 1985</w:t>
      </w:r>
    </w:p>
    <w:bookmarkEnd w:id="304"/>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ECLI:ES:TC:1985:243A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897/1984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21 de diciembre de 1984, tuvo entrada en este Tribunal Constitucional recurso de amparo formulado por el Procurador de los Tribunales, don Pedro Antonio Pardillo Larena, en nombre y representación de «Cooperativa Farmacéutica Asturiana» (COFAS), contra Sentencia dictada por la Sala de lo Contencioso-Administrativo de la Audiencia Territorial de Oviedo, posteriormente confirmada en apelación por Sentencia de la Sala Cuarta del Tribunal Supremo, por las que se anularon acuerdos del Ayuntamiento de Siero. El recurso de amparo se basa, en sustancia, en los hechos siguientes: </w:t>
      </w:r>
    </w:p>
    <w:p w:rsidR="00256EE9" w:rsidRDefault="00256EE9" w:rsidP="00256EE9">
      <w:pPr>
        <w:pStyle w:val="TextoNormal"/>
      </w:pPr>
      <w:r>
        <w:t xml:space="preserve">A) En 1977, la Entidad hoy demandante de amparo solicitó la preceptiva información del Ayuntamiento de Siero para la posible instalación, dentro de su término municipal, de una planta, con destino a tres depósitos de alcohol de 10.000 litros cada uno. Tras diversos informes, el Ayuntamiento de Siero concedió licencia provisional para dicha instalación a COFAS, acuerdo contra el que se interpuso recurso de reposición por don Eligio López Abejón, y que fue desestimado. </w:t>
      </w:r>
    </w:p>
    <w:p w:rsidR="00256EE9" w:rsidRDefault="00256EE9" w:rsidP="00256EE9">
      <w:pPr>
        <w:pStyle w:val="TextoNormal"/>
      </w:pPr>
      <w:r>
        <w:t>B) Frente a los anteriores acuerdos municipales, interpuso el señor López Abejón recurso contencioso-administrativo, en el que, con fecha 5 de julio de 1982, la Sala de lo Contencioso-Administrativo de la Audiencia Territorial de Oviedo dictó Sentencia, por la que, estimando el recurso interpuesto, declaró la nulidad de los actos administrativos recurridos. La estimación del recurso se fundamentó en que, mediante la licencia concedida, se infringieron las Normas Complementarias y Subsidiarias de Planteamiento del término municipal de Siero, al considerar la Sala: «que el lugar donde se pretende instalar por COFAS los depósitos de alcohol, está clasificado como Zona Industrial, sub-zona de Industria General dedicada, según enseña la Norma 9.1, a industrias que no produzcan humos, gases o productos nocivos o peligrosos, ni los evacúen, y en la que conforme a la Norma 9.3, sólo se admiten industrias y oficinas de categorías 2.ª, 3.ª y 4.ª en situación 4.ª, y debiendo estimarse comprendida la instalación de depósitos de alcohol en la categoría 5.ª, que de acuerdo con la Norma 3.3.5.2.3, incluyen en sí aquellas instalaciones industriales que resulten altamente peligrosas, insalubres o nocivas y no sean corregibles, entre las que se citan, por vía de ejemplo, los almacenes de productos explosivos o inflamables, naturaleza ésta que posee en alto grado el etanol, ya que... su factor de peligrosidad intrínseco es de 12 sobre 20 y el índice de susceptibilidad a fuego o explosión para ese tipo de almacenamiento y manipulación es FEI=35 %, lo que indica que en caso de iniciación de incendio sería difícil de extinguir, hay que concluir que el establecimiento de los expresados depó</w:t>
      </w:r>
      <w:r>
        <w:lastRenderedPageBreak/>
        <w:t xml:space="preserve">sitos en zona de industria general vulnera el planteamiento vigente en el Concejo de Siero y, por ende, los acuerdos que autorizaron aquél no son ajustados a Derecho, procediendo, en consecuencia, la estimación del recurso». </w:t>
      </w:r>
    </w:p>
    <w:p w:rsidR="00256EE9" w:rsidRDefault="00256EE9" w:rsidP="00256EE9">
      <w:pPr>
        <w:pStyle w:val="TextoNormal"/>
      </w:pPr>
      <w:r>
        <w:t>C) Frente a la anterior Sentencia, interpusieron la Abogacía del Estado y COFAS recurso de apelación en el que, con fecha 15 de octubre de 1984, la Sala Cuarta del Tribunal Supremo dictó Sentencia, notificada el día 27 de noviembre siguiente, por la que, desestimando las apelaciones interpuestas, confirmó la Sentencia impugnada.</w:t>
      </w:r>
    </w:p>
    <w:p w:rsidR="00256EE9" w:rsidRDefault="00256EE9" w:rsidP="00256EE9">
      <w:pPr>
        <w:pStyle w:val="TextoNormal"/>
      </w:pPr>
    </w:p>
    <w:p w:rsidR="00256EE9" w:rsidRDefault="00256EE9" w:rsidP="00256EE9">
      <w:pPr>
        <w:pStyle w:val="TextoNormal"/>
      </w:pPr>
      <w:r w:rsidRPr="00256EE9">
        <w:rPr>
          <w:rStyle w:val="NumeroAFNegritaCaracter"/>
        </w:rPr>
        <w:t>2</w:t>
      </w:r>
      <w:r>
        <w:t>. La presente demanda de amparo se dirige frente a la referida Sentencia dictada por la Sala de lo Contencioso-Administrativo de la Audiencia Territorial de Oviedo, y se fundamenta en una presunta violación del derecho a la igualdad, reconocido por el art. 14 de la C. E. Dicha violación se habría producido, según se alega en el escrito de amparo, puesto que en el mismo término municipal están legalmente establecidas otras instalaciones como tanques de propano, mucho mayores y con más riesgos de explosión que unos depósitos de alcohol, gasolineras, así como depósitos de alcoholes, destinados al consumo humano, todos los cuales, de aceptarse la interpretación de la Audiencia Territorial de Oviedo, tendrían que desaparecer, pues, al ser depósitos peligrosos y carecer el Ayuntamiento de Siero de zona industrial para establecer las industrias de categoría 5.ª, no podrían seguir abiertos, pese a tener cumplidos todos los factores correctores exigidos por la legalidad vigente, igual que se impide a la Entidad demandante de amparo establecer sus depósitos con los mismos requisitos legales y factores de corrección que en los casos de los ejemplos citados.</w:t>
      </w:r>
    </w:p>
    <w:p w:rsidR="00256EE9" w:rsidRDefault="00256EE9" w:rsidP="00256EE9">
      <w:pPr>
        <w:pStyle w:val="TextoNormal"/>
      </w:pPr>
    </w:p>
    <w:p w:rsidR="00256EE9" w:rsidRDefault="00256EE9" w:rsidP="00256EE9">
      <w:pPr>
        <w:pStyle w:val="TextoNormal"/>
      </w:pPr>
      <w:r w:rsidRPr="00256EE9">
        <w:rPr>
          <w:rStyle w:val="NumeroAFNegritaCaracter"/>
        </w:rPr>
        <w:t>3</w:t>
      </w:r>
      <w:r>
        <w:t>. Se solicita de este Tribunal Constitucional que declare la nulidad de la Sentencia dictada por la Sala de lo Contencioso-Administrativo de la Audiencia Territorial de Oviedo, y en consecuencia la nulidad, también, de la dictada en apelación por la Sala Cuarta del Tribunal Supremo, por ser esta última confirmatoria de la directamente impugnada, y que, asimismo, se declare expresamente la validez de la licencia concedida en su día por el Ayuntamiento de Siero a la Entidad demandante de amparo.</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mediante providencia de 23 de enero de 1985, acordó a tenor de lo dispuesto en el art. 50 de la Ley Orgánica del Tribunal Constitucional (LOTC), conceder un plazo común de diez días al Ministerio Fiscal y a la solicitante de amparo para que alegasen lo que estimaran pertinente en relación con el siguiente motivo de inadmisión: carecer la demanda manifiestamente de contenido que justifique una decisión por parte de este Tribunal Constitucional, conforme previene el art. 50.2 b) de la mencionada Ley Orgánica.</w:t>
      </w:r>
    </w:p>
    <w:p w:rsidR="00256EE9" w:rsidRDefault="00256EE9" w:rsidP="00256EE9">
      <w:pPr>
        <w:pStyle w:val="TextoNormal"/>
      </w:pPr>
    </w:p>
    <w:p w:rsidR="00256EE9" w:rsidRDefault="00256EE9" w:rsidP="00256EE9">
      <w:pPr>
        <w:pStyle w:val="TextoNormal"/>
      </w:pPr>
      <w:r w:rsidRPr="00256EE9">
        <w:rPr>
          <w:rStyle w:val="NumeroAFNegritaCaracter"/>
        </w:rPr>
        <w:t>5</w:t>
      </w:r>
      <w:r>
        <w:t>. Dentro del plazo conferido, el Ministerio Fiscal formuló su escrito de alegaciones, señalando que la pretensión que se suscita en el presente recurso de amparo es propia de un proceso de legalidad y que, por otra parte, los ejemplos que se sugieren en apoyo de la existencia de una supuesta violación del derecho a la igualdad no son idénticos, y por tanto, válidos para permitir un acertado juicio comparativo. Concluye, por ello, el Ministerio Fiscal en interesar que se declare la inadmisión del recurso por concurrir el motivo señalado por nuestra anterior providencia.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6</w:t>
      </w:r>
      <w:r>
        <w:t>. Dentro del mismo plazo, por la Entidad recurrente se presenta escrito de alegaciones en el que se reiteran básicamente las ya formuladas en su escrito inicial de interposición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Hemos de señalar, con carácter previo, que, aunque la demanda de amparo dice dirigirse frente a la Sentencia dictada por la Audiencia Territorial de Oviedo por la que se denegó la licencia municipal a la Entidad hoy solicitante de amparo, la presunta violación del derecho fundamental que se invoca, que es el derecho a la igualdad en aplicación de la Ley, caso de producirse, habría tenido lugar, no mediante aquella Sentencia, sino mediante la que dictó en apelación la correspondiente Sala del Tribunal Supremo, que, según reiterada doctrina de este Tribunal Constitucional, es en cuanto órgano superior de la jurisdicción ordinaria, al que compete la tarea de unificación jurisprudencial en relación a las decisiones adoptadas en instancias inferiores, y respecto a cuyas resoluciones habrá de examinarse, en consecuencia, el cumplimiento de las exigencias que del art.  14 de la C. E.  derivan para la aplicación de la legalidad por los órganos judiciales.</w:t>
      </w:r>
    </w:p>
    <w:p w:rsidR="00256EE9" w:rsidRDefault="00256EE9" w:rsidP="00256EE9">
      <w:pPr>
        <w:pStyle w:val="TextoNormal"/>
      </w:pPr>
    </w:p>
    <w:p w:rsidR="00256EE9" w:rsidRDefault="00256EE9" w:rsidP="00256EE9">
      <w:pPr>
        <w:pStyle w:val="TextoNormal"/>
      </w:pPr>
      <w:r w:rsidRPr="00256EE9">
        <w:rPr>
          <w:rStyle w:val="NumeroAFNegritaCaracter"/>
        </w:rPr>
        <w:t>2</w:t>
      </w:r>
      <w:r>
        <w:t>. Así circunscrito el objeto de la impugnación formulada en amparo, resulta, en síntesis, que se reprocha a una resolución judicial la vulneración del principio de igualdad consagrado en el art.  14 de la Constitución.  Pero como repetidas veces ha declarado este Tribunal Constitucional para que pueda estimarse tal vulneración en las decisiones de un órgano judicial es necesario que el mismo haya dictado resoluciones que impongan un trato desigual a supuestos de hecho sustancialmente idénticos sin que se razone el cambio de doctrina o los motivos de esa desigualdad.  En el presente caso el recurrente ni siquiera alega que haya existido ninguna Sentencia dictada por el Tribunal Supremo en caso igual que pueda servir de término de comparación.  Las afirmaciones de la demanda relativas a la existencia en el municipio de Siero de instalaciones legalmente establecidas de características análogas a las que el recurrente pretende instalar son irrelevantes para el presente recurso, con independencia de que sean ciertas, pues la demanda se dirige contra la actuación de un órgano judicial, no del Ayuntamiento afectado, que además concedió la licencia pedida, y sin que sea competencia de este Tribunal Constitucional examinar las posibles consecuencias que para esas otras instalaciones tenga la Sentencia impugnada.</w:t>
      </w:r>
    </w:p>
    <w:p w:rsidR="00256EE9" w:rsidRDefault="00256EE9" w:rsidP="00256EE9">
      <w:pPr>
        <w:pStyle w:val="TextoNormal"/>
      </w:pPr>
    </w:p>
    <w:p w:rsidR="00256EE9" w:rsidRDefault="00256EE9" w:rsidP="00256EE9">
      <w:pPr>
        <w:pStyle w:val="TextoNormal"/>
      </w:pPr>
      <w:r w:rsidRPr="00256EE9">
        <w:rPr>
          <w:rStyle w:val="NumeroAFNegritaCaracter"/>
        </w:rPr>
        <w:t>3</w:t>
      </w:r>
      <w:r>
        <w:t>. En consecuencia, resulta manifiesta la carencia de contenido en la demanda de amparo formulada que justifique una decisión por parte de este Tribunal Constitucional, lo que determina que no sea posible la admisión a trámite de dicha demanda, según lo previsto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Sección ha acordado declarar la inadmisibilidad del recurso de amparo interpuesto por el Procurador de los Tribunales, don Pedro Antonio Pardillo Larena, en nombre y representación de «Cooperativa Farmacéutica Asturiana»</w:t>
      </w:r>
    </w:p>
    <w:p w:rsidR="00256EE9" w:rsidRDefault="00256EE9" w:rsidP="00256EE9">
      <w:pPr>
        <w:pStyle w:val="TextoNormal"/>
      </w:pPr>
      <w:r>
        <w:lastRenderedPageBreak/>
        <w:t>(COFAS), y el archivo de las actuaciones.</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5" w:name="AUTO_1985_244"/>
      <w:r>
        <w:lastRenderedPageBreak/>
        <w:t>AUTO 244/1985, de 17 de abril de 1985</w:t>
      </w:r>
    </w:p>
    <w:bookmarkEnd w:id="305"/>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ECLI:ES:TC:1985:244A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9/1985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Mohamed Boudjema, de nacionalidad argelina, presentó escrito en este Tribunal el día 4 de enero de 1985, por medio del cual solicitó le fueran designados Abogado y Procurador del turno de oficio, para que le defendiera y representase, respectivamente, en la sustanciación del recurso de amparo que interponía al mismo tiempo contra providencia de la Sala Segunda de lo Penal de la Audiencia Nacional, de fecha 7 de noviembre de 1984, por reputarla en contradicción con el derecho a obtener la tutela efectiva de Jueces y Tribunales, sin que en ningún caso pueda producirse indefensión, así como con el derecho a utilizar los medios de prueba pertinentes.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señor Boudjema expone que en el expediente de referencia le fue asignado Letrado del turno de oficio, pero habiendo solicitado de libre designación la defensa del Letrado don Carlos García Cabrero la Audiencia Nacional dictó providencia, el 3 de octubre de 1984, notificada el día 5 siguiente, por la que se tenía por designado al mencionado Letrado. </w:t>
      </w:r>
    </w:p>
    <w:p w:rsidR="00256EE9" w:rsidRDefault="00256EE9" w:rsidP="00256EE9">
      <w:pPr>
        <w:pStyle w:val="TextoNormal"/>
      </w:pPr>
      <w:r>
        <w:t xml:space="preserve">Con fecha 9 de septiembre de 1984, con anterioridad, por tanto, a tenerse por designado a este último Letrado, se dictó providencia por la Audiencia Nacional, notificada el 17 de octubre, por la que se señalaba para la vista del procedimiento el 7 de noviembre, personándose el Letrado señor García Cabrero en la Secretaría de la Sección Segunda de la Audiencia Nacional, al objeto de instruirse del procedimiento y preparar la defensa, lo que resultó infructuoso por no hallarse disponibles los Autos en dicha Secretaría. </w:t>
      </w:r>
    </w:p>
    <w:p w:rsidR="00256EE9" w:rsidRDefault="00256EE9" w:rsidP="00256EE9">
      <w:pPr>
        <w:pStyle w:val="TextoNormal"/>
      </w:pPr>
      <w:r>
        <w:t xml:space="preserve">Ante tal estado de cosas, el Abogado del señor Boudjema formuló escrito el 5 de noviembre, mediante el que solicitaba la suspensión de la vista señalada para el día 7 del mismo mes, con el fin de poder instruirse del procedimiento, y la práctica de los siguientes medios de prueba y cuestión previa: </w:t>
      </w:r>
    </w:p>
    <w:p w:rsidR="00256EE9" w:rsidRDefault="00256EE9" w:rsidP="00256EE9">
      <w:pPr>
        <w:pStyle w:val="TextoNormal"/>
      </w:pPr>
      <w:r>
        <w:t xml:space="preserve">a) que se dirigiese atenta comunicación a las Autoridades competentes del Estado requirente, Francia, para que fueran aportadas las declaraciones de los testigos presenciales de los hechos de autos que no figuraban en el procedimiento; y b) que se dirigiese atenta comunicación a las mismas Autoridades para que prestasen compromiso de que en el supuesto de ser acordada la extradición de su defendido, no le serían impuestas por los Tribunales franceses penas superiores en grado a las señaladas por la legislación española para el tipo de delito de que viene acusado. </w:t>
      </w:r>
    </w:p>
    <w:p w:rsidR="00256EE9" w:rsidRDefault="00256EE9" w:rsidP="00256EE9">
      <w:pPr>
        <w:pStyle w:val="TextoNormal"/>
      </w:pPr>
      <w:r>
        <w:lastRenderedPageBreak/>
        <w:t>El día 7 de noviembre, en la providencia que se recurre, notificada el 12 de igual mes, se fijó nuevamente la audiencia del día 15, también de ese mes de noviembre, para la celebración de la vista, desestimándose los demás pedimentos del escrito del Letrado del señor Boudjema, quien por tal premura y por sus múltiples ocupaciones se vio constreñido a renunciar a la defensa que venía ostentando, como único medio para paralizar el curso del procedimiento.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solicitante entiende que con la providencia impugnada, que no se encuentra motivada, al señalar un plazo al Letrado personado en la causa excesivamente breve para que pudiera instruirse de la misma, no habiéndosele facilitado el examen del expediente, y denegar las demás peticiones del escrito de 5 de noviembre, se le ha producido indefensión y se le ha negado el derecho a utilizar un medio de prueba pertinente para su defensa. </w:t>
      </w:r>
    </w:p>
    <w:p w:rsidR="00256EE9" w:rsidRDefault="00256EE9" w:rsidP="00256EE9">
      <w:pPr>
        <w:pStyle w:val="TextoNormal"/>
      </w:pPr>
      <w:r>
        <w:t>Por todo ello, suplica a este Tribunal la designación de Abogado y Procurador de oficio, y que, en su día, se sirva dictar Sentencia por la que se declare la nulidad de la providencia de la Audiencia Nacional de 7 de noviembre, reconociendo expresamente el derecho del recurrente a que se acuerde por el Tribunal la concesión de un plazo prudencial para que pueda instruirse del procedimiento, poniéndosele de manifiesto el expediente, con anterioridad a la vista, así como la práctica de las pruebas solicitadas y la cuestión previa planteada. Asimismo, solicita la suspensión de la ejecución de la resolución impugnada.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en providencia de 23 de enero de 1985, acordó poner de manifiesto la posible existencia de las siguientes causas de inadmisión: </w:t>
      </w:r>
    </w:p>
    <w:p w:rsidR="00256EE9" w:rsidRDefault="00256EE9" w:rsidP="00256EE9">
      <w:pPr>
        <w:pStyle w:val="TextoNormal"/>
      </w:pPr>
      <w:r>
        <w:t xml:space="preserve">a) la regulada en el art. 50.1 b) en relación con el 81 de la Ley Orgánica del Tribunal Constitucional, por no comparecer el demandante por medio de Procurador y con asistencia de Letrado y no justificar que en el previo proceso judicial haya gozado de los beneficios de justicia gratuita; b) la regulada en el art. 50.1 a) en relación al 44.2 de la LOTC; c) la del art. 50.1 b) en relación con el 44.1 a) y 44.1 c), igualmente de la LOTC. </w:t>
      </w:r>
    </w:p>
    <w:p w:rsidR="00256EE9" w:rsidRDefault="00256EE9" w:rsidP="00256EE9">
      <w:pPr>
        <w:pStyle w:val="TextoNormal"/>
      </w:pPr>
      <w:r>
        <w:t>Dentro del trámite abierto por dicha providencia sólo ha presentado escrito de alegaciones el Ministerio Fiscal, que solicita la inadmisión del recurso por la plena concurrencia de todos los motivos de inadmisión que se señalaban como posibles.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recurrente, durante el plazo que se le concedió, no ha intentado subsanar el defecto de postulación apreciable en su demanda, ni ha justificado haber gozado en el proceso judicial previo de los beneficios de pobreza gratuita, de donde deriva forzosamente la causa de inadmisión que contempla el art. 50.1 b) en relación con el 81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Por otra parte, tampoco ha efectuado el demandante alegato alguno que permita invalidar la hipótesis adelantada en nuestra providencia respecto de las restantes causas de inadmisión, de naturaleza no subsanable.</w:t>
      </w:r>
    </w:p>
    <w:p w:rsidR="00256EE9" w:rsidRDefault="00256EE9" w:rsidP="00256EE9">
      <w:pPr>
        <w:pStyle w:val="TextoNormal"/>
      </w:pPr>
      <w:r>
        <w:t>De esta manera hay que concluir que la demanda ha sido extemporáneamente presentada, pues fue registrada en este Tribunal el 4 de enero de 1985, siendo así que la providencia de la Audiencia Nacional de 7 de noviembre de 1984, contra la que se recurre, fue notificada el 12 del mismo mes.</w:t>
      </w:r>
    </w:p>
    <w:p w:rsidR="00256EE9" w:rsidRDefault="00256EE9" w:rsidP="00256EE9">
      <w:pPr>
        <w:pStyle w:val="TextoNormal"/>
      </w:pPr>
      <w:r>
        <w:lastRenderedPageBreak/>
        <w:t>Y si a todo ello se une que no se ha recurrido en reforma la providencia impugnada, de lo que se sigue también la existencia de los motivos señalados por nosotros en tercer lugar, se llega inevitablemente al desenlace de que la demanda de amparo es inadmisible por la presencia de todo el conjunto de causas indicado.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en consecuencia, ha decidido la inadmisión del presente recurso de amparo, por lo que no ha lugar a acceder a la solicitud de suspensión formulada por el demandante.</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6" w:name="AUTO_1985_245"/>
      <w:r>
        <w:lastRenderedPageBreak/>
        <w:t>AUTO 245/1985, de 17 de abril de 1985</w:t>
      </w:r>
    </w:p>
    <w:bookmarkEnd w:id="306"/>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ECLI:ES:TC:1985:245A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26/1985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don Tomás Cuevas Villamañán entabló recurso de amparo en representación de don Emilio López Carretero, alegando como motivos fácticos del mismo los siguientes: </w:t>
      </w:r>
    </w:p>
    <w:p w:rsidR="00256EE9" w:rsidRDefault="00256EE9" w:rsidP="00256EE9">
      <w:pPr>
        <w:pStyle w:val="TextoNormal"/>
      </w:pPr>
      <w:r>
        <w:t xml:space="preserve">a) Que se debatió en procedimiento civil que dio origen a la Sentencia de 14 de diciembre de 1984 de la Audiencia Territorial, Sala de lo Civil, de Albacete, frente a la que se solicita el amparo, si el Banco de Madrid, S. A., venía o no obligado a cargar con el pago de un talón extendido por el recurrente, contra su cuenta corriente en dicho Banco, cuyo talón había sido manipulado y falsificado por persona desconocida, y en la vida trayecticia y del tráfico de dicho talón; y si por tanto, el Banco que lo había pagado, estaba obligado a reintegrar al recurrente su importe. </w:t>
      </w:r>
    </w:p>
    <w:p w:rsidR="00256EE9" w:rsidRDefault="00256EE9" w:rsidP="00256EE9">
      <w:pPr>
        <w:pStyle w:val="TextoNormal"/>
      </w:pPr>
      <w:r>
        <w:t xml:space="preserve">b) Dicha Sentencia contra la que se recurre en amparo, entendió que el Banco no estaba obligado a reintegrar el importe de dicho talón, a pesar de haberse probado la falsificación, pues sólo lo estaría si lo falsificado hubiese sido la firma, citando en apoyo de su tesis la Sentencia del Tribunal Supremo de 7 de junio de 1984, que se estima no es de aplicación, por contemplar un supuesto distinto. </w:t>
      </w:r>
    </w:p>
    <w:p w:rsidR="00256EE9" w:rsidRDefault="00256EE9" w:rsidP="00256EE9">
      <w:pPr>
        <w:pStyle w:val="TextoNormal"/>
      </w:pPr>
      <w:r>
        <w:t xml:space="preserve">En los fundamentos de Derecho se alega la posible vulneración del art. 10 de la C.E. por haber faltado la Sentencia al respeto a la Ley; el art. 17 por entender que la misma priva al recurrente y a toda la sociedad del derecho a la seguridad, concepto extensivo al tráfico; y el art. 24.1 por entender que la indicada Sentencia le priva de tutela efectiva judicial, al negar la aplicación del art. 307.2 del Código de Comercio en relación con los arts. 539 y 543 del propio cuerpo legal, sustituyéndolos con un razonamiento arbitrario sin apoyo en precepto legal alguno, en un estado de Derecho en el que éste no es producto de la creación judicial, sino resultado de las competencias legislativas contenidas en el art. 63 de la Constitución. </w:t>
      </w:r>
    </w:p>
    <w:p w:rsidR="00256EE9" w:rsidRDefault="00256EE9" w:rsidP="00256EE9">
      <w:pPr>
        <w:pStyle w:val="TextoNormal"/>
      </w:pPr>
      <w:r>
        <w:t>La demanda termina suplicando el otorgamiento del amparo solicitado frente a la Sentencia indicada, declarando la nulidad de la misma, con determinación, en su caso, de la extensión de los efectos que esta declaración deba producir para restablecerle en su derecho.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La Sección por providencia, acordó exigir al actor incorporar a las actuaciones copia certificada de la Sentencia del Juzgado de Primera Instancia núm. 2 de Cartagena de 27 de diciembre de 1982; subsanándose este defecto con la presentación de dicha resolución.</w:t>
      </w:r>
    </w:p>
    <w:p w:rsidR="00256EE9" w:rsidRDefault="00256EE9" w:rsidP="00256EE9">
      <w:pPr>
        <w:pStyle w:val="TextoNormal"/>
      </w:pPr>
    </w:p>
    <w:p w:rsidR="00256EE9" w:rsidRDefault="00256EE9" w:rsidP="00256EE9">
      <w:pPr>
        <w:pStyle w:val="TextoNormal"/>
      </w:pPr>
      <w:r w:rsidRPr="00256EE9">
        <w:rPr>
          <w:rStyle w:val="NumeroAFNegritaCaracter"/>
        </w:rPr>
        <w:t>3</w:t>
      </w:r>
      <w:r>
        <w:t>. A su vez, la Sección, por nueva providencia, abrió el trámite de inadmisión de la demanda por la existencia del posible defecto de carácter insubsanable, de carecer la demanda manifiestamente de contenido que justifique una decisión por parte del Tribunal Constitucional de acuerdo con lo dispuesto en el art. 50.2 b) de la Ley Orgánica del Tribunal Constitucional (LOTC). Concediendo un plazo común a la parte actora y al Ministerio Fiscal para alegaciones. .</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parte recurrente entendió, evacuando dicho trámite, que el recurso de amparo justifica plenamente una decisión sobre la constitucionalidad o no de la Sentencia que lo motivó, por haberse infringido los arts. 10 y 24.1 de la C.E., al tener derecho a que se aplique el art. 307.2 del Código de Comercio, razonando en la misma manera que en la demanda, sobre la alteración de la seguridad del tráfico mercantil y sobre la procedencia de aplicación de dicha norma en relación con los arts. 1.763 y 1.766 del Código Civil. </w:t>
      </w:r>
    </w:p>
    <w:p w:rsidR="00256EE9" w:rsidRDefault="00256EE9" w:rsidP="00256EE9">
      <w:pPr>
        <w:pStyle w:val="TextoNormal"/>
      </w:pPr>
      <w:r>
        <w:t>El Tribunal Constitucional debe pronunciarse sobre el objeto de la demanda porque afecta a los intereses privados del recurrente. Suplicó se le tuviera por ratificado en la petición inicial del amparo.</w:t>
      </w:r>
    </w:p>
    <w:p w:rsidR="00256EE9" w:rsidRDefault="00256EE9" w:rsidP="00256EE9">
      <w:pPr>
        <w:pStyle w:val="TextoNormal"/>
      </w:pPr>
    </w:p>
    <w:p w:rsidR="00256EE9" w:rsidRDefault="00256EE9" w:rsidP="00256EE9">
      <w:pPr>
        <w:pStyle w:val="TextoNormal"/>
      </w:pPr>
      <w:r w:rsidRPr="00256EE9">
        <w:rPr>
          <w:rStyle w:val="NumeroAFNegritaCaracter"/>
        </w:rPr>
        <w:t>5</w:t>
      </w:r>
      <w:r>
        <w:t>. El Ministerio Fiscal en dicho trámite de alegaciones, afirma no existir violación de los arts. 17 y 24.1 de la C.E. por proteger la seguridad, que no es extensible a la seguridad del tráfico, y la tutela judicial efectiva, presentándose un tema de mera legalidad, en relación a la responsabilidad que es exigible a un Banco respecto al pago de talones bancarios falsificados no en su firma sino en la cantidad, tema que es resuelto aplicando la legalidad ordinaria por las Sentencias recurridas, con razonamientos y fundamentos concretos, tratándose en definitiva de un tema ajeno al Tribunal Constitucional por ser propio de la legalidad ordinaria. La invocación del art. 17 de la C.E. nada tiene que ver con el supuesto concreto, pues su contenido se refiere a seguridad distinta a la del tráfico jurídico.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recurso de amparo constitucional que establece el art.  161 de la Constitución (C.E.), y que se desarrolla en el art. 41 y siguientes de la Ley Orgánica de este Tribunal (LOTC), con la finalidad de proteger o preservar los derechos fundamentales y las libertades públicas precisadas en los arts. 14 al 29 y 30.2 de la C.E., no puede extenderse en su ámbito a la revisión de los criterios de mera legalidad, razonados en las Sentencias judiciales de los Tribunales comunes, que no vulneren aquellos derechos y libertades, puesto que así resulta de lo señalado en los arts. 117.3 de la C.E. y 41.3 y 54 de la LOTC, perteneciendo la competencia a los indicados Tribunales o Jueces, para la resolución de los estrictos conflictos intersubjetivos de intereses.  fijando los hechos y subsumiéndolos en los supuestos normativos a través de las adecuadas operaciones técnico-jurídicas; y sin que tampoco por el camino que proclama el art. 24.1 de la C.E., puedan ser del conocimiento de este Tribunal Constitucional dichas cuestiones de mera legalidad, ya que esta norma sobre la tutela judicial efectiva, no confiere la misión de garantizar la justicia, sino sólo la </w:t>
      </w:r>
      <w:r>
        <w:lastRenderedPageBreak/>
        <w:t>de controlar el respeto a los derechos procesales constitucionalmente garantizados, quedando al margen de la competencia de este Tribunal, el examen de los posibles errores, equivocaciones o interpretaciones jurídicas que las partes motejen de incorrectas, ya que no es un órgano supremo de vigilancia de la estricta legalidad, hallándose imposibilitado de ejercer funciones que no le concede la Ley suprema.</w:t>
      </w:r>
    </w:p>
    <w:p w:rsidR="00256EE9" w:rsidRDefault="00256EE9" w:rsidP="00256EE9">
      <w:pPr>
        <w:pStyle w:val="TextoNormal"/>
      </w:pPr>
    </w:p>
    <w:p w:rsidR="00256EE9" w:rsidRDefault="00256EE9" w:rsidP="00256EE9">
      <w:pPr>
        <w:pStyle w:val="TextoNormal"/>
      </w:pPr>
      <w:r w:rsidRPr="00256EE9">
        <w:rPr>
          <w:rStyle w:val="NumeroAFNegritaCaracter"/>
        </w:rPr>
        <w:t>2</w:t>
      </w:r>
      <w:r>
        <w:t>. Esta doctrina reiteradamente establecida por el Tribunal Constitucional, no es respetada por el actor en su demanda de amparo, al estimar lesionados los arts.  10, 17 y 24.1 de la C.E., por el hecho de haberse pagado con cargo a su cuenta corriente por el Banco, un cheque librado por él con firma auténtica, que había sufrido después de emitido una alteración de la cantidad, al haber sido borrada por medios químicos y sustituida por otra de superior contenido, y que no se podría apreciar a simple vista, y sí sólo a través del uso de la luz ultravioleta, sin que ni el Juzgado de Primera Instancia, ni la Sala de lo Civil de la Audiencia Territorial, estimaren su pretensión de indemnización por el Banco, porque el cheque era aparentemente normal, y no existía por parte de su personal negligencia según el art. 1.101 del Código Civil y 306 del Código de Comercio, aplicando incluso jurisprudencia existente, y realizando extensas y razonadas argumentaciones en juicio de mera legalidad, ambas resoluciones.</w:t>
      </w:r>
    </w:p>
    <w:p w:rsidR="00256EE9" w:rsidRDefault="00256EE9" w:rsidP="00256EE9">
      <w:pPr>
        <w:pStyle w:val="TextoNormal"/>
      </w:pPr>
      <w:r>
        <w:t>Y no se respetó dicha doctrina en el recurso, porque no se tiene en cuenta en él, que el Juez de Instancia y el Tribunal de apelación establecieron soberanamente unos hechos probados que reflejaban las conductas juzgadas, en los que este Tribunal tiene prohibido entrar, según el art. 44.1 b) de la LOTC, y que además, sobre tal base fáctica, realizaron ambas resoluciones, juicio razonado de estricta legalidad por su mismo contenido, según el alcance de las normas de derecho material, contra el que quiere operar el recurso de amparo, pretendiendo una revisión imposible para este Tribunal, porque en modo alguno pueden estimarse afectadas las normas de la Constitución siguientes: la del art.  10 «por faltar la Sentencia al respeto a la Ley», ya que tal norma está fuera del catálogo de los derechos fundamentales protegidos por el recurso de amparo, según claramente resulta de lo dispuesto en el art. 53.2 de la C.E.; la del art.  17 por «entender que la Sentencia recurrida priva al recurrente y a toda la sociedad del derecho a la seguridad, concepto extensivo al tráfico», ya que esta norma, como con reiteración ha señalado la doctrina de este Tribunal, se refiere a los supuestos de libertad y seguridad personales, vinculados esencialmente al proceso penal, muy diferentes del principio de seguridad jurídica, que se determina precisamente en el art. 9.3 de la C.E., y que también se halla fuera de los derechos y libertades protegidos por el recurso de amparo; y por último, la norma del art. 24.1 en relación con la tutela judicial efectiva, porque el actor la obtuvo, aunque le resultare adversa a su pretensión, ya que como se indicó, además de tener acceso a los Tribunales a medio del proceso debido, tal norma no garantiza la justicia, ni tampoco la corrección jurídica de la actuación de los órganos judiciales comunes, y las cuestiones de mera legalidad como la formulada no pueden ser objeto del examen de este Tribunal.</w:t>
      </w:r>
    </w:p>
    <w:p w:rsidR="00256EE9" w:rsidRDefault="00256EE9" w:rsidP="00256EE9">
      <w:pPr>
        <w:pStyle w:val="TextoNormal"/>
      </w:pPr>
    </w:p>
    <w:p w:rsidR="00256EE9" w:rsidRDefault="00256EE9" w:rsidP="00256EE9">
      <w:pPr>
        <w:pStyle w:val="TextoNormal"/>
      </w:pPr>
      <w:r w:rsidRPr="00256EE9">
        <w:rPr>
          <w:rStyle w:val="NumeroAFNegritaCaracter"/>
        </w:rPr>
        <w:t>3</w:t>
      </w:r>
      <w:r>
        <w:t>. En conclusión de lo expuesto, al presentarse un supuesto de interpretación de legalidad realizada por dos resoluciones judiciales, que resulta de imposible examen por este Tribunal, es de aplicar la causa de inadmisión de la demanda establecida en el art. 50.2 b) de la LOTC, por no estar afectados en absoluto los derechos y libertades públicas que se decían vulnerados.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acordó:</w:t>
      </w:r>
    </w:p>
    <w:p w:rsidR="00256EE9" w:rsidRDefault="00256EE9" w:rsidP="00256EE9">
      <w:pPr>
        <w:pStyle w:val="TextoNormal"/>
      </w:pPr>
      <w:r>
        <w:t>Inadmitir a trámite la demanda de amparo formulada por el Procurador don Tomás Cuevas Villamañán, en representación de don Emilio López Carretero, y el archivo de las actuaciones.</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7" w:name="AUTO_1985_246"/>
      <w:r>
        <w:lastRenderedPageBreak/>
        <w:t>AUTO 246/1985, de 17 de abril de 1985</w:t>
      </w:r>
    </w:p>
    <w:bookmarkEnd w:id="307"/>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ECLI:ES:TC:1985:246A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42/1985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el Registro General de este Tribunal Constitucional el 16 de enero de 1985, el Procurador de los Tribunales don Angel Gimeno García interpone recurso de amparo constitucional en nombre y representación del Comité de Empresa de la Entidad mercantil «La Primitiva, S. A.», contra Sentencia del Tribunal Central de Trabajo de 12 de noviembre de 1984, en recurso de suplicación interpuesto por el referido Comité de Empresa contra la pronunciada por la Magistratura de Trabajo núm. 9 de las de Barcelona en 23 de enero de 1984, en procedimiento sobre reclamación de cantidades debidas como salarios. </w:t>
      </w:r>
    </w:p>
    <w:p w:rsidR="00256EE9" w:rsidRDefault="00256EE9" w:rsidP="00256EE9">
      <w:pPr>
        <w:pStyle w:val="TextoNormal"/>
      </w:pPr>
      <w:r>
        <w:t>Piden que se declare la nulidad de pleno derecho de la Sentencia impugnada con retrotracción de las actuaciones al momento de pase de las mismas al Magistrado Ponente, y se restablezca al Comité de Empresa en el ejercicio de su derecho a una tutela judicial efectiva mediante el reconocimiento de su legitimación para recurrir en suplicación la Sentencia dictada por la Magistratura de Trabajo núm. 9 de las de Barcelona. Por medio de otrosí, solicitan que al haber sido declarada firme la Sentencia últimamente citada, se suspenda su ejecución respecto de «La Primitiva, S. A.», toda vez que, en otro caso, se vería afectada la estabilidad de los puestos de trabajo de la Empresa y se ocasionaría un perjuicio gravísimo que haría perder al amparo su finalidad.</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se fundamenta en los siguientes hechos: </w:t>
      </w:r>
    </w:p>
    <w:p w:rsidR="00256EE9" w:rsidRDefault="00256EE9" w:rsidP="00256EE9">
      <w:pPr>
        <w:pStyle w:val="TextoNormal"/>
      </w:pPr>
      <w:r>
        <w:t xml:space="preserve">A) A lo largo del año 1982 y principios de 1983, don Angel Edo Fabregat y otros, trabajadores de las entidades «Frasquerías Pedret, S. A.» y «Frasquerías Españolas, S. A.», promovieron diversos procedimientos judiciales en reclamación de salarios contra distintas personas y Compañías Mercantiles. En los antedichos procedimientos, el Comité de Empresa de «La Primitiva, S. A.», que ahora recurre en amparo, así como la propia Empresa últimamente citada, no figuraron como demandados, o en los casos en que sí lo fueron, han sido expresamente absueltos. </w:t>
      </w:r>
    </w:p>
    <w:p w:rsidR="00256EE9" w:rsidRDefault="00256EE9" w:rsidP="00256EE9">
      <w:pPr>
        <w:pStyle w:val="TextoNormal"/>
      </w:pPr>
      <w:r>
        <w:t>B) El 2 de febrero de 1983, el citado don Angel Edo Fabregat y otros (inicialmente 126 más que luego se redujeron a 123 más) presentaron demanda de reclamación de salarios por cuantía de 70.464.505 pesetas más el 10 por 100 de recargo por mora, contra 25 demandados, entre ellos el Comité de Empresa de «La Primitiva, S. A.». La Magistratura de Trabajo núm. 9 de las de Barcelona, dictó Sentencia el 23 de enero de 1984, en la que re</w:t>
      </w:r>
      <w:r>
        <w:lastRenderedPageBreak/>
        <w:t xml:space="preserve">solvió: «Fallo: Que dando lugar a la excepción de incompetencia de jurisdicción aducida, debo desestimar y desestimo sin entrar en el fondo de la litis, la demanda formulada contra doña Antonia Pedret Carceller, doña Eusebia Pedret Carceller, don Vicente Pedret Carceller, doña Ramona Pedret Martín, doña Isabel Pedret Martín, doña Pilar Buendía López, don José Pedret Martín, don Martín Pedret Martín, don Francisco Pedret Martín, don José Artieda Aranz, don Ramón Catalán Santolaria, don Andreu Colom Negre y don Miguel Pedret Carceller, al mismo tiempo que estimando en parte la acción ejercitada debo condenar y condeno solidariamente a las codemandadas ''Frasquerías Pedret, S. A.'', y ''Frasquerías Españolas, S. A.'', ''La Primitiva, S. A.'', ''Optica y Lámparas Pedro, S. A.'', ''Cristalería Cervellonense, S. A.'', y don Antonio García Núñez, a abonar a los actores las siguientes cantidades: ... (hasta un total de 25.436.053 pesetas ), ...debiendo los Comités de Empresa de ''La Primitiva, S. A.'', de ''Optica y Lámparas Pedro, S. A.'', de ''Frasquerías Españolas, S. A.'', y el depositario de la quiebra de la Empresa ''Optica y Lámparas Pedro, S. A.'', a estar y pasar por tal declaración». </w:t>
      </w:r>
    </w:p>
    <w:p w:rsidR="00256EE9" w:rsidRDefault="00256EE9" w:rsidP="00256EE9">
      <w:pPr>
        <w:pStyle w:val="TextoNormal"/>
      </w:pPr>
      <w:r>
        <w:t xml:space="preserve">Resulta que la condena solidaria a la empresa «La Primitiva, S. </w:t>
      </w:r>
    </w:p>
    <w:p w:rsidR="00256EE9" w:rsidRDefault="00256EE9" w:rsidP="00256EE9">
      <w:pPr>
        <w:pStyle w:val="TextoNormal"/>
      </w:pPr>
      <w:r>
        <w:t xml:space="preserve">A.» y a su Comité de Empresa se fundamenta en la declaración de que todas las Empresas codemandadas constituyen un holding, declaración ésta implícitamente contenida en el fallo, por el que expresamente se ordena al Comité de Empresa hoy solicitante de amparo a estar y pasar. </w:t>
      </w:r>
    </w:p>
    <w:p w:rsidR="00256EE9" w:rsidRDefault="00256EE9" w:rsidP="00256EE9">
      <w:pPr>
        <w:pStyle w:val="TextoNormal"/>
      </w:pPr>
      <w:r>
        <w:t xml:space="preserve">C) El 9 de febrero de 1984, los demandantes don Angel Edo Fabregat y otros, presentaron escrito anunciando recurso de suplicación, del que posteriormente desistieron. </w:t>
      </w:r>
    </w:p>
    <w:p w:rsidR="00256EE9" w:rsidRDefault="00256EE9" w:rsidP="00256EE9">
      <w:pPr>
        <w:pStyle w:val="TextoNormal"/>
      </w:pPr>
      <w:r>
        <w:t xml:space="preserve">El 14 de marzo de 1984, la empresa «La Primitiva, S. A.» anunció recurso de suplicación, que no fue admitido a trámite. Interpuesto recurso de reposición contra la providencia que declaró no haber lugar a tener por anunciado el referido recurso, el mismo fue desestimado por Auto de la Magistratura de Trabajo de 27 de abril de 1984. Interpuesto recurso de queja contra el referido Auto fue desestimado por Auto del Tribunal Central de Trabajo de 3 de noviembre de 1984. Declara el Comité de Empresa recurrente, que tiene conocimiento de que «La Primitiva, S. A.» tiene formulado recurso de amparo ante el Tribunal Constitucional. </w:t>
      </w:r>
    </w:p>
    <w:p w:rsidR="00256EE9" w:rsidRDefault="00256EE9" w:rsidP="00256EE9">
      <w:pPr>
        <w:pStyle w:val="TextoNormal"/>
      </w:pPr>
      <w:r>
        <w:t>El 14 de marzo de 1984, el Comité de Empresa de «La Primitiva, S. A.» anunció su propósito de interponer recurso de suplicación contra la Sentencia de 23 de enero de 1984, que admitido a trámite. La Sala Primera del Tribunal Central de Trabajo, en Sentencia de 12 de noviembre de 1984, declaró inadmisible el recurso interpuesto por entender que el Comité de Empresa carecía de legitimación para recurrir.</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de la demanda son, que se ha vulnerado el derecho a una tutela judicial efectiva que garantiza el art. 24 de la Constitución. El fallo de la resolución judicial impugnada se fundamenta en que «una parte no condenada al pago de cantidades, que es objeto exclusivo de la acción, es una parte absuelta de la pretensión actora y carece del interés jurídico objetivo que justifique la admisión de su recurso». Finalmente considera abuso de derecho el que el Comité de Empresa haya recurrido sin efectuar el depósito establecido en el art. 154 de la Ley de Procedimiento Laboral del que está exento, para que se exonere de responsabilidad en el pago de cantidades a su empresa «La Primitiva, S. A.». Los recurrentes consideran que tales apreciaciones no son ajustadas a Derecho, ya que el Comité de Empresa ha sido condenado expresamente en el fallo y tiene un evidente y legítimo interés a impugnar la Sentencia por las repercusiones económicas que comporta para ellos y sus representados. Finalmente alega que no existe abuso de derecho por el ejercicio de una acción legítima por la circunstancia de que los intereses del Comité de </w:t>
      </w:r>
      <w:r>
        <w:lastRenderedPageBreak/>
        <w:t xml:space="preserve">Empresa sean coincidentes con los de la Empresa. La Sentencia recurrida contiene un pronunciamiento declarativo por el que se afirma que las demandadas constituyen un grupo de Empresas; no es, por tanto, tan sólo una Sentencia de condena al pago de una cantidad. </w:t>
      </w:r>
    </w:p>
    <w:p w:rsidR="00256EE9" w:rsidRDefault="00256EE9" w:rsidP="00256EE9">
      <w:pPr>
        <w:pStyle w:val="TextoNormal"/>
      </w:pPr>
      <w:r>
        <w:t>En la medida en que la declaración efectuada en la Sentencia afecta al Comité de Empresa tiene ésta plena legitimación para recurrir en suplicación.</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Tercera de este Tribunal Constitucional, en providencia de fecha 6 de febrero pasado, acordó poner de manifiesto la posible existencia de la causa de inadmisibilidad que regula el art. 50.2 b) de la Ley Orgánica de este Tribunal, y concedió un plazo común de diez días al solicitante de amparo y al Ministerio Fiscal para alegaciones. </w:t>
      </w:r>
    </w:p>
    <w:p w:rsidR="00256EE9" w:rsidRDefault="00256EE9" w:rsidP="00256EE9">
      <w:pPr>
        <w:pStyle w:val="TextoNormal"/>
      </w:pPr>
      <w:r>
        <w:t xml:space="preserve">La representación de los demandantes, en escrito presentado el día 20 del indicado mes de febrero, manifiesta que la Sentencia del Tribunal Central de Trabajo de fecha 12 de noviembre de 1984, viola, según su entender, el derecho constitucional a una tutela judicial efectiva, porque declara inadmisible el recurso de suplicación interpuesto por una falta de legitimatio ad recursum por no haber sido condenados al pago de cantidades, que se dice en la referida Sentencia es el objeto exclusivo de la acción. </w:t>
      </w:r>
    </w:p>
    <w:p w:rsidR="00256EE9" w:rsidRDefault="00256EE9" w:rsidP="00256EE9">
      <w:pPr>
        <w:pStyle w:val="TextoNormal"/>
      </w:pPr>
      <w:r>
        <w:t xml:space="preserve">Por el contrario, en la demanda inicial del procedimiento ante la Magistratura de Trabajo núm. 9 de Barcelona al que corresponde el recurso de suplicación en el que se dicta la Sentencia por el Tribunal Central de Trabajo que ahora se impugna, no es el objeto exclusivo el pago o reclamación de unas cantidades, sino que también se pide una condena solidaria, entre otros, de las empresas «Frasquerías Pedret, S. A.», «Frasquerías Españolas, S. A.», «La Primitiva, S. A.», «Cristalería Cervellonense, S. A.» y «Optica y Lámparas Pedro, S. A.», en base a declarar que tales Empresas constituyen un «holding» o «grupo de empresas» con responsabilidad solidaria. La acción ejercitada en el procedimiento tiene un doble objetivo: a) se pretende un previo pronunciamiento declarativo de que las referidas empresas demandadas constituyen un grupo de Empresas con responsabilidad solidaria; y b) se pretende un pronunciamiento cuantitativo de la reclamación formulada. </w:t>
      </w:r>
    </w:p>
    <w:p w:rsidR="00256EE9" w:rsidRDefault="00256EE9" w:rsidP="00256EE9">
      <w:pPr>
        <w:pStyle w:val="TextoNormal"/>
      </w:pPr>
      <w:r>
        <w:t xml:space="preserve">A mayor abundamiento y además de que el Comité de Empresa hoy demandante de amparo, fue parte en el procedimiento y condenado expresamente en la parte declarativa de la Sentencia, debe señalarse que la condena dineraria impuesta a la empresa «La Primitiva, S. A.» es lesiva para los intereses de sus representados (los trabajadores de la referida Empresa) y así lo estima el propio Magistrado de Trabajo en su Auto de fecha 27 de abril de 1984 (desestimando el recurso de reposición formulado por la parte actora contra la providencia de fecha 15 de marzo de 1984 de admisión del anuncio de recurso de suplicación por el Comité de Empresa), que textualmente dice: «...pues la condena de su Empresa (se refiere a «La Primitiva, S. A.») les afectaría a su patrimonio personal y quizás a la estabilidad de su puesto de trabajo, y así lo contempla la Sentencia cuando tras condenar a la Empresa, añade que por las consecuencias de la misma deberá pasar el Comité de Empresa. </w:t>
      </w:r>
    </w:p>
    <w:p w:rsidR="00256EE9" w:rsidRDefault="00256EE9" w:rsidP="00256EE9">
      <w:pPr>
        <w:pStyle w:val="TextoNormal"/>
      </w:pPr>
      <w:r>
        <w:t xml:space="preserve">Insiste que es manifiesto el contenido que justifica la decisión por parte del Tribunal Constitucional y suplica la admisión del recurso, y en su día una Sentencia en los términos interesados en el escrito de demanda. </w:t>
      </w:r>
    </w:p>
    <w:p w:rsidR="00256EE9" w:rsidRDefault="00256EE9" w:rsidP="00256EE9">
      <w:pPr>
        <w:pStyle w:val="TextoNormal"/>
      </w:pPr>
      <w:r>
        <w:t xml:space="preserve">El Ministerio Fiscal, en su escrito presentado el día 20 de febrero pasado, manifiesta que el Comité de Empresa recurrente en amparo, dedica su exposición a rebatir los argumentos del Tribunal Central de Trabajo sobre la falta de legitimación activa del Comité de Empresa de «La Primitiva, S. A.» cuando los fundamentos contenidos en la Sentencia impugnada son precisamente los reveladores de que los Tribunales, en este caso, han prestado la tutela efectiva cuyo derecho reconoce el art. 24.1 de la C.E. y lo son incluso si se </w:t>
      </w:r>
      <w:r>
        <w:lastRenderedPageBreak/>
        <w:t xml:space="preserve">observa que, según recoge el propio Tribunal Central de Trabajo, la razón por la cual el Magistrado de Trabajo condenó en su Sentencia de 23 de enero de 1984 a «La Primitiva, S. A.» y ordenó además que los Comités de Empresa debían estar y pasar por tal declaración, hay que encontrarla en que el Comité de Empresa fue demandado por un error técnico de la parte actora y como el dicho Comité no opuso en su momento la excepción de falta de legitimación pasiva, el Magistrado no pudo de oficio apreciarla y de ahí que en definitiva, la declaración de la Sentencia respecto al citado Comité para que esté y pase por la condena de la sociedad «La Primitiva, S. A.» tenga su base en una omisión imputable al mismo Comité, lo que excluye después cualquier vulneración del derecho a la tutela efectiva por parte de los Tribunales. </w:t>
      </w:r>
    </w:p>
    <w:p w:rsidR="00256EE9" w:rsidRDefault="00256EE9" w:rsidP="00256EE9">
      <w:pPr>
        <w:pStyle w:val="TextoNormal"/>
      </w:pPr>
      <w:r>
        <w:t xml:space="preserve">Se pretende ahora, por el recurrente, que el Tribunal Constitucional revise el juicio que sobre legitimación activa ha fundado y razonado el Tribunal Central de Trabajo lo que, al constituir una cuestión de mera legalidad -dada la ausencia de vulneración de derechos fundamentales- debe quedar fuera del conocimiento de aquel Alto Tribunal. </w:t>
      </w:r>
    </w:p>
    <w:p w:rsidR="00256EE9" w:rsidRDefault="00256EE9" w:rsidP="00256EE9">
      <w:pPr>
        <w:pStyle w:val="TextoNormal"/>
      </w:pPr>
      <w:r>
        <w:t>Termina el Ministerio Fiscal interesando la inadmisión del recurso por concurrir la causa prevista en el art. 50.2 b) de la Ley Orgánica del Tribunal.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Tratándose de un conflicto individual de trabajo, cuyo contenido es una pretensión salarial, los sujetos del proceso son, de un lado, los trabajadores demandantes del salario y, de otro, el empresario, o el conjunto de empresarios, y siendo éstos los condenados son ellos los legitimados para interponer el recurso de suplicación y no el Comité de Empresa, de una de las condenadas al pago de los salarios. Esto es lo que ha resuelto el Tribunal Central de Trabajo, negando al Comité legitimación, y, en definitiva la titularidad de un derecho o de un interés legítimo, para cuyo ejercicio proclama el art. 24.1 de la Constitución el derecho a obtener la tutela judicial efectiva.</w:t>
      </w:r>
    </w:p>
    <w:p w:rsidR="00256EE9" w:rsidRDefault="00256EE9" w:rsidP="00256EE9">
      <w:pPr>
        <w:pStyle w:val="TextoNormal"/>
      </w:pPr>
      <w:r>
        <w:t>No ha sido condenado el Comité de Empresa y, por esto, para ningún derecho o interés legítimo le ha sido negada la tutela jurisdiccional.</w:t>
      </w:r>
    </w:p>
    <w:p w:rsidR="00256EE9" w:rsidRDefault="00256EE9" w:rsidP="00256EE9">
      <w:pPr>
        <w:pStyle w:val="TextoNormal"/>
      </w:pPr>
      <w:r>
        <w:t>Procede, por ello, declarar inadmisible el recurso por aplicación del art.  50.2 b )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interpuesto por el Comité de Empresa de «La Primitiva, S. A.», por lo que priva de contenido la pretensión incidental de suspensión.</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8" w:name="AUTO_1985_247"/>
      <w:r>
        <w:lastRenderedPageBreak/>
        <w:t>AUTO 247/1985, de 17 de abril de 1985</w:t>
      </w:r>
    </w:p>
    <w:bookmarkEnd w:id="308"/>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ECLI:ES:TC:1985:247A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52/1985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Don Jesús Martínez Arranz, mecánico, representado por Procurador y asistido de Letrado, interpone recurso de amparo mediante escrito que ha tenido su entrada el 19 de enero de 1985, «por falta de asistencia y tutela judicial y consiguiente indefensión producida en el juicio verbal 205/1984 del Juzgado de Distrito núm. 3 de Valladolid».</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en que se fundamenta la demanda o que se desprenden de la documentación que se acompaña son los siguientes: </w:t>
      </w:r>
    </w:p>
    <w:p w:rsidR="00256EE9" w:rsidRDefault="00256EE9" w:rsidP="00256EE9">
      <w:pPr>
        <w:pStyle w:val="TextoNormal"/>
      </w:pPr>
      <w:r>
        <w:t xml:space="preserve">a) El solicitante de amparo era arrendatario de un local de negocios, del que era arrendador don Leopoldo Stampa Sánchez, Notario de Madrid. Se dice en la demanda de amparo que el contrato de arrendamiento «fue documentado por escrito en la misma fecha y por duplicado, en un contrato timbrado y otro privado sin liquidar del Impuesto de Transmisiones y Actos Jurídicos Documentados». «Ambos contratos -se añade- señalaban rentas distintas, el liquidado (...) la de 120.000 pesetas anuales, y el no liquidado de tal Impuesto la de 720.000 pesetas anuales.» b) El solicitante de amparo, «suscitada -dice- discrepancia, por consecuencia de la necesidad de acreditar en su propia declaración de tributos a la Hacienda (...) la justificación de gastos por arrendamiento de su industria», se lo expuso al arrendador y procedió, a partir de abril de 1984, a abonar únicamente la renta señalada en el contrato timbrado, con el propósito «de acogerse a la renta por la que liquidase sus impuestos el arrendador, en conformidad con el art. 103 de la Ley de Arrendamientos Urbanos». </w:t>
      </w:r>
    </w:p>
    <w:p w:rsidR="00256EE9" w:rsidRDefault="00256EE9" w:rsidP="00256EE9">
      <w:pPr>
        <w:pStyle w:val="TextoNormal"/>
      </w:pPr>
      <w:r>
        <w:t xml:space="preserve">c) El arrendador promovió el 6 de septiembre de 1984 juicio de desahucio por falta de pago, sirviendo de base a la demanda el contrato no liquidado. </w:t>
      </w:r>
    </w:p>
    <w:p w:rsidR="00256EE9" w:rsidRDefault="00256EE9" w:rsidP="00256EE9">
      <w:pPr>
        <w:pStyle w:val="TextoNormal"/>
      </w:pPr>
      <w:r>
        <w:t xml:space="preserve">d) El solicitante de amparo se opuso a la demanda de desahucio con base en el art. 57 del Texto Refundido de la Ley de Impuestos de Transmisiones Patrimoniales y Actos Jurídicos Documentados, por estimar que no debió admitirse a trámite la demanda, al estar ésta fundada en un documento no liquidado, y solicitó -dice l propio tiempo acogerse a lo establecido en el art. 103 de la Ley de Arrendamientos Urbanos, «a fin de que se determinase la renta que, en conformidad con el cumplimiento de sus obligaciones tributarias por parte del arrendador, debería satisfacer el demandado». </w:t>
      </w:r>
    </w:p>
    <w:p w:rsidR="00256EE9" w:rsidRDefault="00256EE9" w:rsidP="00256EE9">
      <w:pPr>
        <w:pStyle w:val="TextoNormal"/>
      </w:pPr>
      <w:r>
        <w:t>e) El solicitante de amparo propuso como prueba documental que se librase oficio a la Delegación de Hacienda de Madrid para que se certificase el importe de las rentas del lo</w:t>
      </w:r>
      <w:r>
        <w:lastRenderedPageBreak/>
        <w:t xml:space="preserve">cal litigioso declaradas por el arrendador. Dicha prueba fue declarada -se dice en la demanda, sin indicarse, mediante qué resolución- impertinente por el Juzgado. </w:t>
      </w:r>
    </w:p>
    <w:p w:rsidR="00256EE9" w:rsidRDefault="00256EE9" w:rsidP="00256EE9">
      <w:pPr>
        <w:pStyle w:val="TextoNormal"/>
      </w:pPr>
      <w:r>
        <w:t xml:space="preserve">f) El Juez de Distrito núm. 3 de Valladolid dictó Sentencia de 20 de octubre de 1984, de la que se acompaña copia, declarando haber lugar al desahucio solicitado. </w:t>
      </w:r>
    </w:p>
    <w:p w:rsidR="00256EE9" w:rsidRDefault="00256EE9" w:rsidP="00256EE9">
      <w:pPr>
        <w:pStyle w:val="TextoNormal"/>
      </w:pPr>
      <w:r>
        <w:t xml:space="preserve">g) El solicitante de amparo solicitó recurso de apelación y ofreció el pago de las rentas en la cuantía prevista en el contrato extendido en papel timbrado. El Juzgado resolvió la inadmisión del recurso (no se indica mediante qué resolución, ni su fecha, ni se aporta copia de la misma). </w:t>
      </w:r>
    </w:p>
    <w:p w:rsidR="00256EE9" w:rsidRDefault="00256EE9" w:rsidP="00256EE9">
      <w:pPr>
        <w:pStyle w:val="TextoNormal"/>
      </w:pPr>
      <w:r>
        <w:t xml:space="preserve">h) «Frente a las sucesivas providencias dictadas, se interpusieron otros tantos recursos de reposición, que fueron desestimados por otras tantas providencias declaratorias de inadmisión» (no se acompaña tampoco copia de ninguna de tales providencias, ni se aporta ningún otro dato sobre las mismas). </w:t>
      </w:r>
    </w:p>
    <w:p w:rsidR="00256EE9" w:rsidRDefault="00256EE9" w:rsidP="00256EE9">
      <w:pPr>
        <w:pStyle w:val="TextoNormal"/>
      </w:pPr>
      <w:r>
        <w:t xml:space="preserve">i) El Juzgado acordó por providencia de 23 de noviembre de 1984, a instancia de la parte demandante, conceder al solicitante de amparo un plazo de quince días para el desalojo del local. </w:t>
      </w:r>
    </w:p>
    <w:p w:rsidR="00256EE9" w:rsidRDefault="00256EE9" w:rsidP="00256EE9">
      <w:pPr>
        <w:pStyle w:val="TextoNormal"/>
      </w:pPr>
      <w:r>
        <w:t xml:space="preserve">j) El solicitante de amparo presentó el 7 de diciembre de 1984 un escrito solicitando la prórroga del límite máximo concedido, recayendo providencia del día 10 siguiente por la que el Juzgado resolvió no haber lugar a lo solicitado. </w:t>
      </w:r>
    </w:p>
    <w:p w:rsidR="00256EE9" w:rsidRDefault="00256EE9" w:rsidP="00256EE9">
      <w:pPr>
        <w:pStyle w:val="TextoNormal"/>
      </w:pPr>
      <w:r>
        <w:t>k) Finalmente, el demandante de amparo interpuso contra la última providencia recurso de reposición, que fue estimado por Auto de 24 de diciembre de 1984, del que se aporta copia y cuya fecha de notificación no consta, por el que se concedió a aquél un período de dos meses de prórroga a contar desde el 3 de diciembre para el desalojo del local.</w:t>
      </w:r>
    </w:p>
    <w:p w:rsidR="00256EE9" w:rsidRDefault="00256EE9" w:rsidP="00256EE9">
      <w:pPr>
        <w:pStyle w:val="TextoNormal"/>
      </w:pPr>
    </w:p>
    <w:p w:rsidR="00256EE9" w:rsidRDefault="00256EE9" w:rsidP="00256EE9">
      <w:pPr>
        <w:pStyle w:val="TextoNormal"/>
      </w:pPr>
      <w:r w:rsidRPr="00256EE9">
        <w:rPr>
          <w:rStyle w:val="NumeroAFNegritaCaracter"/>
        </w:rPr>
        <w:t>3</w:t>
      </w:r>
      <w:r>
        <w:t>. En la demanda de amparo se alega indefensión y falta de tutela judicial, citándose el art. 24 de la C.E. Se entiende que las mismas se han producido por la admisión a trámite de una demanda apoyada en un documento privado sin liquidar, por haberse denegado la práctica de una prueba documental y por haberse obstruido la posibilidad de recurrir en apelación. Y se solicita se declare «violado el derecho fundamental contenido en el art. 24 de la Constitución» y «la nulidad o ilegalidad, en su caso, de las resoluciones judiciales objeto de recurso».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del pasado día 6 de marzo la Sección Tercera abrió el trámite de admisión regulado en el art. 50 de la LOTC poniendo de manifiesto al recurrente y al Ministerio Fiscal la posible existencia de las siguientes causas de inadmisión: </w:t>
      </w:r>
    </w:p>
    <w:p w:rsidR="00256EE9" w:rsidRDefault="00256EE9" w:rsidP="00256EE9">
      <w:pPr>
        <w:pStyle w:val="TextoNormal"/>
      </w:pPr>
      <w:r>
        <w:t xml:space="preserve">1.ª La del art. 50.1 a) en relación con el 44.2, ambos de la LOTC, por interposición extemporánea del recurso de amparo. </w:t>
      </w:r>
    </w:p>
    <w:p w:rsidR="00256EE9" w:rsidRDefault="00256EE9" w:rsidP="00256EE9">
      <w:pPr>
        <w:pStyle w:val="TextoNormal"/>
      </w:pPr>
      <w:r>
        <w:t xml:space="preserve">2.ª La del art. 50.1 b) en relación con el 44.1 a) de la LOTC por no haberse interpuesto recurso de apelación contra la Sentencia del Juzgado de Distrito que ahora se impugna. </w:t>
      </w:r>
    </w:p>
    <w:p w:rsidR="00256EE9" w:rsidRDefault="00256EE9" w:rsidP="00256EE9">
      <w:pPr>
        <w:pStyle w:val="TextoNormal"/>
      </w:pPr>
      <w:r>
        <w:t xml:space="preserve">3.ª La del art. 50.2 b) de la LOTC, por falta manifiesta de contenido que justifique una decisión por parte de este Tribunal. </w:t>
      </w:r>
    </w:p>
    <w:p w:rsidR="00256EE9" w:rsidRDefault="00256EE9" w:rsidP="00256EE9">
      <w:pPr>
        <w:pStyle w:val="TextoNormal"/>
      </w:pPr>
      <w:r>
        <w:t>Dentro del plazo concedido, la representación del recurrente ha presentado escrito de alegaciones en el que sostiene la no concurrencia de las indicadas causas de inadmisión. La primera de ellas no se daría puesto que el recurso de amparo ha sido presentado dentro de los veinte días siguientes a la fecha de notificación de la providencia de 24 de diciembre de 1984 que es la última de las actuaciones producidas en el juicio verbal 205/1984, objeto de este recurso; tampoco se daría la segunda porque como se demuestra con las copias de las providencias que se acompañan, el Juzgado de Distrito ha cerrado el paso al recurso de apelación que, por tanto, no fue posible; y, por último, en lo que toca a la terce</w:t>
      </w:r>
      <w:r>
        <w:lastRenderedPageBreak/>
        <w:t xml:space="preserve">ra de las causas de inadmisión señaladas, también es manifiesta su no concurrencia puesto que el Juzgado de Distrito núm. 3 de Valladolid, en la Sentencia impugnada ha dado al arrendador un trato privilegiado concediendo al contrato privado por él presentado un valor mayor que al contrato debidamente liquidado que exhibió el hoy recurrente, ha lesionado a éste en su derecho a contar con todos los medios de prueba pertinentes y ha violado también su derecho a la tutela judicial efectiva al negar la admisión del recurso de apelación. </w:t>
      </w:r>
    </w:p>
    <w:p w:rsidR="00256EE9" w:rsidRDefault="00256EE9" w:rsidP="00256EE9">
      <w:pPr>
        <w:pStyle w:val="TextoNormal"/>
      </w:pPr>
      <w:r>
        <w:t>El Ministerio Fiscal, por su parte, considera que se dan todas las causas de inadmisión indicadas en la providencia pues el recurso de amparo se ha presentado mucho después de que hubieran transcurrido los veinte días siguientes a la notificación de la Sentencia impugnada, no se ha acreditado que se intentase eficazmente contra ésta el recurso de apelación y, por último, y en lo que se refiere al contenido de la Sentencia, no hay en ésta indicio alguno que permita sostener la existencia de las alegadas violaciones de derechos fundamentales.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Aunque la demanda deja algo que desear en punto a claridad, es evidente que el objeto de la misma es la Sentencia dictada por el Juzgado de Distrito núm.  3 de Valladolid en 20 de octubre de 1984 y que es, en consecuencia, la fecha de notificación de la misma o, en su caso, de las resoluciones recaídas en el recurso de apelación que contra ella se intentó, la que ha de tenerse en cuenta a efectos del cómputo del plazo para la interposición del recurso de amparo, pues cualquier otra actuación judicial producida con posterioridad, sea para ordenar la ejecución de lo juzgado, sea para prorrogar el plazo inicialmente acordado respecto de tal ejecución, no puede ser tomada en consideración a efectos del indicado plazo.  Como todas las actuaciones relacionadas con el fracasado intento de recurrir en apelación la Sentencia impugnada habían sido notificadas antes del 23 de noviembre de 1984 y el recurso de amparo no se ha interpuesto hasta el 19 de enero de 1985, es patente que se da la primera de las causas de inadmisión indicadas.</w:t>
      </w:r>
    </w:p>
    <w:p w:rsidR="00256EE9" w:rsidRDefault="00256EE9" w:rsidP="00256EE9">
      <w:pPr>
        <w:pStyle w:val="TextoNormal"/>
      </w:pPr>
    </w:p>
    <w:p w:rsidR="00256EE9" w:rsidRDefault="00256EE9" w:rsidP="00256EE9">
      <w:pPr>
        <w:pStyle w:val="TextoNormal"/>
      </w:pPr>
      <w:r w:rsidRPr="00256EE9">
        <w:rPr>
          <w:rStyle w:val="NumeroAFNegritaCaracter"/>
        </w:rPr>
        <w:t>2</w:t>
      </w:r>
      <w:r>
        <w:t>. Aunque lo dicho en el apartado anterior bastaría para acordar la inadmisión del presente recurso de amparo, ésta podría fundamentarse igualmente en la concurrencia de las dos restantes causas de inadmisión mencionadas en nuestra providencia.</w:t>
      </w:r>
    </w:p>
    <w:p w:rsidR="00256EE9" w:rsidRDefault="00256EE9" w:rsidP="00256EE9">
      <w:pPr>
        <w:pStyle w:val="TextoNormal"/>
      </w:pPr>
      <w:r>
        <w:t>En lo que toca a la que allí se cita en segundo lugar, es decir, la que hace referencia a la falta de cumplimiento del requisito que impone el art. 44.1 a) de la LOTC, es patente, a la luz de las resoluciones judiciales aportadas por el recurrente en este trámite, que la inadmisión del recurso de apelación se fundamenta en la defectuosa consignación de las rentas debidas, que el arrendatario calculó de acuerdo con su propio criterio, no coincidente con el del juzgador.</w:t>
      </w:r>
    </w:p>
    <w:p w:rsidR="00256EE9" w:rsidRDefault="00256EE9" w:rsidP="00256EE9">
      <w:pPr>
        <w:pStyle w:val="TextoNormal"/>
      </w:pPr>
      <w:r>
        <w:t>En cuanto que la consignación de las rentas debidas como requisito para la prosperabilidad de los recursos ha sido considerada constitucionalmente lícita por este Tribunal en distintas decisiones, no puede entenderse que se hayan agotado todos los recursos utilizables en la vía ordinaria contra las Sentencias que ante nosotros se impugnan, si tales recursos no han sido admitidos a trámite por no haberse dado cumplimiento puntual del mencionado requisito.</w:t>
      </w:r>
    </w:p>
    <w:p w:rsidR="00256EE9" w:rsidRDefault="00256EE9" w:rsidP="00256EE9">
      <w:pPr>
        <w:pStyle w:val="TextoNormal"/>
      </w:pPr>
      <w:r>
        <w:t xml:space="preserve">Por último, en lo que toca a la última de las causas de inadmisión señalada, la que introduce el art. 50.2 b) de la LOTC, es clara también su concurrencia.  Como resulta del </w:t>
      </w:r>
      <w:r>
        <w:lastRenderedPageBreak/>
        <w:t>texto de la Sentencia ésta se basa en la consideración de que el contrato de arrendamiento se ha perfeccionado por el mero consentimiento, con independencia de la forma en que tal contrato se plasme y por ello no tiene en cuenta el documento privado aportado por el arrendador.  Prescindiendo, por tanto, de que la cuestión suscitada por el recurrente en amparo en cuanto al trato procesal que deba darse a los contratos de arrendamiento no presentados a liquidación fiscal es, desde el punto de vista de los derechos que él invoca en este recurso, una cuestión de pura legalidad, sin trascendencia constitucional, lo cierto es que en la fundamentación de la Sentencia se parte, según queda dicho, de otros supuestos, que privan de base a las alegaciones que el recurrente hace, tanto respecto al trato privilegiada dado en la Sentencia impugnada al arrendador, como respecto de la hipotética vulneración que habría sufrido en su derecho a contar con todas las pruebas pertinentes para su defensa, puesto que la prueba que se le denegó resultaba, efectivamente, irrelevante en relación con el contenido real del contrato de arrendamiento en la forma aceptada por el Juez.</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presente recurso de amparo.</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09" w:name="AUTO_1985_248"/>
      <w:r>
        <w:lastRenderedPageBreak/>
        <w:t>AUTO 248/1985, de 17 de abril de 1985</w:t>
      </w:r>
    </w:p>
    <w:bookmarkEnd w:id="309"/>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ECLI:ES:TC:1985:248A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67/1985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pasado día 31 de enero de 1985, tuvo entrada en este Tribunal un escrito anunciando la inmediata interposición en tiempo y forma de una demanda de recurso de amparo constitucional contra el Auto del Juzgado de Primera Instancia núm. 2 de Vitoria, de 4 de enero de 1985 y contra la providencia del mismo Juzgado de 15 de enero siguiente (notificada el día 16) y, en general, contra todas y cada una de las resoluciones dictadas por el mencionado Juzgado en los autos del procedimiento judicial sumario del art. 131 de la Ley Hipotecaria instados contra el ahora demandante por la Caja de Ahorros de la citada capital.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escrito que ha tenido entrada en este Tribunal el día 6 de febrero de 1985, el Procurador don José Granada Molero, en nombre y representación de «Promociones Amaya, S. A.», interpone recurso de amparo constitucional contra las resoluciones del Juzgado de Primera Instancia núm. 2 de Vitoria, de 6 y 15 de enero de 1985, en autos del procedimiento judicial sumario 610/1984, instados por la Caja de Ahorros y Monte de Piedad de dicha capital, por entender vulnerados los derechos que consagra la Constitución en sus arts. 9, 10, 14 y siguientes, en particular el art. 24, con cita expresa de los arts. 25 y 23 del propio Texto fundamental. </w:t>
      </w:r>
    </w:p>
    <w:p w:rsidR="00256EE9" w:rsidRDefault="00256EE9" w:rsidP="00256EE9">
      <w:pPr>
        <w:pStyle w:val="TextoNormal"/>
      </w:pPr>
      <w:r>
        <w:t xml:space="preserve">Solicita la restitución de los derechos constitucionales conculcados, que a su juicio han sido el derecho a ser notificado, el derecho a proponer y presentar la prueba pertinente y el derecho a efectuarlo dentro del plazo que la Ley le otorga, ordenándose la nulidad total y absoluta del procedimiento judicial sumario, con inicio de un nuevo procedimiento en forma legal, para que se le dé efectiva tutela judicial sin indefensión y evitando el daño irreparable que se le ha causado. </w:t>
      </w:r>
    </w:p>
    <w:p w:rsidR="00256EE9" w:rsidRDefault="00256EE9" w:rsidP="00256EE9">
      <w:pPr>
        <w:pStyle w:val="TextoNormal"/>
      </w:pPr>
      <w:r>
        <w:t>Por sendos otrosíes se solicita la tramitación urgente de este procedimiento y, subsidiariamente, la suspensión de la subasta anunciada hasta que se sustancie el recurso de apelación que pende ante la Audiencia Territorial de Bilbao, y si el mismo confirma las resoluciones anteriores, continúe la suspensión hasta que se resuelva el presente recurso.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De lo consignado y alegado en la demanda ésta se apoya en los siguientes fundamentos de hecho y de Derecho. </w:t>
      </w:r>
    </w:p>
    <w:p w:rsidR="00256EE9" w:rsidRDefault="00256EE9" w:rsidP="00256EE9">
      <w:pPr>
        <w:pStyle w:val="TextoNormal"/>
      </w:pPr>
      <w:r>
        <w:lastRenderedPageBreak/>
        <w:t xml:space="preserve">a) La Sociedad recurrente solicitó y obtuvo de la Caja de Ahorros y Monte de Piedad de Vitoria un préstamo con garantía hipotecaria, que quedó consolidado según resulta de la correspondiente certificación del Registro de la Propiedad. </w:t>
      </w:r>
    </w:p>
    <w:p w:rsidR="00256EE9" w:rsidRDefault="00256EE9" w:rsidP="00256EE9">
      <w:pPr>
        <w:pStyle w:val="TextoNormal"/>
      </w:pPr>
      <w:r>
        <w:t xml:space="preserve">b) La Entidad acreedora instó ante el Juzgado de Primera Instancia de Vitoria una acción real hipotecaria por el procedimiento judicial sumario del art. 131 de la L.H. frente a la Sociedad deudora, admitiéndose a trámite la demanda por providencia del Juzgado núm. 2, de 16 de noviembre de 1984. </w:t>
      </w:r>
    </w:p>
    <w:p w:rsidR="00256EE9" w:rsidRDefault="00256EE9" w:rsidP="00256EE9">
      <w:pPr>
        <w:pStyle w:val="TextoNormal"/>
      </w:pPr>
      <w:r>
        <w:t xml:space="preserve">c) El 3 de diciembre de 1984, y para dar cumplimiento a la providencia, de 29 de noviembre anterior, se dio posesión interina de la finca objeto del procedimiento a la acreedora, designándose administrador, sin haber comparecido la demandada. </w:t>
      </w:r>
    </w:p>
    <w:p w:rsidR="00256EE9" w:rsidRDefault="00256EE9" w:rsidP="00256EE9">
      <w:pPr>
        <w:pStyle w:val="TextoNormal"/>
      </w:pPr>
      <w:r>
        <w:t xml:space="preserve">d) Por providencia de 4 de diciembre de 1984, se ordenó poner en conocimiento de la Sociedad demandada la diligencia practicada anteriormente, a fin de que se abstenga de realizar actos posesorios sobre la citada finca. </w:t>
      </w:r>
    </w:p>
    <w:p w:rsidR="00256EE9" w:rsidRDefault="00256EE9" w:rsidP="00256EE9">
      <w:pPr>
        <w:pStyle w:val="TextoNormal"/>
      </w:pPr>
      <w:r>
        <w:t xml:space="preserve">e) Con fecha 7 de diciembre de 1984, la sociedad «Promociones Amaya, S. A.», a través de su administrador único, comparece en el procedimiento por medio de escrito en el que hace un relato de las circunstancias a través de las que ha tenido conocimiento de la existencia de tal procedimiento, alegando que fue el día 30 de noviembre cuando ha tenido conocimiento por primera vez de la iniciación del procedimiento sumario, ya que la notificación inicial fue dirigida al domicilio de la Caja de Ahorros, considerado como legal de la parte prestataria, por lo que solicita se le reponga en el derecho a ser notificado, decretándose la inexistencia del procedimiento en curso y la iniciación de uno nuevo en legal forma. </w:t>
      </w:r>
    </w:p>
    <w:p w:rsidR="00256EE9" w:rsidRDefault="00256EE9" w:rsidP="00256EE9">
      <w:pPr>
        <w:pStyle w:val="TextoNormal"/>
      </w:pPr>
      <w:r>
        <w:t xml:space="preserve">Asimismo, con cita del precepto constitucional sobre la tutela efectiva, se pide al Juzgado la iniciación de oficio, mediante envío al Ministerio Fiscal de los testimonios de particulares, del correspondiente proceso criminal en el que se depuren las responsabilidades en que haya podido incurrir la acreedora. </w:t>
      </w:r>
    </w:p>
    <w:p w:rsidR="00256EE9" w:rsidRDefault="00256EE9" w:rsidP="00256EE9">
      <w:pPr>
        <w:pStyle w:val="TextoNormal"/>
      </w:pPr>
      <w:r>
        <w:t xml:space="preserve">f) Por providencia de 11 de diciembre de 1984 se tuvo por personada en Autos a la demandada, teniéndose por consignadas las manifestaciones que se contienen en el escrito de demanda. </w:t>
      </w:r>
    </w:p>
    <w:p w:rsidR="00256EE9" w:rsidRDefault="00256EE9" w:rsidP="00256EE9">
      <w:pPr>
        <w:pStyle w:val="TextoNormal"/>
      </w:pPr>
      <w:r>
        <w:t xml:space="preserve">g) La Sociedad demandada, el día 11 de diciembre de 1984, presentó escrito ante el Juzgado de Primera Instancia solicitando la incoación de oficio de las acciones penales pertinentes contra la Caja de Ahorros, a fin de enjuiciar la delictiva actuación de dicha Entidad, lo que provocó una providencia de dicho Juzgado de 14 de diciembre ordenando la unión de dicho escrito a los Autos. </w:t>
      </w:r>
    </w:p>
    <w:p w:rsidR="00256EE9" w:rsidRDefault="00256EE9" w:rsidP="00256EE9">
      <w:pPr>
        <w:pStyle w:val="TextoNormal"/>
      </w:pPr>
      <w:r>
        <w:t xml:space="preserve">h) Contra la providencia de 11 de noviembre interpuso la ahora recurrente recurso de reposición en el que alegó in extenso sobre la supuesta conducta irregular de la Caja en este sistema, y tras exponer los fundamentos jurídicos que consideró oportunos, solicitó se diera cumplimiento por el Juzgado a lo solicitado por dicha parte en su escrito de 7 de diciembre anterior. </w:t>
      </w:r>
    </w:p>
    <w:p w:rsidR="00256EE9" w:rsidRDefault="00256EE9" w:rsidP="00256EE9">
      <w:pPr>
        <w:pStyle w:val="TextoNormal"/>
      </w:pPr>
      <w:r>
        <w:t xml:space="preserve">Por sendos otrosíes se interpuso recurso de reposición contra la anterior providencia de 14 de diciembre de 1984, y se solicitó la nulidad de pleno derecho de la notificación originalmente practicada y se la tenga por personada dentro de plazo para alegar, como lo ha hecho, las falsedades y falsificaciones documentales, y oponerse a la pretensión de la acreedora con arreglo a los arts. 131, 132 y 153 de la L. H. </w:t>
      </w:r>
    </w:p>
    <w:p w:rsidR="00256EE9" w:rsidRDefault="00256EE9" w:rsidP="00256EE9">
      <w:pPr>
        <w:pStyle w:val="TextoNormal"/>
      </w:pPr>
      <w:r>
        <w:t>i) Admitido el recurso contra las anteriores providencias de 11 y 14 de diciembre, y conferido traslado a la acreedora, que evacuó su impugnación en tiempo y forma, se dictó por el Juzgado núm. 2, Auto de 4 de enero de 1985 manteniendo las resoluciones anterio</w:t>
      </w:r>
      <w:r>
        <w:lastRenderedPageBreak/>
        <w:t xml:space="preserve">res y, en consecuencia, continuándose el curso de los Autos sin perjuicio de los derechos de la parte demandada, que podrá ventilar en el juicio declarativo correspondiente. </w:t>
      </w:r>
    </w:p>
    <w:p w:rsidR="00256EE9" w:rsidRDefault="00256EE9" w:rsidP="00256EE9">
      <w:pPr>
        <w:pStyle w:val="TextoNormal"/>
      </w:pPr>
      <w:r>
        <w:t xml:space="preserve">j) Interpuesto frente a esta resolución recurso de apelación, para ante la Excma. Audiencia Territorial, en ambos efectos, se dictó providencia el 11 de enero de 1985 por la que se tuvo por interpuesto recurso de apelación contra el Auto de 4 de enero anterior, que se admite en un solo efecto, sin perjuicio de que pueda reproducir la parte demandada su petición ante la Audiencia Territorial. </w:t>
      </w:r>
    </w:p>
    <w:p w:rsidR="00256EE9" w:rsidRDefault="00256EE9" w:rsidP="00256EE9">
      <w:pPr>
        <w:pStyle w:val="TextoNormal"/>
      </w:pPr>
      <w:r>
        <w:t xml:space="preserve">k) La ahora recurrente se dirige al Juzgado anunciando la interposición en forma extraordinaria y urgente de un recurso de amparo ante este Tribunal. </w:t>
      </w:r>
    </w:p>
    <w:p w:rsidR="00256EE9" w:rsidRDefault="00256EE9" w:rsidP="00256EE9">
      <w:pPr>
        <w:pStyle w:val="TextoNormal"/>
      </w:pPr>
      <w:r>
        <w:t>Por providencia de 15 de enero de 1985, el Juzgado declara la inadmisión en ambos efectos del recurso de apelación interpuesto y que se admitió en un solo efecto por providencia de 11 de enero anterior.</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del pasado 6 de marzo, la Sección Tercera puso de manifiesto a la recurrente y al Ministerio Fiscal la posible existencia de las siguientes causas de inadmisión: </w:t>
      </w:r>
    </w:p>
    <w:p w:rsidR="00256EE9" w:rsidRDefault="00256EE9" w:rsidP="00256EE9">
      <w:pPr>
        <w:pStyle w:val="TextoNormal"/>
      </w:pPr>
      <w:r>
        <w:t xml:space="preserve">1.ª La del art. 50.1 b) en relación con el 44.1 a), ambos de la LOTC, por no estar agotada la vía judicial. </w:t>
      </w:r>
    </w:p>
    <w:p w:rsidR="00256EE9" w:rsidRDefault="00256EE9" w:rsidP="00256EE9">
      <w:pPr>
        <w:pStyle w:val="TextoNormal"/>
      </w:pPr>
      <w:r>
        <w:t xml:space="preserve">2.ª La del art. 50.2 b) de la LOTC en cuanto la demanda pudiera carecer de contenido que justifique la actuación de este Tribunal. </w:t>
      </w:r>
    </w:p>
    <w:p w:rsidR="00256EE9" w:rsidRDefault="00256EE9" w:rsidP="00256EE9">
      <w:pPr>
        <w:pStyle w:val="TextoNormal"/>
      </w:pPr>
      <w:r>
        <w:t xml:space="preserve">Dentro del plazo fijado por nuestra providencia, la representación de la recurrente alega en apoyo de su criterio, según el cual no se da ninguna de las causas de inadmisión señaladas. La primera de ellas no concurre, no porque se haya resuelto el recurso de apelación interpuesto ante la Audiencia Territorial de Bilbao, sino porque, a juicio de la recurrente, en casos como éste se ha de flexibilizar la interpretación del art. 44.1 a) de la LOTC, pues si se rechaza el recurso de amparo interpuesto antes de que se hayan agotado todos los recursos utilizables, cuando el amparo pueda interponerse, la Sentencia que en él se obtenga carecerá de toda eficacia real, aparte de la pura satisfacción moral que con ella pueda recibirse. De hecho, ya en estos momentos se ha efectuado -sin éxito- una primera subasta de los bienes embargados y es muy posible que llegue el momento de la segunda sin que todavía la Audiencia Territorial haya resuelto el recurso planteado ante ella. </w:t>
      </w:r>
    </w:p>
    <w:p w:rsidR="00256EE9" w:rsidRDefault="00256EE9" w:rsidP="00256EE9">
      <w:pPr>
        <w:pStyle w:val="TextoNormal"/>
      </w:pPr>
      <w:r>
        <w:t xml:space="preserve">Tampoco concurre la segunda de las causas de inadmisión señaladas pues lo que en el recurso se solicita de este Tribunal es el enjuiciamiento de una violación concreta de los derechos fundamentales garantizados por el art. 24, especialmente el derecho a no ser juzgado sin ser oído, a utilizar los medios de prueba pertinentes para su defensa y a la tutela judicial efectiva, violaciones que se atribuyen a las actuaciones de órganos judiciales concretos. </w:t>
      </w:r>
    </w:p>
    <w:p w:rsidR="00256EE9" w:rsidRDefault="00256EE9" w:rsidP="00256EE9">
      <w:pPr>
        <w:pStyle w:val="TextoNormal"/>
      </w:pPr>
      <w:r>
        <w:t>El Ministerio Fiscal, por su parte, solicita la inadmisión de la demanda por concurrencia de las dos causas de inadmisión indicadas en la providencia. Sobre la primera de ellas, paladinamente admitida por el propio recurrente, es innecesaria argumentación alguna. La segunda es no menos evidente, pues prescindiendo del hecho de que el requerimiento exigido por el art. 131.3 de la Ley Hipotecaria se efectuó en el domilicio legal y por tanto no hay en la actuación judicial violación alguna ni de la Constitución ni de la Ley, lo cierto es que dicho requerimiento no tiene otra finalidad que la de intimar al pago y que por tanto, una vez que al recurrente le fue notificada por el Juzgado en su domicilio social, la providencia por la que se daba al acreedor la posesión interina del bien hipotecado, pudo pagar la deuda, que es, como se dice, el único objeto del requerimiento. Pudo, asimismo, a partir del momento en que fue notificado, alegar las causas tasadas de su suspensión del proce</w:t>
      </w:r>
      <w:r>
        <w:lastRenderedPageBreak/>
        <w:t>dimiento recogidas en el art. 132 de la Ley Hipotecaria, cuya inexistencia pretende sustituir ahora con el recurso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No parece necesario razonar muy largamente la concurrencia de la primera de las causas de inadmisión señaladas en nuestra providencia, pues no sólo admite el recurrente que se encuentra pendiente de decisión el recurso de apelación por él intentado ante la Audiencia Territorial de Bilbao sino que, incluso, en su escrito de alegaciones parece ver en el retraso de tal decisión una nueva vulneración de su derecho a la tutela judicial efectiva.</w:t>
      </w:r>
    </w:p>
    <w:p w:rsidR="00256EE9" w:rsidRDefault="00256EE9" w:rsidP="00256EE9">
      <w:pPr>
        <w:pStyle w:val="TextoNormal"/>
      </w:pPr>
      <w:r>
        <w:t>Es muy posible que, como indica el recurrente, en un procedimiento ejecutivo como el previsto en el art.  131 de la Ley Hipotecaria, la decisión obtenida en segunda instancia, y aún más la que pueda obtenerse de este Tribunal en vía de amparo, se produzca sólo cuando ya se han ejecutado los bienes del deudor.  No puede deducirse de ahí, sin embargo, como el recurrente también hace, ni la afirmación de que los daños que de tal ejecución resulten, aunque fueran producidos con vulneración de los derechos fundamentales de carácter procesal, no sean indemnizables, ni, menos aún, sostenerse que, en casos como el presente, ha de pasarse por alto el requisito que para la admisión del recurso de amparo impone el art.  44.1 a) de la LOTC.  La prevención de esos daños, sin merma de la efectividad del juicio ejecutivo, debe buscarse a través de otras vías, entre ellas, la que el art.  132 de la propia Ley Hipotecaria ofrece.</w:t>
      </w:r>
    </w:p>
    <w:p w:rsidR="00256EE9" w:rsidRDefault="00256EE9" w:rsidP="00256EE9">
      <w:pPr>
        <w:pStyle w:val="TextoNormal"/>
      </w:pPr>
    </w:p>
    <w:p w:rsidR="00256EE9" w:rsidRDefault="00256EE9" w:rsidP="00256EE9">
      <w:pPr>
        <w:pStyle w:val="TextoNormal"/>
      </w:pPr>
      <w:r w:rsidRPr="00256EE9">
        <w:rPr>
          <w:rStyle w:val="NumeroAFNegritaCaracter"/>
        </w:rPr>
        <w:t>2</w:t>
      </w:r>
      <w:r>
        <w:t>. Aunque basta con lo dicho en el anterior fundamento para decretar la inadmisión del presente recurso, puede añadirse, a mayor abundamiento, que el mismo carece de contenido constitucional que justifique la decisión de este Tribunal. La personación en el juicio ejecutivo, a partir del momento en que fue notificado en su propio domicilio social de la existencia de aquél, ha abierto al deudor todas las posibilidades de hacer uso de las excepciones tasadas con las que el art.  132 de la Ley Hipotecaria permite hacer frente a la eficacia inmediata de la acción ejecutiva.  Del hecho de que el requerimiento inicial de pago no se hiciera en su domicilio social, no se deriva, por tanto, lesión alguna de los derechos que garantiza el art. 24 de la Constitución, aún en el supuesto, nada probable, de que tal requerimiento se hubiera producido con infracción de alguna norma legal y no, como parece verosímil a partir de los datos de que se dispone, en el domicilio indicado en la escritura de hipoteca por el propio deudor.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Sección ha acordado la inadmisión del presente recurso de amparo.</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0" w:name="AUTO_1985_249"/>
      <w:r>
        <w:lastRenderedPageBreak/>
        <w:t>AUTO 249/1985, de 17 de abril de 1985</w:t>
      </w:r>
    </w:p>
    <w:bookmarkEnd w:id="310"/>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ECLI:ES:TC:1985:249A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78/1985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Saturnino Estévez Rodríguez, en nombre de don Miguel-Juan Palomino Urdapilleta recurre en amparo ante este Tribunal Constitucional (T.C.) por escrito de demanda que tuvo entrada en el Registro General el día 2 de febrero de 1985 contra los actos y omisiones causados por el Juzgado de Familia núm. 24 de Madrid, en el expediente de divorcio núm. 1.294/1984, que son las providencias de 20 de diciembre y 29 de diciembre de 1984, y la resolución judicial de 11 de enero de 1985 sobre práctica de confesión judicial. Dichas resoluciones según el recurrente son causantes de vulneración del art. 24.1 de la C.E. La pretensión del actor es la de que: 1.° se declaren nulas las resoluciones judiciales recurridas; 2.° se reconozca al recurrente su derecho a probar en el juicio de divorcio la inadmisión del lugar en que bajo el concepto de vivienda la actora en el pleito se propone desempeñar la guarda y custodia sobre la menor, hija del matrimonio, y 3.°) se restablezca al recurrente en la plenitud de su derecho a reproducir en el pleito la totalidad de las pruebas de que se vio desposeído. </w:t>
      </w:r>
    </w:p>
    <w:p w:rsidR="00256EE9" w:rsidRDefault="00256EE9" w:rsidP="00256EE9">
      <w:pPr>
        <w:pStyle w:val="TextoNormal"/>
      </w:pPr>
      <w:r>
        <w:t>En el primer otrosí del escrito la parte recurrente solicita la suspensión de los trámites procesales que se siguen en el juicio de divorcio núm. 1.294/1984 del Juzgado de Familia núm. 24 de Madrid, con fundamento en el art. 56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en los que se funda la demanda son en resumen los siguientes: </w:t>
      </w:r>
    </w:p>
    <w:p w:rsidR="00256EE9" w:rsidRDefault="00256EE9" w:rsidP="00256EE9">
      <w:pPr>
        <w:pStyle w:val="TextoNormal"/>
      </w:pPr>
      <w:r>
        <w:t xml:space="preserve">a) Doña Adela Sánchez Santiago planteó demanda de divorcio por la causa 1.ª del art. 86 del Código Civil y el esposo, don Miguel-Juan Palomino Urdapilleta, reconvino a la actora en la contestación de la demanda, en cuanto a los efectos que ella pretendía. </w:t>
      </w:r>
    </w:p>
    <w:p w:rsidR="00256EE9" w:rsidRDefault="00256EE9" w:rsidP="00256EE9">
      <w:pPr>
        <w:pStyle w:val="TextoNormal"/>
      </w:pPr>
      <w:r>
        <w:t xml:space="preserve">b) Abierto el período probatorio fueron admitidas las pruebas propuestas por la actora en el proceso civil y desestimadas cuantas pruebas articuló el recurrente en amparo para acreditar el hecho sustancial de la acción reconvencional, a saber: la improcedencia de que a la esposa se le otorgue la guarda y custodia sobre la menor de edad, en tanto que la madre no acreditase que podía ejercer la función tuitiva en el legítimo domicilio, es decir en el que tenia derecho a habitar en convivencia con su hija, ya que pretendía sostener dicha convivencia en un piso de la calle Atocha, núm. 91 de Madrid, que es un despacho colectivo de abogados. </w:t>
      </w:r>
    </w:p>
    <w:p w:rsidR="00256EE9" w:rsidRDefault="00256EE9" w:rsidP="00256EE9">
      <w:pPr>
        <w:pStyle w:val="TextoNormal"/>
      </w:pPr>
      <w:r>
        <w:t xml:space="preserve">c) El señor Palomino al articular las pruebas ofreció la declaración de dos testigos, que eran el propietario y el administrador del piso 5.° izquierda de la calle Atocha, núm. 91, </w:t>
      </w:r>
      <w:r>
        <w:lastRenderedPageBreak/>
        <w:t xml:space="preserve">con una relación de 14 preguntas, encaminadas a demostrar que la actora en el pleito carecía de título para vivir en el piso. </w:t>
      </w:r>
    </w:p>
    <w:p w:rsidR="00256EE9" w:rsidRDefault="00256EE9" w:rsidP="00256EE9">
      <w:pPr>
        <w:pStyle w:val="TextoNormal"/>
      </w:pPr>
      <w:r>
        <w:t xml:space="preserve">d) El Juzgado resolvió declarando la «impertinencia» de esas 14 preguntas en providencia de 20 de diciembre de 1984 y ante una única pregunta propuesta en tiempo por la parte recurrente para subsanar la dificultad anterior, el Juzgado por providencia de 29 de diciembre de 1984 declaró impertinente la prueba propuesta y finalmente, en acta judicial de 11 de enero de 1985 el Juzgado desechó cuatro de las seis preguntas de la confesión de la parte actora reconvenida, que estaban relacionadas con la cuestión de la vivienda. </w:t>
      </w:r>
    </w:p>
    <w:p w:rsidR="00256EE9" w:rsidRDefault="00256EE9" w:rsidP="00256EE9">
      <w:pPr>
        <w:pStyle w:val="TextoNormal"/>
      </w:pPr>
      <w:r>
        <w:t>e) A juicio de la parte recurrente, el Juzgado dejó de proveer la pretensión de que se aportara a los autos el título justificativo del derecho a habitar la vivienda de la calle Atocha, núm. 91, por lo que el señor Palomino se ha visto privado de la posibilidad de probar directa e inmediatamente que la esposa no ofrece a la niña las condiciones adecuadas de seguridad.</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Los fundamentos jurídicos en que se basa la parte recurrente, después de analizar el cumplimiento de los requisitos procesales, consisten en señalar sucintamente: </w:t>
      </w:r>
    </w:p>
    <w:p w:rsidR="00256EE9" w:rsidRDefault="00256EE9" w:rsidP="00256EE9">
      <w:pPr>
        <w:pStyle w:val="TextoNormal"/>
      </w:pPr>
      <w:r>
        <w:t xml:space="preserve">a) La protección jurisdiccional del art. 24.1 de la C.E. ha de extenderse a todo el desarrollo del proceso judicial pues de no ser así no podría hablarse de tutela efectiva. </w:t>
      </w:r>
    </w:p>
    <w:p w:rsidR="00256EE9" w:rsidRDefault="00256EE9" w:rsidP="00256EE9">
      <w:pPr>
        <w:pStyle w:val="TextoNormal"/>
      </w:pPr>
      <w:r>
        <w:t xml:space="preserve">b) El Juez, en su misión de dirigir el proceso, tiene asignada por la Ley la facultad de admitir o desechar los medios probatorios que han sido impedidos en el proceso y que tendían a la probanza por parte del demandado reconviniente sobre la falta de seguridad jurídica que la parte actora en el proceso civil pretende ofrecer como vivienda de la hija menor, cuya custodia solicita. </w:t>
      </w:r>
    </w:p>
    <w:p w:rsidR="00256EE9" w:rsidRDefault="00256EE9" w:rsidP="00256EE9">
      <w:pPr>
        <w:pStyle w:val="TextoNormal"/>
      </w:pPr>
      <w:r>
        <w:t>c) Es la desigualdad hacia una de las partes lo que constituye el criterio más significativo de la vulneración del principio constitucional de la proteción de los derechos y acrecienta esta vulneración la circunstancia de que el Juzgado admitiera un informe de detectives privados en la que el informador refleja el contenido de la conversación sostenida por éste con los testigos, el propietario y el administrador del piso 5.° izquierda de la calle Atocha, núm. 91.</w:t>
      </w:r>
    </w:p>
    <w:p w:rsidR="00256EE9" w:rsidRDefault="00256EE9" w:rsidP="00256EE9">
      <w:pPr>
        <w:pStyle w:val="TextoNormal"/>
      </w:pPr>
    </w:p>
    <w:p w:rsidR="00256EE9" w:rsidRDefault="00256EE9" w:rsidP="00256EE9">
      <w:pPr>
        <w:pStyle w:val="TextoNormal"/>
      </w:pPr>
      <w:r w:rsidRPr="00256EE9">
        <w:rPr>
          <w:rStyle w:val="NumeroAFNegritaCaracter"/>
        </w:rPr>
        <w:t>4</w:t>
      </w:r>
      <w:r>
        <w:t>. Por providencia de 20 de febrero de 1985, la Sección acordó hacer saber al solicitante del amparo y al Ministerio Fiscal los motivos de inadmisión previstos en los arts. 50.2 b) y 50.1 b) en conexión con el art. 44.1 a) para que alegasen lo procedente.</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T.C., por escrito de 7 de marzo de 1985, formuló, en resumen, las siguientes alegaciones: </w:t>
      </w:r>
    </w:p>
    <w:p w:rsidR="00256EE9" w:rsidRDefault="00256EE9" w:rsidP="00256EE9">
      <w:pPr>
        <w:pStyle w:val="TextoNormal"/>
      </w:pPr>
      <w:r>
        <w:t xml:space="preserve">a) La jurisprudencia del T.C. ha reiterado que «no se puede basar la indefensión de que habla el art. 24 de la C.E. en la mera referencia, a que se le denegó un concreto medio de prueba, pues el propio precepto constitucional exige su pertinencia, condición sobre la que también corresponde pronunciarse al Tribunal...» y el Auto de la Sala Segunda del T.C. de fecha 30 de enero de 1985 concreta la doctrina cuando dice: «para poder apreciar una posible indefensión a causa de la inadmisión de medios probatorios en el proceso es necesario no sólo determinar la efectiva pertinencia, sino también su relevancia para la decisión del litigio, siendo así que no se puede aducir la vulneración de este derecho fundamental antes de que se haya dictado el fallo del Tribunal pues sólo en ese caso a la vista del fallo y de la totalidad del procedimiento podrá apreciarse la merma indebida de posibilidades de </w:t>
      </w:r>
      <w:r>
        <w:lastRenderedPageBreak/>
        <w:t xml:space="preserve">defensa». Por ello la demanda dirigida contra un acto de un procedimiento, todavía en curso, no puede considerarse fundada. </w:t>
      </w:r>
    </w:p>
    <w:p w:rsidR="00256EE9" w:rsidRDefault="00256EE9" w:rsidP="00256EE9">
      <w:pPr>
        <w:pStyle w:val="TextoNormal"/>
      </w:pPr>
      <w:r>
        <w:t xml:space="preserve">b) El órgano judicial, en este caso concreto, declara las preguntas sobre las que iban a versar la prueba testifical y la posterior prueba de confesión, impertinente por no tener ninguna trascendencia en orden a las resoluciones a adoptar en la Sentencia, que ponga fin al procedimiento, siendo en consecuencia inútiles. Es decir, de manera razonada y en atención a la finalidad de la prueba propuesta, se declaran inútiles e impertinentes ya que las respuestas que pudieren darse sobre las mismas, no iban a tener efectos para formar la convicción del Juzgador y por lo tanto no tenían eficacia en la Sentencia que pondría fin al proceso. </w:t>
      </w:r>
    </w:p>
    <w:p w:rsidR="00256EE9" w:rsidRDefault="00256EE9" w:rsidP="00256EE9">
      <w:pPr>
        <w:pStyle w:val="TextoNormal"/>
      </w:pPr>
      <w:r>
        <w:t xml:space="preserve">Demostrar la falta de condiciones de una madre para tener y guardar a una menor en base a que vive en un piso de la que no es arrendataria nada dice respecto a la aptitud dubitada de la madre. Por ello entiende el Fiscal que la declaración de inútil realizada por el Juzgador está motivada racionalmente, respecto a la omisión de la admisión de la prueba propuesta y el Juez señala las causas de la omisión y razona en derecho las mismas. </w:t>
      </w:r>
    </w:p>
    <w:p w:rsidR="00256EE9" w:rsidRDefault="00256EE9" w:rsidP="00256EE9">
      <w:pPr>
        <w:pStyle w:val="TextoNormal"/>
      </w:pPr>
      <w:r>
        <w:t xml:space="preserve">c) El órgano judicial en el ejercicio de sus funciones, tiene la facultad de declarar la pertinencia o impertinencia de las pruebas y siempre que esa declaración se realiza, teniendo como base una motivación razonada en derecho su censura no corresponde al recurso de amparo. La declaración del órgano judicial contiene expresamente la manifestación de que dichas pruebas, no afectan para nada al fallo, es decir, que no es decisiva para la resolución judicial y por ende no es útil para el proceso, y junto a esta declaración de impertinencia el órgano judicial ha admitido otra serie de pruebas que al ser declaradas pertinentes sirven para acreditar las alegaciones de las partes. </w:t>
      </w:r>
    </w:p>
    <w:p w:rsidR="00256EE9" w:rsidRDefault="00256EE9" w:rsidP="00256EE9">
      <w:pPr>
        <w:pStyle w:val="TextoNormal"/>
      </w:pPr>
      <w:r>
        <w:t xml:space="preserve">Por todo ello entiende el Fiscal que la demanda carece de contenido constitucional e incide en la causa de inadmisión del art. 50.2 b) de la LOTC. </w:t>
      </w:r>
    </w:p>
    <w:p w:rsidR="00256EE9" w:rsidRDefault="00256EE9" w:rsidP="00256EE9">
      <w:pPr>
        <w:pStyle w:val="TextoNormal"/>
      </w:pPr>
      <w:r>
        <w:t xml:space="preserve">d) Se propone por el T.C. la posible concurrencia de la causa de inadmisión del art. 50.1 b) en relación con el art. 44.1 a) de la LOTC y del estudio del camino impugnatorio seguido por el recurrente así como de la aplicación del art. 567.2 de la Ley de Enjuiciamiento Civil el Fiscal concluye que la causa de inadmisión puesta de manifiesto por la providencia del Tribunal, concurre en esta demanda. </w:t>
      </w:r>
    </w:p>
    <w:p w:rsidR="00256EE9" w:rsidRDefault="00256EE9" w:rsidP="00256EE9">
      <w:pPr>
        <w:pStyle w:val="TextoNormal"/>
      </w:pPr>
      <w:r>
        <w:t xml:space="preserve">La Ley de Enjuiciamiento Civil en su art. 567 dice que contra las resoluciones del órgano judicial denegando una prueba, cabe el recurso de reposición y en el mismo artículo se dice que contra el Auto que resuelva la reposición no cabe recurso alguno, pero no termina aquí el precepto sino que añade que la prueba denegada podrá ser solicitada de nuevo en el recurso de apelación, es decir, que si bien el camino de los recursos aparece agotado, no así la posibilidad de reproducir la solicitud de prueba en la segunda instancia, es decir, que la Ley otorga una nueva posibilidad de práctica de la prueba de apelación. Unidas estas consideraciones a la naturaleza subsidiaria del recurso de amparo que sólo se puede interponer cuando no haya posibilidades de restauración del derecho fundamental en la vía judicial ordinaria podemos afirmar que el recurrente no ha agotado la vía judicial como expresamente exige el art. 44.1 a) de la LOTC. </w:t>
      </w:r>
    </w:p>
    <w:p w:rsidR="00256EE9" w:rsidRDefault="00256EE9" w:rsidP="00256EE9">
      <w:pPr>
        <w:pStyle w:val="TextoNormal"/>
      </w:pPr>
      <w:r>
        <w:t>Por todo ello el Ministerio Fiscal interesa del T.C. dicte Auto, de acuerdo con el art. 86.1 de la LOTC, desestimando la demanda de amparo por concurrir en la misma las causas de inadmisión estudiadas en el cuerpo del escrito.</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Don Saturnino Estévez Rodríguez, Procurador de los Tribunales y de don Miguel-Juan Palomino Urdapilleta, formula por escrito de 7 de marzo de 1985 las siguientes alegaciones: </w:t>
      </w:r>
    </w:p>
    <w:p w:rsidR="00256EE9" w:rsidRDefault="00256EE9" w:rsidP="00256EE9">
      <w:pPr>
        <w:pStyle w:val="TextoNormal"/>
      </w:pPr>
      <w:r>
        <w:lastRenderedPageBreak/>
        <w:t xml:space="preserve">a) Después de realizar un amplio análisis del recurso de amparo constitucional la parte recurrente ciñéndose al motivo de inadmisión previsto en el art. 50.2 b) de la LOTC señala que el art. 24 de la C.E. debe entenderse en sentido global de la protección a la defensa de los derechos e intereses legítimos ante los órganos judiciales del Estado, destacando en el mismo el concepto genérico de la indefensión a que el texto legal alude en términos absolutos «sin que en ningún caso pueda producirse» y siendo así que uno de los aspectos más específicos de la defensa es la accesibilidad a los medios de prueba, de tal manera que esta accesibilidad representa una vertiente concreta del derecho a la jurisdicción y supone que no se opongan por actos o por normas, trabas o dificultades directas o indirectas que impidan aquélla, la hagan extremadamente difícil o supongan privilegios o discriminación para algunos en perjuicio de otros. En el presente caso se ha negado al aquí recurrente, en forma no sólo arbitraria y no razonable sino también razonada por el Juez, pruebas de tal naturaleza, en parte por actos resolutorios de denegación (providencias de 20 y 29 de diciembre de 1984) y en parte por la omisión o indeterminación del silencio irresolutorio (Acta judicial de 11 de enero de 1985), constituyendo toda esta actuación judicial en su conjunto una radical y sistemática infracción del derecho constitucional del art. 24 de la C.E., máxime cuando este proceder se muestra en forma discriminatoria para con una sola de los dos partes en el litigio puesto que a la reconvenida se le permitió optar con amplitud los medios de que quiso valerse sobre la misma materia litigiosa que el accionante reconvencional se le vedó. </w:t>
      </w:r>
    </w:p>
    <w:p w:rsidR="00256EE9" w:rsidRDefault="00256EE9" w:rsidP="00256EE9">
      <w:pPr>
        <w:pStyle w:val="TextoNormal"/>
      </w:pPr>
      <w:r>
        <w:t xml:space="preserve">b) Respecto del motivo previsto en el art. 50.1 b) de la LOTC en conexión con el art. 44.1 a) señala la parte recurrente que la «vía procedente» en un juicio de divorcio será todo el recorrido procesal señalado para los remedios impugnatorios contra las resoluciones judiciales en el Título IX del Libro Primero de la Ley de Enjuiciamiento Civil, en sus arts. 376 a 404, en cuanto que solamente mediante los recursos allí previstos podrán combatirse formalmente y en correlación de contenido con el eventual recurso de amparo al T.C. las vulneraciones constitucionales perpetradas por las actuaciones judiciales durante el desarrollo del proceso. </w:t>
      </w:r>
    </w:p>
    <w:p w:rsidR="00256EE9" w:rsidRDefault="00256EE9" w:rsidP="00256EE9">
      <w:pPr>
        <w:pStyle w:val="TextoNormal"/>
      </w:pPr>
      <w:r>
        <w:t xml:space="preserve">En suma, para la parte recurrente las vulneraciones constitucionales del Tribunal a quo se hicieron firmes en la primera instancia, porque el recurrente agotó todos los remedios utilizables conforme a la Ley de enjuiciar correspondiente al proceso de que se trata -Ley de Enjuiciamiento Civil- sin que esta normativa procedimental le permitiese acceder al Tribunal ad quem en su reclamación formal y directa contra las referidas infracciones; quedando, en consecuencia, disipada definitivamente la duda sobre el cumplimiento por el reclamante, del requisito de la LOTC sobre el agotamiento de la vía judicial procedente, según el segundo de los motivos de posible inadmisibilidad del recurso de amparo propuestos en la resolución del T.C. </w:t>
      </w:r>
    </w:p>
    <w:p w:rsidR="00256EE9" w:rsidRDefault="00256EE9" w:rsidP="00256EE9">
      <w:pPr>
        <w:pStyle w:val="TextoNormal"/>
      </w:pPr>
      <w:r>
        <w:t>Finalmente, la parte recurrente interesa del T.C. que decida la admisión del recurso y la prosecución y definición del mismo.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recurso de amparo consiste en determinar si concurren los motivos de inadmisión de los que se dio traslado a la parte solicitante del amparo y al Ministerio Fiscal en la providencia de 20 de febrero de 1985.</w:t>
      </w:r>
    </w:p>
    <w:p w:rsidR="00256EE9" w:rsidRDefault="00256EE9" w:rsidP="00256EE9">
      <w:pPr>
        <w:pStyle w:val="TextoNormal"/>
      </w:pPr>
      <w:r>
        <w:t xml:space="preserve">En primer lugar, nos referimos al motivo de inadmisión previsto en el art.  50.2 b) de la LOTC, por carecer la demanda manifiestamente de contenido que justifique una decisión </w:t>
      </w:r>
      <w:r>
        <w:lastRenderedPageBreak/>
        <w:t>por este T.C.  y, en consecuencia, procede determinar si las resoluciones judiciales recurridas, que son las providencias de 20 de diciembre y 29 de diciembre de 1984 y el Acta judicial de 11 de enero de 1985 que fueron recurridas en reposición por escritos de 28 de diciembre y 8 y 15 de enero de 1985, resueltos por Autos de 11 de enero, 17 de enero y 23 de enero de 1985 vulneran el art.  24.1 de la C.E., al declarar la impertinencia de las posiciones de la confesión de la parte actora y denegar la pregunta a testigos en cuanto concierne a la titularidad dominical de una vivienda en la que la actora del proceso civil ejerce la custodia de la hija menor del matrimonio, como consecuencia del proceso de divorcio que se encuentra en tramitación y en el que figura como parte demandada el recurrente en amparo.</w:t>
      </w:r>
    </w:p>
    <w:p w:rsidR="00256EE9" w:rsidRDefault="00256EE9" w:rsidP="00256EE9">
      <w:pPr>
        <w:pStyle w:val="TextoNormal"/>
      </w:pPr>
    </w:p>
    <w:p w:rsidR="00256EE9" w:rsidRDefault="00256EE9" w:rsidP="00256EE9">
      <w:pPr>
        <w:pStyle w:val="TextoNormal"/>
      </w:pPr>
      <w:r w:rsidRPr="00256EE9">
        <w:rPr>
          <w:rStyle w:val="NumeroAFNegritaCaracter"/>
        </w:rPr>
        <w:t>2</w:t>
      </w:r>
      <w:r>
        <w:t>. Un planteamiento de la cuestión nos lleva a realizar un análisis sucinto de las resoluciones judiciales recurridas y a destacar su contenido a los efectos de la posible vulneración del art. 24.1 de la C.E.:</w:t>
      </w:r>
    </w:p>
    <w:p w:rsidR="00256EE9" w:rsidRDefault="00256EE9" w:rsidP="00256EE9">
      <w:pPr>
        <w:pStyle w:val="TextoNormal"/>
      </w:pPr>
      <w:r>
        <w:t>a) En el Auto de 11 de enero de 1985, dictado de resultas del recurso de reposición contra la providencia de 20 de diciembre de 1984, que declara impertinente las preguntas 1 a 14 del pliego propuesto por la parte recurrente en amparo, y que fue notificado el día 11 de enero de 1985, se indica en el único considerando de esta resolución que «las pruebas propuestas y denegadas ninguna trascendencia han de tener, en orden a las resoluciones a adoptar en la Sentencia que ponga fin a este procedimiento, siendo por ello, las mismas impertinentes e inútiles».</w:t>
      </w:r>
    </w:p>
    <w:p w:rsidR="00256EE9" w:rsidRDefault="00256EE9" w:rsidP="00256EE9">
      <w:pPr>
        <w:pStyle w:val="TextoNormal"/>
      </w:pPr>
      <w:r>
        <w:t>b) El Auto de 17 de enero de 1985, notificado el día 19 de enero, contiene en el primer considerando el mismo criterio que la resolución anterior y lo mismo sucede en el Auto de 23 de enero de 1985, notificado el mismo día, en el que se reitera el criterio de la inutilidad de la prueba a los fines del procedimiento.</w:t>
      </w:r>
    </w:p>
    <w:p w:rsidR="00256EE9" w:rsidRDefault="00256EE9" w:rsidP="00256EE9">
      <w:pPr>
        <w:pStyle w:val="TextoNormal"/>
      </w:pPr>
      <w:r>
        <w:t>c) Finalmente, en las providencias de 24 de enero de 1985, notificada el mismo día, y en la posterior de 25 de enero, notificada el día 29 de enero no se admiten los sucesivos recursos de apelación, por imperativo del art. 567 de la L.E.C.</w:t>
      </w:r>
    </w:p>
    <w:p w:rsidR="00256EE9" w:rsidRDefault="00256EE9" w:rsidP="00256EE9">
      <w:pPr>
        <w:pStyle w:val="TextoNormal"/>
      </w:pPr>
      <w:r>
        <w:t>A la vista del contenido de estas resoluciones el recurrente en amparo, a los puros efectos constitucionales, promueve el recurso constitucional por indefensión que dice se le causa, debida a la estimación como impertinente e inútil de una prueba propuesta, lo que se traduce, a juicio de dicho recurrente, en una vulneración del art. 24.1 de la C.E.</w:t>
      </w:r>
    </w:p>
    <w:p w:rsidR="00256EE9" w:rsidRDefault="00256EE9" w:rsidP="00256EE9">
      <w:pPr>
        <w:pStyle w:val="TextoNormal"/>
      </w:pPr>
    </w:p>
    <w:p w:rsidR="00256EE9" w:rsidRDefault="00256EE9" w:rsidP="00256EE9">
      <w:pPr>
        <w:pStyle w:val="TextoNormal"/>
      </w:pPr>
      <w:r w:rsidRPr="00256EE9">
        <w:rPr>
          <w:rStyle w:val="NumeroAFNegritaCaracter"/>
        </w:rPr>
        <w:t>3</w:t>
      </w:r>
      <w:r>
        <w:t>. En el proceso civil de divorcio la Ley de 7 de julio de 1981 núm. 30/1981 no tasa las pruebas admisibles y es el criterio del Juez civil el determinante para fijar su pertinencia, a los fines del art.  103 en orden a la guarda y custodia de los hijos, que han de ser valoradas conforme a las normas del Código Civil y de la Ley de Enjuiciamiento Civil con carácter discrecional.</w:t>
      </w:r>
    </w:p>
    <w:p w:rsidR="00256EE9" w:rsidRDefault="00256EE9" w:rsidP="00256EE9">
      <w:pPr>
        <w:pStyle w:val="TextoNormal"/>
      </w:pPr>
      <w:r>
        <w:t>Así se sostiene por la jurisprudencia civil que matiza los términos de «impertinencia», por no venir al caso y no tener relación con la cuestión e «inútil», que a pesar de tener relación no influye en el resultado, por las circunstancias que le acompañan o por no variar el valor legal del hecho y por su innecesariedad.</w:t>
      </w:r>
    </w:p>
    <w:p w:rsidR="00256EE9" w:rsidRDefault="00256EE9" w:rsidP="00256EE9">
      <w:pPr>
        <w:pStyle w:val="TextoNormal"/>
      </w:pPr>
      <w:r>
        <w:t xml:space="preserve">Aplicando a la cuestión planteada la reiterada doctrina de este T.C.  de la que es exponente el Auto de 30 de enero de 1985 dictado por el R.A. núm. 762/1984, que señala cómo para poder apreciar una posible indefensión a causa de la inadmisión de medios probatorios es necesario no ya sólo determinar la efectiva pertinencia de los mismos, sino su relevancia para la decisión del litigio, es evidente que la resolución judicial denegatoria de un medio probatorio se fundamenta en que la prueba propuesta no guardaba conexión con los </w:t>
      </w:r>
      <w:r>
        <w:lastRenderedPageBreak/>
        <w:t>hechos básicos de la demanda o contestación sin que por ello se cause discriminación, y como dice el Auto núm. 340/1982, de 10 de noviembre, «no se puede aducir la vulneración de este derecho fundamental antes de que se haya dictado el fallo del Tribunal, pues sólo, si acaso, a la vista de ese fallo y de la totalidad del proceso, podrá apreciarse la merma indebida de las posibilidades de defensa».</w:t>
      </w:r>
    </w:p>
    <w:p w:rsidR="00256EE9" w:rsidRDefault="00256EE9" w:rsidP="00256EE9">
      <w:pPr>
        <w:pStyle w:val="TextoNormal"/>
      </w:pPr>
      <w:r>
        <w:t>Los razonamientos anteriores conducen a la conclusión de que el recurso carece de contenido constitucional, en aplicación del art. 50.2 b) de la LOTC, que justifique una resolución de fondo, en forma de Sentencia, con el desarrollo procesal consiguiente.</w:t>
      </w:r>
    </w:p>
    <w:p w:rsidR="00256EE9" w:rsidRDefault="00256EE9" w:rsidP="00256EE9">
      <w:pPr>
        <w:pStyle w:val="TextoNormal"/>
      </w:pPr>
    </w:p>
    <w:p w:rsidR="00256EE9" w:rsidRDefault="00256EE9" w:rsidP="00256EE9">
      <w:pPr>
        <w:pStyle w:val="TextoNormal"/>
      </w:pPr>
      <w:r w:rsidRPr="00256EE9">
        <w:rPr>
          <w:rStyle w:val="NumeroAFNegritaCaracter"/>
        </w:rPr>
        <w:t>4</w:t>
      </w:r>
      <w:r>
        <w:t>. A mayor abundamiento, y en lo que concierne al segundo motivo de inadmisión, hay que señalar que las providencias de 24 y 25 de enero de 1985 fundamentan la no admisión del recurso de apelación con la expresa salvedad de: «sin perjuicio de la facultad que dicho precepto otorga a la parte», es decir, «podrá la parte interesada reproducir la misma pretensión en la segunda instancia», según el tenor literal que consta al final del art.  567 de la Ley de Enjuiciamiento Civil.</w:t>
      </w:r>
    </w:p>
    <w:p w:rsidR="00256EE9" w:rsidRDefault="00256EE9" w:rsidP="00256EE9">
      <w:pPr>
        <w:pStyle w:val="TextoNormal"/>
      </w:pPr>
      <w:r>
        <w:t>Este T.C.  ha declarado en el fundamento jurídico 4 de la Sentencia núm.  50/1982, de 15 de julio, que el remedio frente a las presuntas conculcaciones del derecho previsto en el art.  24.1 de la C.E.  de no sufrir indefensión ha de buscarse ante «las instancias siguientes» y, en su caso, en «la casación por vicios relativos a la prueba» y sólo una vez agotados todos los medios disponibles en la vía judicial tendrá sentido la solicitud de amparo ante el T.C.</w:t>
      </w:r>
    </w:p>
    <w:p w:rsidR="00256EE9" w:rsidRDefault="00256EE9" w:rsidP="00256EE9">
      <w:pPr>
        <w:pStyle w:val="TextoNormal"/>
      </w:pPr>
      <w:r>
        <w:t>En el caso que examinamos la parte recurrente pudo instar la reparación de la lesión en la segunda instancia logrando la posibilidad de emplear los medios probatorios inadmitidos por el Juez de Primera Instancia, por lo que estimamos que en la demanda concurre la causa de inadmisión prevista en el art. 50.1 b) en conexión con el art. 44.1 a) de la LOTC, por falta de agotamiento de la vía judicial procedente.</w:t>
      </w:r>
    </w:p>
    <w:p w:rsidR="00256EE9" w:rsidRDefault="00256EE9" w:rsidP="00256EE9">
      <w:pPr>
        <w:pStyle w:val="TextoNormal"/>
      </w:pPr>
    </w:p>
    <w:p w:rsidR="00256EE9" w:rsidRDefault="00256EE9" w:rsidP="00256EE9">
      <w:pPr>
        <w:pStyle w:val="TextoNormal"/>
      </w:pPr>
      <w:r w:rsidRPr="00256EE9">
        <w:rPr>
          <w:rStyle w:val="NumeroAFNegritaCaracter"/>
        </w:rPr>
        <w:t>5</w:t>
      </w:r>
      <w:r>
        <w:t>. La inadmisibilidad del recurso determina que no proceda la tramitación de la pieza separada de suspensión prevista en el art. 56 de la LOTC y que fue instada en el primer otrosí del escrito de demanda.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anteriormente expuesto, la Sección acuerda declarar inadmisible el recurso de amparo, y el archivo de las actuaciones.</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1" w:name="AUTO_1985_250"/>
      <w:r>
        <w:lastRenderedPageBreak/>
        <w:t>AUTO 250/1985, de 17 de abril de 1985</w:t>
      </w:r>
    </w:p>
    <w:bookmarkEnd w:id="311"/>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ECLI:ES:TC:1985:250A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84/1985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Procuradora doña Esther Rodríguez Pérez, en nombre y representación de don José Teruel Manzanera y asistida del Letrado don José Luis Fernández Chillón, presentó demanda de amparo constitucional contra la Sentencia del Tribunal Central de Trabajo de 20 de diciembre de 1984, por presunta vulneración de los arts. 14 y 24.1 de la Constitución. La demanda se fundamenta en los siguientes hechos: 1.° El actor desde 1 de julio de 1975 venía prestando servicios como chófer para don José San José Bagán y tras la muerte de éste, el 22 de marzo de 1983, para su viuda doña Patrocinia Bernárdez de Quirós hasta el 12 de abril de 1984 en que fue despedido verbalmente. 2.° Presentada demanda por despido, la Magistratura de Trabajo núm. 4 de Madrid dictó Sentencia de 16 de junio de 1984 estimando la excepción de incompetencia de jurisdicción. 3.° Interpuesto recurso de suplicación, fue desestimado por Sentencia del Tribunal Central de Trabajo de 20 de diciembre de 1984. El Tribunal estima que la relación de trabajo del actor es encuadrable en el art. 2.1 b) del Estatuto de los Trabajadores que alude a los trabajos al servicio del hogar familiar que constituyen objeto de relación laboral especial. La falta de regulación en cumplimiento de lo dispuesto en el Estatuto «no puede proporcionar un cometido jurisdiccional expresamente apartado por aquella Ley estatutaria» por lo que, a tenor de la propia jurisprudencia, procede confirmar la Sentencia recurrida. </w:t>
      </w:r>
    </w:p>
    <w:p w:rsidR="00256EE9" w:rsidRDefault="00256EE9" w:rsidP="00256EE9">
      <w:pPr>
        <w:pStyle w:val="TextoNormal"/>
      </w:pPr>
      <w:r>
        <w:t xml:space="preserve">El demandante denuncia la vulneración del principio de igualdad al ser discriminado por razón de su condición y circunstancia social y personal. Destaca el hecho de su cotización al Régimen General de la Seguridad Social y el cobro de las prestaciones familiares previstas por la Ley General de la Seguridad Social y estima que debió ser considerado trabajador y por ello, la jurisdicción competente para conocer del tema es la jurisdicción laboral, por lo que la Sentencia recurrida vulnera también el art. 24.1 de la Constitución. Solicita se reconozca que existe y ha existido relación laboral y el derecho a que la jurisdicción social conozca de su demanda de despido. </w:t>
      </w:r>
    </w:p>
    <w:p w:rsidR="00256EE9" w:rsidRDefault="00256EE9" w:rsidP="00256EE9">
      <w:pPr>
        <w:pStyle w:val="TextoNormal"/>
      </w:pPr>
      <w:r>
        <w:t>Solicita igualmente la suspensión de la ejecutividad de la Sentencia del Tribunal Central.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Tercera, por providencia de 27 de febrero pasado puso de manifiesto la posible existencia de las causas de inadmisión reguladas por los arts. 50.1 b) en relación con el 44.1 c) de la Ley Orgánica de este Tribunal, y la del 50.2 b), y se concedió un plazo </w:t>
      </w:r>
      <w:r>
        <w:lastRenderedPageBreak/>
        <w:t xml:space="preserve">común de diez días a la representación del recurrente y al Ministerio Fiscal para alegaciones. </w:t>
      </w:r>
    </w:p>
    <w:p w:rsidR="00256EE9" w:rsidRDefault="00256EE9" w:rsidP="00256EE9">
      <w:pPr>
        <w:pStyle w:val="TextoNormal"/>
      </w:pPr>
      <w:r>
        <w:t xml:space="preserve">El demandante de amparo, en su escrito de alegaciones y con respecto a la causa de inadmisión regulada por el art. 44.1 c) de la Ley Orgánica del Tribunal Constitucional, hace constar que en el escrito de formalización del recurso de suplicación interpuesto ante el Tribunal Central de Trabajo se invocaron expresamente como vulnerados los arts. 14 y 24.1 de la Constitución, lo que puede comprobarse con una lectura atenta y sistemática de dicho escrito. En cuanto a la causa de inadmisión a que se refiere el art. 50.2 b), de carecer la demanda de contenido constitucional, estima el demandante que no carece en absoluto de contenido una demanda contra una Sentencia que infringe, a su juicio, lo dispuesto en el art. 14 y el art. 24.1 de la Constitución, derechos constitucionales susceptibles de amparo y que solicita se le reconozca que ha existido relación laboral entre él y la parte demandada, ya que lo contrario supone grave discriminación, y que se adopten cuantas medidas sean pertinentes para que la jurisdicción laboral conozca de la demanda de despido, para que tenga efectividad su derecho a la tutela efectiva de Jueces y Tribunales. </w:t>
      </w:r>
    </w:p>
    <w:p w:rsidR="00256EE9" w:rsidRDefault="00256EE9" w:rsidP="00256EE9">
      <w:pPr>
        <w:pStyle w:val="TextoNormal"/>
      </w:pPr>
      <w:r>
        <w:t xml:space="preserve">El Fiscal General del Estado considera que se dan, en este caso, las causas de inadmisión a que se refiere la providencia de 27 de febrero, ya que no consta la invocación formal del derecho conculcado, que debió hacer en el escrito de interposición del recurso de suplicación para ante el Tribunal Central de Trabajo. </w:t>
      </w:r>
    </w:p>
    <w:p w:rsidR="00256EE9" w:rsidRDefault="00256EE9" w:rsidP="00256EE9">
      <w:pPr>
        <w:pStyle w:val="TextoNormal"/>
      </w:pPr>
      <w:r>
        <w:t>La demanda carece también de contenido que justifique una decisión por parte del Tribunal, puesto que lo alegado se centra en la discrepancia entre el criterio del recurrente y el de los órganos judiciales en orden a considerar la relación de trabajo mantenida por el demandante con la demandada, como relación laboral ordinaria y no de carácter especial, lo que constituye una cuestión de mera legalidad, no perteneciente a la competencia del Tribunal Constitucional. Hace referencia a la Sentencia pronunciada por este Tribunal en 1 de junio de 1983, en el recurso de amparo núm. 444/1982, y solicita se dicte Auto declarando la inadmisión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Se plantea en este recurso un tema que hace referencia a la naturaleza de la relación de servicio que unía al demandante con la señora Bernárdez de Quirós -y anteriormente con su esposo-, relación de carácter especial de las enunciadas en el art.  2.1 c) del Estatuto de los Trabajadores, para el Magistrado de Trabajo, y el Tribunal Central, y relación laboral de régimen general para el recurrente. Tal cuestión es ajena a las que pueden plantearse ante el Tribunal Constitucional, pues a la jurisdicción ordinaria -art. 117.3 de la Constitución- y no a la constitucional, a la que corresponde resolver acerca de esta cuestión. El Magistrado de Trabajo y el Tribunal Central, siguiendo una línea interpretativa consolidada han dicho que el trabajo de un conductor al servicio de un particular pertenece al campo del servicio doméstico y sigue su régimen jurídico.  Pues bien, partiendo de este factum, es claro que son distintas la relación laboral del régimen general y la relación especial y no se quebranta, por ello, el principio de igualdad porque una y otra estén sometidas a regímenes distintos, como hemos venido a decir en Sentencias anteriores (49/1983, de 1 de junio, y 79/1983, de 5 de octubre) en cuanto a otra relación especial, o a la de servicio doméstico (26/1984, de 24 de febrero).  La demanda carece, por ello, de contenido constitucional [art.  50.2 b)] y aún podríamos haber aducido la causa del art. 50.2 c) de la LOTC.</w:t>
      </w:r>
    </w:p>
    <w:p w:rsidR="00256EE9" w:rsidRDefault="00256EE9" w:rsidP="00256EE9">
      <w:pPr>
        <w:pStyle w:val="TextoNormal"/>
      </w:pPr>
    </w:p>
    <w:p w:rsidR="00256EE9" w:rsidRDefault="00256EE9" w:rsidP="00256EE9">
      <w:pPr>
        <w:pStyle w:val="TextoNormal"/>
      </w:pPr>
      <w:r w:rsidRPr="00256EE9">
        <w:rPr>
          <w:rStyle w:val="NumeroAFNegritaCaracter"/>
        </w:rPr>
        <w:t>2</w:t>
      </w:r>
      <w:r>
        <w:t>. Alterando el orden lógico en el enjuiciamiento del caso nos hemos referido, primero, a la causa del art.  50.2 b), dejando para este momento la del art. 50.1 b) en relación con el art. 44.1 c) de la LOTC.  Y hemos alterado el curso normal de tratamiento de las causas, porque el demandante ha alegado que en el recurso de suplicación dio contenido constitucional a la pretensión de suplicación, alegando, con este propósito, que se fundó el recurso, además de en preceptos ordinarios, en el art.  14 de la Constitución y por referencia en el art.  24.1 también de la Constitución.  No se ha presentado copia del escrito de suplicación y no se alude en la Sentencia del Tribunal Central a la indicada fundamentación constitucional.  En cualquier caso, no es menester detenerse en mayores consideraciones por cuanto es bastante para rechazar en trámite de admisión del amparo lo que hemos recogido en el fundamento anterior.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declara inadmisible el recurso interpuesto por don José Teruel Manzanera, lo que hace innecesario el pronunciamiento que se nos pide respecto a la suspensión.</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2" w:name="AUTO_1985_251"/>
      <w:r>
        <w:lastRenderedPageBreak/>
        <w:t>AUTO 251/1985, de 17 de abril de 1985</w:t>
      </w:r>
    </w:p>
    <w:bookmarkEnd w:id="312"/>
    <w:p w:rsidR="00256EE9" w:rsidRDefault="00256EE9" w:rsidP="00256EE9">
      <w:pPr>
        <w:pStyle w:val="TtuloResolucin"/>
      </w:pPr>
      <w:r>
        <w:t>Sala Primera</w:t>
      </w:r>
    </w:p>
    <w:p w:rsidR="00256EE9" w:rsidRDefault="00256EE9" w:rsidP="00256EE9">
      <w:pPr>
        <w:pStyle w:val="TtuloResolucin"/>
      </w:pPr>
    </w:p>
    <w:p w:rsidR="00256EE9" w:rsidRDefault="00256EE9" w:rsidP="00256EE9">
      <w:pPr>
        <w:pStyle w:val="SntesisDescriptiva"/>
      </w:pPr>
      <w:r>
        <w:t>ECLI:ES:TC:1985:251A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don Manuel Díez de Velasco Vallejo, doña Gloria Begué Cantón, don Rafael Gómez-Ferrer Morant y don Ángel Escudero del Corral.</w:t>
      </w:r>
    </w:p>
    <w:p w:rsidR="00256EE9" w:rsidRDefault="00256EE9" w:rsidP="00256EE9">
      <w:pPr>
        <w:pStyle w:val="SntesisDescriptiva"/>
      </w:pPr>
    </w:p>
    <w:p w:rsidR="00256EE9" w:rsidRDefault="00256EE9" w:rsidP="00256EE9">
      <w:pPr>
        <w:pStyle w:val="SntesisDescriptiva"/>
      </w:pPr>
      <w:r>
        <w:t>Denegando la suspensión de la ejecución del acto que origina el recurso de amparo 98/1985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que tuvo entrada en este Tribunal el 6 de febrero de 1985, don Severo Piñeiro Sotelo, representado por el Procurador de los Tribunales don Antonio Roncero Martínez, interpuso recurso de amparo constitucional contra la Sentencia dictada por la Sala de lo Contencioso-Administrativo de la Audiencia Territorial de La Coruña en el recurso promovido por don José Somoza Giráldez contra acuerdo de la Comisión Municipal Permanente del Iltmo. Ayuntamiento de Cambados, por entender que dicha resolución judicial vulneró el derecho fundamental a la tutela judicial efectiva de los Jueces y Tribunales, sin que pueda producirse en ningún caso indefensión (art. 24.1 de la C.E.). </w:t>
      </w:r>
    </w:p>
    <w:p w:rsidR="00256EE9" w:rsidRDefault="00256EE9" w:rsidP="00256EE9">
      <w:pPr>
        <w:pStyle w:val="TextoNormal"/>
      </w:pPr>
      <w:r>
        <w:t>Basa el demandante su pretensión en el hecho de que se ha seguido un procedimiento judicial, el instado por el señor Somoza, en el que únicamente fue parte, como demandado, el Ayuntamiento de Cambados, siendo así que en dicho proceso, en el que no fue debidamente emplazado, tenía un interés directo y legítimo el ahora demandante, habiendo resultado afectado en sus derechos y encontrándose alcanzado por un fallo, que ganó firmeza, dictado en un proceso en el que no compareció ni pudo comparecer por no tener noticia de que se había incoado, según manifiesta, hasta el día 22 de enero de 1985, es decir, un año después de dictada la Sentencia (de 23 de enero de 1984), y a través de una notificación del Ayuntamiento de Cambados.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Solicita la nulidad de la Sentencia impugnada y de las actuaciones seguidas en el procedimiento del que la referida Sentencia trae causa, con el fin de que se le emplace personalmente y pueda comparecer en el proceso quedando así garantizado su derecho a la defensa. </w:t>
      </w:r>
    </w:p>
    <w:p w:rsidR="00256EE9" w:rsidRDefault="00256EE9" w:rsidP="00256EE9">
      <w:pPr>
        <w:pStyle w:val="TextoNormal"/>
      </w:pPr>
      <w:r>
        <w:t>Por otrosí manifiesta que, de producirse la ejecución de la Sentencia impugnada a cargo del Ayuntamiento indicado se ocasionaría al demandante un daño de, al menos, difícil reparación como consecuencia de la demolición ordenada, quedando frustrada la finalidad de una garantía constitucional y desprotegido el derecho cuyo reconocimiento se pretende, por lo que solicita la suspensión de la ejecución de la Sentencia cuya anulación se pretende, sin afianzamiento.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xml:space="preserve">. Por providencia de 6 de marzo de 1985, la Sección acordó formar pieza separada de suspensión, otorgando un plazo común de tres días al Ministerio Fiscal y al solicitante del amparo para alegaciones. </w:t>
      </w:r>
    </w:p>
    <w:p w:rsidR="00256EE9" w:rsidRDefault="00256EE9" w:rsidP="00256EE9">
      <w:pPr>
        <w:pStyle w:val="TextoNormal"/>
      </w:pPr>
      <w:r>
        <w:t>En dicho plazo, el Fiscal se manifiesta opuesto a que se acceda a la suspensión interesada mientras que el demandante se ratifica. íntegramente en los razonamientos del escrito de demanda, dándolos por reproducidos.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56 de la Ley Orgánica del Tribunal Constitucional (LOTC) establece que la Sala que conozca de un recurso de amparo suspenderá de oficio o a instancia del recurrente, la ejecución del acto de los Poderes Públicos por razón del cual se reclame el amparo constitucional cuando la ejecución del mismo hubiere de ocasionar un perjuicio que hiciese perder al amparo su finalidad.</w:t>
      </w:r>
    </w:p>
    <w:p w:rsidR="00256EE9" w:rsidRDefault="00256EE9" w:rsidP="00256EE9">
      <w:pPr>
        <w:pStyle w:val="TextoNormal"/>
      </w:pPr>
      <w:r>
        <w:t>Este Tribunal ha tenido ocasión de pronunciarse en numerosas ocasiones sobre diversas peticiones de suspensión, sentando el criterio de que tratándose de resoluciones judiciales existe un interés general en mantener su eficacia, y que dicha medida cautelar, de carácter excepcional, sólo ha de acordarse cuando resulte efectivamente indispensable para no frustrar la finalidad del amparo solicitado.</w:t>
      </w:r>
    </w:p>
    <w:p w:rsidR="00256EE9" w:rsidRDefault="00256EE9" w:rsidP="00256EE9">
      <w:pPr>
        <w:pStyle w:val="TextoNormal"/>
      </w:pPr>
      <w:r>
        <w:t>La única razón invocada por el recurrente es la de un hipotético daño de difícil reparación en el caso de que se llevara a efecto la demolición de la construcción que ha motivado el litigio -daño de tipo material, perfectamente resarcible o indemnizable, en su caso, a través de los cauces jurídicos procedenteslo cual está lejos de constituir un perjuicio irreversible y que prive al amparo de su finalidad, que en este caso no es otra que el restablecimiento de una supuesta falta de tutela judicial efectiva al art.  24.1 de la C. E.</w:t>
      </w:r>
    </w:p>
    <w:p w:rsidR="00256EE9" w:rsidRDefault="00256EE9" w:rsidP="00256EE9">
      <w:pPr>
        <w:pStyle w:val="TextoNormal"/>
      </w:pPr>
      <w:r>
        <w:t>Desde otra perspectiva, y a salvo de un examen particularizado de la documentación relativa al proceso previo, no parece procedente la adopción de una medida cautelar de suspensión si se tiene presente que la Sentencia impugnada fue dictada el 23 de enero de 1984 y es en enero de 1985 cuando se notifica por el Ayuntamiento al interesado, el cual ha solicitado ya la suspensión del acuerdo municipal adoptado en cumplimiento de la aludida resolución.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Sala, por lo expuesto, acuerda denegar la suspensión solicitada.</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3" w:name="AUTO_1985_252"/>
      <w:r>
        <w:lastRenderedPageBreak/>
        <w:t>AUTO 252/1985, de 17 de abril de 1985</w:t>
      </w:r>
    </w:p>
    <w:bookmarkEnd w:id="313"/>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ECLI:ES:TC:1985:252A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99/1985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Magistratura de Trabajo núm. 12 de Madrid, en Sentencia de 26 de marzo de 1984 declaró nulo el despido de don Francisco Ligero Jiménez por parte de la entidad «Rumasa, S. A.». Esta Entidad formalizó recurso de casación contra dicha Sentencia, que fue estimado por la Sala Sexta del Tribunal Supremo en la suya de 26 de diciembre de 1984 anulando la Sentencia impugnada y sustituyéndola por otra de igual fecha en la que declaró caducada la acción ejercitada por el señor Ligero Jiménez; el cual entendió (y recurrió en aclaración) que la caducidad declarada se fundó, como único dato, en la fecha de celebración del acto de conciliación ante el IMAC, consignada en el resultando de hechos probados de la Sentencia de la Magistratura; al considerar el Tribunal Supremo que tal fecha fue la de 23 de noviembre de 1983, entendió transcurrido con exceso el plazo de caducidad previsto en el art. 59.3 del Estatuto de los Trabajadores. </w:t>
      </w:r>
    </w:p>
    <w:p w:rsidR="00256EE9" w:rsidRDefault="00256EE9" w:rsidP="00256EE9">
      <w:pPr>
        <w:pStyle w:val="TextoNormal"/>
      </w:pPr>
      <w:r>
        <w:t xml:space="preserve">Pero el recurrente destaca que tal fecha es errónea. Por un mero error mecanográfico se consignó en la Sentencia la fecha de 23 de noviembre cuando la fecha real fue la de 29 de noviembre del mismo año, tal como consta en la certificación original expedida por el IMAC y que consta unida a los Autos. Si se tiene en cuenta, como hizo la Sentencia de instancia, la fecha correcta, la acción no ha caducado. Ha sido por ello un mero error mecanográfico el que ha causado un fallo que lesiona el derecho a una tutela judicial efectiva del solicitante. </w:t>
      </w:r>
    </w:p>
    <w:p w:rsidR="00256EE9" w:rsidRDefault="00256EE9" w:rsidP="00256EE9">
      <w:pPr>
        <w:pStyle w:val="TextoNormal"/>
      </w:pPr>
      <w:r>
        <w:t>El recurso de aclaración no fue estimado.</w:t>
      </w:r>
    </w:p>
    <w:p w:rsidR="00256EE9" w:rsidRDefault="00256EE9" w:rsidP="00256EE9">
      <w:pPr>
        <w:pStyle w:val="TextoNormal"/>
      </w:pPr>
    </w:p>
    <w:p w:rsidR="00256EE9" w:rsidRDefault="00256EE9" w:rsidP="00256EE9">
      <w:pPr>
        <w:pStyle w:val="TextoNormal"/>
      </w:pPr>
      <w:r w:rsidRPr="00256EE9">
        <w:rPr>
          <w:rStyle w:val="NumeroAFNegritaCaracter"/>
        </w:rPr>
        <w:t>2</w:t>
      </w:r>
      <w:r>
        <w:t>. Contra las referidas Sentencias se interpuso el presente recurso de amparo por don Francisco Ligero Jiménez mediante demanda presentada el 9 de febrero pasado, sustancialmente, fundada en la vulneración de los arts. 14 y 24 de la Constitución, entendiendo el recurrente que se le ha privado de la tutela judicial efectiva por un mero error de hecho que debió ser corregido.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13 de marzo se acordó oír al demandante de amparo y al Ministerio Fiscal acerca de la posible inadmisión del recurso por la causa que regula el art. 50.2 b) de la Ley Orgánica de este Tribunal (LOTC) por cuanto la demanda pudiera carecer manifiestamente de contenido que justifique una decisión por parte del Tribunal. </w:t>
      </w:r>
    </w:p>
    <w:p w:rsidR="00256EE9" w:rsidRDefault="00256EE9" w:rsidP="00256EE9">
      <w:pPr>
        <w:pStyle w:val="TextoNormal"/>
      </w:pPr>
      <w:r>
        <w:lastRenderedPageBreak/>
        <w:t xml:space="preserve">El recurrente ha alegado que la inexcusable delicadeza de la materia que en el trámite de admisión se ha de manejar en supuestos como el planteado por la providencia de esa Sala que ha dado lugar al presente trámite, se hace resaltar en la LOTC con el adverbio «manifiestamente». </w:t>
      </w:r>
    </w:p>
    <w:p w:rsidR="00256EE9" w:rsidRDefault="00256EE9" w:rsidP="00256EE9">
      <w:pPr>
        <w:pStyle w:val="TextoNormal"/>
      </w:pPr>
      <w:r>
        <w:t xml:space="preserve">Considerando el recurrente que es necesario realizar, dentro del trámite conferido, una aportación documental de carácter complementario a la ya realizada con el escrito inicial de demanda, que se limitó a dar debido cumplimiento a la exigencia establecida en el art. 49.2 de la LOTC. Los documentos a que se refiere son los siguientes: 1.° Certificación expedida por el Instituto de Mediación, Arbitraje y Conciliación de Madrid, y que acredita que el acto de conciliación previo a la vía judicial, fue celebrado el día 29 de noviembre de 1983. 2.° Escrito de formalización del recurso de casación ante la Sala Sexta del Tribunal Supremo, realizado por la representación procesal de «Rumasa, S. A.». </w:t>
      </w:r>
    </w:p>
    <w:p w:rsidR="00256EE9" w:rsidRDefault="00256EE9" w:rsidP="00256EE9">
      <w:pPr>
        <w:pStyle w:val="TextoNormal"/>
      </w:pPr>
      <w:r>
        <w:t xml:space="preserve">3.° Escrito de impugnación del recurso de casación, realizado por la representación procesal de don Francisco Ligero Jiménez, hoy recurrente en amparo. 4.° Dictamen emitido por el Fiscal sobre la procedencia del recurso de casación planteado por «Rumasa, S. A.» Valora dicha aportación documental en el siguiente sentido: </w:t>
      </w:r>
    </w:p>
    <w:p w:rsidR="00256EE9" w:rsidRDefault="00256EE9" w:rsidP="00256EE9">
      <w:pPr>
        <w:pStyle w:val="TextoNormal"/>
      </w:pPr>
      <w:r>
        <w:t xml:space="preserve">1) El documento núm. 1 acredita indubitadamente la fecha casi de celebración del acto de conciliación: el día 29 de noviembre de 1983, y no el 23 del mismo mes y año, que por un simple error mecanográfico resulta consignado como fecha en los hechos probados de la Sentencia de la Magistratura de Trabajo núm. 12 de Madrid, del 26 de marzo de 1984. </w:t>
      </w:r>
    </w:p>
    <w:p w:rsidR="00256EE9" w:rsidRDefault="00256EE9" w:rsidP="00256EE9">
      <w:pPr>
        <w:pStyle w:val="TextoNormal"/>
      </w:pPr>
      <w:r>
        <w:t xml:space="preserve">2) El documento núm. 2, en lo que interesa a efectos del presente recurso, revela la forma en que «Rumasa, S. A.» planteó la cuestión de caducidad a través del motivo tercero en el escrito de formalización del recurso de casación. En este punto, la recurrente, perfectamente conocedora de la técnica procesal y limitaciones formales a los efectos del recurso de casación, dedujo la misma argumentación que había planteado en el acto del juicio oral sobre despido en la Magistratura de Trabajo núm. 12 de Madrid, pero en ningún momento, como puede apreciarse de la simple lectura del motivo tercero aludido, planteó la caducidad en base a la fecha de celebración del acto de conciliación, por una mínima congruencia procesal, y en cualquier caso, para no infringir la conocida doctrina de las «cuestiones nuevas», que derivan muy directamente del carácter esencialmente revisor que implica cualquier recurso de casación. </w:t>
      </w:r>
    </w:p>
    <w:p w:rsidR="00256EE9" w:rsidRDefault="00256EE9" w:rsidP="00256EE9">
      <w:pPr>
        <w:pStyle w:val="TextoNormal"/>
      </w:pPr>
      <w:r>
        <w:t xml:space="preserve">3) El documento núm. 3 (escrito de impugnación del recurso de casación), se limitó, en buena técnica procesal a analizar los tres motivos de casación deducidos en su escrito de formalización por «Rumasa, S. A.», sin entrar a considerar, por pura imposibilidad material y legal cualquier otro dato, circunstancia o argumentación jurídica al margen de la fundamentación contenida en el escrito de formalización del recurso de la Entidad recurrente. </w:t>
      </w:r>
    </w:p>
    <w:p w:rsidR="00256EE9" w:rsidRDefault="00256EE9" w:rsidP="00256EE9">
      <w:pPr>
        <w:pStyle w:val="TextoNormal"/>
      </w:pPr>
      <w:r>
        <w:t xml:space="preserve">4) Finalmente, y en pura congruencia con todo lo anterior, el dictamen emitido por el Fiscal (documento núm. 4), se limita igualmente a considerar tanto la realidad de los hechos como los motivos deducidos en el recurso de casación, terminando por considerar improcedente dicho recurso. </w:t>
      </w:r>
    </w:p>
    <w:p w:rsidR="00256EE9" w:rsidRDefault="00256EE9" w:rsidP="00256EE9">
      <w:pPr>
        <w:pStyle w:val="TextoNormal"/>
      </w:pPr>
      <w:r>
        <w:t xml:space="preserve">En conclusión, «la disparidad de fechas» en cuanto a la celebración del acto de conciliación, nunca fue objeto de contradicción procesal, a pesar de todo lo cual la Sala de lo Social del Tribunal Supremo, en la primera de sus Sentencias, del día 26 de diciembre de 1984, en el primero de sus considerandos se pronuncia literalmente afirmando que «fue efectivamente pues, infringido en la Sentencia de instancia, como se denuncia con adecuado amparo en el art. 167.1 del texto de Procedimiento Laboral en el motivo tercero del recurso, siquiera sea siguiendo una argumentación equivocada, y sin mención expresa del </w:t>
      </w:r>
      <w:r>
        <w:lastRenderedPageBreak/>
        <w:t xml:space="preserve">concepto de la infracción, que claro resulta quiso ser el de interpretación errónea, dado que el Magistrado a quo lo cita expresamente, y dadas también las alegaciones de la parte». En esta resolución el Tribunal Supremo parece ser estima «de oficio» un motivo a efectos de casación no deducido por la Entidad recurrente; y además, casa la Sentencia de la Magistratura de Trabajo núm. 12 en base a un puro error mecanográfico que es perfectamente constatable, tanto por la certificación, que por duplicado figura unida en los Autos, así como a través de la postura procesal mantenida por ambas partes en el acto del juicio oral, que estuvieron conformes en la tantas veces alegada fecha real de celebración del acto de conciliación. </w:t>
      </w:r>
    </w:p>
    <w:p w:rsidR="00256EE9" w:rsidRDefault="00256EE9" w:rsidP="00256EE9">
      <w:pPr>
        <w:pStyle w:val="TextoNormal"/>
      </w:pPr>
      <w:r>
        <w:t xml:space="preserve">A título de ejemplo, de lo que el Tribunal Supremo debió haber hecho a la vista del error mecanográfico contenido en la Sentencia de la Magistratura de Trabajo núm. 12 de Madrid, hace referencia expresa a la Sentencia de la Sala Sexta del Tribunal Supremo de 21 de diciembre de 1984 en que la misma Sala del Tribunal Supremo, al resolver un recurso de casación laboral, practica de oficio la corrección de un error mecanográfico en cuanto a una fecha. </w:t>
      </w:r>
    </w:p>
    <w:p w:rsidR="00256EE9" w:rsidRDefault="00256EE9" w:rsidP="00256EE9">
      <w:pPr>
        <w:pStyle w:val="TextoNormal"/>
      </w:pPr>
      <w:r>
        <w:t>Concluye el demandante que los derechos y libertades que se entienden violados lo son en relación con lo establecido en los arts. 14 y 24, ambos de nuestro Texto Constitucional, dando por íntegramente reproducidos en este extremo, todos los fundamentos jurídicos contenidos en la demanda.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En el trámite referido del art. 50 de la LOTC, el Ministerio Fiscal expone en su escrito de alegaciones que, aunque hipotéticamente se admitiera la existencia del error de fecha que se denuncia respecto de la Sentencia que dictó la Magistratura, debió y pudo corregirse ese error mediante el oportuno recurso de aclaración ante el mismo Magistrado de Trabajo, como preveen y resulta según doctrina unánime, los arts. 91 y 188 de la Ley de Procedimiento Laboral y 363 de la Ley de Enjuiciamiento Civil. Pretender que, después de interpuesto y resuelto el recurso de casación, sea precisamente el Tribunal Supremo quien rectifique un «error» de la Sentencia dictada por el Magistrado de Trabajo es improcedente con arreglo a la Ley y a la propia naturaleza de la casación. </w:t>
      </w:r>
    </w:p>
    <w:p w:rsidR="00256EE9" w:rsidRDefault="00256EE9" w:rsidP="00256EE9">
      <w:pPr>
        <w:pStyle w:val="TextoNormal"/>
      </w:pPr>
      <w:r>
        <w:t xml:space="preserve">Por otra parte, la actuación del Tribunal Supremo se enmarca entre las de mera legalidad, al margen del recurso de amparo y no puede ser objeto del conocimiento de este Alto Tribunal «aunque se invoquen errores, equivocaciones»... «o en definitiva la injusticia de tales resoluciones»... (Auto de 2 de noviembre de 1983). </w:t>
      </w:r>
    </w:p>
    <w:p w:rsidR="00256EE9" w:rsidRDefault="00256EE9" w:rsidP="00256EE9">
      <w:pPr>
        <w:pStyle w:val="TextoNormal"/>
      </w:pPr>
      <w:r>
        <w:t>Lo dicho significa que no parece deducirse de las actuaciones vulneración del derecho de igualdad, faltando incluso el término comparativo concreto, ni del derecho de tutela judicial efectiva que en términos de legalidad se ha prestado por los órganos judiciales.</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A criterio del recurrente la Sala Sexta del Tribunal Supremo estima caducada la acción porque incurre en error en el cómputo del plazo al tomar como fecha de celebración del previo acto de conciliación el día 23 de noviembre, siendo que tuvo lugar el día 29 del propio mes, a lo que fue inducida la Sala por la constancia errónea de ese dato cronológico en el resultando de hechos probados de la Sentencia de instancia.  Atendido lo cual es de todo punto imposible advertir relación alguna entre esa situación y la desigualdad en la aplicación de la Ley, que como primer motivo se invoca en este recurso de amparo, con </w:t>
      </w:r>
      <w:r>
        <w:lastRenderedPageBreak/>
        <w:t>cita del art.  14 de la Constitución, planteamiento tan impropio que hasta llega a dificultar el razonamiento que lo repudie, como no sea la simple exposición de su incoherencia.</w:t>
      </w:r>
    </w:p>
    <w:p w:rsidR="00256EE9" w:rsidRDefault="00256EE9" w:rsidP="00256EE9">
      <w:pPr>
        <w:pStyle w:val="TextoNormal"/>
      </w:pPr>
    </w:p>
    <w:p w:rsidR="00256EE9" w:rsidRDefault="00256EE9" w:rsidP="00256EE9">
      <w:pPr>
        <w:pStyle w:val="TextoNormal"/>
      </w:pPr>
      <w:r w:rsidRPr="00256EE9">
        <w:rPr>
          <w:rStyle w:val="NumeroAFNegritaCaracter"/>
        </w:rPr>
        <w:t>2</w:t>
      </w:r>
      <w:r>
        <w:t>. En cuanto a la también alegada vulneración del derecho establecido en el art. 24 de la misma Constitución, que se pretende soportar igualmente en lo resumido en el fundamento que antecede, es de notar que, con abstracción de que por la vía del amparo constitucional no se puede arbitrar una especie de recurso por error de hecho demostrado documentalmente, el preclusivo plazo de veinte días determinante de la caducidad de la acción por despido, había transcurrido tanto si el acto de conciliación tuvo efecto el día 23 ó 29 del mes de noviembre, ya que el despido se produjo el día 19 de octubre, la demanda de conciliación se presentó el 11 de noviembre y la demanda ante la Magistratura el 2 de diciembre; todo ello al margen, como ya se apuntó, de que éste no es un tema propio de este Tribunal, sino de la jurisdicción ordinaria.  ante la que, en las dos instancias o grados, se suscitó la caducidad de la acción, llegándose incluso a interponer un recurso de aclaración de la Sentencia de casación, absteniéndose la parte hoy recurrente de aportar copia del definitivo Auto.</w:t>
      </w:r>
    </w:p>
    <w:p w:rsidR="00256EE9" w:rsidRDefault="00256EE9" w:rsidP="00256EE9">
      <w:pPr>
        <w:pStyle w:val="TextoNormal"/>
      </w:pPr>
    </w:p>
    <w:p w:rsidR="00256EE9" w:rsidRDefault="00256EE9" w:rsidP="00256EE9">
      <w:pPr>
        <w:pStyle w:val="TextoNormal"/>
      </w:pPr>
      <w:r w:rsidRPr="00256EE9">
        <w:rPr>
          <w:rStyle w:val="NumeroAFNegritaCaracter"/>
        </w:rPr>
        <w:t>3</w:t>
      </w:r>
      <w:r>
        <w:t>. En atención a lo expuesto, procede aplicar lo establecido en el artículo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inadmisión de este recurso de amparo.</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4" w:name="AUTO_1985_253"/>
      <w:r>
        <w:lastRenderedPageBreak/>
        <w:t>AUTO 253/1985, de 17 de abril de 1985</w:t>
      </w:r>
    </w:p>
    <w:bookmarkEnd w:id="314"/>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ECLI:ES:TC:1985:253A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102/1985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9 de febrero de 1985 tuvo entrada en este Tribunal escrito del Procurador don José María Abad Tundidor, en nombre y representación de don Pablo Alemán Vera, interponiendo recurso de amparo contra la Sentencia de la Audiencia Provincial de Las Palmas de 20 de diciembre de 1983, que condenó al solicitante del amparo, como cómplice responsable de un delito de asesinato, a la pena de cuatro años, dos meses y un día de prisión menor, accesorias y a indemnizar a los perjudicados; y contra la Sentencia del Tribunal Supremo de 19 de diciembre de 1984 que declaró no haber lugar al recurso de casación por quebrantamiento de forma e infracción de Ley interpuesto frente a la anterior resolución. </w:t>
      </w:r>
    </w:p>
    <w:p w:rsidR="00256EE9" w:rsidRDefault="00256EE9" w:rsidP="00256EE9">
      <w:pPr>
        <w:pStyle w:val="TextoNormal"/>
      </w:pPr>
      <w:r>
        <w:t xml:space="preserve">La demanda se basa en los siguientes hechos y alegaciones: </w:t>
      </w:r>
    </w:p>
    <w:p w:rsidR="00256EE9" w:rsidRDefault="00256EE9" w:rsidP="00256EE9">
      <w:pPr>
        <w:pStyle w:val="TextoNormal"/>
      </w:pPr>
      <w:r>
        <w:t xml:space="preserve">a) Antonius Gerardius María Fens había apuñalado al hermano del demandante, José Miguel Alemán Vera, lo que dio lugar a la instrucción de un sumario por homicidio frustrado. Habiendo quedado Fens en libertad condicional bajo fianza, se dedicó a acosar al padre del demandante con amenazas de muerte, por lo que fue denunciado ante la Guardia Civil y se abrieron diligencias previas. La Guardia Civil se presentó en casa de Carmen van der Tuyn en busca de Fens, al que no pudo detener debido a una falsa información suministrada por el luego testigo de cargo José Manuel Fleitas Hernández. Al no conseguir protección eficaz para su padre, en unión de su hermano Francisco Eloy, éste armado de un cuchillo, y el actual demandante de una escopeta de caza sin cargar, decidieron detener por su cuenta a Fens, que se alojaba en el domicilio de la que habría de resultar víctima de los hechos enjuiciados Carmen van der Tuyn. Convivían con Fens otros extranjeros, de los que se dice que consta en el sumario que estaban indocumentados, y armados, suponiendo un peligro entrar en la finca aislada que ocupaban. Francisco Eloy causó la muerte de Carmen van der Tuyn fuera de la presencia del demandante, entregándose de inmediato ambos hermanos a la Guardia Civil, a la que le relataron los hechos ocurridos. </w:t>
      </w:r>
    </w:p>
    <w:p w:rsidR="00256EE9" w:rsidRDefault="00256EE9" w:rsidP="00256EE9">
      <w:pPr>
        <w:pStyle w:val="TextoNormal"/>
      </w:pPr>
      <w:r>
        <w:t xml:space="preserve">b) Las declaraciones de los hermanos Alemán Vera, «contestes a lo largo de todo el sumario y del juicio oral», fueron: a) Que acudieron a la casa de Carmen van der Tuyn en busca de Antonius Gerardius María Fens con la intención de amedrentarle y detenerle para entregarlo a la Guardia Civil, a fin de evitar que causara mal a su padre. b) Que se pusieron de acuerdo con este exclusivo fin. c) Que no deseaban causar daño a la que luego resultó víctima. d) Que lo único que pretendían de la víctima es que les dijera dónde estaba escondido el tal Fens. e) Que Pablo Alemán le dijo a su hermano que llevara a Carmen </w:t>
      </w:r>
      <w:r>
        <w:lastRenderedPageBreak/>
        <w:t>van der Tuyn hasta el automóvil para conducirla al Cuartel de la Guardia Civil. Añade que Francisco Eloy causó la muerte de Carmen van der Tuyn a más de 100 metros de donde se encontraba su hermano Pablo y los otros testigos, y fuera de su campo de visión.</w:t>
      </w:r>
    </w:p>
    <w:p w:rsidR="00256EE9" w:rsidRDefault="00256EE9" w:rsidP="00256EE9">
      <w:pPr>
        <w:pStyle w:val="TextoNormal"/>
      </w:pPr>
    </w:p>
    <w:p w:rsidR="00256EE9" w:rsidRDefault="00256EE9" w:rsidP="00256EE9">
      <w:pPr>
        <w:pStyle w:val="TextoNormal"/>
      </w:pPr>
      <w:r w:rsidRPr="00256EE9">
        <w:rPr>
          <w:rStyle w:val="NumeroAFNegritaCaracter"/>
        </w:rPr>
        <w:t>2</w:t>
      </w:r>
      <w:r>
        <w:t>. La Audiencia Provincial, en su resolución declaró probado que el demandante y su hermano Francisco Eloy acudieron armados al domicilio de su convecina doña Carmen van der Tuyn, con quien mantenían una grave enemistad, lo que había dado lugar a frecuentes discusiones entre aquéllos y Antonius Gerardius María Fens, amigo íntimo de Carmen, que con anterioridad había apuñalado a un hermano de aquéllos, y el día anterior, presuntamente, había amenazado de muerte al padre de los mismos, razón por la cual le habían denunciado, y la requirieron para que les informara sobre el paradero de Fens. Al no facilitarles la señora Van der Tuyn la información que le habían pedido, fue golpeada por el recurrente y llevada por su hermano por un sendero, donde le ocasionó la muerte, mientras aquél, que conocía tal designio, impedía, amenazando con la escopeta que portaba, que algunas personas presentes pudieran acudir en auxilio de la víctima.</w:t>
      </w:r>
    </w:p>
    <w:p w:rsidR="00256EE9" w:rsidRDefault="00256EE9" w:rsidP="00256EE9">
      <w:pPr>
        <w:pStyle w:val="TextoNormal"/>
      </w:pPr>
    </w:p>
    <w:p w:rsidR="00256EE9" w:rsidRDefault="00256EE9" w:rsidP="00256EE9">
      <w:pPr>
        <w:pStyle w:val="TextoNormal"/>
      </w:pPr>
      <w:r w:rsidRPr="00256EE9">
        <w:rPr>
          <w:rStyle w:val="NumeroAFNegritaCaracter"/>
        </w:rPr>
        <w:t>3</w:t>
      </w:r>
      <w:r>
        <w:t>. El promovente del amparo considera que el resultando de hechos probados de la Sentencia de la Audiencia Provincial, que según él se basa exclusivamente en el testimonio de José Manuel Fleitas Hernández, se vierten varios conceptos inexactos y otros que no fueron probados, y que del examen riguroso del sumario y del acta del juicio oral se derivan cosas completamente distintas, habiéndose, en definitiva, desvirtuado la presunción de inocencia, garantizada en el art. 24.2 de la Constitución, con simples suposiciones y sin que existiera la más mínima prueba de que se había concertado con su hermano para matar a la señora Van der Tuyn o de haber impedido que se acudiera en su ayuda. Por todo ello suplica a este Tribunal qu dicte Sentencia por la que se declare la nulidad de las dos resoluciones impugnadas, restableciéndole en la integridad de su derecho.</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por providencia de 13 de marzo de 1985, acordó poner de manifiesto las siguientes causas de inadmisión: 1.ª La regulada en el artículo 50.1 b), en relación al 49.2 a) de la Ley Orgánica de este Tribunal (LOTC), por no acompañarse documento que acredite la representación del solicitante del amparo, ya que lo presentado es una fotocopia no adverada. 2.ª La del art. 50.2 b) de la LOTC, por cuanto la demanda pudiera carecer de contenido que justifique una decisión por parte de este Tribunal; concediéndoles un plazo común de diez días (art. 50 de la LOTC) para alegaciones.</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Con un escrito que ingresó en este Tribunal el 22 de marzo, el demandante acompañó el poder original por él otorgado; y con otro, registrado el 28 del mismo mes, presentó sus alegaciones. </w:t>
      </w:r>
    </w:p>
    <w:p w:rsidR="00256EE9" w:rsidRDefault="00256EE9" w:rsidP="00256EE9">
      <w:pPr>
        <w:pStyle w:val="TextoNormal"/>
      </w:pPr>
      <w:r>
        <w:t xml:space="preserve">Insiste en dicho escrito en que las Sentencias impugnadas han vulnerado el art. 24.2 de la Constitución. Hace hincapié en dos afirmaciones de la Sentencia del Tribunal Supremo, relativas al «conocimiento previo de las eventuales intenciones del autor director de la muerte» y a «la existencia de un acuerdo previo», asegurando que no hay pruebas concretas y mínimas que las acrediten, rebajándose con ello las exigencias constitucionales al respecto, y reiterando la referencia a errores y afirmaciones que no resultan en modo alguno de la lectura de lo actuado. De ahí que a su juicio la demanda tenga contenido constitucional, con mención expresa de la Sentencia de este Tribunal de 28 de julio de 1981, y el ruego de que se admita el recurso. </w:t>
      </w:r>
    </w:p>
    <w:p w:rsidR="00256EE9" w:rsidRDefault="00256EE9" w:rsidP="00256EE9">
      <w:pPr>
        <w:pStyle w:val="TextoNormal"/>
      </w:pPr>
      <w:r>
        <w:lastRenderedPageBreak/>
        <w:t>En su tercer escrito registrado el 22 de marzo, el demandante solicitó la suspensión de la ejecución de la Sentencia de la Audiencia Provincial de Las Palmas, por cuanto la privación de la libertad mientras dure la tramitación del recurso de amparo le haría perder a éste su finalidad.</w:t>
      </w:r>
    </w:p>
    <w:p w:rsidR="00256EE9" w:rsidRDefault="00256EE9" w:rsidP="00256EE9">
      <w:pPr>
        <w:pStyle w:val="TextoNormal"/>
      </w:pPr>
    </w:p>
    <w:p w:rsidR="00256EE9" w:rsidRDefault="00256EE9" w:rsidP="00256EE9">
      <w:pPr>
        <w:pStyle w:val="TextoNormal"/>
      </w:pPr>
      <w:r w:rsidRPr="00256EE9">
        <w:rPr>
          <w:rStyle w:val="NumeroAFNegritaCaracter"/>
        </w:rPr>
        <w:t>6</w:t>
      </w:r>
      <w:r>
        <w:t>. El Fiscal ante el Tribunal Constitucional, en escrito de 27 de marzo, alegó en síntesis que la jurisprudencia de este Tribunal es constante en afirmar que la valoración de la prueba corresponde al Juzgador y pretender una nueva valoración conforme a las pretensiones del recurrente, equivale a convertir la jurisdicción constitucional en una tercera instancia. La violación de la presunción de inocencia sólo se daría si no hubiese habido la mínima actividad probatoria, lo cual no se ha producido en este caso, en el que había datos suficientes para apreciar las intenciones, el conocimiento y la actitud del recurrente, la condena no se ha basado en suposiciones, sino en hechos acreditados, y el Tribunal de instancia ha razonado motivadamente su apreciación de los mismos, por lo que concurre la causa de inadmisión del art. 50.2 b) de la LOTC. También concurriría la del art. 49.2 a), si el recurrente no subsanase la falta de adveración del poder de representación o no acompañase el original del mismo.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Como resulta del primer apartado del antecedente 5, el recurrente ha subsanado la causa de inadmisibilidad contemplada en el art.  50.1 b) en relación al 49.2 a), ambos de la LOTC, señalada en nuestra providencia de 13 de marzo último.</w:t>
      </w:r>
    </w:p>
    <w:p w:rsidR="00256EE9" w:rsidRDefault="00256EE9" w:rsidP="00256EE9">
      <w:pPr>
        <w:pStyle w:val="TextoNormal"/>
      </w:pPr>
    </w:p>
    <w:p w:rsidR="00256EE9" w:rsidRDefault="00256EE9" w:rsidP="00256EE9">
      <w:pPr>
        <w:pStyle w:val="TextoNormal"/>
      </w:pPr>
      <w:r w:rsidRPr="00256EE9">
        <w:rPr>
          <w:rStyle w:val="NumeroAFNegritaCaracter"/>
        </w:rPr>
        <w:t>2</w:t>
      </w:r>
      <w:r>
        <w:t>. En cuanto a la otra causa, insubsanable, prevista en el art.  50.2 b), no puede decirse que el recurrente haya logrado hacer ver su inexistencia.</w:t>
      </w:r>
    </w:p>
    <w:p w:rsidR="00256EE9" w:rsidRDefault="00256EE9" w:rsidP="00256EE9">
      <w:pPr>
        <w:pStyle w:val="TextoNormal"/>
      </w:pPr>
      <w:r>
        <w:t>La violación del derecho a la presunción de inocencia, reconocido en el art.  24.2 de la Constitución, se produce, de acuerdo con la doctrina sentada por este Tribunal desde su Sentencia 31/1981, de 28 de julio, cuando la culpabilidad del procesado se afirma sin la existencia de una actividad probatoria producida con las debidas garantías procesales.</w:t>
      </w:r>
    </w:p>
    <w:p w:rsidR="00256EE9" w:rsidRDefault="00256EE9" w:rsidP="00256EE9">
      <w:pPr>
        <w:pStyle w:val="TextoNormal"/>
      </w:pPr>
      <w:r>
        <w:t>En el presente caso no resulta de las Sentencias impugnadas que tal cosa haya sucedido.  Del resultando de hechos probados de la Sentencia de la Audiencia y del último considerando de la del Tribunal Supremo se desprende que los hechos en los que intervino el demandante activamente fueron presenciados por varios testigos, dos de los cuales prestaron declaración en el atestado policial, en el sumario y en el juicio oral, y por consiguiente pudieron ser objeto de contradicción a presencia judicial.  Por lo tanto, la prueba se produjo, cumpliéndose suficientemente la exigencia de deducir la culpabilidad del recurrente luego de haberla ponderado, habiéndose tenido en cuenta por la Audiencia las circunstancias atenuantes de arrebato y de arrepentimiento espontáneo, y valoró el impacto causado por el hecho de que el amigo de la víctima hubiera apuñalado a un hermano del recurrente.  En cuanto a la forma en que la referida prueba haya sido apreciada por los juzgadores, es materia que no corresponde a este Tribunal enjuiciar ni enmendar, ofreciendo una interpretación y valoración distinta, como tantas veces ha dicho.  En definitiva, existe por parte del recurrente una valoración distinta de las pruebas; pero pretender, como observa el Ministerio Fiscal, que por esta divergencia este Tribunal lleve a cabo una nueva valoración equivaldría a desvirtuar el recurso de amparo, que no puede hacer las veces de tercera instancia.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 no siendo, en consecuencia, procedente pronunciamiento alguno sobre la suspensión de la ejecución de la Sentencia condenatoria.</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5" w:name="AUTO_1985_254"/>
      <w:r>
        <w:lastRenderedPageBreak/>
        <w:t>AUTO 254/1985, de 17 de abril de 1985</w:t>
      </w:r>
    </w:p>
    <w:bookmarkEnd w:id="315"/>
    <w:p w:rsidR="00256EE9" w:rsidRDefault="00256EE9" w:rsidP="00256EE9">
      <w:pPr>
        <w:pStyle w:val="TtuloResolucin"/>
      </w:pPr>
      <w:r>
        <w:t>Sección Tercera</w:t>
      </w:r>
    </w:p>
    <w:p w:rsidR="00256EE9" w:rsidRDefault="00256EE9" w:rsidP="00256EE9">
      <w:pPr>
        <w:pStyle w:val="TtuloResolucin"/>
      </w:pPr>
    </w:p>
    <w:p w:rsidR="00256EE9" w:rsidRDefault="00256EE9" w:rsidP="00256EE9">
      <w:pPr>
        <w:pStyle w:val="SntesisDescriptiva"/>
      </w:pPr>
      <w:r>
        <w:t>ECLI:ES:TC:1985:254A</w:t>
      </w:r>
    </w:p>
    <w:p w:rsidR="00256EE9" w:rsidRDefault="00256EE9" w:rsidP="00256EE9">
      <w:pPr>
        <w:pStyle w:val="SntesisDescriptiva"/>
      </w:pPr>
    </w:p>
    <w:p w:rsidR="00256EE9" w:rsidRDefault="00256EE9" w:rsidP="00256EE9">
      <w:pPr>
        <w:pStyle w:val="SntesisDescriptiva"/>
      </w:pPr>
      <w:r>
        <w:t>Excms. Srs. don Jerónimo Arozamena Sierra, don Francisco Rubio Llorente y don Antonio Truyol Serra.</w:t>
      </w:r>
    </w:p>
    <w:p w:rsidR="00256EE9" w:rsidRDefault="00256EE9" w:rsidP="00256EE9">
      <w:pPr>
        <w:pStyle w:val="SntesisDescriptiva"/>
      </w:pPr>
    </w:p>
    <w:p w:rsidR="00256EE9" w:rsidRDefault="00256EE9" w:rsidP="00256EE9">
      <w:pPr>
        <w:pStyle w:val="SntesisDescriptiva"/>
      </w:pPr>
      <w:r>
        <w:t>Acordando la inadmisión a trámite del recurso de amparo 115/1985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Joaquín Miralles Brell y su esposa, doña Rosario Bernat Martínez, representados por el Procurador don Juan Luis Pérez Mulet Suárez y asistidos de Letrado, interpusieron recurso de amparo, mediante escrito que tuvo entrada el 14 de febrero de 1985, contra Sentencia del Juzgado de Distrito núm. 10 de Valencia de 15 de diciembre de 1984, dictada en juicio verbal de desahucio por falta de pago núm. 255/1984, seguido a instancia de los recurrentes contra Autocares López, S. A., y Sociedad Cooperativa Codiva; Sentencia que fue confirmada en apelación por la del Juzgado de Primera Instancia núm. 1 de Valencia de 18 de enero de 1985. </w:t>
      </w:r>
    </w:p>
    <w:p w:rsidR="00256EE9" w:rsidRDefault="00256EE9" w:rsidP="00256EE9">
      <w:pPr>
        <w:pStyle w:val="TextoNormal"/>
      </w:pPr>
      <w:r>
        <w:t xml:space="preserve">Los hechos en que se fundamenta la demanda, cuya desordenada exposición se entremezcla con muy diversas consideraciones jurídicas, son en esencia, según se desprende de la propia demanda y de la documentación aportada, los siguientes: </w:t>
      </w:r>
    </w:p>
    <w:p w:rsidR="00256EE9" w:rsidRDefault="00256EE9" w:rsidP="00256EE9">
      <w:pPr>
        <w:pStyle w:val="TextoNormal"/>
      </w:pPr>
      <w:r>
        <w:t xml:space="preserve">a) Los solicitantes de amparo notificaron por carta de 11 de junio de 1984 a las Entidades mercantiles antes referidas, arrendatarias de determinadas naves o locales de negocio, un aumento de la renta, hasta un importe de 139.750 pesetas, pero cometiéndose -se dice- «el error de aplicar el índice de un año en lugar de los dos pactados en el contrato». Dicho «error» habría sido «salvado» mediante la notificación del «aumento definitivo» -del que resultaría una renta de 156.125 pesetas mensuales- por carta de 5 de septiembre de 1984, habiendo transcurrido el plazo de treinta días sin que las entidades mercantiles rechazaran tal aumento «expresamente y por escrito», como exigiría el art. 101 de la Ley de Arrendamientos Urbanos. </w:t>
      </w:r>
    </w:p>
    <w:p w:rsidR="00256EE9" w:rsidRDefault="00256EE9" w:rsidP="00256EE9">
      <w:pPr>
        <w:pStyle w:val="TextoNormal"/>
      </w:pPr>
      <w:r>
        <w:t xml:space="preserve">b) No obstante, surgió al parecer disconformidad entre arrendadores y Entidades arrendatarias acerca de cuál había de ser el aumento de la renta aplicable. </w:t>
      </w:r>
    </w:p>
    <w:p w:rsidR="00256EE9" w:rsidRDefault="00256EE9" w:rsidP="00256EE9">
      <w:pPr>
        <w:pStyle w:val="TextoNormal"/>
      </w:pPr>
      <w:r>
        <w:t xml:space="preserve">c) Los solicitantes de amparo formularon demanda de juicio verbal de desahucio contra las Entidades arrendatarias por falta de pago de parte de la renta del mes de julio y de la renta de los meses de agosto y sucesivos. </w:t>
      </w:r>
    </w:p>
    <w:p w:rsidR="00256EE9" w:rsidRDefault="00256EE9" w:rsidP="00256EE9">
      <w:pPr>
        <w:pStyle w:val="TextoNormal"/>
      </w:pPr>
      <w:r>
        <w:t xml:space="preserve">d) Las Entidades demandadas ofrecieron a los arrendadores el 5 de noviembre de 1984, con posterioridad -se dice- a la interposición de la demanda de desahucio, el pago mediante talones que no fueron hechos efectivos de la renta de los meses de agosto a noviembre del mismo año a razón de 139.750 pesetas mensuales. </w:t>
      </w:r>
    </w:p>
    <w:p w:rsidR="00256EE9" w:rsidRDefault="00256EE9" w:rsidP="00256EE9">
      <w:pPr>
        <w:pStyle w:val="TextoNormal"/>
      </w:pPr>
      <w:r>
        <w:t>e) Las Entidades demandadas se opusieron a la demanda, alegando que ésta se basaba en rentas ya abonadas y en otras cuya cuantía excedía de la fijada en el contrato, pero con</w:t>
      </w:r>
      <w:r>
        <w:lastRenderedPageBreak/>
        <w:t xml:space="preserve">signando, no obstante, a resultas del procedimiento, el total importe de las rentas indicadas en la demanda como adeudadas. </w:t>
      </w:r>
    </w:p>
    <w:p w:rsidR="00256EE9" w:rsidRDefault="00256EE9" w:rsidP="00256EE9">
      <w:pPr>
        <w:pStyle w:val="TextoNormal"/>
      </w:pPr>
      <w:r>
        <w:t xml:space="preserve">f) El Juez de Distrito núm. 10 de Valencia dictó Sentencia de 15 de diciembre de 1984, de la que se acompaña testimonio, en la que, tras interpretar la cláusula de estabilización pactada por las partes y tras considerar que la renta contractual era la incrementada según la notificación de 11 de junio de 1984 -139.750 pesetas mensuales-, declaró enervada la acción resolutoria del contrato de arrendamiento por falta de pago, por haber consignado las Entidades demandadas las rentas en descubierto en esa cuantía, sin hacer expreso pronunciamiento sobre costas. </w:t>
      </w:r>
    </w:p>
    <w:p w:rsidR="00256EE9" w:rsidRDefault="00256EE9" w:rsidP="00256EE9">
      <w:pPr>
        <w:pStyle w:val="TextoNormal"/>
      </w:pPr>
      <w:r>
        <w:t xml:space="preserve">g) En la demanda de amparo se dice haberse hecho constar formalmente en autos, una vez notificada la Sentencia, la violación del art. 14 de la Constitución (C.E.) por el trato discriminatorio consistente en la inaplicación de la legalidad sobre la no discusión de temas ajenos al desahucio en dicho procedimiento y sobre la imposición de costas a los demandados. </w:t>
      </w:r>
    </w:p>
    <w:p w:rsidR="00256EE9" w:rsidRDefault="00256EE9" w:rsidP="00256EE9">
      <w:pPr>
        <w:pStyle w:val="TextoNormal"/>
      </w:pPr>
      <w:r>
        <w:t xml:space="preserve">h) Interpuesto recurso de apelación, reiterándose -se dice- la alegación de violación del art. 24 de la C. E., fue dictada Sentencia desestimatoria del Juzgado de Primera Instancia núm. 1 de Valencia de 18 de enero de 1985, de la que igualmente se acompaña testimonio, notificada el 24 de enero. </w:t>
      </w:r>
    </w:p>
    <w:p w:rsidR="00256EE9" w:rsidRDefault="00256EE9" w:rsidP="00256EE9">
      <w:pPr>
        <w:pStyle w:val="TextoNormal"/>
      </w:pPr>
      <w:r>
        <w:t>Mediante esta última Sentencia fue confirmada la apelada, sin hacerse expresa imposición de costas.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la demanda de amparo se cita como infringido el art. 14 de la C. E., por la inaplicación a los solicitantes de amparo de determinados preceptos y principios, tales como: a) la doctrina sobre imposibilidad de pronunciamiento sobre particulares ajenos al desahucio por falta de pago en dicho procedimiento, sino en otro declarativo ulterior; b) el art. 101 de la Ley de Arrendamientos Urbanos (LAU), párrafo 2.°, apartados 1.°, 2.°, 3.° y 4.°, sobre notificación de los aumentos de renta a los arrendatarios, y su aceptación expresa o tácita por éstos; c) el art. 149.3 de la LAU, sobre imposición de costas en los desahucios por falta de pago; d) los arts. 1.176 y ss. del Código Civil, sobre consignación judicial. Se acompaña testimonio de diversas Sentencias dictadas en procedimientos dirigidos por el mismo Letrado que suscribe la demanda de amparo, con el fin de acreditar la doctrina sobre imposición de costas y no consideración de temas ajenos a los desahucios «en juicios prácticamente idénticos al que hoy es objeto del presente recurso». </w:t>
      </w:r>
    </w:p>
    <w:p w:rsidR="00256EE9" w:rsidRDefault="00256EE9" w:rsidP="00256EE9">
      <w:pPr>
        <w:pStyle w:val="TextoNormal"/>
      </w:pPr>
      <w:r>
        <w:t xml:space="preserve">Se solicita que se declare la nulidad de la Sentencia impugnada del Juzgado de Distrito y de la confirmatoria del Juzgado de Primera Instancia y «se tomen las medidas oportunas para que se dicte otra en la que no se pronuncie sobre particulares ajenos al desahucio y conlleve la imposición de costas a las codemandadas, reconociendo expresamente el derecho del recurrente a ser tratado en igualdad de condiciones con los demás ciudadanos en casos iguales». </w:t>
      </w:r>
    </w:p>
    <w:p w:rsidR="00256EE9" w:rsidRDefault="00256EE9" w:rsidP="00256EE9">
      <w:pPr>
        <w:pStyle w:val="TextoNormal"/>
      </w:pPr>
      <w:r>
        <w:t>Por otrosí se solicita la suspensión de la Sentencia recurrida, por ser «del interés de esta representación».</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por providencia de 13 de marzo, acordó poner de manifiesto a los recurrentes y al Ministerio Fiscal la posible existencia de la causa de inadmisión que regula el art. 50.2 b) de la Ley Orgánica del Tribunal Constitucional (LOTC), por cuanto la demanda pudiera carecer de contenido que justifique una decisión por parte de este Tribunal: concediéndoles (art. 50 de la LOTC) un plazo común de diez días para alegaciones.</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Los recurrentes presentaron escrito el 18 de marzo, reiterando que se habían dado varias vulneraciones del principio de igualdad por la no aplicación de varios artículos de obligado cumplimiento que hubieran dado resultados distintos en la Sentencia recurrida. Se trata de los arts. 101 y 149.3 de la LAU y el 1.176 del Código Civil, cuya inobservancia supone para el recurrente un trato desigual. Se insiste en que el Juez a quo interpretó una cláusula del contrato en un procedimiento por falta de pago sin que lo pidiera esta parte, existiendo para ello el declarativo correspondiente, y ello según los recurrentes «va minando la base en la que se sustenta la Justicia española». Reiteran por último los recurrentes la referencia a las Sentencias aportadas como muestra de la tramitación normal de los desahucios en este país, todo lo cual asevera que es procedente el recurso.</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el Tribunal Constitucional, en escrito registrado el 20 de marzo, señala que, como en todas las Sentencias aportadas por el recurrente para apoyar su tesis de la violación del principio de igualdad se declara enervada la acción de desahucio por pago o consignación de las rentas y se imponen las costas a la parte demandada, la diferencia con las resoluciones aquí impugnadas está únicamente en la no condena en costas. </w:t>
      </w:r>
    </w:p>
    <w:p w:rsidR="00256EE9" w:rsidRDefault="00256EE9" w:rsidP="00256EE9">
      <w:pPr>
        <w:pStyle w:val="TextoNormal"/>
      </w:pPr>
      <w:r>
        <w:t>Es cierto, añade, que la argumentación de la demanda no marcha por estos derroteros y que de lo que en definitiva culpa a la Sentencia de instancia es de una falta de congruencia, lo cual quiere decir que hay una manifiesta incongruencia entre lo aducido, o buena parte de lo aducido, y el estricto motivo de amparo. Examinando si existe identidad entre el presente caso y los resueltos por dichas Sentencias, indica el Ministerio Fiscal que, por tratarse de órganos judiciales diferentes, bastaría para rechazar el recurso la consideración de que el principio según el cual un mismo órgano no puede modificar arbitrariamente sus decisiones en casos sustancialmente iguales tiene que conectarse, a tenor de la jurisprudencia de este Tribunal, con el principio de independencia de los órganos encargados de la aplicación de la Ley. En el caso de los actores, se trata en realidad de que las rentas estaban ya pagadas al tiempo de pedir la resolución de los arrendamientos y lo que se discutía era si esta renta debía ser más elevada como consecuencia de una interpretación del contrato. Por último, se desprende de la Sentencia de apelación que no se planteó ante el Juez ad quem la cuestión de si procedía o no revisar el fallo de origen en cuanto que no disponía la condena en costas. En conclusión, solicita el Ministerio Fiscal la inadmisión del recurso, por concurrir la causa del art. 50.2 b).</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presente demanda aduce una pretendida infracción del art. 14 de la C. E. por la inaplicación en el proceso en que han sido partes los solicitantes de amparo de determinados preceptos y de una doctrina que se vendrían aplicando «siempre y usualmente» a otros ciudadanos, y se acompaña con tal fin testimonio de cuatro Sentencias de Juzgados de Distrito y de una de un Juzgado de Primera Instancia, en las que se efectúan pronunciamientos sobre condena en costas a los demandados en juicios de desahucio por falta de pago, una vez enervada la acción mediante la correspondiente consignación de las rentas, y, en algunas de ellas, ciertas consideraciones sobre la improcedencia de otros pronunciamientos sobre cuestiones ajenas a la de las costas.</w:t>
      </w:r>
    </w:p>
    <w:p w:rsidR="00256EE9" w:rsidRDefault="00256EE9" w:rsidP="00256EE9">
      <w:pPr>
        <w:pStyle w:val="TextoNormal"/>
      </w:pPr>
      <w:r>
        <w:t>Ahora bien, es preciso tener en cuenta la doctrina de este Tribunal Constitucional referente al principio de igualdad en la aplicación de la Ley por los órganos judiciales.</w:t>
      </w:r>
    </w:p>
    <w:p w:rsidR="00256EE9" w:rsidRDefault="00256EE9" w:rsidP="00256EE9">
      <w:pPr>
        <w:pStyle w:val="TextoNormal"/>
      </w:pPr>
      <w:r>
        <w:lastRenderedPageBreak/>
        <w:t>Se ha declarado, ciertamente, con reiteración, que el principio de igualdad en la aplicación de la Ley por los órganos jurisdiccionales implica que un mismo órgano judicial no puede modificar arbitrariamente el sentido de sus decisiones en casos sustancialmente iguales, pero ello sin perjuicio de la necesidad de cohonestar tal principio con la autonomía de los órganos judiciales en el ejercicio de la exclusiva competencia de juzgar y ejecutar lo juzgado (art.  117.3 de la C. E.), o con «un margen de apreciación del juzgador, indisociable de su función y en la que este Tribunal no podría entrar» (Sentencia 8/1981, de 30 de marzo («Boletín Oficial del Estado» de 14 de abril, fundamento juridico 6).</w:t>
      </w:r>
    </w:p>
    <w:p w:rsidR="00256EE9" w:rsidRDefault="00256EE9" w:rsidP="00256EE9">
      <w:pPr>
        <w:pStyle w:val="TextoNormal"/>
      </w:pPr>
      <w:r>
        <w:t>Sería exigible además para apreciar una violación del derecho a la igualdad en la aplicación de la Ley, de acuerdo con la doctrina anteriormente citada, el que existiese una identidad o igualdad sustancial.  De hecho, en el caso objeto del presente recurso de amparo concurre la circunstancia de haberse producido una primera interpretación de una cláusula de estabilización, efectuada por el Administrador de los arrendadores y ahora solicitantes de amparo y aceptada por las Entidades arrendatarias, que meses después se intentó modificar diciéndose que se había sufrido un error, surgiendo así la disconformidad entre las partes que dio lugar al juicio de desahucio.</w:t>
      </w:r>
    </w:p>
    <w:p w:rsidR="00256EE9" w:rsidRDefault="00256EE9" w:rsidP="00256EE9">
      <w:pPr>
        <w:pStyle w:val="TextoNormal"/>
      </w:pPr>
      <w:r>
        <w:t>Por el contrario, en el caso resuelto por la mencionada Sentencia de 20 de noviembre de 1984 no se da tal circunstancia, de modo que son sensiblemente distintos los supuestos de hecho e inexistente, por tanto, la alegada violación del principio de igualdad; pues, para que la desigualdad entre fallos judiciales recaídos en asuntos aparentemente iguales autorizase a entender vulnerado este principio, sería preciso que tal desigualdad no obedeciera a la falta de total identidad entre los casos y no existe indicio de tal infracción cuando entre los supuestos entre los que se establece la comparación una discordancia explica, por sí misma, el diferente sentido de los fallos.</w:t>
      </w:r>
    </w:p>
    <w:p w:rsidR="00256EE9" w:rsidRDefault="00256EE9" w:rsidP="00256EE9">
      <w:pPr>
        <w:pStyle w:val="TextoNormal"/>
      </w:pPr>
      <w:r>
        <w:t>La conclusión a que se llega es que la demanda incurre en la causa de inadmisión prevista en el art.  50.2 b).</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la Sección ha acordado la inadmisión del recurso, no siendo, pues, procedente pronunciamiento alguno sobre la solicitud de suspensión de la ejecución de Sentencia.  .</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6" w:name="AUTO_1985_255"/>
      <w:r>
        <w:lastRenderedPageBreak/>
        <w:t>AUTO 255/1985, de 17 de abril de 1985</w:t>
      </w:r>
    </w:p>
    <w:bookmarkEnd w:id="316"/>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ECLI:ES:TC:1985:255A</w:t>
      </w:r>
    </w:p>
    <w:p w:rsidR="00256EE9" w:rsidRDefault="00256EE9" w:rsidP="00256EE9">
      <w:pPr>
        <w:pStyle w:val="SntesisDescriptiva"/>
      </w:pPr>
    </w:p>
    <w:p w:rsidR="00256EE9" w:rsidRDefault="00256EE9" w:rsidP="00256EE9">
      <w:pPr>
        <w:pStyle w:val="SntesisDescriptiva"/>
      </w:pPr>
      <w:r>
        <w:t>Excms. Srs. don Manuel Díez de Velasco Vallejo, doña Gloria Begué Cantón y don Ángel Escudero del Corral.</w:t>
      </w:r>
    </w:p>
    <w:p w:rsidR="00256EE9" w:rsidRDefault="00256EE9" w:rsidP="00256EE9">
      <w:pPr>
        <w:pStyle w:val="SntesisDescriptiva"/>
      </w:pPr>
    </w:p>
    <w:p w:rsidR="00256EE9" w:rsidRDefault="00256EE9" w:rsidP="00256EE9">
      <w:pPr>
        <w:pStyle w:val="SntesisDescriptiva"/>
      </w:pPr>
      <w:r>
        <w:t>Acordando el archivo de las actuaciones en el procedimiento 118/1985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en este Tribunal el pasado día 15 de febrero don Rafael Ortiz de Solórzano y Arbex, Procurador de los Tribunales, en nombre y representación de don Manuel Acedo-Rico Semprún, interpone recurso de amparo contra los arts. 1.1, 3, 14, disposición transitoria primera a) y disposición final segunda de la Ley 53/1984, en cuanto contiene un mandato legislativo que sustituye el contenido de la disposición transitoria tercera del Estatuto del Personal de las Cortes Generales de 23 de junio de 1983 e integran, por remisión normativa, el art. 15.2 de la Ley Orgánica 3/1980, del Consejo de Estado, modificado por el artículo único, apartado 3, de la Ley Orgánico 1/1985, y el artículo único, apartado 2, de esta última Ley Orgánica y disposiciones conexas.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demandante solicita de este Tribunal la admisión del recurso y previos los trámites oportunos, en especial, el del art. 37.2 de la LOTC conozca el Pleno (por ser la pretensión de amparo de inconstitucionalidad) y dicte Sentencia favorable estimando el recurso y previa declaración de inconstitucionalidad de los preceptos legales impugnados y conexos, restablezca al recurrente en los derechos constitucionales reconocidos por los arts. 14, 18.1, 23.2 y 24.2 de la Constitución y, en consecuencia, el de desempeñar los dos puestos de trabajo en el sector público que viene realizando hasta el presente y el ejercicio privado de la Abogacía, mientras no se pruebe, mediante el oportuno procedimiento, que alguna o algunas de tales actividades pueden impedir o menoscabar el estricto cumplimiento de sus deberes o comprometer su imparcialidad o independencia y a consecuencia de ello se le comunique la decisión procedente al respecto frente a la cual pueda gozar de las garantías jurisdiccionales que reconoce el ordenamiento. </w:t>
      </w:r>
    </w:p>
    <w:p w:rsidR="00256EE9" w:rsidRDefault="00256EE9" w:rsidP="00256EE9">
      <w:pPr>
        <w:pStyle w:val="TextoNormal"/>
      </w:pPr>
      <w:r>
        <w:t>En la demanda solicita el recurrente como único medio de restablecer, a su juicio, su derecho, la declaración de inconstitucionalidad de los preceptos legales impugnados, petición que funda en los arts. 9, 24.1, 29, 53, 161, 162 y 163 de la Constitución.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recurrente manifiesta que desempeña actualmente y desde hace tiempo dos puestos de trabajo en el sector público, concretamente, en calidad de Letrado de las Cortes Generales y de Letrado Mayor del Consejo de Estado y que, asimismo, ejerce la Abogacía, incorporado al Colegio de Abogados de Madrid. </w:t>
      </w:r>
    </w:p>
    <w:p w:rsidR="00256EE9" w:rsidRDefault="00256EE9" w:rsidP="00256EE9">
      <w:pPr>
        <w:pStyle w:val="TextoNormal"/>
      </w:pPr>
      <w:r>
        <w:lastRenderedPageBreak/>
        <w:t>En virtud de la Ley 53/1984, de 26 de diciembre, de incompatibilidades del personal al servicio de las Administraciones Públicas, y la Ley Orgánica 1/1985, de 18 de enero, de incompatibilidades del personal al servicio del Tribunal Constitucional, Consejo General del Poder Judicial, componentes del Poder Judicial y personal al servicio de la Administración de Justicia, Tribunal de Cuentas y Consejo de Estado, el demandante señala, igualmente, que ha de cesar en uno de dichos puestos de trabajo y obtener previa compatibilidad para su actividad privada.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Este Tribunal ha reiterado en varias ocasiones que no puede interponerse un recurso de amparo contra disposiciones o actos con valor y fuerza de Ley pretendiendo directamente la declaración de inconstitucionalidad de los mismos.</w:t>
      </w:r>
    </w:p>
    <w:p w:rsidR="00256EE9" w:rsidRDefault="00256EE9" w:rsidP="00256EE9">
      <w:pPr>
        <w:pStyle w:val="TextoNormal"/>
      </w:pPr>
      <w:r>
        <w:t>Así, ya en uno de los primeros Autos dictados por este Tribunal -el número 25/1980, concretamentese declaró que «nuestro sistema, a diferencia, por ejemplo, del existente en la República Federal Alemana, si bien contempla la posibilidad de impugnar en esta vía las decisiones o actos sin valor de Ley de las Cortes o de las Asambleas Legislativas de las Comunidades Autónomas (art.  42 de la LOTC), excluye de este recurso (de amparo) las normas legales, cuya invalidación sólo puede buscarse o a través del recurso de inconstitucionalidad que no está abierto a los simples ciudadanos (art. 32 de la LOTC) o a través de la cuestión de inconstitucionalidad planteada por Jueces o Tribunales» (fundamento jurídico 4).</w:t>
      </w:r>
    </w:p>
    <w:p w:rsidR="00256EE9" w:rsidRDefault="00256EE9" w:rsidP="00256EE9">
      <w:pPr>
        <w:pStyle w:val="TextoNormal"/>
      </w:pPr>
      <w:r>
        <w:t>Por su parte, el Auto núm. 61/1980 precisó que los particulares no están legitimados «para impugnar directamente a través del recurso de amparo una Ley por presunta violación en la misma de algunos de los derechos fundamentales o libertades públicas amparadas constitucionalmente», pues el «amparo, como proceso constitucional, se da frente a un acto de un órgano público que lesionen un derecho reconocido en los arts.  14 a 29 de la Constitución, no frente a la Ley en que dicho acto se funda» (fundamento jurídico 1).</w:t>
      </w:r>
    </w:p>
    <w:p w:rsidR="00256EE9" w:rsidRDefault="00256EE9" w:rsidP="00256EE9">
      <w:pPr>
        <w:pStyle w:val="TextoNormal"/>
      </w:pPr>
      <w:r>
        <w:t>Al resolver, precisamente, un recurso de amparo interpuesto por un particular contra un Decreto-ley (el 7/1981, de 24 de abril, sobre aplazamiento excepcional del pago de determinadas cuotas empresariales a la Seguridad Social), el Auto núm. 66/1981 afirmó rotundamente que «el recurso de amparo constitucional a que se refieren los arts.  53, 161 y 162 de la Constitución Española no se da, de acuerdo con lo dispuesto en el art. 41.2 de la LOTC, sino en los casos y formas que la misma Ley prevé y no está entre dichos casos el de las lesiones eventualmente producidas por normas con fuerza de Ley.  Las lesiones de derechos fundamentales que pudieran tener un tal origen son recurribles ante este Tribunal sólo una vez producidos los actos concretos de aplicación de la norma legal por la Administración o los Tribunales», por lo que -se anade- el Tribunal Constitucional carece de jurisdicción para conocer de la pretensión deducida por el recurrente, «que debe ser, por consiguiente, inadmitida, sin perjuicio de que pueda reproducirla, si así lo entiende conveniente a su derecho, frente a un acto concreto de la Administración o de los Tribunales» (fundamento jurídico único).</w:t>
      </w:r>
    </w:p>
    <w:p w:rsidR="00256EE9" w:rsidRDefault="00256EE9" w:rsidP="00256EE9">
      <w:pPr>
        <w:pStyle w:val="TextoNormal"/>
      </w:pPr>
      <w:r>
        <w:t>Por su parte, la Sentencia núm. 65/1983 ha declarado con toda precisión que «de acuerdo con la LOTC, especialmente en su art.  55.1 y 2, en conexión con el 41 y siguientes, en el recurso de amparo no puede formularse una pretensión cuyo objeto sea obtener la declaración de inconstitucionalidad de una Ley, para lo cual la LOTC ha establecido los procedimientos que regula en su Título II «De los procedimientos de declaración de inconstitu</w:t>
      </w:r>
      <w:r>
        <w:lastRenderedPageBreak/>
        <w:t>cionalidad», que son el recurso de inconstitucionalidad y la cuestión de inconstitucionalidad promovida por Jueces y Magistrados, señalando a continuación que «si el acto de los Poderes Públicos impugnado... se ha dictado en aplicación de una Ley que viola un derecho fundamental susceptible de amparo» y se estima por tal motivo el recurso de amparo, la Sala que haya estimado el recurso «es la que debe elevar la cuestión al Pleno con objeto de que se sustancie por el procedimiento propio de las cuestiones de inconstitucionalidad y proceda, en su caso, a declarar la inconstitucionalidad de la Ley en nueva Sentencia vinculante para todos los Poderes Públicos, con el valor de cosa juzgada y los efectos generales a que se refiere el art. 38 de la LOTC» (fundamento jurídico 2).</w:t>
      </w:r>
    </w:p>
    <w:p w:rsidR="00256EE9" w:rsidRDefault="00256EE9" w:rsidP="00256EE9">
      <w:pPr>
        <w:pStyle w:val="TextoNormal"/>
      </w:pPr>
      <w:r>
        <w:t>En esta misma línea se han pronunciado también los Autos núms.  88 y 89 de 1983 que han insistido en la falta de legitimación de los particulares para solicitar la inconstitucionalidad de las Leyes (se entiende, directamente, a través de un recurso de amparo formulado contra ellas) y en la existencia del mecanismo del art. 55.2 de la LOTC.</w:t>
      </w:r>
    </w:p>
    <w:p w:rsidR="00256EE9" w:rsidRDefault="00256EE9" w:rsidP="00256EE9">
      <w:pPr>
        <w:pStyle w:val="TextoNormal"/>
      </w:pPr>
      <w:r>
        <w:t>Por último, es de notar que la jurisprudencia más reciente de este Tribunal no ha hecho más que abundar en la doctrina expuesta.  Así, en dos Autos de la misma fecha, 7 de marzo de 1984 (en asuntos núms.  75/1984 y 81/1984), la Sala Segunda de este Tribunal ha señalado que «aunque la Ley es, evidentemente, una disposición emanada del Poder Legislativo, su impugnabilidad está reservada sólo a los órganos o partes de órganos enumerados en el art. 162.1 a) de la Constitución desarrollado por el art. 32 de la LOTC y sustraído, por tanto, al ataque directo de los ciudadanos, los cuales, sin embargo, cuando invoquen un interés legítimo, podrán reaccionar contra los actos de aplicación de la Ley e indirectamente poner así en cuestión la validez de ésta, que incluso podrá ser negada a través del procedimiento previsto en el art. 55.2 de la LOTC» (fundamento jurídico único).</w:t>
      </w:r>
    </w:p>
    <w:p w:rsidR="00256EE9" w:rsidRDefault="00256EE9" w:rsidP="00256EE9">
      <w:pPr>
        <w:pStyle w:val="TextoNormal"/>
      </w:pPr>
      <w:r>
        <w:t>«Es obvio -dice, por su parte, el Auto de la misma Sala de 21 de marzo de 1984, en asunto núm. 138/1984- que este Tribunal no ha consagrado, porque no podría hacerlo sin violar su propia Ley, la existencia de un recurso de amparo contra las Leyes o normas con valor de Ley» (fundamento jurídico 3).</w:t>
      </w:r>
    </w:p>
    <w:p w:rsidR="00256EE9" w:rsidRDefault="00256EE9" w:rsidP="00256EE9">
      <w:pPr>
        <w:pStyle w:val="TextoNormal"/>
      </w:pPr>
      <w:r>
        <w:t>En el mismo sentido el Tribunal se ha declarado de oficio incompetente, con base en el art. 4.2 de la LOTC, para conocer de varios recursos de amparo contra determinados preceptos de una Ley (concretamente, la 20/1984, sobre retribuciones del personal de las Fuerzas Armadas), pues -dice-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(fundamento jurídico único de varios Autos de la Sala Segunda, entre ellos el de 26 de julio de 1984, en asunto núm. 513/1984).</w:t>
      </w:r>
    </w:p>
    <w:p w:rsidR="00256EE9" w:rsidRDefault="00256EE9" w:rsidP="00256EE9">
      <w:pPr>
        <w:pStyle w:val="TextoNormal"/>
      </w:pPr>
    </w:p>
    <w:p w:rsidR="00256EE9" w:rsidRDefault="00256EE9" w:rsidP="00256EE9">
      <w:pPr>
        <w:pStyle w:val="TextoNormal"/>
      </w:pPr>
      <w:r w:rsidRPr="00256EE9">
        <w:rPr>
          <w:rStyle w:val="NumeroAFNegritaCaracter"/>
        </w:rPr>
        <w:t>2</w:t>
      </w:r>
      <w:r>
        <w:t>. Habida cuenta de la jurisprudencia expuesta, absolutamente consolidada e inequívoca, hay que concluir, con base en el art.  4.2 de la LOTC, que este Tribunal carece de jurisdicción o competencia para resolver sobre la pretensión del presente recurso de amparo, lo que no obsta, naturalmente, para que el recurrente pueda, en su día, reproducirla eventualmente contra los actos concretos de la Administración ejecutados de conformidad con las Leyes que ahora impugna directamente.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En consecuencia, la Sección acuerda declararse incompetente para resolver el recurso de amparo interpuesto por don Manuel Acedo-Rico Semprún, y archivar las actuaciones.</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7" w:name="AUTO_1985_256"/>
      <w:r>
        <w:lastRenderedPageBreak/>
        <w:t>AUTO 256/1985, de 17 de abril de 1985</w:t>
      </w:r>
    </w:p>
    <w:bookmarkEnd w:id="317"/>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ECLI:ES:TC:1985:256A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134/1985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Antonio Cobacho Pino, representado por el Procurador de los Tribunales don Carlos de Zulueta y Cebrián y asistido del Letrado don Nicolás Bonilla Serrano, ha formulado demanda de amparo constitucional contra la Sentencia dictada por el Juzgado de Primera Instancia núm. 1 de Córdoba el 31 de enero de 1985, por presunta vulneración -según dice- del derecho del recurrente a que se le aplique la Ley, la jurisprudencia y la lógica en igual con los demás españoles, protegido este derecho por el párrafo 3.° del art. 9, el art. 14 y el art. 24.1 de la Constitución. </w:t>
      </w:r>
    </w:p>
    <w:p w:rsidR="00256EE9" w:rsidRDefault="00256EE9" w:rsidP="00256EE9">
      <w:pPr>
        <w:pStyle w:val="TextoNormal"/>
      </w:pPr>
      <w:r>
        <w:t xml:space="preserve">La demanda se funda en los siguientes hechos: </w:t>
      </w:r>
    </w:p>
    <w:p w:rsidR="00256EE9" w:rsidRDefault="00256EE9" w:rsidP="00256EE9">
      <w:pPr>
        <w:pStyle w:val="TextoNormal"/>
      </w:pPr>
      <w:r>
        <w:t xml:space="preserve">a) El día 20 de diciembre de 1972, don Juan Jiménez Granados vendió a don Antonio Cobacho Pino, en escritura pública, determinados enseres de un bar de su propiedad, y el día 20 de enero de 1973 le arrendó el local que ocupaba el mismo por un año de duración y precio de 48.000 pesetas. </w:t>
      </w:r>
    </w:p>
    <w:p w:rsidR="00256EE9" w:rsidRDefault="00256EE9" w:rsidP="00256EE9">
      <w:pPr>
        <w:pStyle w:val="TextoNormal"/>
      </w:pPr>
      <w:r>
        <w:t xml:space="preserve">b) Fallecido don Juan Jiménez Granados, doña Aurora Espejo Prados, heredera de aquél, formuló demanda de desahucio contra don Antonio Cobacho Pino por expiración del plazo y realización por el arrendatario de obras inconsentidas en la industria de bar arrendada. El demandado se opuso en el acto del juicio alegando falta de competencia del Juzgado por tratarse, en su opinión, de arrendamiento de local de negocio, incompetencia de jurisdicción por inadecuación de procedimiento, dado que, según él, los problemas de locales de negocios han de resolverse por el procedimiento incidental y no verbal, y falta de personalidad de la actora, ya que no constaba su condición de heredera. Habiéndose practicado, según alega el demandante, pruebas expresamente prohibidas por la Ley dictó Sentencia el Juzgado de Distrito núm. 1 de Córdoba, de 9 de noviembre de 1984, absolviendo al demandado de la demanda por considerar el arrendamiento como de local de negocio y estimar la excepción de incompetencia de jurisdicción. </w:t>
      </w:r>
    </w:p>
    <w:p w:rsidR="00256EE9" w:rsidRDefault="00256EE9" w:rsidP="00256EE9">
      <w:pPr>
        <w:pStyle w:val="TextoNormal"/>
      </w:pPr>
      <w:r>
        <w:t xml:space="preserve">c) Apelada la Sentencia, el Juzgado de Primera Instancia núm. 1 de Córdoba la revocó, accediendo a la pretensión ejercitada por el actor de resolución del contrato por expiración del plazo e imponiendo las costas de ambas instancias al ahora recurrente. Según el Juzgado, el arrendamiento de local de negocio se celebró en fraude de Ley para beneficiarse de su normativa encubriendo un arrendamiento de industria, como prueba la venta de los enseres y posterior alquiler del local, para ejercer en él igual actividad. </w:t>
      </w:r>
    </w:p>
    <w:p w:rsidR="00256EE9" w:rsidRDefault="00256EE9" w:rsidP="00256EE9">
      <w:pPr>
        <w:pStyle w:val="TextoNormal"/>
      </w:pPr>
      <w:r>
        <w:lastRenderedPageBreak/>
        <w:t>Siendo competente para conocer del tema por razón de la cuantía el Juez de Distrito, el Juez de Primera Instancia entra en el fondo del asunto en virtud del carácter abierto de la apelación y considera producida la causa de desahucio.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demandante del amparo alega que la Sentencia recurrida vulnera los arts. 9.3 y 14 de la Constitución para aplicársele la Ley de forma desigual al resto de los españoles y art. 24 por producirse indefensión al excederse el Juez del contenido típico del juicio de desahucio y entrar a discutir el título sin que el demandado, ahora recurrente, hubiera podido aportar la prueba adecuada. </w:t>
      </w:r>
    </w:p>
    <w:p w:rsidR="00256EE9" w:rsidRDefault="00256EE9" w:rsidP="00256EE9">
      <w:pPr>
        <w:pStyle w:val="TextoNormal"/>
      </w:pPr>
      <w:r>
        <w:t xml:space="preserve">Las vulneraciones mencionadas se manifiestan, según se alega, en los siguientes aspectos: a) Se declara la existencia de un contrato de arrendamiento de industria, contradiciendo la Ley y la doctrina del Tribunal Supremo que exigen que para que sea tal se arrienden, junto al local, bienes o enseres. b) Se declara tal arrendamiento pese a los claros términos del contrato, en contra de lo que establece el Código Civil sobre interpretación de los contratos. c) Se establece una presunción de fraude de Ley en contra de lo previsto en el Código Civil sobre las presunciones. d) Se discute en la Sentencia el carácter de arrendamiento desbordando el cauce propio de un proceso de desahucio según lo define la jurisprudencia. e) Se condena en costas en ambas instancias frente a lo dispuesto en la Ley de Enjuiciamiento Civil. </w:t>
      </w:r>
    </w:p>
    <w:p w:rsidR="00256EE9" w:rsidRDefault="00256EE9" w:rsidP="00256EE9">
      <w:pPr>
        <w:pStyle w:val="TextoNormal"/>
      </w:pPr>
      <w:r>
        <w:t>El demandante resume su exposición señalando que la Sentencia «en todos y cada uno de sus puntos, discrimina al señor Cobacho del resto de los españoles y, en consecuencia, el señor Cobacho no es igual ante la Ley con los demás ciudadanos, porque a los ciudadanos se les aplica la Ley con corrección y, sin embargo, aquí, en ningún punto le ha sido aplicada de acuerdo con la normativa legal y la jurisprudencia» y solicita que se anule la Sentencia del Juzgado de Primera Instancia, se confirme la del Juzgado de Distrito y se reserve a las partes el derecho a ejercitar las acciones que les correspondan en el procedimiento declarativo correspondiente.</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Cuarta, en su reunión del pasado día 13 de marzo, acordó poner de manifiesto la posible existencia de la causa de inadmisión que regula el art. 50.2 b) de la Ley Orgánica del Tribunal Constitucional, por cuanto la demanda pudiera carecer de contenido que justifique una decisión por parte de este Tribunal; y por ello, en aplicación de lo dispuesto en el art. 50 de la Ley Orgánica del Tribunal Constitucional, se concedió un plazo común de diez días a la representación del recurrente y al Ministerio Fiscal para alegaciones.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solicitante del amparo ha insistido en sus pretensiones iniciales alegando que la Constitución en el núm. 3 del art. 9 garantiza la publicidad de las normas, la seguridad jurídica y la interdicción de la arbitrariedad de los Poderes Públicos, de donde hay que admitir que a ningún español se le puede aplicar preceptos no contenidos en Leyes vigentes y las Leyes vigentes hay que aplicarlas con igualdad a todos los ciudadanos, ya que la garantía de esta aplicación es la que ha de dar al individuo la estabilidad y seguridad en la vida social; que el art. 14 de la Constitución prescribe que todos los españoles son iguales ante la Ley, lo cual conlleva que la Ley ha de ser aplicada por igual a todos los españoles, ya que si a unos se les aplica de una forma y a otros de otra, resulta que no se puede hablar de la igualdad que quiere la Constitución; y que el núm. 1 del art. 24 de la Constitución prescribe que toda persona tiene derecho a obtener la tutela efectiva sin que en ningún </w:t>
      </w:r>
      <w:r>
        <w:lastRenderedPageBreak/>
        <w:t xml:space="preserve">caso pueda producirse indefensión, de donde hay que estimar que la Constitución obliga a que cada acción se ejerza en el procedimiento adecuado para que el ciudadano pueda tener la total garantía de sus derechos. </w:t>
      </w:r>
    </w:p>
    <w:p w:rsidR="00256EE9" w:rsidRDefault="00256EE9" w:rsidP="00256EE9">
      <w:pPr>
        <w:pStyle w:val="TextoNormal"/>
      </w:pPr>
      <w:r>
        <w:t xml:space="preserve">A juicio del solicitante del amparo, por el contenido de estos tres artículos, la demanda justifica una decisión por parte del Tribunal, porque si la Sentencia tuviera un simple error de interpretación o de apreciación de la prueba, indudablemente carecería de contenido, pero cuando la Sentencia, en todos sus puntos, se aparta de la Ley vigente, de las interpretaciones jurisprudenciales y de las presunciones lógicas, indudablemente el recurso es digno de ser estudiado por el Tribunal, pues de lo contrario ocurriría que al margen del Poder Legislativo se podrían crear otras normas jurídicas que al ser aplicadas a determinadas personas las hacen diferentes ante la Ley, creándoles inseguridad jurídica, indefensión y discriminación. </w:t>
      </w:r>
    </w:p>
    <w:p w:rsidR="00256EE9" w:rsidRDefault="00256EE9" w:rsidP="00256EE9">
      <w:pPr>
        <w:pStyle w:val="TextoNormal"/>
      </w:pPr>
      <w:r>
        <w:t xml:space="preserve">La Sentencia objeto del recurso tiene según el solicitante del amparo, todas las notas que hemos consignado, y basta una somera lectura de sus considerandos para llegar a la conclusión cierta de que al recurrente señor Cobacho se le ha discriminado del resto de los ciudadanos y se le ha aplicado la Ley y la jurisprudencia de distinta forma que a los demás. </w:t>
      </w:r>
    </w:p>
    <w:p w:rsidR="00256EE9" w:rsidRDefault="00256EE9" w:rsidP="00256EE9">
      <w:pPr>
        <w:pStyle w:val="TextoNormal"/>
      </w:pPr>
      <w:r>
        <w:t xml:space="preserve">El Fiscal ha pedido la inadmisión de este asunto señalando que el art. 14 de la Constitución requiere cuando la discriminación se realice en la aplicación de la Ley por los Tribunales, la aportación de un término de comparación que permita el contraste entre ambas resoluciones y el recurrente no aporta dicho término de comparación, lo que impide, según reiterada jurisprudencia del Tribunal Constitucional, establecer la existencia de discriminación. </w:t>
      </w:r>
    </w:p>
    <w:p w:rsidR="00256EE9" w:rsidRDefault="00256EE9" w:rsidP="00256EE9">
      <w:pPr>
        <w:pStyle w:val="TextoNormal"/>
      </w:pPr>
      <w:r>
        <w:t xml:space="preserve">La discriminación la refiere el recurrente a la subsunción que el Juzgado ha realizado de los elementos fácticos del proceso y afirma que no debió ser realizada la subsunción de la manera que la ha hecho y que es contraria a la norma y a la jurisprudencia, pero lo que discute en definitiva es que el Juez haya considerado el contrato como de arrendamiento de industria en lugar de arrendamiento de local de negocio. </w:t>
      </w:r>
    </w:p>
    <w:p w:rsidR="00256EE9" w:rsidRDefault="00256EE9" w:rsidP="00256EE9">
      <w:pPr>
        <w:pStyle w:val="TextoNormal"/>
      </w:pPr>
      <w:r>
        <w:t xml:space="preserve">Toda la argumentación del recurso se dirige a demostrar el error del Juez en la aplicación de la norma al caso concreto. De este error deduce, que crea desigualdad, ya que el Juez no ha realizado la interpretación y aplicación, como se hace normalmente por el resto de los órganos judiciales. </w:t>
      </w:r>
    </w:p>
    <w:p w:rsidR="00256EE9" w:rsidRDefault="00256EE9" w:rsidP="00256EE9">
      <w:pPr>
        <w:pStyle w:val="TextoNormal"/>
      </w:pPr>
      <w:r>
        <w:t xml:space="preserve">La falta del término de comparación, determina la imposibilidad de apreciar la discriminación, ya que no es suficiente las vagas referencias a lo que deciden otros Tribunales. </w:t>
      </w:r>
    </w:p>
    <w:p w:rsidR="00256EE9" w:rsidRDefault="00256EE9" w:rsidP="00256EE9">
      <w:pPr>
        <w:pStyle w:val="TextoNormal"/>
      </w:pPr>
      <w:r>
        <w:t xml:space="preserve">Existe una discrepancia entre la interpretación de la Sentencia y la que estima el recurrente, pero ello no tiene dimensión constitucional en cuanto a la posible desigualdad. Esta no existe porque no se acredita respecto a quién ni en qué consiste la desigualdad. </w:t>
      </w:r>
    </w:p>
    <w:p w:rsidR="00256EE9" w:rsidRDefault="00256EE9" w:rsidP="00256EE9">
      <w:pPr>
        <w:pStyle w:val="TextoNormal"/>
      </w:pPr>
      <w:r>
        <w:t xml:space="preserve">La presunta violación del derecho reconocido en el art. 24.1 de la Constitución aparece sin contenido, ya que sólo existe una alusión y una argumentación para hacerla preferente. La demanda inicial del proceso a quo tenía como contenido la pretensión de resolución de un contrato de arrendamiento de industria y el camino procesal es el procedimiento de desahucio. </w:t>
      </w:r>
    </w:p>
    <w:p w:rsidR="00256EE9" w:rsidRDefault="00256EE9" w:rsidP="00256EE9">
      <w:pPr>
        <w:pStyle w:val="TextoNormal"/>
      </w:pPr>
      <w:r>
        <w:t xml:space="preserve">El Juez, al oponerse el demandado, alegando que se trataba de un arrendamiento de local de negocio, lo primero que tiene que hacer es examinar si se trata de una u otra clase de arrendamiento. Razonadamente se analizan los hechos y concluye afirmando la naturaleza de arrendamiento de industria, y como consecuencia, la procedencia del desahucio. Este desahucio se realiza por el procedimiento legal establecido. No ha habido limitación </w:t>
      </w:r>
      <w:r>
        <w:lastRenderedPageBreak/>
        <w:t xml:space="preserve">de pruebas, porque si no las ha aportado el recurrente se ha debido sólo a su actividad, no a que se hayan limitado. </w:t>
      </w:r>
    </w:p>
    <w:p w:rsidR="00256EE9" w:rsidRDefault="00256EE9" w:rsidP="00256EE9">
      <w:pPr>
        <w:pStyle w:val="TextoNormal"/>
      </w:pPr>
      <w:r>
        <w:t xml:space="preserve">No existe la complejidad que alega, sino únicamente la determinación y acreditamiento de la naturaleza del contrato y de las causas de resolución y esto entra de lleno en el trámite procesal utilizado. </w:t>
      </w:r>
    </w:p>
    <w:p w:rsidR="00256EE9" w:rsidRDefault="00256EE9" w:rsidP="00256EE9">
      <w:pPr>
        <w:pStyle w:val="TextoNormal"/>
      </w:pPr>
      <w:r>
        <w:t>El recurrente ha tenido acceso al proceso, ha realizado las alegaciones que ha estimado pertinentes y no se han limitado las pruebas, y ha obtenido una respuesta jurídica razonada en Derecho; no existe violación del derecho reconocido en el art. 24.1 de la Constitución.</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Basta la lectura de la argumentación efectuada por el demandante para apreciar que la demanda está absolutamente carente de contenido constitucional, pues a través de una conexión artificial con el art.  14 de la Constitución se pretende que el Tribunal revise la aplicación de la legalidad efectuada por el Juzgado.</w:t>
      </w:r>
    </w:p>
    <w:p w:rsidR="00256EE9" w:rsidRDefault="00256EE9" w:rsidP="00256EE9">
      <w:pPr>
        <w:pStyle w:val="TextoNormal"/>
      </w:pPr>
      <w:r>
        <w:t>Las distintas infracciones que el demandante cree reconocer en la Sentencia impugnada lo son todas de preceptos legales o de criterios jurisprudenciales, y se relacionan con el derecho a la igualdad mediante la conversión del criterio de interpretación de la legalidad que el demandante considera correcto en término de comparación universal, de forma que todo apartamiento del mismo implica una discriminación, pues como paladinamente se afirma, «a los ciudadanos se les aplica la Ley con corrección y, sin embargo aquí, en ningún punto le ha sido aplicada de acuerdo con la normativa legal y la jurisprudencia».  La carencia de cualquier término de comparación concreto y la apreciación de que el planteamiento del actor conduciría necesariamente a la conversión del Tribunal Constitucional en un órgano de recurso ordinario que vigilara la aplicación de toda legalidad ajena a los derechos fundamentales, son bastantes para excluir la admisión del recurso.</w:t>
      </w:r>
    </w:p>
    <w:p w:rsidR="00256EE9" w:rsidRDefault="00256EE9" w:rsidP="00256EE9">
      <w:pPr>
        <w:pStyle w:val="TextoNormal"/>
      </w:pPr>
    </w:p>
    <w:p w:rsidR="00256EE9" w:rsidRDefault="00256EE9" w:rsidP="00256EE9">
      <w:pPr>
        <w:pStyle w:val="TextoNormal"/>
      </w:pPr>
      <w:r w:rsidRPr="00256EE9">
        <w:rPr>
          <w:rStyle w:val="NumeroAFNegritaCaracter"/>
        </w:rPr>
        <w:t>2</w:t>
      </w:r>
      <w:r>
        <w:t>. A falta de una exposición general detallada, se incluyen en la demanda diversas referencias a infracciones que cabría integrar en la vulneración del derecho a la tutela judicial efectiva, o del derecho a no sufrir indefensión en el proceso. Se alude así a la inadecuación del procedimiento de desahucio para discutir sobre la naturaleza del contrato de arrendamiento, de forma que el pronunciamiento del Juzgado habría supuesto un desbordamiento del contenido típico de aquél, obligando a conceder el amparo con reserva a las partes de su derecho a ejercitar las acciones pertinentes en el proceso declarativo.  Y se alega igualmente que la dirección que se dio al proceso con origen en una demanda insuficiente produjo indefensión pues no se acudió al mismo provisto de los necesarios medios de prueba para justificar la naturaleza del arrendamiento.</w:t>
      </w:r>
    </w:p>
    <w:p w:rsidR="00256EE9" w:rsidRDefault="00256EE9" w:rsidP="00256EE9">
      <w:pPr>
        <w:pStyle w:val="TextoNormal"/>
      </w:pPr>
      <w:r>
        <w:t>Ambas alegaciones resultan notoriamente infundadas.  La demanda de desahucio aludía expresamente al arrendamiento como de industria y a negar dicho carácter se dirigió la actividad procesal del ahora demandante en amparo que alegó falta de competencia del Juzgador por tratarse de un arrendamiento de local de negocio, e inadecuación del procedimiento por igual razón y acudió consiguientemente dotado de los medios de prueba que estimó convenientes, sin que se le impidiera alegar o probar lo necesario para su defensa.  El hecho de que las alegaciones y prueba aportadas, que resultaron eficaces en primera instancia, no obtuvieran en el recurso el resultado apetecido, es cuestión enteramente ajena al derecho constitucional consagrado en el art. 24.</w:t>
      </w:r>
    </w:p>
    <w:p w:rsidR="00256EE9" w:rsidRDefault="00256EE9" w:rsidP="00256EE9">
      <w:pPr>
        <w:pStyle w:val="TextoNormal"/>
      </w:pPr>
      <w:r>
        <w:lastRenderedPageBreak/>
        <w:t>Es cierto, por fin, que la jurisprudencia ha fijado los límites del proceso de desahucio, determinando que no cabe en él el tratamiento de cuestiones complejas que interferiría con la rápida consecución del fin de tal proceso, y en ello pretende ampararse el demandante para considerar que ha existido exceso en la actuación judicial al pronunciarse sobre la naturaleza del contrato.  Sucede, sin embargo, que tal naturaleza constituye presupuesto para la determinación de la competencia y del procedimiento, por lo que su obligado tratamiento no puede estimarse un desbordamiento de los límites del proceso.</w:t>
      </w:r>
    </w:p>
    <w:p w:rsidR="00256EE9" w:rsidRDefault="00256EE9" w:rsidP="00256EE9">
      <w:pPr>
        <w:pStyle w:val="TextoNormal"/>
      </w:pPr>
      <w:r>
        <w:t>En todo caso, el derecho a la tutela judicial reconoce al demandante el derecho a ser oído en el proceso, a aportar los medios de prueba necesarios para su defensa y a obtener una resolución fundada, sin que afecte obviamente al derecho fundamental que ello produzca a través de uno u otro procedimiento en tanto no se nieguen o limiten injustificadamente aquellos derechos.  La determinación de los límites del proceso de desahucio es cuestión, por ello, ajena a la competencia de este Tribunal pues cualquiera que sean aquéllos no se afecta al derecho fundamental reconocido en el art. 24 de la Constitución.</w:t>
      </w:r>
    </w:p>
    <w:p w:rsidR="00256EE9" w:rsidRDefault="00256EE9" w:rsidP="00256EE9">
      <w:pPr>
        <w:pStyle w:val="TextoNormal"/>
      </w:pPr>
    </w:p>
    <w:p w:rsidR="00256EE9" w:rsidRDefault="00256EE9" w:rsidP="00256EE9">
      <w:pPr>
        <w:pStyle w:val="TextoNormal"/>
      </w:pPr>
      <w:r w:rsidRPr="00256EE9">
        <w:rPr>
          <w:rStyle w:val="NumeroAFNegritaCaracter"/>
        </w:rPr>
        <w:t>3</w:t>
      </w:r>
      <w:r>
        <w:t>. La demanda que inadmitimos ha sido propuesta con notoria temeridad que le hace acreedora de las costas procesales y de la sanción prevenida en el art.  95.4 de la Ley Orgánica del Tribunal Constitucional en cuantía de 25.000 pesetas.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la inadmisión del recurso y la imposición al recurrente de las costas causadas y una sanción pecuniaria de 25.000 pesetas.</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8" w:name="AUTO_1985_257"/>
      <w:r>
        <w:lastRenderedPageBreak/>
        <w:t>AUTO 257/1985, de 17 de abril de 1985</w:t>
      </w:r>
    </w:p>
    <w:bookmarkEnd w:id="31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ECLI:ES:TC:1985:257A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139/1985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20 de febrero de 1985 tuvo entrada en este Tribunal recurso de amparo formulado por el Procurador de los Tribunales don Ramón Velasco Fernández en nombre y representación de la entidad mercantil «Internacional de Promociones Urbanas» (PROMOSA) contra el Auto de 1 de febrero de 1985 dictado por el Juzgado de Primera Instancia núm. 18 de Madrid, sobre la admisión de prueba documental en procedimiento especial de la Ley de Sociedades Anónimas. </w:t>
      </w:r>
    </w:p>
    <w:p w:rsidR="00256EE9" w:rsidRDefault="00256EE9" w:rsidP="00256EE9">
      <w:pPr>
        <w:pStyle w:val="TextoNormal"/>
      </w:pPr>
      <w:r>
        <w:t xml:space="preserve">En síntesis, los hechos expuestos en la demanda se reducen a determinar: que un socio minoritario de PROMOSA, que es una Sociedad comerciante que actúa como comisionista- gestor en compra y venta de bienes inmuebles, que había sido citado para la oportuna Junta, a la que no asistió, promovió posteriormente acción impugnatoria de los acuerdos sociales acordados ante el Juzgado de Primera Instancia núm. 18 de Madrid, por el procedimiento regulado en el art. 70 de la Ley de Sociedades Anónimas. </w:t>
      </w:r>
    </w:p>
    <w:p w:rsidR="00256EE9" w:rsidRDefault="00256EE9" w:rsidP="00256EE9">
      <w:pPr>
        <w:pStyle w:val="TextoNormal"/>
      </w:pPr>
      <w:r>
        <w:t xml:space="preserve">Con dicha demanda el socio no implicado persigue obtener la máxima información a través de la prueba que propuso, y que admitió el Auto impugnado en beneficio suyo y sin perseguir el interés social, por dedicarse a actividades semejantes a las de PROMOSA con otro grupo de Empresas, pues dicha prueba se refiere a la aportación a los Autos de documentos relativos a cuentas en participación, sin correspondencia alguna con la nulidad de los acuerdos impugnados, causando daños a los intereses sociales, al ser como una fotografía de sus actividades, desvelando secretos que quebrantan la intimidad de la persona jurídica y que no benefician al procedimiento sumario. </w:t>
      </w:r>
    </w:p>
    <w:p w:rsidR="00256EE9" w:rsidRDefault="00256EE9" w:rsidP="00256EE9">
      <w:pPr>
        <w:pStyle w:val="TextoNormal"/>
      </w:pPr>
      <w:r>
        <w:t xml:space="preserve">En evitación de ello, la parte recurrente aportó prueba varia y contable al proceso, sobre dichos contratos de cuentas en participación, dando fechas de los mismos y la determinación de sus cuantías económicas, que tienen reflejo contable. Pero el Juzgado solicitó la aportación de los documentos, que contienen datos no necesarios y perjudican el secreto profesional referente a la actuación social. </w:t>
      </w:r>
    </w:p>
    <w:p w:rsidR="00256EE9" w:rsidRDefault="00256EE9" w:rsidP="00256EE9">
      <w:pPr>
        <w:pStyle w:val="TextoNormal"/>
      </w:pPr>
      <w:r>
        <w:t xml:space="preserve">Se refiere a la pertinencia de las pruebas según las regula la Ley de Enjuiciamiento Civil, y afirma que el recurso de reposición entablado contra la admisión de dicha prueba, fue rechazado por el Auto recurrido. </w:t>
      </w:r>
    </w:p>
    <w:p w:rsidR="00256EE9" w:rsidRDefault="00256EE9" w:rsidP="00256EE9">
      <w:pPr>
        <w:pStyle w:val="TextoNormal"/>
      </w:pPr>
      <w:r>
        <w:t>Hace un análisis del fondo, diciendo que el derecho de información del socio se contrapone al derecho a la intimidad y al secreto de que goza PROMOSA, y que los contratos de cuentas de participación provienen de la antigua compañía secreta, pues la persona que aporta el capital permanece oculta a terceros, siendo necesario el secreto. El Juez no escu</w:t>
      </w:r>
      <w:r>
        <w:lastRenderedPageBreak/>
        <w:t xml:space="preserve">chó las quejas contra su decisión, ni dio lugar a la reposición solicitada, habiendo sido desconocidos sistemáticamente por el Juzgado de instancia los derechos de la parte actora; y citando en los fundamentos de Derecho como infringidos los arts. 18.1, 20.1 d) y 24.1 y 2 de la C. E., y precisando que el derecho a la intimidad aunque no es ilimitado sólo debe limitarse de manera razonada, fundada y proporcionada para lograr una finalidad legítima. Y que la admisión de la prueba sobre exhibición de libros y documentos de forma genérica, viola el derecho a la intimidad, el derecho de secreto, y la tutela judicial efectiva, así como el derecho de defensa. </w:t>
      </w:r>
    </w:p>
    <w:p w:rsidR="00256EE9" w:rsidRDefault="00256EE9" w:rsidP="00256EE9">
      <w:pPr>
        <w:pStyle w:val="TextoNormal"/>
      </w:pPr>
      <w:r>
        <w:t xml:space="preserve">Estima por fin, que la pertinencia de la prueba está entregada al prudente arbitrio del Juez y es discrecional, pero que en el caso presente por quebrantar tales derechos, no pudo admitirse la prueba indicada. </w:t>
      </w:r>
    </w:p>
    <w:p w:rsidR="00256EE9" w:rsidRDefault="00256EE9" w:rsidP="00256EE9">
      <w:pPr>
        <w:pStyle w:val="TextoNormal"/>
      </w:pPr>
      <w:r>
        <w:t xml:space="preserve">Se solicita en dicha demanda que se dicte Sentencia estimando el recurso de amparo, restableciendo a la parte actora en los derechos que l a asisten por la Constitución, y declarando la nulidad de la prueba admitida por el Juzgador, al lesionar y vulnerar las normas invocadas de dicha Ley fundamental, y todo ello, con los demás pronunciamientos que sean inherentes. </w:t>
      </w:r>
    </w:p>
    <w:p w:rsidR="00256EE9" w:rsidRDefault="00256EE9" w:rsidP="00256EE9">
      <w:pPr>
        <w:pStyle w:val="TextoNormal"/>
      </w:pPr>
      <w:r>
        <w:t>Por otrosí interesó la suspensión del procedimiento seguido ante el Juzgado, a fin de que el amparo no fuera vulnerado por la práctica de la prueba recurrida.</w:t>
      </w:r>
    </w:p>
    <w:p w:rsidR="00256EE9" w:rsidRDefault="00256EE9" w:rsidP="00256EE9">
      <w:pPr>
        <w:pStyle w:val="TextoNormal"/>
      </w:pPr>
    </w:p>
    <w:p w:rsidR="00256EE9" w:rsidRDefault="00256EE9" w:rsidP="00256EE9">
      <w:pPr>
        <w:pStyle w:val="TextoNormal"/>
      </w:pPr>
      <w:r w:rsidRPr="00256EE9">
        <w:rPr>
          <w:rStyle w:val="NumeroAFNegritaCaracter"/>
        </w:rPr>
        <w:t>2</w:t>
      </w:r>
      <w:r>
        <w:t>. Posteriormente, se presentó otro escrito de la parte actora, solicitando se acordara la suspensión temporal de la práctica de la prueba propuesta, que estaba señalada para el día 7 de marzo de 1985, que era la misma fecha del reseñado escrito.</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dictó providencia teniendo por interpuesto recurso de amparo, y abriendo el trámite de inadmisión, por la posible existencia del motivo de carecer la demanda manifiestamente de contenido que justifique una decisión por parte del Tribunal Constitucional, conforme al art. 50.2 b ) de la LOTC, y que en cuanto a la petición de suspensión interesada una vez se acuerde sobre la admisión o inadmisión de la demanda se acordaría lo procedente. Señalándose un plazo común al Fiscal y a la parte recurrente para que alegaran sobre dicha causa de inadmisión.</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Ministerio Fiscal evacuando dicho trámite, alega en relación a la lesión del art. 24.1 y 2 de la C. E., que la argumentación de la parte actora, abundante, carece de conexión con dicho artículo, porque la declaración de pertinencia o impertinencia de una prueba corresponde al libre arbitrio del Juez ordinario, sin poderla sustituir el Tribunal Constitucional, y como entendió que la prueba propuesta era pertinente y la admitió el Juez, afirmándose en su decisión, al desestimar el recurso de súplica, lo que se pretende es replantear un tema de legalidad ante este Tribunal Constitucional, que no puede resolverse, como se dijo, a través del amparo. </w:t>
      </w:r>
    </w:p>
    <w:p w:rsidR="00256EE9" w:rsidRDefault="00256EE9" w:rsidP="00256EE9">
      <w:pPr>
        <w:pStyle w:val="TextoNormal"/>
      </w:pPr>
      <w:r>
        <w:t xml:space="preserve">La violación del art. 18.1 de la C. E., carece de todo fundamento porque el art. 49 del Código de Comercio autoriza y obliga la exhibición de oficio o a instancia de parte, y la prueba solicitada tiene conexión con la Sociedad demandada en el proceso al ser los contratos objeto de la prueba mercantiles y referirse al tráfico normal de dicha Empresa. El derecho a la intimidad tiene sus limites y uno de ellos es la Ley, y ésta determina, cuándo los documentos mercantiles pueden ser conocidos por el órgano judicial. </w:t>
      </w:r>
    </w:p>
    <w:p w:rsidR="00256EE9" w:rsidRDefault="00256EE9" w:rsidP="00256EE9">
      <w:pPr>
        <w:pStyle w:val="TextoNormal"/>
      </w:pPr>
      <w:r>
        <w:t>Estima el Fiscal que concurre la causa de inadmisión del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xml:space="preserve">. La parte recurrente evacuando dicho trámite estima: que no debe admitirse la causa establecida en el artículo, acabado de indicar, alegando en síntesis; que en el caso presente se debe decidir sobre los límites del derecho de intimidad garantizado a todas las personas, físicas o jurídicas, por el art. 18.1 de la C. E.; y en el caso concreto se precisaría la fijación de los límites frente a las personas, accionistas o no, y frente a los Poderes Públicos en general y al Judicial en particular. </w:t>
      </w:r>
    </w:p>
    <w:p w:rsidR="00256EE9" w:rsidRDefault="00256EE9" w:rsidP="00256EE9">
      <w:pPr>
        <w:pStyle w:val="TextoNormal"/>
      </w:pPr>
      <w:r>
        <w:t xml:space="preserve">Los arts. 565 y 566 de la Ley de Enjuiciamiento Civil deben ser interpretados de acuerdo con la Constitución. </w:t>
      </w:r>
    </w:p>
    <w:p w:rsidR="00256EE9" w:rsidRDefault="00256EE9" w:rsidP="00256EE9">
      <w:pPr>
        <w:pStyle w:val="TextoNormal"/>
      </w:pPr>
      <w:r>
        <w:t xml:space="preserve">Estima, que el recurso de amparo, lo es frente a un acto que tiene origen directo inmediato en un órgano judicial, que salta la barrera constitucional y la menosprecia, habiéndose rechazado los recursos procedentes por el Juzgado. </w:t>
      </w:r>
    </w:p>
    <w:p w:rsidR="00256EE9" w:rsidRDefault="00256EE9" w:rsidP="00256EE9">
      <w:pPr>
        <w:pStyle w:val="TextoNormal"/>
      </w:pPr>
      <w:r>
        <w:t xml:space="preserve">Se refiere a que el amparo apoyado en el art. 18.1 de la C. E. por la violación judicial indicada, para conseguir la nulidad que autoriza el art. 55 de la LOTC, se puede apoyar también en el art. 17 de la C. E. garantizando la seguridad jurídica. </w:t>
      </w:r>
    </w:p>
    <w:p w:rsidR="00256EE9" w:rsidRDefault="00256EE9" w:rsidP="00256EE9">
      <w:pPr>
        <w:pStyle w:val="TextoNormal"/>
      </w:pPr>
      <w:r>
        <w:t xml:space="preserve">Entiende a su vez, que el derecho a la intimidad de las personas, aunque tenga límites, cree que ha sido violado por la concesión de la prueba de referencia; entendiendo en definitiva, que la cuestión tiene contenido constitucional para ser objeto de una resolución de fondo. </w:t>
      </w:r>
    </w:p>
    <w:p w:rsidR="00256EE9" w:rsidRDefault="00256EE9" w:rsidP="00256EE9">
      <w:pPr>
        <w:pStyle w:val="TextoNormal"/>
      </w:pPr>
      <w:r>
        <w:t>Termina suplicando, se acuerde la continuación del trámite, dictando en su día Sentencia por la que se otorgue el amparo interesado, y se restablezca a la parte actora en su derecho, declarando la nulidad de la decisión judicial.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demanda de amparo, ante la decisión del Juez de Primera Instancia, dictada en un procedimiento especial del art. 70 de la Ley de Sociedades Anónimas, iniciado por un socio contra determinados acuerdos sociales, de admitir y practicar como prueba pertinente la presentación de copias de contratos de cuentas en participación suscritos por la Entidad actora, pretende se declare nula dicha admisión de prueba por presuntamente infringir el derecho a la intimidad personal reconocido en el art.  18.1 de la C. E., así como el derecho a la tutela judicial efectiva del art. 24.1 y por fin, el derecho a utilizar los medios de prueba pertinentes para su defensa proclamado en el art.  24.2 de la propia Ley superior, porque tan repetida práctica de prueba desvelaría la intimidad y los secretos de la Sociedad mercantil.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derecho a la intimidad que reconoce el art. 18.1 de la C. E.  por su propio contenido y naturaleza, se refiere a la vida privada de las personas individuales, en la que nadie puede inmiscuirse sin estar debidamente autorizado, y sin que en principio las personas jurídicas, como las Sociedades mercantiles, puedan ser titulares del mismo, ya que la reserva acerca de las actividades de estas Entidades, quedarán, en su caso, protegidas por la correspondiente regulación legal, al margen de la intimidad personal y subjetiva constitucionalmente decretada; pero es que, además, y en el caso de que hipotéticamente se estimare que el derecho de la intimidad acogiera a las personas jurídicas, estaría como el resto de los derechos fundamentales limitado en su total dimensión, pues su ejercicio se sometería al respeto de otros bienes jurídicos igualmente dignos y necesitados de protección, y en concreto, por lo que al presente caso se refiere, a exigencias derivadas de la acción de la justicia, en proceso entablado por un socio contra acuerdos del Ente mercantil, que como </w:t>
      </w:r>
      <w:r>
        <w:lastRenderedPageBreak/>
        <w:t>asegura el Juez de Primera Instancia, requiere el conocimiento del contenido de los contratos de cuentas en participación, por lo que no puede entenderse, que la práctica de dicha probanza, acordada por el Juez competente para resolver adecuadamente un conflicto intersubjetivo de intereses, suponga violación ilícita de intimidad alguna; y así lo determina la Ley Orgánica 1/1982, de 5 de mayo, sobre protección del derecho al honor, a la intimidad personal y familiar, y a la propia imagen, en cuyo art. 8.1 expresamente se establece, que «no se reputarán con carácter general, intromisiones ilegítimas, las actuaciones autorizadas o acordadas por la Autoridad competente de acuerdo con la Ley», más aún cuando según los arts.  565 y 566 de la Ley de Enjuiciamiento Civil, aplicables al caso concreto, sólo se repelerán por el Juez las pruebas procesales que sean impertinentes o inútiles, admitiéndose por él mismo las que no lo sean, y correspondiendo en definitiva al Juez ordinario, como ha establecido en reiteradísima doctrina este Tribunal, determinar en libre valoración judicial, llevada a cabo dentro de la legalidad sustantiva y procesal, la pertinencia y utilidad de las pruebas que las partes le presenten, para su práctica, en relación con lo que sea materia objeto del proceso, siendo más posible la censura en los supuestos de inadmisión, que en los supuestos de aceptación, porque aquéllos limitan el ejercicio del derecho a probar que el art.  24.2 admite, mientras que su aceptación por regla general no supone perjuicio para el esclarecimiento de la verdad material, sino que lo permite con mayores garantías de acierto.</w:t>
      </w:r>
    </w:p>
    <w:p w:rsidR="00256EE9" w:rsidRDefault="00256EE9" w:rsidP="00256EE9">
      <w:pPr>
        <w:pStyle w:val="TextoNormal"/>
      </w:pPr>
    </w:p>
    <w:p w:rsidR="00256EE9" w:rsidRDefault="00256EE9" w:rsidP="00256EE9">
      <w:pPr>
        <w:pStyle w:val="TextoNormal"/>
      </w:pPr>
      <w:r w:rsidRPr="00256EE9">
        <w:rPr>
          <w:rStyle w:val="NumeroAFNegritaCaracter"/>
        </w:rPr>
        <w:t>3</w:t>
      </w:r>
      <w:r>
        <w:t>. En el caso de examen, no admitió el Auto recurrido del Juez de Primera Instancia, que existiera causa alguna que limitare la razonable declaración de pertinencia de la prueba propuesta, tendente a la satisfacción de dos derechos constitucionalmente protegidos del socio que inició el proceso especial: el de utilizar los medios de prueba pertinentes para su defensa, que le reconoce dentro de un proceso con todas las garantías el art. 24.2 de la C. E., y también el derecho a no sufrir indefensión, que proclama con carácter general el apartado 1 de dicha Norma, siendo por otro lado inexistente, la violación del derecho a la tutela judicial reconocido en el precepto acabado de indicar y alegado por la parte actora, al tratarse de una resolución razonada y fundada en la legislación ordinaria indicada y en el art. 49 del Código de Comercio, que permite la exhibición de los libros y documentos de los comerciantes, no constando que la actora del amparo se haya visto privada de algún instrumento de defensa, en apoyo de su oposición a la pretensión del socio, así como del derecho a utilizar los medios de prueba pertinentes y garantizados por dicho art. 24.2 de la C. E., cuando lo que, en todo caso se discute, no es la negación a utilizar un medio de prueba a quien solicita el amparo, sino la aceptación de uno propuesto por la parte actora en el proceso a quo con alegaciones ambiguas de desvelar la intimidad social, no aceptadas por el Juez en adecuado juicio de legalidad, que este Tribunal ante su razonabilidad no puede censurar, y cuyo secreto dificilmente podría mantenerse frente a un socio, dentro de un proceso judicial, que exige el conocimiento por el Juez de la realidad más depurada de la actuación social, para llegar a la verdad y decidir en justicia el conflicto de intereses.</w:t>
      </w:r>
    </w:p>
    <w:p w:rsidR="00256EE9" w:rsidRDefault="00256EE9" w:rsidP="00256EE9">
      <w:pPr>
        <w:pStyle w:val="TextoNormal"/>
      </w:pPr>
      <w:r>
        <w:t>En atención a todo lo expuesto es de apreciar, la concurrencia de la causa de inadmisión de la demanda establecida en el art. 50.2 b) de la LOTC, por carecer la misma manifiestamente de contenido que justifique una decisión, en Sentencia, por parte de este Tribunal.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lastRenderedPageBreak/>
        <w:t>ACUERDA</w:t>
      </w:r>
    </w:p>
    <w:p w:rsidR="00256EE9" w:rsidRDefault="00256EE9" w:rsidP="00256EE9">
      <w:pPr>
        <w:pStyle w:val="TextoNormalCentrado"/>
      </w:pPr>
    </w:p>
    <w:p w:rsidR="00256EE9" w:rsidRDefault="00256EE9" w:rsidP="00256EE9">
      <w:pPr>
        <w:pStyle w:val="TextoNormal"/>
      </w:pPr>
      <w:r>
        <w:t>La Sección acordó:</w:t>
      </w:r>
    </w:p>
    <w:p w:rsidR="00256EE9" w:rsidRDefault="00256EE9" w:rsidP="00256EE9">
      <w:pPr>
        <w:pStyle w:val="TextoNormal"/>
      </w:pPr>
      <w:r>
        <w:t>Inadmitir a trámite la demanda formulada por el Procurador don Ramón Velasco Fernández en nombre y representación de la entidad mercantil «Internacional de Promociones Urbanas (PROMOSA), y el archivo de las actuaciones.</w:t>
      </w:r>
    </w:p>
    <w:p w:rsidR="00256EE9" w:rsidRDefault="00256EE9" w:rsidP="00256EE9">
      <w:pPr>
        <w:pStyle w:val="TextoNormal"/>
      </w:pPr>
    </w:p>
    <w:p w:rsidR="00256EE9" w:rsidRDefault="00256EE9" w:rsidP="00256EE9">
      <w:pPr>
        <w:pStyle w:val="TextoNormal"/>
      </w:pPr>
      <w:r>
        <w:t>Madrid, a diecisiete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19" w:name="AUTO_1985_258"/>
      <w:r>
        <w:lastRenderedPageBreak/>
        <w:t>AUTO 258/1985, de 24 de abril de 1985</w:t>
      </w:r>
    </w:p>
    <w:bookmarkEnd w:id="319"/>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ECLI:ES:TC:1985:258A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haber lugar al desistimiento de los actores en los recursos de amparo 513, 559 y 560/1983 (acumulados)</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21 de julio de 1983 se interpuso ante este Tribunal recurso de amparo por don Francisco Pérez de Guzmán Molina frente a resolución dictada por el Gobierno Civil de Sevilla en 18 de enero anterior, por la que se requería de inhibición a la Magistratura de Trabajo núm. 5 de aquella ciudad, para que se abstuviera de embargar la subvención a la gratuidad del Colegio «Calderón de la Barca», de la misma ciudad. El recurso, al que correspondió el número de orden 513/1983, fue admitido a trámite, siguiendo el procedimiento hasta el que regula el art. 52 de la Ley Orgánica de este Tribunal.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En 30 de julio de 1983 don José Manuel González Ballester y don Manuel Ortega Pérez interpusieron sendos recursos de amparo contra la misma resolución gubernativa que el anterior, correspondiéndoles los núms. 559 y 560, respectivamente, de 1983, alcanzando ambos el mismo estado procesal que el 513/1983. </w:t>
      </w:r>
    </w:p>
    <w:p w:rsidR="00256EE9" w:rsidRDefault="00256EE9" w:rsidP="00256EE9">
      <w:pPr>
        <w:pStyle w:val="TextoNormal"/>
      </w:pPr>
      <w:r>
        <w:t>En los tres recursos comparecieron como demandados el Abogado del Estado y don Buenaventura García García.</w:t>
      </w:r>
    </w:p>
    <w:p w:rsidR="00256EE9" w:rsidRDefault="00256EE9" w:rsidP="00256EE9">
      <w:pPr>
        <w:pStyle w:val="TextoNormal"/>
      </w:pPr>
    </w:p>
    <w:p w:rsidR="00256EE9" w:rsidRDefault="00256EE9" w:rsidP="00256EE9">
      <w:pPr>
        <w:pStyle w:val="TextoNormal"/>
      </w:pPr>
      <w:r w:rsidRPr="00256EE9">
        <w:rPr>
          <w:rStyle w:val="NumeroAFNegritaCaracter"/>
        </w:rPr>
        <w:t>3</w:t>
      </w:r>
      <w:r>
        <w:t>. Por Auto de 22 de febrero de 1984 se acumularon los tres recursos, en cuyo procedimiento se concluyó el antes referido trámite de alegaciones que regula el art. 52.1 de la Ley Orgánica de este Tribunal.</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5 de diciembre de 1984 se acordó oír a las partes y al Ministerio Fiscal acerca de si subsiste o no materia de amparo a la vista de la comunicación remitida por el Gobierno Civil de Sevilla de fecha 31 de octubre anterior en la que participaba haber dirigido escrito a la Magistratura de Trabajo núm. 5 de aquella capital, manifestándole su conformidad con las decisiones de la expresada Magistratura. </w:t>
      </w:r>
    </w:p>
    <w:p w:rsidR="00256EE9" w:rsidRDefault="00256EE9" w:rsidP="00256EE9">
      <w:pPr>
        <w:pStyle w:val="TextoNormal"/>
      </w:pPr>
      <w:r>
        <w:t xml:space="preserve">En este trámite la representación de los demandantes formuló su desistimiento de las demandas, el Abogado del Estado pidió que el procedimiento continuase y se dictase Sentencia denegatoria del amparo, don Buenaventura García García expresó su criterio de que subsiste materia de amparo y de que es obligado pronunciarse sobre todas las cuestiones planteadas; exponiendo el Ministerio Fiscal que el objeto del amparo ha desaparecido ante la conformidad del Gobierno Civil con las decisiones de la Magistratura y que la posible </w:t>
      </w:r>
      <w:r>
        <w:lastRenderedPageBreak/>
        <w:t>duda de si la Junta de Andalucia había recibido la competencia del asunto, está despejada por la resolución del Ministerio de la Presidencia que, de conformidad con el dictamen del Consejo de Estado, constataba, tras la renuncia del Gobierno Civil al requerimiento de inhibición, que la competencia de la Magistratura quedaba indiscutida, toda vez que la Junta de Andalucía no fijó suposición al respecto tras los requerimientos efectuados para ello.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Hallándose en cuestión la consistencia del amparo, al haberse sometido a la consideración de las partes y el Ministerio Fiscal la subsistencia de su objeto, la representación de los demandantes ha manifestado su voluntad de desistir de las demandas.</w:t>
      </w:r>
    </w:p>
    <w:p w:rsidR="00256EE9" w:rsidRDefault="00256EE9" w:rsidP="00256EE9">
      <w:pPr>
        <w:pStyle w:val="TextoNormal"/>
      </w:pPr>
      <w:r>
        <w:t>El objeto de este proceso era la impugnación de un requerimiento de inhibición que el propio órgano requirente ha dejado sin efecto tras mantener su competencia el requerido. Es obvio que el amparo quedó sin objeto al desaparecer aquella decisión en cuya impugnación el recurso consistía.</w:t>
      </w:r>
    </w:p>
    <w:p w:rsidR="00256EE9" w:rsidRDefault="00256EE9" w:rsidP="00256EE9">
      <w:pPr>
        <w:pStyle w:val="TextoNormal"/>
      </w:pPr>
      <w:r>
        <w:t>Pero en el orden de la dinámica procesal, antes aún que sin objeto, el proceso ha quedado sin sujeto activo al formular la representación de los actores su voluntad de desistir de las demandas, voluntad que consta de modo expreso, figurando también de modo expreso, en el poder obrante en autos, entre las facultades que al Procurador otorgaron sus poderdantes, la de desistir del proceso entablado.  Tal desistimiento no es contrario a ningún interés que aparezca como digno de protección, pues el único posible interés en mantener el requerimiento de inhibición, una vez que ha sido dejado sin efecto.  es extraño en su actuación a este concreto recurso constitucional.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declarar terminados los presentes recursos acumulados por desistimiento de los demandantes de amparo.</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0" w:name="AUTO_1985_259"/>
      <w:r>
        <w:lastRenderedPageBreak/>
        <w:t>AUTO 259/1985, de 24 de abril de 1985</w:t>
      </w:r>
    </w:p>
    <w:bookmarkEnd w:id="320"/>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ECLI:ES:TC:1985:259A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161/1984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fecha 5 de marzo de 1984, doña Carmen Cuesta Arribas presentó escrito ante este Tribunal solicitando la designación de Procurador y Abogado en turno de oficio a fin de promover demanda de amparo constitucional contra la Sentencia de 2 de febrero de 1984 de la Sala Sexta del Tribunal Supremo, recaída en recurso de casación interpuesto por la Excelentísima Diputación Provincial de Valencia contra resolución pronunciada por la Magistratura de Trabajo núm. 7 de las de Valencia, sustanciando demanda en reclamación por despido.</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28 de marzo de 1984, la Sección acuerda tener por interpuesto recurso de amparo por doña Carmen Cuesta Arribas y librar los despachos necesarios para el nombramiento de Abogado y Procurador del turno de oficio a la indicada recurrente, sin perjuicio de lo que en su día sea decidido sobre la admisión o inadmisión del recurso.</w:t>
      </w:r>
    </w:p>
    <w:p w:rsidR="00256EE9" w:rsidRDefault="00256EE9" w:rsidP="00256EE9">
      <w:pPr>
        <w:pStyle w:val="TextoNormal"/>
      </w:pPr>
    </w:p>
    <w:p w:rsidR="00256EE9" w:rsidRDefault="00256EE9" w:rsidP="00256EE9">
      <w:pPr>
        <w:pStyle w:val="TextoNormal"/>
      </w:pPr>
      <w:r w:rsidRPr="00256EE9">
        <w:rPr>
          <w:rStyle w:val="NumeroAFNegritaCaracter"/>
        </w:rPr>
        <w:t>3</w:t>
      </w:r>
      <w:r>
        <w:t>. Previos los trámites legalmente establecidos y al haber declarado insostenible la acción tanto el Letrado designado de oficio para la defensa como el designado para informar por el Colegio General de la Abogacía y el Ministerio Fiscal, la Sección por providencia de 14 de diciembre de 1984 resolvió dejar sin efecto la defensa acordada por pobre de la misma, requiriéndole para que se personase si le interesaba, con Abogado y Procurador a su cargo.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escrito de 9 de enero de 1985, don Juan Ignacio Avila del Hierro, Procurador de los Tribunales, solicita de este Tribunal se le tenga por personado en nombre y representación de doña Carmen Cuesta Arribas en el recurso interpuesto contra Sentencia de la Sala Sexta del Tribunal Supremo de 2 de febrero de 1984. </w:t>
      </w:r>
    </w:p>
    <w:p w:rsidR="00256EE9" w:rsidRDefault="00256EE9" w:rsidP="00256EE9">
      <w:pPr>
        <w:pStyle w:val="TextoNormal"/>
      </w:pPr>
      <w:r>
        <w:t>Por providencia de 16 de enero de 1985, la Sección acuerda tener por recibido el escrito del Procurador señor Avila del Hierro, a quien se le tiene por personado y parte en nombre y representación de la recurrente señora Cuesta Arribas, concediéndole un plazo de diez días para que, dentro de dicho término, formule la correspondiente demanda de amparo, de conformidad con lo prevenido en el art. 49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Por escrito que tuvo entrada en el Registro General de este Tribunal el 9 de febrero del corriente, don Juan Ignacio Avila del Hierro, Procurador de los Tribunales, interpone en nombre y representación de doña Carmen Cuesta Arribas demanda de amparo constitucional contra la Sentencia de la Sala Sexta del Tribunal Supremo de 2 de febrero de 1984, con apoyo en los siguientes hechos: a) la actora entró a prestar servicios como auxiliar de clínica el 13 de agosto de 1981, realizando los cometidos propios de su categoría en el Hospital Provincial de Valencia, dependiente de la Excelentísima Diputación Provincial. En la cláusula primera del contrato de trabajo suscrito se estipuló «que es objeto de este contrato la prestación por doña Carmen Cuesta Arribas de sus servicios personales con carácter transitorio (...) para cubrir la baja temporal por excedencia post maternal de doña S. R. G.», estableciéndose en la cláusula segunda del mismo «que el presente contrato surtirá efectos desde el día 16 de agosto de 1981 y hasta la reincorporación del interesado, y como máximo por el plazo de seis meses; b) en fecha 22 de noviembre de 1981, la actora recibió escrito del Departamento de Personal de la Diputación Provincial por el que se comunicaba su cese en la prestación de servicios «a causa de la reincorporación de la titular en el puesto de trabajo». Formulada demanda en reclamación por despido ante la jurisdicción ordinaria del orden laboral, la Magistratura de Trabajo núm. 7 de las de Valencia la estimó por Sentencia de 3 de marzo de 1983, declarando improcedente el despido y condenando a la Entidad demandada a que, a su opción, readmitiera a la actora o la abonara la indemnización que la resolución judicial fijaba, con el abono de los salarios de tramitación, la cual, de otro lado, advertía a las partes de la posibilidad de interponer recurso de casación; c ) interpuesto dicho recurso por la parte demandada alegándose, de un lado, violación del art. 15.1 c) del Estatuto de los Trabajadores, en relación con el art. 3 del Real Decreto 2303/1980, de 17 de octubre, y, de otro, aplicación indebida de los arts. 54 a 56 del mencionado Estatuto, la Sala Sexta del Tribunal Supremo, por Sentencia de 2 de febrero de 1984, lo estimó casando y anulando la de instancia, y por una segunda Sentencia de igual fecha desestimó la demanda instada por la hoy recurrente en amparo.</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escrito de demanda denuncia la violación por las Sentencias recurridas del derecho a la tutela judicial efectiva consagrado en el art. 24.1 de la C. E., violación ésta que, a juicio de la recurrente, se habría producido por un doble motivo: a) En el resultando segundo de los hechos declarados probados por la Sentencia de instancia y mantenidos inalterados por la del Tribunal Supremo se dice que la actora «fue despedida por carta con efectos al 22 de noviembre de 1982, por resolución del departamento de personal de la Diputación Provincial a causa de la reincorporación de la titular a su puesto de trabajo doña Luisa Robles al mismo». En base a esta resultancia fáctica, infiere la demandante que la Sentencia de instancia «está partiendo de la existencia de un despido» al que ha de aplicársele la oportuna calificación legal de improcedencia, procedente o nulo y no la declaración de extinción del contrato por cumplimiento de las causas válidamente consignadas en el mismo, máxime cuando había transcurrido el plazo máximo de prestación de servicios y no se celebró otro pacto que mantuviera el carácter interino de la actora. La Sentencia impugnada, en suma, no aplicó los preceptos legales correspondientes a los hechos declarados como probados en la resolución de instancia. b) En la Sentencia de instancia se advirtió a las partes ser el recurso de casación el procedente contra la misma. Sin embargo y en providencia dictada por el Magistrado de Trabajo de 6 de abril de 1983, en la que se desestimó la aclaración del fallo pronunciado, se comunicó a la actora poder recurrir en suplicación contra lo proveído, «vulnerándose así los arts. 166.4 y 178.1 de la LPL», pues el </w:t>
      </w:r>
      <w:r>
        <w:lastRenderedPageBreak/>
        <w:t xml:space="preserve">salario anual de la actora, fijado en hechos probados, no alcanzaba la cantidad de 1.000.000 de pesetas. </w:t>
      </w:r>
    </w:p>
    <w:p w:rsidR="00256EE9" w:rsidRDefault="00256EE9" w:rsidP="00256EE9">
      <w:pPr>
        <w:pStyle w:val="TextoNormal"/>
      </w:pPr>
      <w:r>
        <w:t>En el «suplico», se solicita de este Tribunal declare la nulidad de las Sentencias dictadas por la Sala Sexta del Tribunal Supremo, reconociendo ser aplicables a las actuaciones «las normas legales y procedimentales correspondientes a tenor del resultando de hechos probados, esto es, los arts. 54 a 56 del Estatuto de los Trabajadores y los arts. 102, 103 y concordantes del Texto Procesal Laboral». Además se interesa de este Tribunal la nulidad de la Sentencia de instancia y la subsiguiente del Tribunal Supremo, ya que a tenor de la cuantía del salario de la actora el recurso procedente contra aquella resolución era el de suplicación.</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Por providencia de 27 de febrero de 1985, la Sección acuerda tener por recibido el escrito de interposición de la demanda, concediendo al Ministerio Fiscal y a la recurrente un plazo común de diez días a fin de que dentro de dicho término aleguen lo pertinente en relación con la posible concurrencia del motivo de inadmisión consistente en carecer la demanda manifiestamente de contenido que justifique una decisión por parte de este Tribunal Constitucional. </w:t>
      </w:r>
    </w:p>
    <w:p w:rsidR="00256EE9" w:rsidRDefault="00256EE9" w:rsidP="00256EE9">
      <w:pPr>
        <w:pStyle w:val="TextoNormal"/>
      </w:pPr>
      <w:r>
        <w:t xml:space="preserve">a) Evacuando el trámite, el Fiscal ante el Tribunal Constitucional comienza señalando que el mero enunciado de las presuntas violaciones denunciadas revela la falta de contenido constitucional, evidenciando una mera discrepancia respecto a la respuesta jurídica del órgano judicial. La Sentencia combatida, de manera motivada y minuciosa, realiza la subsunción de los hechos declarados probados en la norma aplicable, indicando que el contrato tiene naturaleza eventual y está sometido a la condición resolutoria de la incorporación de la trabajadora a la que sustituía la recurrente, de modo que la resolución del contrato está justificada. Mediante una interpretación estricta de la palabra «despido», la recurrente pretende acreditar la falta de adecuación de los hechos a la norma, combatiendo la interpretación que el Tribunal Supremo hace de tal expresión, comprensiva de la extinción de la relación laboral en general y no referida únicamente a la extinción por causa disciplinaria. Montar un recurso de amparo en tal motivo es exagerado y no tiene la entidad para dotarle de contenido constitucional. </w:t>
      </w:r>
    </w:p>
    <w:p w:rsidR="00256EE9" w:rsidRDefault="00256EE9" w:rsidP="00256EE9">
      <w:pPr>
        <w:pStyle w:val="TextoNormal"/>
      </w:pPr>
      <w:r>
        <w:t xml:space="preserve">En relación con el segundo motivo de presunta violacion del art. 24.1 de la C. E., el Fiscal estima carecer igualmente de contenido constitucional. </w:t>
      </w:r>
    </w:p>
    <w:p w:rsidR="00256EE9" w:rsidRDefault="00256EE9" w:rsidP="00256EE9">
      <w:pPr>
        <w:pStyle w:val="TextoNormal"/>
      </w:pPr>
      <w:r>
        <w:t xml:space="preserve">La competencia fue aceptada por el Tribunal Supremo tras examinar si concurrían los requisitos para ello, y esta apreciación no tiene conexión constitucional. </w:t>
      </w:r>
    </w:p>
    <w:p w:rsidR="00256EE9" w:rsidRDefault="00256EE9" w:rsidP="00256EE9">
      <w:pPr>
        <w:pStyle w:val="TextoNormal"/>
      </w:pPr>
      <w:r>
        <w:t xml:space="preserve">Por lo expuesto, el Ministerio Fiscal interesa de este Tribunal dicte Auto desestimatorio de la demanda por concurrir la causa prevista en el art. 50.2 b) de la LOTC. </w:t>
      </w:r>
    </w:p>
    <w:p w:rsidR="00256EE9" w:rsidRDefault="00256EE9" w:rsidP="00256EE9">
      <w:pPr>
        <w:pStyle w:val="TextoNormal"/>
      </w:pPr>
      <w:r>
        <w:t>b) En su escrito de alegaciones, la recurrente reitera lo esencial de su demanda, insistiendo sobre todo en la obligada observancia por los Tribunales de la narración fáctica, de modo que, al dar la Sentencia de instancia la naturaleza de «probado» al hecho del despido, son las normas reguladoras de esta forma de extinción las que resultan aplicables y, al no actuar, la Sentencia recurrida lesionó el art. 24.1 de la C. E. En base a ello se solicita la admisión a trámite del recurso de amparo interpuesto.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Objeto de este Auto es determinar si en el presente recurso de amparo concurre el motivo de inadmisión señalado en nuestra providencia de 27 de febrero de 1985, consis</w:t>
      </w:r>
      <w:r>
        <w:lastRenderedPageBreak/>
        <w:t>tente en carecer la demanda manifiestamente de contenido que justifique una decisión por parte de este Tribunal Constitucional, es decir, de acuerdo con nuestra reiterada doctrina, una decisión por Sentencia.</w:t>
      </w:r>
    </w:p>
    <w:p w:rsidR="00256EE9" w:rsidRDefault="00256EE9" w:rsidP="00256EE9">
      <w:pPr>
        <w:pStyle w:val="TextoNormal"/>
      </w:pPr>
    </w:p>
    <w:p w:rsidR="00256EE9" w:rsidRDefault="00256EE9" w:rsidP="00256EE9">
      <w:pPr>
        <w:pStyle w:val="TextoNormal"/>
      </w:pPr>
      <w:r w:rsidRPr="00256EE9">
        <w:rPr>
          <w:rStyle w:val="NumeroAFNegritaCaracter"/>
        </w:rPr>
        <w:t>2</w:t>
      </w:r>
      <w:r>
        <w:t>. El recurso se basa en dos motivos: uno que la Sentencia del Tribunal Supremo acepta expresamente los resultandos de la Sentencia de instancia en los que se dice que la recurrente «fue despedida», y sin embargo revoca dicha Sentencia de instancia declarando no aplicables a este caso las disposiciones legales relativas al despido; el otro motivo consiste en que la misma Sentencia de instancia declaró procedente el recurso de casación, mientras que al resolver el recurso de aclaración instado contra ella la Magistratura de Trabajo señaló como procedente el de suplicación, que según la recurrente era el que realmente procedía. Todo ello supondría una vulneración del derecho a la tutela judicial efectiva consagrado en el art. 24.1 de la Constitución.  Conviene indicar para plantear correctamente la cuestión que si bien la demanda de amparo se dirige contra la Sentencia del Tribunal Supremo, según se dice en el encabezamiento, en ella se pide también la nulidad de la Sentencia de instancia a consecuencia del segundo de los motivos citados.</w:t>
      </w:r>
    </w:p>
    <w:p w:rsidR="00256EE9" w:rsidRDefault="00256EE9" w:rsidP="00256EE9">
      <w:pPr>
        <w:pStyle w:val="TextoNormal"/>
      </w:pPr>
    </w:p>
    <w:p w:rsidR="00256EE9" w:rsidRDefault="00256EE9" w:rsidP="00256EE9">
      <w:pPr>
        <w:pStyle w:val="TextoNormal"/>
      </w:pPr>
      <w:r w:rsidRPr="00256EE9">
        <w:rPr>
          <w:rStyle w:val="NumeroAFNegritaCaracter"/>
        </w:rPr>
        <w:t>3</w:t>
      </w:r>
      <w:r>
        <w:t>. El primero de los motivos de inconstitucionalidad alegados supone en realidad una discrepancia respecto a la valoración que de los hechos ha llevado a cabo el Tribunal Supremo frente a la realizada por la Magistratura de Trabajo.  Esta última entendió que había existido un despido interpretando esta expresión en su sentido técnico y dedujo de esta interpretación las correspondientes consecuencias legales.  El Tribunal Supremo analiza el contrato de trabajo suscrito por la recurrente y llega a la conclusión de que no existe tal «despido» en sentido técnico, pues el citado contrato era de naturaleza interina y la relación laboral se extinguía en este caso con la reincorporación al puesto de trabajo de la persona sustituida.  Se trata con toda evidencia de un problema de mera legalidad ordinaria ajeno a la jurisdicción de este Tribunal, sin que a ello obste que la Sentencia impugnada acepte en sus resultandos la expresión «despedida» que obviamente se interpreta en ella en sentido no técnico, como equivalente a cesada o término análogo.</w:t>
      </w:r>
    </w:p>
    <w:p w:rsidR="00256EE9" w:rsidRDefault="00256EE9" w:rsidP="00256EE9">
      <w:pPr>
        <w:pStyle w:val="TextoNormal"/>
      </w:pPr>
      <w:r>
        <w:t>No existe, pues, en este aspecto vulneración del art. 24.1 de la Constitución.</w:t>
      </w:r>
    </w:p>
    <w:p w:rsidR="00256EE9" w:rsidRDefault="00256EE9" w:rsidP="00256EE9">
      <w:pPr>
        <w:pStyle w:val="TextoNormal"/>
      </w:pPr>
    </w:p>
    <w:p w:rsidR="00256EE9" w:rsidRDefault="00256EE9" w:rsidP="00256EE9">
      <w:pPr>
        <w:pStyle w:val="TextoNormal"/>
      </w:pPr>
      <w:r w:rsidRPr="00256EE9">
        <w:rPr>
          <w:rStyle w:val="NumeroAFNegritaCaracter"/>
        </w:rPr>
        <w:t>4</w:t>
      </w:r>
      <w:r>
        <w:t>. Tampoco infringen este precepto constitucional la Sentencia de instancia ni la del Tribunal Supremo por el segundo de los motivos alegados.</w:t>
      </w:r>
    </w:p>
    <w:p w:rsidR="00256EE9" w:rsidRDefault="00256EE9" w:rsidP="00256EE9">
      <w:pPr>
        <w:pStyle w:val="TextoNormal"/>
      </w:pPr>
      <w:r>
        <w:t>Si procedía el recurso de casación o el de suplicación es asimismo un problema de legalidad ordinaria que el mismo Tribunal Supremo resolvió considerando procedente el recurso interpuesto sin que a este Tribunal Constitucional le corresponda revisar la decisión adoptada por el órgano jurisdiccional superior en todos los órdenes (art.  123.1 de la Constitución), dado que su decisión en nada afecta a las garantías jurisdiccionales.</w:t>
      </w:r>
    </w:p>
    <w:p w:rsidR="00256EE9" w:rsidRDefault="00256EE9" w:rsidP="00256EE9">
      <w:pPr>
        <w:pStyle w:val="TextoNormal"/>
      </w:pPr>
    </w:p>
    <w:p w:rsidR="00256EE9" w:rsidRDefault="00256EE9" w:rsidP="00256EE9">
      <w:pPr>
        <w:pStyle w:val="TextoNormal"/>
      </w:pPr>
      <w:r w:rsidRPr="00256EE9">
        <w:rPr>
          <w:rStyle w:val="NumeroAFNegritaCaracter"/>
        </w:rPr>
        <w:t>5</w:t>
      </w:r>
      <w:r>
        <w:t>. De todo lo expuesto resulta que concurre en el presente recurso el motivo de inadmisión señalado en nuestra providencia de 27 de febrero del presente año, por lo que procede declarar su inadmisión de acuerdo con lo dispuesto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declarar la inadmisión del presente recurso de amparo.  Archívense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1" w:name="AUTO_1985_260"/>
      <w:r>
        <w:lastRenderedPageBreak/>
        <w:t>AUTO 260/1985, de 24 de abril de 1985</w:t>
      </w:r>
    </w:p>
    <w:bookmarkEnd w:id="321"/>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ECLI:ES:TC:1985:260A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el archivo de las actuaciones en el procedimiento 239/1984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de 3 de abril de 1984, don José Jacinto Parra Hernández manifiesta su propósito de interponer recurso de amparo contra la Sentencia de 12 de marzo de 1984 de la Sección Tercera de la Audiencia Provincial de Madrid, recaída en el recurso de apelación contra la dictada por el Juez de Distrito núm. 14 de Madrid, el 21 de julio de 1982, en los Autos de juicio de cognición sobre resolución de contrato de arrendamiento. A tal fin solicita de este Tribunal Constitucional le reconozca el derecho a gozar del beneficio de pobreza, acordando lo oportuno para la designación de Abogado y Procurador de los del turno de oficio.</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9 de mayo de 1984, la Sección Primera de la Sala Primera de este Tribunal acuerda dirigir sendas comunicaciones al Consejo General de la Abogacía y al Colegio de Procuradores de Madrid, a fin de que se proceda a la designación, en turno de oficio, de Letrado y Procurador que dirija y represente, respectivamente, al recurrente en el presente proceso constitucional.</w:t>
      </w:r>
    </w:p>
    <w:p w:rsidR="00256EE9" w:rsidRDefault="00256EE9" w:rsidP="00256EE9">
      <w:pPr>
        <w:pStyle w:val="TextoNormal"/>
      </w:pPr>
    </w:p>
    <w:p w:rsidR="00256EE9" w:rsidRDefault="00256EE9" w:rsidP="00256EE9">
      <w:pPr>
        <w:pStyle w:val="TextoNormal"/>
      </w:pPr>
      <w:r w:rsidRPr="00256EE9">
        <w:rPr>
          <w:rStyle w:val="NumeroAFNegritaCaracter"/>
        </w:rPr>
        <w:t>3</w:t>
      </w:r>
      <w:r>
        <w:t>. Recibidas las correspondientes comunicaciones por las que se designa Procurador a don José Luis Martín Jauregibeitia y Letrado a don Félix Sobrino Legido, la Sección, por providencia de 30 de mayo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en escrito sucintamente razonado, si estimare que es insostenible la pretensión que quiere hacer valer el recurrente.</w:t>
      </w:r>
    </w:p>
    <w:p w:rsidR="00256EE9" w:rsidRDefault="00256EE9" w:rsidP="00256EE9">
      <w:pPr>
        <w:pStyle w:val="TextoNormal"/>
      </w:pPr>
    </w:p>
    <w:p w:rsidR="00256EE9" w:rsidRDefault="00256EE9" w:rsidP="00256EE9">
      <w:pPr>
        <w:pStyle w:val="TextoNormal"/>
      </w:pPr>
      <w:r w:rsidRPr="00256EE9">
        <w:rPr>
          <w:rStyle w:val="NumeroAFNegritaCaracter"/>
        </w:rPr>
        <w:t>4</w:t>
      </w:r>
      <w:r>
        <w:t>. El Procurador de los Tribunales don José Luis Martín Jauregibeitia, en escrito presentado el 15 de junio de 1984, solicita de este Tribunal Constitucional requiera al interesado para que amplíe los antecedentes documentales, aportando el contrato de arrendamiento y testimonio del juicio de cognición en acción resolutoria de arrendamiento urbano promovido por doña María Teresa Ruiz Simón frente al interesado.</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Recibidos los anteriores documentos, la Sección, por providencia de 19 de septiembre de 1984, acuerda dar traslado de ellos al Letrado en turno de oficio, a fin de que en el plazo de diez días dé cumplimiento a lo acordado en la providencia de 30 de mayo del mismo año.</w:t>
      </w:r>
    </w:p>
    <w:p w:rsidR="00256EE9" w:rsidRDefault="00256EE9" w:rsidP="00256EE9">
      <w:pPr>
        <w:pStyle w:val="TextoNormal"/>
      </w:pPr>
    </w:p>
    <w:p w:rsidR="00256EE9" w:rsidRDefault="00256EE9" w:rsidP="00256EE9">
      <w:pPr>
        <w:pStyle w:val="TextoNormal"/>
      </w:pPr>
      <w:r w:rsidRPr="00256EE9">
        <w:rPr>
          <w:rStyle w:val="NumeroAFNegritaCaracter"/>
        </w:rPr>
        <w:t>6</w:t>
      </w:r>
      <w:r>
        <w:t>. Por escrito presentado el 26 de octubre de 1984, la representación del recurrente manifiesta que el Letrado don Félix Sobrino Legido, a la vista de la documentación aportada y tras detenido estudio de la misma y del escrito del recurrente, se ve obligado a excusarse de la dirección legal por entender que el recurso de amparo es insostenible, dado que la cuestión planteada se reduce a un problema de interpretación de una norma legal -art. 64 de la vigente Ley de Arrendamientos Urbanos-, que no afecta a los derechos y libertades susceptibles de amparo, y la competencia para aplicar e interpretar las Leyes es exclusiva de los Jueces y Tribunales integrados en el Poder Judicial, a los que corresponde juzgar y hacer ejecutar lo juzgado (art. 117.3 de la Constitución).</w:t>
      </w:r>
    </w:p>
    <w:p w:rsidR="00256EE9" w:rsidRDefault="00256EE9" w:rsidP="00256EE9">
      <w:pPr>
        <w:pStyle w:val="TextoNormal"/>
      </w:pPr>
    </w:p>
    <w:p w:rsidR="00256EE9" w:rsidRDefault="00256EE9" w:rsidP="00256EE9">
      <w:pPr>
        <w:pStyle w:val="TextoNormal"/>
      </w:pPr>
      <w:r w:rsidRPr="00256EE9">
        <w:rPr>
          <w:rStyle w:val="NumeroAFNegritaCaracter"/>
        </w:rPr>
        <w:t>7</w:t>
      </w:r>
      <w:r>
        <w:t>. Por providencia de 31 de octubre de 1984, la Sección, de conformidad con lo dispuesto en el art. 9 de las Normas de este Tribunal Constitucional sobre defensa por pobre y el art. 38 de la vigente Ley de Enjuiciamiento Civil, acuerda remitir fotocopia de las actuaciones al Consejo General de la Abogacía para que en el plazo de seis días emita dictamen sobre si puede o no sostenerse la pretensión del solicitante de amparo.</w:t>
      </w:r>
    </w:p>
    <w:p w:rsidR="00256EE9" w:rsidRDefault="00256EE9" w:rsidP="00256EE9">
      <w:pPr>
        <w:pStyle w:val="TextoNormal"/>
      </w:pPr>
    </w:p>
    <w:p w:rsidR="00256EE9" w:rsidRDefault="00256EE9" w:rsidP="00256EE9">
      <w:pPr>
        <w:pStyle w:val="TextoNormal"/>
      </w:pPr>
      <w:r w:rsidRPr="00256EE9">
        <w:rPr>
          <w:rStyle w:val="NumeroAFNegritaCaracter"/>
        </w:rPr>
        <w:t>8</w:t>
      </w:r>
      <w:r>
        <w:t>. Con fecha 29 de noviembre de 1984, el Presidente del Consejo General de la Abogacía envía el dictamen emitido por el Letrado don Rafael Guisasola Ramos, quien manifiesta que comparte absolutamente el contenido del escrito del Letrado don Félix Sobrino Legido y considera que la pretensión deducida por el recurrente no puede sostenerse en juicio.</w:t>
      </w:r>
    </w:p>
    <w:p w:rsidR="00256EE9" w:rsidRDefault="00256EE9" w:rsidP="00256EE9">
      <w:pPr>
        <w:pStyle w:val="TextoNormal"/>
      </w:pPr>
    </w:p>
    <w:p w:rsidR="00256EE9" w:rsidRDefault="00256EE9" w:rsidP="00256EE9">
      <w:pPr>
        <w:pStyle w:val="TextoNormal"/>
      </w:pPr>
      <w:r w:rsidRPr="00256EE9">
        <w:rPr>
          <w:rStyle w:val="NumeroAFNegritaCaracter"/>
        </w:rPr>
        <w:t>9</w:t>
      </w:r>
      <w:r>
        <w:t>. Por providencia de 12 de diciembre de 1984, la Sección acuerda, de conformidad con lo establecido en el art. 39 de la Ley de Enjuiciamiento Civil, dar traslado del mencionado dictamen al Ministerio Fiscal para que en el plazo de seis días emita el correspondiente dictamen.</w:t>
      </w:r>
    </w:p>
    <w:p w:rsidR="00256EE9" w:rsidRDefault="00256EE9" w:rsidP="00256EE9">
      <w:pPr>
        <w:pStyle w:val="TextoNormal"/>
      </w:pPr>
    </w:p>
    <w:p w:rsidR="00256EE9" w:rsidRDefault="00256EE9" w:rsidP="00256EE9">
      <w:pPr>
        <w:pStyle w:val="TextoNormal"/>
      </w:pPr>
      <w:r w:rsidRPr="00256EE9">
        <w:rPr>
          <w:rStyle w:val="NumeroAFNegritaCaracter"/>
        </w:rPr>
        <w:t>10</w:t>
      </w:r>
      <w:r>
        <w:t>. El Ministerio Fiscal, evacuando el traslado conferido, manifiesta que no procede el ejercicio de la acción por no existir fundamento legal para mantener la pretensión, dado que se trata de un problema de legalidad ordinaria, cuyo conocimiento es de competencia exclusiva de la jurisdicción ordinaria (art. 117.3 de la Constitución), y el proceso que ha dado lugar a la decisión judicial se ha realizado con todas las garantías procesales.</w:t>
      </w:r>
    </w:p>
    <w:p w:rsidR="00256EE9" w:rsidRDefault="00256EE9" w:rsidP="00256EE9">
      <w:pPr>
        <w:pStyle w:val="TextoNormal"/>
      </w:pPr>
    </w:p>
    <w:p w:rsidR="00256EE9" w:rsidRDefault="00256EE9" w:rsidP="00256EE9">
      <w:pPr>
        <w:pStyle w:val="TextoNormal"/>
      </w:pPr>
      <w:r w:rsidRPr="00256EE9">
        <w:rPr>
          <w:rStyle w:val="NumeroAFNegritaCaracter"/>
        </w:rPr>
        <w:t>11</w:t>
      </w:r>
      <w:r>
        <w:t>. A la vista de dicho dictamen y por providencia de 10 de enero de 1985, la Sección acuerda dejar sin efecto la defensa acordada por pobre y requerir al recurrente para que, si así le interesa, se persone en este procedimiento en el plazo de diez días con Abogado y Procurador a su cargo, plazo que transcurre sin que el interesado cumplimente dicho requisito.</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256EE9" w:rsidRDefault="00256EE9" w:rsidP="00256EE9">
      <w:pPr>
        <w:pStyle w:val="TextoNormal"/>
      </w:pPr>
    </w:p>
    <w:p w:rsidR="00256EE9" w:rsidRDefault="00256EE9" w:rsidP="00256EE9">
      <w:pPr>
        <w:pStyle w:val="TextoNormal"/>
      </w:pPr>
      <w:r w:rsidRPr="00256EE9">
        <w:rPr>
          <w:rStyle w:val="NumeroAFNegritaCaracter"/>
        </w:rPr>
        <w:t>2</w:t>
      </w:r>
      <w:r>
        <w:t>.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el Letrado designado para dictaminar sobre la cuestión, así como el Ministerio Fiscal, la Sección procedió a dejar sin efecto la defensa acordada por pobre y requerir al demandante para que se personase con Abogado y Procurador a su cargo.</w:t>
      </w:r>
    </w:p>
    <w:p w:rsidR="00256EE9" w:rsidRDefault="00256EE9" w:rsidP="00256EE9">
      <w:pPr>
        <w:pStyle w:val="TextoNormal"/>
      </w:pPr>
    </w:p>
    <w:p w:rsidR="00256EE9" w:rsidRDefault="00256EE9" w:rsidP="00256EE9">
      <w:pPr>
        <w:pStyle w:val="TextoNormal"/>
      </w:pPr>
      <w:r w:rsidRPr="00256EE9">
        <w:rPr>
          <w:rStyle w:val="NumeroAFNegritaCaracter"/>
        </w:rPr>
        <w:t>3</w:t>
      </w:r>
      <w:r>
        <w:t>.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lo anteriormente expuesto, la Sección acuerda estimar producida la extinción del proceso abierto por el escrito de demanda de amparo de don José Jacinto Parra Hernández, y el archivo de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2" w:name="AUTO_1985_261"/>
      <w:r>
        <w:lastRenderedPageBreak/>
        <w:t>AUTO 261/1985, de 24 de abril de 1985</w:t>
      </w:r>
    </w:p>
    <w:bookmarkEnd w:id="322"/>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ECLI:ES:TC:1985:261A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541/1984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que tuvo entrada en el Registro General de este Tribunal en fecha 16 de julio de 1984, don Angel Sáez Paúl interesa de este Tribunal la designación de Procurador y Abogado en turno de oficio a fin de interponer demanda de amparo constitucional contra la Sentencia del Tribunal Central de Trabajo de 5 de junio de 1984, confirmatoria de la dictada en 8 de junio de 1981 por la Magistratura de Trabajo núm. 18 de las de Madrid que sustanció demanda en reclamación por pensión de jubilación. Por providencia de 26 de julio de 1984, la Sección acuerda tener por recibido el anterior escrito y, antes de proceder al nombramiento de Abogado y Procurador de oficio, requerir al exponente para que presente relación circunstanciada de los hechos en que funde el amparo y de sus circunstancias económicas, requerimiento cumplimentado en fecha 10 de septiembre.</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19 de septiembre de 1984, la Sección acuerda librar los correspondientes despachos para el nombramiento de Abogado y Procurador en turno de oficio que defiendan y representen al recurrente. Por providencia de 31 de octubre de ese mismo año, la Sección acuerda tener por recibidos los oficios del Consejo General de la Abogacía y del Colegio de Procuradores de Madrid, por los que se comunica que corresponde la designación a don Pedro Manso y don Eloy Herrero Reino, como Abogados, y a doña Purificación Flores Rodríguez, como Procuradora, los cuales son nombrados para que defiendan y representen al recurrente, ordenando que se les haga saber su nombramiento y que se dé traslado de las actuaciones al Letrado designado en primer lugar para que en plazo de diez días formule la demanda, sin perjuicio del derecho que le asiste a excusarse de la defensa en plazo de seis días.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escrito de 7 de diciembre de 1984, doña Purificación Flores Rodríguez, Procuradora de los Tribunales, interpone en nombre y representación de don Angel Sáez Paúl demanda de amparo constitucional contra las Sentencias mencionadas en el primer antecedente, apoyándose en los siguientes hechos: a) Trabajador de Renfe desde el 7 de mayo de 1921, el actor fue destinado el 1 de diciembre de 1953 a la Delegación de Gobierno para la Ordenación del Transporte, organismo autónomo dependiente de Presidencia del Gobierno. El 1 de enero de 1954 y por aplicación de la legislación a la sazón vigente, el señor Sáez fue afiliado al Mutualismo Laboral por cuenta del referido Organismo, suprimido por </w:t>
      </w:r>
      <w:r>
        <w:lastRenderedPageBreak/>
        <w:t>Decreto de 10 de diciembre de ese mismo año. Como consecuencia de ello, el demandante causó baja en la citada Delegación de Gobierno y en el Mutualismo Laboral, reingresando en Renfe. b) El 27 de noviembre de 1969, don Angel Sáez solicitó y obtuvo la jubilación voluntaria, reconociéndosele la correspondiente pensión por la Mutualidad Nacional de la Seguridad Social de los Trabajadores Ferroviarios, computándose como tiempo de servicios el comprendido ininterrumpidamente entre el 7 de mayo de 1921 y el 31 de diciembre de 1969. c) El 4 de junio de 1980, el actor dirigió escrito a la Dirección Provincial del INSS de Madrid, solicitando le fuera reconocida pensión de jubilación del Mutualismo Laboral, petición que fue desestimada por vía de la tácita. d) Promovida demanda ante la jurisdicción ordinaria del orden laboral, la Magistratura núm. 18 de las de Madrid dictó Sentencia en 8 de junio de 1981 desestimatoria de la pretensión en razón de que «cuando el actor cesó en el Organismo estatal suprimido no reunía las condiciones precisas para causar la pensión que hoy reclama». Interpuesto recurso de suplicación, el Tribunal Central de Trabajo por Resolución de 5 de junio de 1984 lo desestimó, confirmando en todos sus extremos la decisión judicial de instancia.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escrito de demanda acusa a las Sentencias impugnadas de vulnerar el principio de igualdad proclamado en el art. 14 de la Constitución Española (C. E.). Esta presunta infracción se habría producido por cuanto la Magistratura de Trabajo núm. 13 de las de Madrid por Sentencia de 29 de octubre de 1979 reconoció a un compañero del hoy recurrente, en el que concurrían idénticas circunstancias a las de éste, el derecho a percibir pensión de jubilación del Mutualismo Laboral. </w:t>
      </w:r>
    </w:p>
    <w:p w:rsidR="00256EE9" w:rsidRDefault="00256EE9" w:rsidP="00256EE9">
      <w:pPr>
        <w:pStyle w:val="TextoNormal"/>
      </w:pPr>
      <w:r>
        <w:t>En el «suplico», se solicita de este Tribunal la nulidad de las resoluciones judiciales así como la declaración del derecho del recurrente a la pensión por jubilación del Mutualismo Laboral.</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Por providencia de 30 de enero de 1984, la Sección acuerda tener por interpuesta la demanda de amparo así como conceder al Ministerio Fiscal y al solicitante de amparo un plazo común de diez días a fin de que, dentro de dicho término, aleguen lo pertinente en relación con la posible concurrencia del motivo de inadmisión consistente en carecer la demanda manifiestamente de contenido que justifique una decisión por parte de este Tribunal Constitucional [art. 50.2 b) de la LOTC]. </w:t>
      </w:r>
    </w:p>
    <w:p w:rsidR="00256EE9" w:rsidRDefault="00256EE9" w:rsidP="00256EE9">
      <w:pPr>
        <w:pStyle w:val="TextoNormal"/>
      </w:pPr>
      <w:r>
        <w:t xml:space="preserve">a) Evacuando el trámite, el Ministerio Fiscal comienza señalando que, pese a haberse aportado exclusivamente la Sentencia de instancia, el caso puede ser resuelto a los efectos de la inadmisión con los datos indicados en el recurso y documento acompañado al mismo. En tal sentido, la jurisprudencia constitucional ha manifestado en distintas ocasiones que la función de corregir la desigualdad en la aplicación de la Ley compete al órgano jurisdiccional superior a aquellos de quienes proceden las resoluciones supuestamente contradictorias. </w:t>
      </w:r>
    </w:p>
    <w:p w:rsidR="00256EE9" w:rsidRDefault="00256EE9" w:rsidP="00256EE9">
      <w:pPr>
        <w:pStyle w:val="TextoNormal"/>
      </w:pPr>
      <w:r>
        <w:t xml:space="preserve">En el caso a examen, las Magistraturas de Trabajo núms. 13 y 18 -arguye el recurrente-, dieron soluciones distintas a casos idénticos. </w:t>
      </w:r>
    </w:p>
    <w:p w:rsidR="00256EE9" w:rsidRDefault="00256EE9" w:rsidP="00256EE9">
      <w:pPr>
        <w:pStyle w:val="TextoNormal"/>
      </w:pPr>
      <w:r>
        <w:t xml:space="preserve">Pero el Tribunal Central de Trabajo, al confirmar la dictada por la última de las Magistraturas citadas, ejerció la función correctora de posibles desigualdades, de modo que no es dable apreciar la violación denunciada. </w:t>
      </w:r>
    </w:p>
    <w:p w:rsidR="00256EE9" w:rsidRDefault="00256EE9" w:rsidP="00256EE9">
      <w:pPr>
        <w:pStyle w:val="TextoNormal"/>
      </w:pPr>
      <w:r>
        <w:t xml:space="preserve">En razón de lo expuesto, el Ministerio Fiscal interesa de este Tribunal dicte Auto de inadmisión por concurrir la causa prevista en el art. 50.2 b) de la Ley Orgánica del Tribunal Constitucional (LOTC). </w:t>
      </w:r>
    </w:p>
    <w:p w:rsidR="00256EE9" w:rsidRDefault="00256EE9" w:rsidP="00256EE9">
      <w:pPr>
        <w:pStyle w:val="TextoNormal"/>
      </w:pPr>
      <w:r>
        <w:lastRenderedPageBreak/>
        <w:t>b) En su escrito de alegaciones, el solicitante de amparo reproduce lo esencial de su demanda, solicitando su admisión a trámite.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existe la causa de inadmisión prevista en el art. 50.2 b) de la LOTC, es decir, si la demanda carece o no manifiestamente de contenido que justifique una decisión por parte del Tribunal Constitucional en forma de Sentencia, con el desarrollo procesal consiguiente. A cuyo efecto hemos de examinar la vulneración del art.  14 de la Constitución -principio de igualdadaducida por el actor.</w:t>
      </w:r>
    </w:p>
    <w:p w:rsidR="00256EE9" w:rsidRDefault="00256EE9" w:rsidP="00256EE9">
      <w:pPr>
        <w:pStyle w:val="TextoNormal"/>
      </w:pPr>
    </w:p>
    <w:p w:rsidR="00256EE9" w:rsidRDefault="00256EE9" w:rsidP="00256EE9">
      <w:pPr>
        <w:pStyle w:val="TextoNormal"/>
      </w:pPr>
      <w:r w:rsidRPr="00256EE9">
        <w:rPr>
          <w:rStyle w:val="NumeroAFNegritaCaracter"/>
        </w:rPr>
        <w:t>2</w:t>
      </w:r>
      <w:r>
        <w:t>. Como con reiterada insistencia ha venido señalando este Tribunal, el principio de igualdad comprende, de un lado, la igualdad ante la Ley, entendido como derecho subjetivo de los ciudadanos de obtener un trato igual, y, de otro, el derecho de igualdad en la aplicación de la Ley, que veda a un mismo órgano judicial modificar arbitrariamente el sentido de sus resoluciones en supuestos sustancialmente iguales, imponiéndole el deber de fundamentar de manera suficiente y razonada aquella decisión que se aparte de los criterios hasta entonces mantenidos en la solución de los casos idénticos: por otra parte, como ha señalado también el Tribunal, cuando la igualdad en la aplicación de la Ley se plantea en relación a Sentencias de diversos órganos judiciales, el principio de igualdad se realiza a través de los órganos jurisdiccionales de superior rango, porque el mencionado principio tiene que armonizarse con el de independencia de los órganos jurisdiccionales encargados de la aplicación de la Ley.</w:t>
      </w:r>
    </w:p>
    <w:p w:rsidR="00256EE9" w:rsidRDefault="00256EE9" w:rsidP="00256EE9">
      <w:pPr>
        <w:pStyle w:val="TextoNormal"/>
      </w:pPr>
      <w:r>
        <w:t>Pese a que en su alegato jurídico el demandante menciona genéricamente el principio de igualdad como derecho fundamental presuntamente infringido por las resoluciones impugnadas, el examen de aquél evidencia que es la igualdad en la aplicación de la Ley el derecho estimado vulnerado. La lesión de esta vertiente del principio de igualdad se habría producido por cuanto las decisiones judiciales recurridas al denegar la pensión de jubilación solicitada, se han separado del criterio establecido por la Sentencia de 29 de octubre de 1979 de la Magistratura de Trabajo núm.  13 de las de Madrid, que otorgó dicha pensión a una persona en quien concurrían «idénticas condiciones y circunstancias, como son edad, cotizaciones, condición de pensionista de la Renfe (...)» que las que reúne hoy el demandante.</w:t>
      </w:r>
    </w:p>
    <w:p w:rsidR="00256EE9" w:rsidRDefault="00256EE9" w:rsidP="00256EE9">
      <w:pPr>
        <w:pStyle w:val="TextoNormal"/>
      </w:pPr>
    </w:p>
    <w:p w:rsidR="00256EE9" w:rsidRDefault="00256EE9" w:rsidP="00256EE9">
      <w:pPr>
        <w:pStyle w:val="TextoNormal"/>
      </w:pPr>
      <w:r w:rsidRPr="00256EE9">
        <w:rPr>
          <w:rStyle w:val="NumeroAFNegritaCaracter"/>
        </w:rPr>
        <w:t>3</w:t>
      </w:r>
      <w:r>
        <w:t>. Para poder apreciar una lesión del derecho de igualdad por los órganos judiciales no basta la existencia de decisiones judiciales discrepantes sobre supuestos de hecho sustancialmente idénticos.  Se precisa que tales decisiones procedan de un mismo órgano judicial, requisito que no se da en el presente caso.  Por otra parte, tampoco puede oponerse la Sentencia dictada por una Magistratura a la dictada por el Tribunal Central de Trabajo, dado que corresponde precisamente al mismo unificar, mediante el sistema de recursos previsto por la Ley, la disparidad de criterios interpretativos de la legalidad que trae su causa en la existencia de una pluralidad de órganos judiciales.  Por consiguiente, compete a los Tribunales ordinarios de superior rango, y no al Tribunal Constitucional, establecer la necesaria uniformidad en la aplicación de la legalidad en los supuestos de resoluciones debidas a órganos distintos, sin que esté vinculado por decisiones anteriores de distinto signo adoptadas por Tribunales de grado inferior, que no pueden afectar a su función de aplicar la legalidad vigente.</w:t>
      </w:r>
    </w:p>
    <w:p w:rsidR="00256EE9" w:rsidRDefault="00256EE9" w:rsidP="00256EE9">
      <w:pPr>
        <w:pStyle w:val="TextoNormal"/>
      </w:pPr>
    </w:p>
    <w:p w:rsidR="00256EE9" w:rsidRDefault="00256EE9" w:rsidP="00256EE9">
      <w:pPr>
        <w:pStyle w:val="TextoNormal"/>
      </w:pPr>
      <w:r w:rsidRPr="00256EE9">
        <w:rPr>
          <w:rStyle w:val="NumeroAFNegritaCaracter"/>
        </w:rPr>
        <w:t>4</w:t>
      </w:r>
      <w:r>
        <w:t>. Las consideraciones anteriores conducen a la conclusión de que sí existe la causa de inadmisión establecida por el art.  50.2 b) de la LOTC, al observarse de forma patente que la demanda carece de contenido que justifique una decisión por parte del Tribunal en forma de Sentencia, con el desarrollo procesal consiguiente.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w:t>
      </w:r>
    </w:p>
    <w:p w:rsidR="00256EE9" w:rsidRDefault="00256EE9" w:rsidP="00256EE9">
      <w:pPr>
        <w:pStyle w:val="TextoNormal"/>
      </w:pPr>
    </w:p>
    <w:p w:rsidR="00256EE9" w:rsidRDefault="00256EE9" w:rsidP="00256EE9">
      <w:pPr>
        <w:pStyle w:val="TextoNormal"/>
      </w:pPr>
      <w:r>
        <w:t>Archívense las actuaciones.</w:t>
      </w: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3" w:name="AUTO_1985_262"/>
      <w:r>
        <w:lastRenderedPageBreak/>
        <w:t>AUTO 262/1985, de 24 de abril de 1985</w:t>
      </w:r>
    </w:p>
    <w:bookmarkEnd w:id="323"/>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ECLI:ES:TC:1985:262A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el archivo de las actuaciones en el procedimiento 636/1984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4" w:name="AUTO_1985_263"/>
      <w:r>
        <w:lastRenderedPageBreak/>
        <w:t>AUTO 263/1985, de 24 de abril de 1985</w:t>
      </w:r>
    </w:p>
    <w:bookmarkEnd w:id="324"/>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ECLI:ES:TC:1985:263A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el archivo de las actuaciones en el procedimiento 668/1984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pPr>
      <w:r>
        <w:t>I. Antecedentes</w:t>
      </w:r>
    </w:p>
    <w:p w:rsidR="00256EE9" w:rsidRDefault="00256EE9" w:rsidP="00256EE9">
      <w:pPr>
        <w:pStyle w:val="TextoNormalNegritaCentrado"/>
      </w:pPr>
    </w:p>
    <w:p w:rsidR="00256EE9" w:rsidRDefault="00256EE9" w:rsidP="00256EE9">
      <w:pPr>
        <w:pStyle w:val="TextoNormalNegritaCentrado"/>
      </w:pPr>
      <w:r>
        <w:t>II. Fundamentos jurídicos</w:t>
      </w:r>
    </w:p>
    <w:p w:rsidR="00256EE9" w:rsidRDefault="00256EE9" w:rsidP="00256EE9">
      <w:pPr>
        <w:pStyle w:val="TextoNormalNegritaCentrado"/>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Centrado"/>
      </w:pP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5" w:name="AUTO_1985_264"/>
      <w:r>
        <w:lastRenderedPageBreak/>
        <w:t>AUTO 264/1985, de 24 de abril de 1985</w:t>
      </w:r>
    </w:p>
    <w:bookmarkEnd w:id="325"/>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ECLI:ES:TC:1985:264A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831/1984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Juan Luis Pérez-Mulet y Suárez, en nombre y representación de la entidad mercantil «Urbanas Llorca, S. A.» recurre en amparo ante este Tribunal por escrito de demanda que tuvo entrada en el Registro General el día 29 de noviembre de 1984 contra el Auto de la Sala Primera del Tribunal Supremo de 28 de septiembre de 1984 (recurso de casación núm. 1.367/1983) notificado el día 6 de noviembre de 1984 por el que se inadmite el recurso de casación interpuesto por el recurrente, por la insuficiencia del poder presentado, incurriendo en violación del art. 24,1 de la Constitución Española (C. E.). </w:t>
      </w:r>
    </w:p>
    <w:p w:rsidR="00256EE9" w:rsidRDefault="00256EE9" w:rsidP="00256EE9">
      <w:pPr>
        <w:pStyle w:val="TextoNormal"/>
      </w:pPr>
      <w:r>
        <w:t xml:space="preserve">La pretensión se formula para que por este Tribunal se dicte Sentencia en la que, con estimación de la demanda y otorgamiento del amparo: 1.° se declare la nulidad del Auto de 28 de septiembre de 1984, dictado por la Sala Primera del Tribunal Supremo en el recurso de casación num. 1.367/1983; </w:t>
      </w:r>
    </w:p>
    <w:p w:rsidR="00256EE9" w:rsidRDefault="00256EE9" w:rsidP="00256EE9">
      <w:pPr>
        <w:pStyle w:val="TextoNormal"/>
      </w:pPr>
      <w:r>
        <w:t xml:space="preserve">2.° se reconozca el derecho del recurrente a obtener la tutela efectiva de los Jueces y Tribunales, de conformidad con el art. 24.1 de la C. </w:t>
      </w:r>
    </w:p>
    <w:p w:rsidR="00256EE9" w:rsidRDefault="00256EE9" w:rsidP="00256EE9">
      <w:pPr>
        <w:pStyle w:val="TextoNormal"/>
      </w:pPr>
      <w:r>
        <w:t>E.; 3.° se restablezca al recurrente en la integridad de los derechos violados disponiendo que prosiga la tramitación del recurso de casación y que se retrotraigan las actuaciones al momento de la interposición del recurso y, en su caso, se conceda a la parte recurrente el plazo de diez días para subsanar el error o defecto formal en la presentación de los poderes a Procuradores presentados, o alternativamente, se retrotraigan las actuaciones al momento que la Sala entendiese procedente para restablecer al recurrente en la integridad de sus derechos fundamentales.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que se contrae la demanda son, en extracto, los siguientes: </w:t>
      </w:r>
    </w:p>
    <w:p w:rsidR="00256EE9" w:rsidRDefault="00256EE9" w:rsidP="00256EE9">
      <w:pPr>
        <w:pStyle w:val="TextoNormal"/>
      </w:pPr>
      <w:r>
        <w:t xml:space="preserve">a) En fecha 30 de marzo de 1982, «Urbanas Llorca, S. A.» presentó demanda de juicio ordinario de mayor cuantía contra el Ayuntamiento de Sedavi, en reclamación de la cantidad de 1.928.457 pesetas, ante el Juzgado de Primera Instancia núm. 4 de los de Valencia que dicta providencia en fecha de 20 de abril de 1982 admitiendo el escrito de demanda, junto con el poder bastanteado, documentos y copias simples acompañados por el recurrente en amparo, emplazando al demandado que era el Ayuntamiento de Sedavi (Valencia). </w:t>
      </w:r>
    </w:p>
    <w:p w:rsidR="00256EE9" w:rsidRDefault="00256EE9" w:rsidP="00256EE9">
      <w:pPr>
        <w:pStyle w:val="TextoNormal"/>
      </w:pPr>
      <w:r>
        <w:lastRenderedPageBreak/>
        <w:t xml:space="preserve">b) El Ayuntamiento de Sedavi alegó excepción dilatoria de incompetencia de jurisdicción, y el Juzgado de Primera Instancia núm. 4 de los de Valencia dictó Auto con fecha de 28 de mayo de 1982 desestimatorio de esta excepción. </w:t>
      </w:r>
    </w:p>
    <w:p w:rsidR="00256EE9" w:rsidRDefault="00256EE9" w:rsidP="00256EE9">
      <w:pPr>
        <w:pStyle w:val="TextoNormal"/>
      </w:pPr>
      <w:r>
        <w:t xml:space="preserve">c) El Ayuntamiento de Sedavi interpuso recurso de apelación contra el Auto de 28 de mayo de 1982, ante la Excma. Audiencia Territorial de Valencia que resolvió mediante Auto de fecha 23 de junio de 1983 en el sentido de revocar el Auto objeto de la apelación declarando haber lugar a la excepción de incompetencia. La entidad «Urbanas Llorca, S. A.», presentó escrito el día 3 de julio de 1983 ante la Excma. Audiencia Territorial de Valencia para que se tuviera por preparado recurso de casación contra el Auto de 23 de junio, solicitando además se ordenara la expedición de las certificaciones de los Autos de Primera Instancia y Apelación. </w:t>
      </w:r>
    </w:p>
    <w:p w:rsidR="00256EE9" w:rsidRDefault="00256EE9" w:rsidP="00256EE9">
      <w:pPr>
        <w:pStyle w:val="TextoNormal"/>
      </w:pPr>
      <w:r>
        <w:t xml:space="preserve">d) El día 19 de diciembre de 1983, el recurrente otorgó en la Notaría de don Eduardo Llagaria Plá, de Valencia (protocolo núm. 2.813), nuevos poderes a Procuradores, por cuanto en los poderes acompañados en Primera Instancia y Apelación existía un error material al otorgarse poderes al Procurador de Madrid «Juan Isidro Pérez-Mulet», cuando su verdadero nombre era «Juan Luis Pérez-Mulet y Suárez». Es de advertir que ambos poderes están otorgados en la Notaría de don Eduardo Llagaria Plá, de Valencia, y que su texto y contenido es el mismo, salvo la rectificación del error material antedicho. </w:t>
      </w:r>
    </w:p>
    <w:p w:rsidR="00256EE9" w:rsidRDefault="00256EE9" w:rsidP="00256EE9">
      <w:pPr>
        <w:pStyle w:val="TextoNormal"/>
      </w:pPr>
      <w:r>
        <w:t xml:space="preserve">e) El recurrente interpuso recurso de casación por infracción de Ley y doctrina legal, contra el Auto de 23 de junio de 1983 de la Sala Primera de lo Civil de la Excma. Audiencia Territorial de Valencia, en el juicio incidental dimanante del ordinario de mayor cuantia núm. 549/1982 del Juzgado de Primera Instancia núm. 4 de Valencia (apelación núm. </w:t>
      </w:r>
    </w:p>
    <w:p w:rsidR="00256EE9" w:rsidRDefault="00256EE9" w:rsidP="00256EE9">
      <w:pPr>
        <w:pStyle w:val="TextoNormal"/>
      </w:pPr>
      <w:r>
        <w:t xml:space="preserve">404/1982) el día 21 de diciembre de 1983 y la Fiscalía del Tribunal Supremo el día 8 de septiembre de 1984 devolvió los Autos estimando que no era admisible el recurso de casación, porque en el poder ofrecido por don José Benito Alonso Arce no constaban los términos para valorar si, en efecto, tenía la representación que afirmaba, por lo que incurría en la causa núm. 2 del art. 1.729 de la Ley de Enjuiciamiento Civil, anterior a la reforma de la Ley 34/1984. </w:t>
      </w:r>
    </w:p>
    <w:p w:rsidR="00256EE9" w:rsidRDefault="00256EE9" w:rsidP="00256EE9">
      <w:pPr>
        <w:pStyle w:val="TextoNormal"/>
      </w:pPr>
      <w:r>
        <w:t xml:space="preserve">f) El Auto de la Sala Primera del Tribunal Supremo de 28 de septiembre de 1984, notificado el día 6 de noviembre, acuerda no admitir el recurso de casación por «no ser suficiente el apoderamiento acompañado por el recurrente en casación, ya que el mismo no cumple la exigencia legal del art. 1.718 de la Ley de Enjuiciamiento Civil... al no transcribirse en el poder las facultades que tuviese conferidas como imperativamente exigen los arts. </w:t>
      </w:r>
    </w:p>
    <w:p w:rsidR="00256EE9" w:rsidRDefault="00256EE9" w:rsidP="00256EE9">
      <w:pPr>
        <w:pStyle w:val="TextoNormal"/>
      </w:pPr>
      <w:r>
        <w:t>165 y 166 del Reglamento Notarial», por lo que se evidencia la insuficiencia del apoderamiento, y en consecuencia, la Sala acuerda la inadmisión del recurso, por aplicación del núm. 2 del art. 1.729 de la Ley de Enjuiciamiento Civil.</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Después de analizar los requisitos procesales para la interposición del recurso el solicitante del amparo formula los siguientes razonamientos jurídicos, de modo sucinto: </w:t>
      </w:r>
    </w:p>
    <w:p w:rsidR="00256EE9" w:rsidRDefault="00256EE9" w:rsidP="00256EE9">
      <w:pPr>
        <w:pStyle w:val="TextoNormal"/>
      </w:pPr>
      <w:r>
        <w:t xml:space="preserve">a) La vulneración del art. 24.1 de la C. E. se entiende producida, a juicio del recurrente, al tener en cuenta que la escritura de poder a Procuradores otorgada por el recurrente el día 26 de marzo de 1982, sirvió para pleitear en Primera Instancia y Apelación y su contenido y texto es el mismo, salvo la rectificación del error material del nombre del Procurador de Madrid, don Juan Luis Pérez-Mulet y Suárez. </w:t>
      </w:r>
    </w:p>
    <w:p w:rsidR="00256EE9" w:rsidRDefault="00256EE9" w:rsidP="00256EE9">
      <w:pPr>
        <w:pStyle w:val="TextoNormal"/>
      </w:pPr>
      <w:r>
        <w:t xml:space="preserve">El error padecido por la parte actora en la formalización del recurso de casación consiste en no acompañar junto a la escritura de poder de representación procesal otorgada por don José Benito Arce en nombre y representación de la entidad «Urbanas Llorca, S. A.», </w:t>
      </w:r>
      <w:r>
        <w:lastRenderedPageBreak/>
        <w:t xml:space="preserve">la escritura otorgada en fecha 22 de abril de 1977 ante el Notario de la ciudad de Valencia, don Gregorio Pérez-Sahuquillo y Cádiz, por la que don Fernando Llorca Arandiga, actuando en nombre y representación de la Entidad actora y como administrador único de la citada Compañía, otorgó poderes especiales a favor de don José Benito Alonso Arce y don Salvador Verdaguer Gisbert para que cualesquiera de ellos, solidariamente, ejercitase en representación de «Urbanas Llorca, S. </w:t>
      </w:r>
    </w:p>
    <w:p w:rsidR="00256EE9" w:rsidRDefault="00256EE9" w:rsidP="00256EE9">
      <w:pPr>
        <w:pStyle w:val="TextoNormal"/>
      </w:pPr>
      <w:r>
        <w:t xml:space="preserve">A.» las facultades que el art. 16 de los estatutos sociales conferían al administrador en sus letras B), C), G), H) y K). </w:t>
      </w:r>
    </w:p>
    <w:p w:rsidR="00256EE9" w:rsidRDefault="00256EE9" w:rsidP="00256EE9">
      <w:pPr>
        <w:pStyle w:val="TextoNormal"/>
      </w:pPr>
      <w:r>
        <w:t xml:space="preserve">b) Centra el recurrente la fundamentación en los siguientes puntos: </w:t>
      </w:r>
    </w:p>
    <w:p w:rsidR="00256EE9" w:rsidRDefault="00256EE9" w:rsidP="00256EE9">
      <w:pPr>
        <w:pStyle w:val="TextoNormal"/>
      </w:pPr>
      <w:r>
        <w:t xml:space="preserve">1.° Es un error subsanable el hecho de acompañar unos poderes para Procuradores en los que no consta el cargo que ostentara quien los otorgó en la Sociedad, o quien le confiriera la representación que se atribuye. </w:t>
      </w:r>
    </w:p>
    <w:p w:rsidR="00256EE9" w:rsidRDefault="00256EE9" w:rsidP="00256EE9">
      <w:pPr>
        <w:pStyle w:val="TextoNormal"/>
      </w:pPr>
      <w:r>
        <w:t xml:space="preserve">2.° Si se quiere garantizar la tutela efectiva por los Jueces y Tribunales del ejercicio de los derechos ha de prescindirse de aplicar unos formalismos excesivos por lo que la forma de aplicar la Ley por parte del Tribunal Supremo es contraria al art. 24.1 de la Constitución. </w:t>
      </w:r>
    </w:p>
    <w:p w:rsidR="00256EE9" w:rsidRDefault="00256EE9" w:rsidP="00256EE9">
      <w:pPr>
        <w:pStyle w:val="TextoNormal"/>
      </w:pPr>
      <w:r>
        <w:t xml:space="preserve">3.° La copia del poder que no se considera suficiente ha sido legalizada y bastanteada en el momento procesal oportuno al personarse la actora en autos, respectivamente, por el Juzgado de Primera Instancia y por la Audiencia Territorial, pues se da la circunstancia de que era la misma copia autorizada salvo la rectificación del error material antedicho, que sirvió para la interposición del recurso ante la Sala Primera del Tribunal Supremo. </w:t>
      </w:r>
    </w:p>
    <w:p w:rsidR="00256EE9" w:rsidRDefault="00256EE9" w:rsidP="00256EE9">
      <w:pPr>
        <w:pStyle w:val="TextoNormal"/>
      </w:pPr>
      <w:r>
        <w:t xml:space="preserve">4.° Por último, afirma la parte recurrente que el art. 1.732 de la Ley Procesal Civil anterior a la reforma de la misma, producida mediante la Ley 34/1984, de 6 de agosto, está en contradicción no sólo respecto a los arts. 1.709 y 1.710.1, de la misma Ley, redactada de acuerdo con la anterior reforma, sino también fundamentalmente con respecto al art. 24.1 de la Constitución. </w:t>
      </w:r>
    </w:p>
    <w:p w:rsidR="00256EE9" w:rsidRDefault="00256EE9" w:rsidP="00256EE9">
      <w:pPr>
        <w:pStyle w:val="TextoNormal"/>
      </w:pPr>
      <w:r>
        <w:t xml:space="preserve">c) La parte recurrente desarrolla estos puntos y en apoyo de la pretensión se refiere a la doctrina jurisprudencial de este Tribunal recaída en las siguientes resoluciones: Sentencia núm. </w:t>
      </w:r>
    </w:p>
    <w:p w:rsidR="00256EE9" w:rsidRDefault="00256EE9" w:rsidP="00256EE9">
      <w:pPr>
        <w:pStyle w:val="TextoNormal"/>
      </w:pPr>
      <w:r>
        <w:t xml:space="preserve">11/1982, de 29 de marzo, fundamento jurídico 3, «Boletín Oficial del Estado» de 21 de abril; núm. 37/1982, de 16 de junio, fundamento jurídico 3, «Boletín Oficial del Estado» de 16 de julio; núm. 69/1984, de 11 de junio (R. A. 238, «Boletín Oficial del Estado» de 11 de julio); 8 de mayo de 1984, fundamento jurídico 3, «Boletín Oficial del Estado» de 29 de mayo; núm. 70/1984, de 11 de junio (R. A. </w:t>
      </w:r>
    </w:p>
    <w:p w:rsidR="00256EE9" w:rsidRDefault="00256EE9" w:rsidP="00256EE9">
      <w:pPr>
        <w:pStyle w:val="TextoNormal"/>
      </w:pPr>
      <w:r>
        <w:t xml:space="preserve">239, «Boletín Oficial del Estado» de 11 de julio). </w:t>
      </w:r>
    </w:p>
    <w:p w:rsidR="00256EE9" w:rsidRDefault="00256EE9" w:rsidP="00256EE9">
      <w:pPr>
        <w:pStyle w:val="TextoNormal"/>
      </w:pPr>
      <w:r>
        <w:t>En suma, la aplicación del mandato contenido en el art. 24.1 de la Constitución, en orden a la interpretación del ordenamiento en el sentido más favorable para la efectividad del derecho fundamental, conduce a la conclusión de que la inadmisión del recurso por insuficiencia del poder no se ajusta, en este caso, al art. 24.1 de la Constitución y, en consecuencia, procede anular el Auto de la Sala Primera del Tribunal Supremo de 28 de septiembre de 1984.</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Segunda de la Sala Primera de este Tribunal acordó en providencia de 30 de enero de 1985 tener por interpuesto recurso de amparo por la entidad «Urbanas Llorca, S. A.» y por personado y parte en nombre y representación de la misma al Procurador señor Pérez-Mulet y Suárez. </w:t>
      </w:r>
    </w:p>
    <w:p w:rsidR="00256EE9" w:rsidRDefault="00256EE9" w:rsidP="00256EE9">
      <w:pPr>
        <w:pStyle w:val="TextoNormal"/>
      </w:pPr>
      <w:r>
        <w:lastRenderedPageBreak/>
        <w:t>La Sección acordó conceder un plazo de diez días a la parte solicitante del amparo y al Ministerio Fiscal para que alegaran lo procedente sobre el motivo de inadmisión previsto en el art. 50.2 b)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Fiscal ante este Tribunal, por escrito de 12 de febrero de 1985, formuló, resumidamente, las siguientes alegaciones: </w:t>
      </w:r>
    </w:p>
    <w:p w:rsidR="00256EE9" w:rsidRDefault="00256EE9" w:rsidP="00256EE9">
      <w:pPr>
        <w:pStyle w:val="TextoNormal"/>
      </w:pPr>
      <w:r>
        <w:t xml:space="preserve">a) La jurisprudencia del Tribunal Constitucional estima que la decisión sobre la inadmisión del recurso de casación satisface el derecho del art. 24.1 de la C. E. en general, salvo cuando esta inadmisión se base en un excesivo formalismo o sin fundar en Derecho o en una arbitrariedad en dicha fundamentación. </w:t>
      </w:r>
    </w:p>
    <w:p w:rsidR="00256EE9" w:rsidRDefault="00256EE9" w:rsidP="00256EE9">
      <w:pPr>
        <w:pStyle w:val="TextoNormal"/>
      </w:pPr>
      <w:r>
        <w:t xml:space="preserve">b) Antes de entrar en el estudio del problema el Fiscal afirma que la legislación aplicable es la anterior a la vigente, a partir del 1 de septiembre de 1984, es decir a la modificación de la Ley de Enjuiciamiento Civil y la insuficiencia del poder por no estar acreditado que la persona del que la otorga tiene facultades para conferir esa representación es un tema de fondo que afecta de manera fundamental al establecimiento de la relación procesal y por lo tanto de capital importancia para el mismo. </w:t>
      </w:r>
    </w:p>
    <w:p w:rsidR="00256EE9" w:rsidRDefault="00256EE9" w:rsidP="00256EE9">
      <w:pPr>
        <w:pStyle w:val="TextoNormal"/>
      </w:pPr>
      <w:r>
        <w:t xml:space="preserve">c) El Tribunal Supremo examina la integridad del poder, y de acuerdo con la normativa vigente en ese momento, concluye que ese poder es insuficiente, porque no acredita la representación del recurrente, y aplica el art. 1.729.2, en relación con el 1.728 de la Ley de Enjuiciamiento Civil, para acordar la inadmisión del recurso. La resolución impugnada estima de manera razonada en Derecho y no arbitraria la existencia de una causa legal de inadmisión, y por lo tanto no vulnera el derecho del art. 24.1 de la C. E. </w:t>
      </w:r>
    </w:p>
    <w:p w:rsidR="00256EE9" w:rsidRDefault="00256EE9" w:rsidP="00256EE9">
      <w:pPr>
        <w:pStyle w:val="TextoNormal"/>
      </w:pPr>
      <w:r>
        <w:t xml:space="preserve">La causa legal de inadmisión del recurso de casación, apreciada por el Tribunal Supremo, no constituye un mero formalismo, sino que se refiere a un presupuesto esencial que posibilita el recurso. </w:t>
      </w:r>
    </w:p>
    <w:p w:rsidR="00256EE9" w:rsidRDefault="00256EE9" w:rsidP="00256EE9">
      <w:pPr>
        <w:pStyle w:val="TextoNormal"/>
      </w:pPr>
      <w:r>
        <w:t xml:space="preserve">En suma, para el Fiscal, el Tribunal Supremo al inadmitir el recurso ha actuado de acuerdo con la legalidad vigente y por lo tanto constituye un juicio de mera legalidad, en el que no puede entrar el Tribunal Constitucional, por lo que es clara la falta de contenido constitucional de la demanda de amparo. </w:t>
      </w:r>
    </w:p>
    <w:p w:rsidR="00256EE9" w:rsidRDefault="00256EE9" w:rsidP="00256EE9">
      <w:pPr>
        <w:pStyle w:val="TextoNormal"/>
      </w:pPr>
      <w:r>
        <w:t>El Fiscal interesa del Tribunal Constitucional que dicte Auto de acuerdo con el art. 86.1 de la LOTC desestimando la demanda de amparo, por incurrir en la causa de inadmisión del art. 50.2 b) de la referida Ley.</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Don Juan Luis Pérez-Mulet y Suárez, Procurador de los Tribunales, en nombre de la entidad mercantil «Urbanas Llorca, S. </w:t>
      </w:r>
    </w:p>
    <w:p w:rsidR="00256EE9" w:rsidRDefault="00256EE9" w:rsidP="00256EE9">
      <w:pPr>
        <w:pStyle w:val="TextoNormal"/>
      </w:pPr>
      <w:r>
        <w:t xml:space="preserve">A.», por escrito de 11 de febrero de 1985, formula las siguientes alegaciones, de modo resumido: </w:t>
      </w:r>
    </w:p>
    <w:p w:rsidR="00256EE9" w:rsidRDefault="00256EE9" w:rsidP="00256EE9">
      <w:pPr>
        <w:pStyle w:val="TextoNormal"/>
      </w:pPr>
      <w:r>
        <w:t xml:space="preserve">a) En realidad, nos encontramos ante un caso típico de Derecho transitorio y si aplicásemos la antigua Ley, es decir, el art. 1.732, en relación con el art. 1.729.2, de la Ley Procesal Civil, aprobada por Real Decreto de 3 de febrero de 1881, se cuestiona la parte recurrente, ¿no se estará creando una clara y manifiesta desigualdad de trato entre los españoles que recurren en casación antes del 1 de septiembre de 1984, con respecto a los que recurran con posterioridad?; en definitiva, ¿no estaremos violando, en este caso, la ratio iuris del legislador que promulgó la Ley 34/1984, de 6 de agosto? b) Aunque las disposiciones transitorias de la Ley 34/1984, de 6 de agosto, de Reforma Urgente de la Ley de Enjuiciamiento Civil no contemplan especificamente la inmediata aplicación de la reforma introducida en el Título XXI de la Ley de Enjuiciamiento Civil, y entre ellos los arts. 1.706.1 y 1.710.1 de dicha Ley, parece que la coherencia del sistema ha de inclinarnos a la </w:t>
      </w:r>
      <w:r>
        <w:lastRenderedPageBreak/>
        <w:t xml:space="preserve">conclusión de que la «inadmisión por defecto de poder que acredita la legítima representación del Procurador», producida cuando ya está en vigor la norma que autoriza «la subsanación del defecto apreciado» constituye una decisión injusta y no bien avenida con el ordenamiento legal implantado y muy especialmente con el espíritu o contenido esencial del derecho reconocido por el art. 24.1 de la Constitución. </w:t>
      </w:r>
    </w:p>
    <w:p w:rsidR="00256EE9" w:rsidRDefault="00256EE9" w:rsidP="00256EE9">
      <w:pPr>
        <w:pStyle w:val="TextoNormal"/>
      </w:pPr>
      <w:r>
        <w:t xml:space="preserve">c) Finalmente, la parte recurrente se refiere a la Exposición de Motivos de la Ley 34/1984, de 6 de agosto, de Reforma Urgente de la L. </w:t>
      </w:r>
    </w:p>
    <w:p w:rsidR="00256EE9" w:rsidRDefault="00256EE9" w:rsidP="00256EE9">
      <w:pPr>
        <w:pStyle w:val="TextoNormal"/>
      </w:pPr>
      <w:r>
        <w:t xml:space="preserve">E. C., al señalar respecto al recurso de casación que, «... una de las manifestaciones más nítidas del propósito nada obstruccionista, sino, al contrario, facilitador de la defensa, seguido por la reforma, consiste en conceder a las partes, especialmente a la recurrente, oportunidad para salvar determinados defectos de documentación o de otra clase considerados como subsanables, en lugar de erigirlos en causas de inadmisión». </w:t>
      </w:r>
    </w:p>
    <w:p w:rsidR="00256EE9" w:rsidRDefault="00256EE9" w:rsidP="00256EE9">
      <w:pPr>
        <w:pStyle w:val="TextoNormal"/>
      </w:pPr>
      <w:r>
        <w:t>La parte recurrente concluye reiterando la petición de la demanda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 este recurso de amparo consiste en determinar si la resolución recurrida, que es el Auto de la Sala Primera del Tribunal Supremo de 28 de septiembre de 1984, vulnera el art.  24.1 de la C. E.  y, en consecuencia, determinar si concurre la causa de inadmisión prevista en el art.  50.2 b) de la LOTC, de la que se dio traslado a la parte recurrente y al Ministerio Fiscal en providencia de 30 de enero de 1985.  La resolución recurrida declara inadmisible un recurso de casación ante la Sala Primera del Tribunal Supremo por estimar insuficiente el poder presentado, ya que no figura el cargo que ocupa el otorgante en la sociedad «Urbanas Llorca, S.</w:t>
      </w:r>
    </w:p>
    <w:p w:rsidR="00256EE9" w:rsidRDefault="00256EE9" w:rsidP="00256EE9">
      <w:pPr>
        <w:pStyle w:val="TextoNormal"/>
      </w:pPr>
      <w:r>
        <w:t>A.», al no transcribirse en el poder las facultades que tenía conferidas como imperativamente exigen los arts.  165 y 166 del Reglamento Notarial, lo que determina la inadmisión del recurso conforme al núm. 2 del art.  1.729 y lo que ordena el art.  1.728 de la Ley de Enjuiciamiento Civil, en la legislación anterior a la reforma de la Ley 34/1984, de 6 de agosto.</w:t>
      </w:r>
    </w:p>
    <w:p w:rsidR="00256EE9" w:rsidRDefault="00256EE9" w:rsidP="00256EE9">
      <w:pPr>
        <w:pStyle w:val="TextoNormal"/>
      </w:pPr>
    </w:p>
    <w:p w:rsidR="00256EE9" w:rsidRDefault="00256EE9" w:rsidP="00256EE9">
      <w:pPr>
        <w:pStyle w:val="TextoNormal"/>
      </w:pPr>
      <w:r w:rsidRPr="00256EE9">
        <w:rPr>
          <w:rStyle w:val="NumeroAFNegritaCaracter"/>
        </w:rPr>
        <w:t>2</w:t>
      </w:r>
      <w:r>
        <w:t>. Este Tribunal ha señalado reiteradamente que las formas y requisitos procesales cumplen un papel esencial en la ordenación del proceso y que el derecho a obtener la tutela efectiva de Jueces y Tribunales comprende el de obtener una resolución fundada en Derecho que podrá ser de inadmisión cuando concurra alguna causa para ello y así lo acuerde el Juez en aplicación razonada de la misma (Sentencias núms. 37/1982, de 16 de junio, fundamento jurídico 3, «Boletín Oficial del Estado» de 16 de julio y núm.  68/1983, de 27 de julio, fundamento jurídico 6, «Boletín Oficial del Estado» de 18 de agosto), no pudiendo dejarse al arbitrio de las partes el cumplimiento de los requisitos procesales (Sentencia núm.  65/1983, de 21 de julio, fundamento jurídico 4, «Boletín Oficial del Estado» de 9 de agosto de 1983).</w:t>
      </w:r>
    </w:p>
    <w:p w:rsidR="00256EE9" w:rsidRDefault="00256EE9" w:rsidP="00256EE9">
      <w:pPr>
        <w:pStyle w:val="TextoNormal"/>
      </w:pPr>
      <w:r>
        <w:t>En la cuestión planteada, conforme a los arts.  165 y 166 del Reglamento Notarial, el Notario ha de insertar en el cuerpo de la escritura los documentos fehacientes que acrediten la representación del que la otorgue, por lo que la omisión de este requisito priva a la Sala de apreciar si las facultades que ejercitaba el recurrente estaban legalmente conferidas por la Sociedad representada y la resolución que admite el recurso de casación dictada por la Sala Primera del Tribunal Supremo en el Auto de referencia se dicta en aplicación razonada de una causa legal.</w:t>
      </w:r>
    </w:p>
    <w:p w:rsidR="00256EE9" w:rsidRDefault="00256EE9" w:rsidP="00256EE9">
      <w:pPr>
        <w:pStyle w:val="TextoNormal"/>
      </w:pPr>
    </w:p>
    <w:p w:rsidR="00256EE9" w:rsidRDefault="00256EE9" w:rsidP="00256EE9">
      <w:pPr>
        <w:pStyle w:val="TextoNormal"/>
      </w:pPr>
      <w:r w:rsidRPr="00256EE9">
        <w:rPr>
          <w:rStyle w:val="NumeroAFNegritaCaracter"/>
        </w:rPr>
        <w:t>3</w:t>
      </w:r>
      <w:r>
        <w:t>. Los argumentos utilizados por la parte recurrente con apoyo en la Sentencia de este Tribunal núm. 69/1984, de 11 de junio, R. A. núm. 255/1983, «Boletín Oficial del Estado» de 11 de julio de 1984, que contempla un supuesto de insuficiencia de apoderamiento, no son asimilables a la cuestión planteada en este recurso de amparo, pues en aquel supuesto el recurso de casación se declaraba inadmisible por no venir el poder legalizado en la forma determinada por el art.  265 del Reglamento Notarial, es decir por ser insuficiente el poder en virtud de la existencia de un defecto formal, cuya transcendencia fue valorada por este Tribunal teniendo en cuenta que el poder había surtido efectos en la primera instancia y en apelación (lo que suponía la legalización del poder según se razonaba en la Sentencia), mientras que en este recurso no se transcribieron en el poder las facultades que el otorgante tenía conferidas como exigen los arts.  165 y 166 del Reglamento Notarial, omisión que da lugar a que el Tribunal Supremo decida de forma fundada inadmitir el recurso de casación en aplicación de los arts.  1.729.2 y 1.728 de la Ley de Enjuiciamiento Civil.</w:t>
      </w:r>
    </w:p>
    <w:p w:rsidR="00256EE9" w:rsidRDefault="00256EE9" w:rsidP="00256EE9">
      <w:pPr>
        <w:pStyle w:val="TextoNormal"/>
      </w:pPr>
    </w:p>
    <w:p w:rsidR="00256EE9" w:rsidRDefault="00256EE9" w:rsidP="00256EE9">
      <w:pPr>
        <w:pStyle w:val="TextoNormal"/>
      </w:pPr>
      <w:r w:rsidRPr="00256EE9">
        <w:rPr>
          <w:rStyle w:val="NumeroAFNegritaCaracter"/>
        </w:rPr>
        <w:t>4</w:t>
      </w:r>
      <w:r>
        <w:t>. Finalmente, hay que señalar que el estado en que se encontraban las actuaciones antes del día 1 de septiembre de 1984 justifica la aplicación de la Ley de Enjuiciamiento Civil, anterior a la reforma de la Ley 34/1984, de 6 de agosto, ya que la interposición del recurso de casación se produjo el día 21 de diciembre de 1983 y todo el proceso se sustanció por las normas vigentes al tiempo de su iniciación, conforme a la disposición transitoria primera de la Ley de Enjuiciamiento Civil reformada.</w:t>
      </w:r>
    </w:p>
    <w:p w:rsidR="00256EE9" w:rsidRDefault="00256EE9" w:rsidP="00256EE9">
      <w:pPr>
        <w:pStyle w:val="TextoNormal"/>
      </w:pPr>
    </w:p>
    <w:p w:rsidR="00256EE9" w:rsidRDefault="00256EE9" w:rsidP="00256EE9">
      <w:pPr>
        <w:pStyle w:val="TextoNormal"/>
      </w:pPr>
      <w:r w:rsidRPr="00256EE9">
        <w:rPr>
          <w:rStyle w:val="NumeroAFNegritaCaracter"/>
        </w:rPr>
        <w:t>5</w:t>
      </w:r>
      <w:r>
        <w:t>. Las consideraciones anteriores conducen a la conclusión de que la demanda carece manifiestamente de contenido que justifique una decisión por parte del Tribunal en forma de Sentencia, con el desarrollo procesal consiguiente y, en consecuencia, al existir la causa de inadmisión establecida en el art.  50.2 b) de la LOTC, procede declarar inadmisible el recurso.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6" w:name="AUTO_1985_265"/>
      <w:r>
        <w:lastRenderedPageBreak/>
        <w:t>AUTO 265/1985, de 24 de abril de 1985</w:t>
      </w:r>
    </w:p>
    <w:bookmarkEnd w:id="326"/>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ECLI:ES:TC:1985:265A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856/1984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presentado en este Tribunal el día 6 de diciembre de 1984, don Santos Gandarillas Carmona, Procurador de los Tribunales, en nombre y representación de don Juan Ramón Grandes Vargas, interpuso recurso de amparo contra el Decreto de la Alcaldía de Bilbao de 26 de diciembre de 1983. </w:t>
      </w:r>
    </w:p>
    <w:p w:rsidR="00256EE9" w:rsidRDefault="00256EE9" w:rsidP="00256EE9">
      <w:pPr>
        <w:pStyle w:val="TextoNormal"/>
      </w:pPr>
      <w:r>
        <w:t>El demandante solicita de este Tribunal que declare la nulidad del Decreto impugnado. Asimismo, y mediante otrosí, solicita, de acuerdo con lo establecido en el art. 56 de la Ley Orgánica del Tribunal Constitucional (LOTC), la suspensión de la ejecutividad de dicho Decreto, ya que, a su juicio, de no accederse a tal suspensión, carecería totalmente de fundamento el recurso de amparo, al haberse cumplido íntegramente la sanción impuesta en su momento.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antecedentes que están a la base del presente recurso son los siguientes: </w:t>
      </w:r>
    </w:p>
    <w:p w:rsidR="00256EE9" w:rsidRDefault="00256EE9" w:rsidP="00256EE9">
      <w:pPr>
        <w:pStyle w:val="TextoNormal"/>
      </w:pPr>
      <w:r>
        <w:t xml:space="preserve">Por Decreto de la Alcaldía-Presidencia del Ayuntamiento de Bilbao de 9 de junio de 1983 se ordenó la clausura y cese de la actividad del Pub Crystal, propiedad del ahora demandante de amparo, por no haber adoptado una serie de medidas correctoras, con la advertencia de que dicho local habría de permanecer cerrado hasta que se corrigieran las deficiencias observadas. </w:t>
      </w:r>
    </w:p>
    <w:p w:rsidR="00256EE9" w:rsidRDefault="00256EE9" w:rsidP="00256EE9">
      <w:pPr>
        <w:pStyle w:val="TextoNormal"/>
      </w:pPr>
      <w:r>
        <w:t xml:space="preserve">Adoptadas, a juicio del señor Grandes, las medidas correctoras, solicitó del Ayuntamiento que se girara la oportuna visita de inspección en orden a su comprobación. </w:t>
      </w:r>
    </w:p>
    <w:p w:rsidR="00256EE9" w:rsidRDefault="00256EE9" w:rsidP="00256EE9">
      <w:pPr>
        <w:pStyle w:val="TextoNormal"/>
      </w:pPr>
      <w:r>
        <w:t xml:space="preserve">Abierto el establecimiento por iniciativa del señor Grandes sin que se hubiera realizado tal inspección, la Policía Municipal procedió, con fecha de 27 de junio, a precintarlo. </w:t>
      </w:r>
    </w:p>
    <w:p w:rsidR="00256EE9" w:rsidRDefault="00256EE9" w:rsidP="00256EE9">
      <w:pPr>
        <w:pStyle w:val="TextoNormal"/>
      </w:pPr>
      <w:r>
        <w:t xml:space="preserve">Solicitada la reapertura por entender que se habían adoptado las correspondientes medidas, el señor Grandes procedió a abrir de nuevo el local, sin que le se le hubiera notificado el levantamiento de la orden de cierre. </w:t>
      </w:r>
    </w:p>
    <w:p w:rsidR="00256EE9" w:rsidRDefault="00256EE9" w:rsidP="00256EE9">
      <w:pPr>
        <w:pStyle w:val="TextoNormal"/>
      </w:pPr>
      <w:r>
        <w:t xml:space="preserve">Con fecha de 29 de junio se procedió por la Policía Municipal a clausurar una vez más el establecimiento en cuestión. </w:t>
      </w:r>
    </w:p>
    <w:p w:rsidR="00256EE9" w:rsidRDefault="00256EE9" w:rsidP="00256EE9">
      <w:pPr>
        <w:pStyle w:val="TextoNormal"/>
      </w:pPr>
      <w:r>
        <w:t xml:space="preserve">Ante tales hechos, el Ayuntamiento incoa un expediente sancionador, dando audiencia para alegaciones sobre los mismos al señor Grandes. </w:t>
      </w:r>
    </w:p>
    <w:p w:rsidR="00256EE9" w:rsidRDefault="00256EE9" w:rsidP="00256EE9">
      <w:pPr>
        <w:pStyle w:val="TextoNormal"/>
      </w:pPr>
      <w:r>
        <w:t xml:space="preserve">Con fecha de 26 de septiembre del mismo año la Alcaldía de Bilbao dicta un Decreto por el que se impone al ahora solicitante de amparo la sanción de seis meses de retirada de la licencia para ejercicio de la actividad del pub de su propiedad, a contar desde el día 28 </w:t>
      </w:r>
      <w:r>
        <w:lastRenderedPageBreak/>
        <w:t xml:space="preserve">de junio anterior, por el motivo de no suspender el funcionamiento del mismo, de acuerdo con el Decreto de 9 de junio, ni de permitir que el 23 del mismo mes llevaran a cabo los servicios municipales la clausura del local, así como por desprecintar el local y proceder el día 27 siguiente a la reapertura de su actividad sin autorización municipal. </w:t>
      </w:r>
    </w:p>
    <w:p w:rsidR="00256EE9" w:rsidRDefault="00256EE9" w:rsidP="00256EE9">
      <w:pPr>
        <w:pStyle w:val="TextoNormal"/>
      </w:pPr>
      <w:r>
        <w:t xml:space="preserve">Interpuesto recurso contencioso-administrativo al amparo de lo dispuesto en la Ley 62/1978 ante la Sala correspondiente de la Audiencia Territorial de Bilbao, ésta, con fecha 21 de mayo de 1984, dictó Sentencia desestimándolo, por entender que el acto impugnado no incidía ni quebrantaba ninguno de los derechos fundamentales alegados por el recurrente. En dicha Sentencia -considerando segundo- se recogen los hechos que se desprenden del expediente, y las actuaciones administrativas realizadas para acreditarlos; y, asimismo, en el considerando séptimo, se señala que la conducta del recurrente se encuentra nítidamente tipificada en el Reglamento de Policia de Espectáculos, concretamente en el núm. 38 del art. 81, y que la sanción impuesta está prevista en el art. 82. </w:t>
      </w:r>
    </w:p>
    <w:p w:rsidR="00256EE9" w:rsidRDefault="00256EE9" w:rsidP="00256EE9">
      <w:pPr>
        <w:pStyle w:val="TextoNormal"/>
      </w:pPr>
      <w:r>
        <w:t>Interpuesto por éste recurso de apelación contra dicha Sentencia, la Sala Tercera del Tribunal Supremo, por Sentencia de 6 de octubre de 1984, lo desestimó, confirmando, en consecuencia, la resolución a quo.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lo que se refiere a la pretensión principal, el recurrente considera que la resolución impugnada vulnera los derechos fundamentales reconocidos en los arts. 24.1 y 2 y 25.1 de la Constitución y, en concreto, y respectivamente, el derecho a obtener la tutela judicial efectiva, el derecho a la presunción de inocencia y el derecho a no ser condenado o sancionado sino por acciones u omisiones que en el momento de producirse constituyan delito, falta o infracción administrativa, según la legislación vigente en aquel momento. </w:t>
      </w:r>
    </w:p>
    <w:p w:rsidR="00256EE9" w:rsidRDefault="00256EE9" w:rsidP="00256EE9">
      <w:pPr>
        <w:pStyle w:val="TextoNormal"/>
      </w:pPr>
      <w:r>
        <w:t xml:space="preserve">Respecto a la vulneración del derecho a obtener la tutela de los Jueces y Tribunales, el demandante sostiene que ha de predicarse la inejecutoriedad de las sanciones administrativas hasta que alcancen firmeza. Dicha consecuencia se deduce -en su opinión- de la Sentencia del Tribunal Supremo de 17 de julio de 1982, que partiendo de la doctrina de la Sentencia del Tribunal Constitucional de 8 de junio de 1981, respecto a la aplicabilidad al Derecho Administrativo sancionador de los principios inspiradores del Derecho Penal, declara que no es razonable que la efectividad o cumplimiento de la pena quede postergada a la Sentencia firme, mientras que la sanción sea, por el contrario, ejecutiva ya antes de su revisión judicial. </w:t>
      </w:r>
    </w:p>
    <w:p w:rsidR="00256EE9" w:rsidRDefault="00256EE9" w:rsidP="00256EE9">
      <w:pPr>
        <w:pStyle w:val="TextoNormal"/>
      </w:pPr>
      <w:r>
        <w:t xml:space="preserve">En el ordenamiento jurídico postconstitucional existen, además, ejemplos de limitaciones al principio de ejecutoriedad de los actos administrativos sancionadores que evidencian que la tutela judicial efectiva proclamada en el art. 24.1 de la Constitución conduce, en el ámbito del Derecho sancionador, a la solución de la inejecutividad de la sanción administrativa hasta su firmeza, ya por la inatacabilidad de este acto, ya por la desestimación de los recursos administrativos o del jurisdiccional contencioso-administrativo. </w:t>
      </w:r>
    </w:p>
    <w:p w:rsidR="00256EE9" w:rsidRDefault="00256EE9" w:rsidP="00256EE9">
      <w:pPr>
        <w:pStyle w:val="TextoNormal"/>
      </w:pPr>
      <w:r>
        <w:t xml:space="preserve">La imposición del cumplimiento inmediato de una sanción administrativa -sigue diciendo el recurrente- implica la pérdida de efectividad de la tutela judicial, pues actualizándose ésta necesariamente después de aquel cumplimiento, es normal que no haya ya ocasión para una reintegración in natura de la situación previa al acto sancionatorio. La posibilidad de la exigencia de responsabilidad patrimonial no constituye un sustituto eficaz, ni enerva la afirmación anterior. En consecuencia, la ejecutividad de las sanciones administrativas antes de su firmeza representa una lesión del contenido del derecho consagrado en el art. 24.1 del Texto Fundamental. </w:t>
      </w:r>
    </w:p>
    <w:p w:rsidR="00256EE9" w:rsidRDefault="00256EE9" w:rsidP="00256EE9">
      <w:pPr>
        <w:pStyle w:val="TextoNormal"/>
      </w:pPr>
      <w:r>
        <w:t xml:space="preserve">Dicha conclusión no se ha visto aplicada en el presente supuesto, ni por el Ayuntamiento de Bilbao, ni por los Tribunales de la Jurisdicción Contencioso-Administrativa en la vía </w:t>
      </w:r>
      <w:r>
        <w:lastRenderedPageBreak/>
        <w:t xml:space="preserve">previa al presente recurso, con lo cual el ahora demandante de amparo se ha visto privado de tal derecho al imponérsele el cumplimiento de la sanción a partir del Decreto sancionatorio, sanción que se ha producido, además, con efectos desde un momento anterior a dicho Decreto. </w:t>
      </w:r>
    </w:p>
    <w:p w:rsidR="00256EE9" w:rsidRDefault="00256EE9" w:rsidP="00256EE9">
      <w:pPr>
        <w:pStyle w:val="TextoNormal"/>
      </w:pPr>
      <w:r>
        <w:t xml:space="preserve">En cuanto a la tipicidad, el recurrente afirma que se ha producido una violación del principio del injusto típico al faltar absolutamente la habilitación legal de la potestad sancionadora de la Administración, pues el Ayuntamiento de Bilbao, cuando ha impuesto la sanción se hallaba ayuno de respaldo normativo legal que le permitiera imponer una sanción en relaciones de supremacía general en los términos de la impuesta. </w:t>
      </w:r>
    </w:p>
    <w:p w:rsidR="00256EE9" w:rsidRDefault="00256EE9" w:rsidP="00256EE9">
      <w:pPr>
        <w:pStyle w:val="TextoNormal"/>
      </w:pPr>
      <w:r>
        <w:t xml:space="preserve">Por otra parte, la sanción se fundamenta en el incumplimiento de una orden de clausura, cuyo mandato se ceñía a mantener el local cerrado mientras no fueran cumplidas una serie de medidas correctoras, y sin embargo los hechos que declara probados la Administración no guardan ninguna relación con las medidas correctoras; simplemente se refiere a haber desprecintado el local sin que se hubiese dictado un Decreto de la Alcaldía dejando sin efecto la anterior orden de cierre. </w:t>
      </w:r>
    </w:p>
    <w:p w:rsidR="00256EE9" w:rsidRDefault="00256EE9" w:rsidP="00256EE9">
      <w:pPr>
        <w:pStyle w:val="TextoNormal"/>
      </w:pPr>
      <w:r>
        <w:t xml:space="preserve">Por lo que hace relación, finalmente, a la violación del derecho a la presunción de inocencia, el demandante señala que la Administración ha probado que aquel desprecintó el local, pero si la Administración pretende imponer la sanción en los términos en que lo ha hecho, esto es, por incumplimiento del Decreto de 9 de junio, lo que ha de probar, y no lo ha hecho, es la acreditación del fundamento de la sanción. La Administración ha de probar no sólo cómo se ha desprecintado el local, sino que dicho desprecintaje se había producido sin que las medidas correctoras estuvieran cumplidas, extremo éste que guarda intima relación con el anteriormente referido de la tipicidad, por cuanto el objeto de la prueba ha de versar necesariamente sobre aquellos extremos que la Ley estima punibles. </w:t>
      </w:r>
    </w:p>
    <w:p w:rsidR="00256EE9" w:rsidRDefault="00256EE9" w:rsidP="00256EE9">
      <w:pPr>
        <w:pStyle w:val="TextoNormal"/>
      </w:pPr>
      <w:r>
        <w:t>Por tales razones -concluye el recurrente-, debido a que la actividad probatoria del expediente sancionador no ha acreditado en ningún momento que cuando se abrió el local éste incumplía las medidas; lo máximo que podría aducirse contra aquél es haber desprecintado, cuando ya ningún sentido tenía el mantenimiento del precinto, sin esperar al Decreto que así lo confirmara. Pero tal conducta, ni puede ser tipificada como sancionable por la Administración en base al Reglamento de Actividades Molestas o Reglamento de Policía de Espectáculos, referidos a incumplimiento de medidas correctoras, ni puede tampoco ser hecho cumplir anticipadamente a la revisión jurisdiccional por los Tribunales.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del pasado día 10 de enero la Sección acordó tener por recibido el escrito de demanda de amparo y por personado y parte, en nombre y representación de don Juan Ramón Grandes Vargas, al Procurador don Santos Gandarillas Carmona, así como hacer saber al expresado Procurador la existencia del motivo de inadmisión de carácter subsanable, consistente en ser la demanda defectuosa al no acompañar a la misma la copia, traslado o certificación del Decreto de la Alcaldía de Bilbao, de 26 de septiembre de 1983, objeto del recurso de amparo, de acuerdo con lo que determina el art. 50. 1 b), en relación con el 49.2 b) de la LOTC, por lo que, en virtud de lo dispuesto en los arts. </w:t>
      </w:r>
    </w:p>
    <w:p w:rsidR="00256EE9" w:rsidRDefault="00256EE9" w:rsidP="00256EE9">
      <w:pPr>
        <w:pStyle w:val="TextoNormal"/>
      </w:pPr>
      <w:r>
        <w:t>50 y 58 de la citada Ley Orgánica, se concedió al recurrente un plazo de diez días, a fin de que, dentro del mismo, pudiera subsanar el defecto procesal indicado, advirtiéndole que, verificada dicha subsanación o transcurrido el plazo sin realizarla, se podría abrir el trámite de inadmisión. En cuanto al segundo otrosí, se acordó que una vez se decidiera sobre la admisión o no a trámite de la demanda, se acordaría lo procedente en relación con la suspensión interesada.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5</w:t>
      </w:r>
      <w:r>
        <w:t>. Por providencia del día 30 del mismo mes la Sección acordó tener por recibido el escrito del recurrente, con los documentos adjuntos y reque- . rir al mismo a fin de que en el plazo de diez días y según lo establecido en el art. 85, en conexión con los arts. 50. 1 b) y 49.2 b), todos ellos de la LOTC, aportase los siguientes documentos: a) certificación o testimonio de la Sentencia dictada por la Sala de lo Contencioso-Administrativo de la Audiencia Territorial de Bilbao de 21 de mayo de 1984, y b) certificación o testimonio del Decreto de la Alcaldia-Presidencia del Ayuntamiento de Bilbao de 9 de junio de 1983, así como hacer saber a la representación del recurrente que, una vez recibidos dichos documentos, se pasaría al trámite de inadmisión que establece el art. 50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Por providencia de 20 de febrero siguiente la Sección acordó tener por recibido el escrito del recurrente con los documentos adjuntos, en cumplimiento de lo acordado en providencia anterior, así como hacer saber al Procurador señor Gandarillas Carmona la posible existencia del motivo de inadmisión de carácter insubsanable consistente en carecer la demanda manifiestamente de contenido que justifique una decisión por parte del Tribunal Constitucional, conforme a lo establecido en el art. 50.2 b) de la Ley Orgánica del mismo; por lo que, en virtud de lo dispuesto en el art. 50 de la citada Ley Orgánica, se concedió al recurrente y Ministerio Fiscal un plazo común de diez días, a fin de que, dentro del mismo, formulasen las alegaciones que estimasen pertinentes.</w:t>
      </w:r>
    </w:p>
    <w:p w:rsidR="00256EE9" w:rsidRDefault="00256EE9" w:rsidP="00256EE9">
      <w:pPr>
        <w:pStyle w:val="TextoNormal"/>
      </w:pPr>
    </w:p>
    <w:p w:rsidR="00256EE9" w:rsidRDefault="00256EE9" w:rsidP="00256EE9">
      <w:pPr>
        <w:pStyle w:val="TextoNormal"/>
      </w:pPr>
      <w:r w:rsidRPr="00256EE9">
        <w:rPr>
          <w:rStyle w:val="NumeroAFNegritaCaracter"/>
        </w:rPr>
        <w:t>7</w:t>
      </w:r>
      <w:r>
        <w:t xml:space="preserve">. El Ministerio Fiscal, en su escrito de alegaciones, interesa de este Tribunal que declare la inadmisión del presente recurso por concurrir la causa prevista en el art. 50.2 b) de la LOTC. </w:t>
      </w:r>
    </w:p>
    <w:p w:rsidR="00256EE9" w:rsidRDefault="00256EE9" w:rsidP="00256EE9">
      <w:pPr>
        <w:pStyle w:val="TextoNormal"/>
      </w:pPr>
      <w:r>
        <w:t xml:space="preserve">Los argumentos en los que el Ministerio Público apoya su pretensión podrían resumirse así: </w:t>
      </w:r>
    </w:p>
    <w:p w:rsidR="00256EE9" w:rsidRDefault="00256EE9" w:rsidP="00256EE9">
      <w:pPr>
        <w:pStyle w:val="TextoNormal"/>
      </w:pPr>
      <w:r>
        <w:t xml:space="preserve">a) El presente recurso se dirige exclusivamente contra el Decreto del Alcalde-Presidente del Ayuntamiento de Bilbao de 26 de septiembre de 1981 que ordenó la «clausura y cierre de actividad» de un establecimiento propiedad del demandante. A lo largo de la demanda se ignora en absoluto la existencia de dos resoluciones judiciales, una de la Audiencia de Bilbao y otra, que la confirma, del Tribunal Supremo que declararon ajustado a Derecho el referido Decreto impugnado ante la jurisdicción contencioso-administrativa. Aunque el asunto no se plantea ante el Tribunal Constitucional ex novo, se trae ante éste con deliberado olvido de lo que sobre el mismo ha declarado la jurisdicción y se pide lo mismo que ya se interesó ante los Tribunales. El escaso rigor del planteamiento, inadecuado al medio procesal utilizado, pone de relieve su falta de contenido constitucional que precise de una resolución de fondo. </w:t>
      </w:r>
    </w:p>
    <w:p w:rsidR="00256EE9" w:rsidRDefault="00256EE9" w:rsidP="00256EE9">
      <w:pPr>
        <w:pStyle w:val="TextoNormal"/>
      </w:pPr>
      <w:r>
        <w:t xml:space="preserve">b) Si, no obstante lo anterior, se examinan las alegaciones de fondo del recurrente, la conclusión no puede ser otra. Así, y en primer lugar, la Administración no puede, salvo situaciones muy de excepción, y no es éste el caso, dañar el derecho a la tutela judicial, por la simple razón de que no es quien ha de prestarla. Si no es su cometido la tutela judicial, es más que evidente que no puede dejar de prestarla. El recurrente, por otra parte, pudo acudir libremente ante los Tribunales, y por partida doble, lo que supone que no hubo entorpecimiento alguno por parte del Ayuntamiento de Bilbao para que accediera a los mismos. </w:t>
      </w:r>
    </w:p>
    <w:p w:rsidR="00256EE9" w:rsidRDefault="00256EE9" w:rsidP="00256EE9">
      <w:pPr>
        <w:pStyle w:val="TextoNormal"/>
      </w:pPr>
      <w:r>
        <w:t xml:space="preserve">c) Sobre la presunción de inocencia, extensible, ahora sí, a la actividad sancionatoria de la Administración, ya tuvo ocasión de pronunciarse la Audiencia de Bilbao y puso de manifiesto la actividad del sancionado, reiteradamente denunciada por los vecinos y, por otro </w:t>
      </w:r>
      <w:r>
        <w:lastRenderedPageBreak/>
        <w:t xml:space="preserve">lado, desobediente al Ayuntamiento. Hubo, pues, elementos probatorios bastantes para destruir la presunción iuris tantum de inocencia que exige la Constitución. </w:t>
      </w:r>
    </w:p>
    <w:p w:rsidR="00256EE9" w:rsidRDefault="00256EE9" w:rsidP="00256EE9">
      <w:pPr>
        <w:pStyle w:val="TextoNormal"/>
      </w:pPr>
      <w:r>
        <w:t>d) Por último, en cuanto a la legalidad, sobre la que apenas si se razona en la demanda, igualmente la Sentencia de Bilbao fijó los preceptos sancionadores aplicados, que tipifican conductas y disponen las sanciones. El problema, aun con la invocación de un derecho fundamental como agraviado, es de simple legalidad -si la actividad está tipificada o no, así como su sanción- y fue motivadamente resuelta por los Jueces.</w:t>
      </w:r>
    </w:p>
    <w:p w:rsidR="00256EE9" w:rsidRDefault="00256EE9" w:rsidP="00256EE9">
      <w:pPr>
        <w:pStyle w:val="TextoNormal"/>
      </w:pPr>
    </w:p>
    <w:p w:rsidR="00256EE9" w:rsidRDefault="00256EE9" w:rsidP="00256EE9">
      <w:pPr>
        <w:pStyle w:val="TextoNormal"/>
      </w:pPr>
      <w:r w:rsidRPr="00256EE9">
        <w:rPr>
          <w:rStyle w:val="NumeroAFNegritaCaracter"/>
        </w:rPr>
        <w:t>8</w:t>
      </w:r>
      <w:r>
        <w:t>. Por su parte, el recurrente en su escrito de alegaciones reiteró los argumentos expuestos en la demanda y solicitó la admisión a trámite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concurre en la demanda la causa de inadmisión prevista en el art.  50.2b) de la LOTC, a cuyo efecto hemos de examinar si la resolución impugnada ha podido vulnerar o no los derechos fundamentales invocados por el recurrente.</w:t>
      </w:r>
    </w:p>
    <w:p w:rsidR="00256EE9" w:rsidRDefault="00256EE9" w:rsidP="00256EE9">
      <w:pPr>
        <w:pStyle w:val="TextoNormal"/>
      </w:pPr>
    </w:p>
    <w:p w:rsidR="00256EE9" w:rsidRDefault="00256EE9" w:rsidP="00256EE9">
      <w:pPr>
        <w:pStyle w:val="TextoNormal"/>
      </w:pPr>
      <w:r w:rsidRPr="00256EE9">
        <w:rPr>
          <w:rStyle w:val="NumeroAFNegritaCaracter"/>
        </w:rPr>
        <w:t>2</w:t>
      </w:r>
      <w:r>
        <w:t>. Comenzando por la pretendida vulneración del derecho a la tutela judicial efectiva, es de señalar, en primer lugar, que el hecho de que la Administración imponga una sanción que, en principio, ha de ejecutarse en sus propios términos, nada tiene que ver con dicho derecho.  Otra cosa es que ante la propia Administración o ante los Tribunales se solicite la suspensión de la ejecución de tal sanción mientras se resuelve el correspondiente recurso.  Entonces, lo que hay que ver es si el ordenamiento impone o no en tal caso la suspensión, y si no lo impone, cuál de los intereses en presencia -el privado a la suspensión o el público a la ejecucion- debe prevalecer.  Lo cual es una tarea del intérprete -el funcionario o el Juez- que ha de llevar a cabo a la luz del art.  24.1 de la Constitución, que, nótese bien, no impone necesariamente y en todo caso, con carácter general, la suspensión de la ejecutividad de los actos administrativos, ni siquiera de los sancionadores.</w:t>
      </w:r>
    </w:p>
    <w:p w:rsidR="00256EE9" w:rsidRDefault="00256EE9" w:rsidP="00256EE9">
      <w:pPr>
        <w:pStyle w:val="TextoNormal"/>
      </w:pPr>
      <w:r>
        <w:t>Y es que, como ha declarado la Sentencia de este Tribunal núm.  66/1984, la ejecutividad de los actos administrativos sancionadores no es algo indefectiblemente contrario al derecho a la tutela judicial efectiva, que, por lo demás, se satisface facilitando que la ejecutividad pueda ser sometida a la decisión de un Tribunal y que éste, con la información y contradicción que resulte menester, resuelva sobre la suspensión (fundamento jurídico 3). Cosa que, por lo demás, hizo, acordando la suspensión de la ejecución del Decreto de la Alcaldía de Bilbao, la Sala de la Audiencia de Bilbao, tal como consta en el documento aportado por el propio recurrente junto con su escrito de alegaciones.</w:t>
      </w:r>
    </w:p>
    <w:p w:rsidR="00256EE9" w:rsidRDefault="00256EE9" w:rsidP="00256EE9">
      <w:pPr>
        <w:pStyle w:val="TextoNormal"/>
      </w:pPr>
      <w:r>
        <w:t xml:space="preserve">Bien entendido que, en todo caso, no puede extrapolarse la doctrina que, con carácter general y no sin matizaciones, se sentó por este Tribunal en la Sentencia núm.  18/1981 -que abordó únicamente el problema de la garantía consistente en la audiencia al interesado o afectado por un procedimiento administrativo sancionador- a un supuesto como el presente, que nada tiene que ver con el que estuvo a la base de dicha Sentencia.  Como tampoco puede razonablemente invocarse, como hace, por el contrario, el recurrente, la doctrina establecida en la Sentencia de la Sala Quinta del Tribunal Supremo de 17 de julio de 1983 (Ar. 4.428), pues, como muy bien señala el Tribunal Supremo en la Sentencia que ha puesto fin a la vía judicial previa recurrida por el ahora demandante de amparo, tal doctrina se refiere exclusivamente -y en tal sentido basta con leer las reiteradas precisiones que </w:t>
      </w:r>
      <w:r>
        <w:lastRenderedPageBreak/>
        <w:t>hace la Sentencia en cuestión- a las sanciones de suspensión definitiva de funciones -no a las medidas cautelares- en materia disciplinaria, es decir, relativas a funcionarios, no, como en el caso presente, a las sanciones impuestas en relaciones generales de supremacía-sujeción.</w:t>
      </w:r>
    </w:p>
    <w:p w:rsidR="00256EE9" w:rsidRDefault="00256EE9" w:rsidP="00256EE9">
      <w:pPr>
        <w:pStyle w:val="TextoNormal"/>
      </w:pPr>
    </w:p>
    <w:p w:rsidR="00256EE9" w:rsidRDefault="00256EE9" w:rsidP="00256EE9">
      <w:pPr>
        <w:pStyle w:val="TextoNormal"/>
      </w:pPr>
      <w:r w:rsidRPr="00256EE9">
        <w:rPr>
          <w:rStyle w:val="NumeroAFNegritaCaracter"/>
        </w:rPr>
        <w:t>3</w:t>
      </w:r>
      <w:r>
        <w:t>. La misma suerte debe correr, a juicio de la Sección, la pretendida vulneración de la presunción de inocencia que, como ha señalado este Tribunal reiteradamente, es una presunción iuris tantum que puede ser destruida mediante una mínima actividad probatoria de cargo, a partir de la cual corresponde apreciar a los Tribunales la prueba y aplicar la legalidad vigente; siendo patente, como se recoge en la Sentencia de la Audiencia, que tal actividad probatoria ha existido en el presente caso.</w:t>
      </w:r>
    </w:p>
    <w:p w:rsidR="00256EE9" w:rsidRDefault="00256EE9" w:rsidP="00256EE9">
      <w:pPr>
        <w:pStyle w:val="TextoNormal"/>
      </w:pPr>
    </w:p>
    <w:p w:rsidR="00256EE9" w:rsidRDefault="00256EE9" w:rsidP="00256EE9">
      <w:pPr>
        <w:pStyle w:val="TextoNormal"/>
      </w:pPr>
      <w:r w:rsidRPr="00256EE9">
        <w:rPr>
          <w:rStyle w:val="NumeroAFNegritaCaracter"/>
        </w:rPr>
        <w:t>4</w:t>
      </w:r>
      <w:r>
        <w:t>. Por último, la simple discrepancia del demandante sobre la tipicidad del supuesto de hecho que ha habilitado a la Alcaldia de Bilbao a imponerle la referida sanción no es título bastante para afirmar que con ello se ha infringido el art. 25.1 de la Constitución, pues como expresa con toda claridad el considerando séptimo de la Sentencia de la Audiencia, la conducta del recurrente se encuentra nítidamente tipificada en el Reglamento de Policía de Espectáculos (núm.  38 del art.  81), y la sanción impuesta está prevista en el art.  82.</w:t>
      </w:r>
    </w:p>
    <w:p w:rsidR="00256EE9" w:rsidRDefault="00256EE9" w:rsidP="00256EE9">
      <w:pPr>
        <w:pStyle w:val="TextoNormal"/>
      </w:pPr>
    </w:p>
    <w:p w:rsidR="00256EE9" w:rsidRDefault="00256EE9" w:rsidP="00256EE9">
      <w:pPr>
        <w:pStyle w:val="TextoNormal"/>
      </w:pPr>
      <w:r w:rsidRPr="00256EE9">
        <w:rPr>
          <w:rStyle w:val="NumeroAFNegritaCaracter"/>
        </w:rPr>
        <w:t>5</w:t>
      </w:r>
      <w:r>
        <w:t>. Las consideraciones anteriores conducen a la conclusión de que existe la causa de inadmisión establecida por el art. 50.2 b) de la LOTC, al carecer la demanda manifiestamente de contenido que justifique una decisión por parte del Tribunal en forma de Sentencia, con el desarrollo procesal consiguiente.  Conclusión que da lugar a la improcedencia de tramitar la pieza separada de suspensión, solicitada por el actor.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7" w:name="AUTO_1985_266"/>
      <w:r>
        <w:lastRenderedPageBreak/>
        <w:t>AUTO 266/1985, de 24 de abril de 1985</w:t>
      </w:r>
    </w:p>
    <w:bookmarkEnd w:id="327"/>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ECLI:ES:TC:1985:266A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admisión a trámite del recurso de amparo 867/1984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Procurador de los Tribunales don Francisco de las Alas Pumariño y Miranda, en nombre y representación de don Francisco Alvarez-Cascos Fernández, recurre en amparo ante este Tribunal Constitucional por escrito de demanda que tiene entrada en el Registro General el 10 de diciembre de 1984, con la pretensión de que se declare la nulidad de la Sentencia de 7 de noviembre de 1984 de la Sala Tercera del Tribunal Supremo, recaída en el recurso de apelación núm. 64.132 dimanante de la Sentencia dictada por la Sala de lo Contencioso-Administrativo de la Audiencia Territorial de Oviedo en el recurso núm. 610/1984, por estimar que vulnera el art. 24 de la Constitución.</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10 de enero de 1985, la Sección Primera de la Sala Primera de este Tribunal Constitucional acuerda, con carácter previo, a decidir sobre la admisión o no a trámite de la expresada demanda, requerir al recurrente a fin de que, dentro del plazo de diez días, y de acuerdo con lo establecido en el art. 85 de la Ley Orgánica del Tribunal Constitucional (LOTC), presente copia, traslado o certificación de la Sentencia impugnada de 7 de noviembre de 1984 de la Sala Tercera del Tribunal Supremo, de conformidad con lo establecido en el art. 49.2 b) de la citada Ley Orgánica, y acredite asimismo la fecha en que le fue notificada la mencionada resolución. El recurrente no ha dado cumplimiento a lo acordado, según se acredita por diligencia de 4 de febrero de 1985, extendida por el Secretario de Justicia.</w:t>
      </w:r>
    </w:p>
    <w:p w:rsidR="00256EE9" w:rsidRDefault="00256EE9" w:rsidP="00256EE9">
      <w:pPr>
        <w:pStyle w:val="TextoNormal"/>
      </w:pPr>
    </w:p>
    <w:p w:rsidR="00256EE9" w:rsidRDefault="00256EE9" w:rsidP="00256EE9">
      <w:pPr>
        <w:pStyle w:val="TextoNormal"/>
      </w:pPr>
      <w:r w:rsidRPr="00256EE9">
        <w:rPr>
          <w:rStyle w:val="NumeroAFNegritaCaracter"/>
        </w:rPr>
        <w:t>3</w:t>
      </w:r>
      <w:r>
        <w:t>. No habiendo, pues, subsanado el recurrente los defectos señalados en la providencia de 10 de enero de 1985, la Sección acuerda, en providencia de 13 de marzo de este año, abrir el trámite de inadmisión previsto en el art. 50 de la LOTC y conceder al Ministerio Fiscal y al recurrente un plazo común de diez días, a fin de que aleguen lo que estimen pertinente respecto a los siguientes motivos de inadmisión: a) no acompañar copia, traslado o certificación de la resolución impugnada [art. 50.1 b) en relación con el 49.2 b), ambos de la LOTC]; b) haberse presentado la demanda de amparo fuera de plazo [art. 50.1 a) de la LOTC].</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escrito de 25 de marzo de 1985, el Ministerio Fiscal hace constar que, si no se acredita fehacientemente haber interpuesto la demanda de amparo dentro del plazo de </w:t>
      </w:r>
      <w:r>
        <w:lastRenderedPageBreak/>
        <w:t xml:space="preserve">veinte días fijado en el art. 44.2 de la LOTC, se estaría en presencia de la causa de inadmisión insubsanable prevista en el art. 50.1 a) de la misma, ya que dicha demanda tuvo entrada en el Registro General de este Tribunal el día 10 de diciembre y el cómputo del plazo para recurrir en amparo se anuda a la notificación de la resolución frente a la cual se dirige el amparo, como ha señalado reiteradamente el Tribunal Constitucional. </w:t>
      </w:r>
    </w:p>
    <w:p w:rsidR="00256EE9" w:rsidRDefault="00256EE9" w:rsidP="00256EE9">
      <w:pPr>
        <w:pStyle w:val="TextoNormal"/>
      </w:pPr>
      <w:r>
        <w:t xml:space="preserve">También pone de relieve el Ministerio Fiscal que el recurrente en amparo no ha acompañado copia, traslado o certificación de la Sentencia impugnada, incumpliendo con ello la exigencia del art. 49.2 b) de la LOTC, pese a haber sido igualmente requerido por este Tribunal en la resolución antes mencionada, de 10 de enero de 1985, por lo que la demanda de amparo incurre asimismo en la causa de inadmisibilidad prevista en el art. 50.1 b) de la LOTC. </w:t>
      </w:r>
    </w:p>
    <w:p w:rsidR="00256EE9" w:rsidRDefault="00256EE9" w:rsidP="00256EE9">
      <w:pPr>
        <w:pStyle w:val="TextoNormal"/>
      </w:pPr>
      <w:r>
        <w:t>Por todo lo expuesto, y salvo lo que se acredite por el recurrente en este trámite, el Ministerio Fiscal interesa de este Tribunal Constitucional dicte Auto por el que acuerde la inadmisión de la demanda de amparo de conformidad con los arts. 50.1 a) en relación con el 44.2 y 50.1 b) en relación con el 49.2 b), todos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La parte recurrente, por escrito de 28 de marzo de 1985, al que acompaña copia de la Sentencia del Tribunal Supremo contra la que se interpone el presente recurso de amparo, formula las siguientes alegaciones: </w:t>
      </w:r>
    </w:p>
    <w:p w:rsidR="00256EE9" w:rsidRDefault="00256EE9" w:rsidP="00256EE9">
      <w:pPr>
        <w:pStyle w:val="TextoNormal"/>
      </w:pPr>
      <w:r>
        <w:t xml:space="preserve">a) La irregularidad en la demanda consistente en no acompañar a la misma copia, traslado o certificación de la resolución recurrida, conforme a lo dispuesto en el art. 49.2 b) de la LOTC, es subsanable (art. 85 en relación con el 50 de la LOTC), pues la omisión en sí misma no produce daño alguno a los principios reguladores e informadores del proceso constitucional. </w:t>
      </w:r>
    </w:p>
    <w:p w:rsidR="00256EE9" w:rsidRDefault="00256EE9" w:rsidP="00256EE9">
      <w:pPr>
        <w:pStyle w:val="TextoNormal"/>
      </w:pPr>
      <w:r>
        <w:t xml:space="preserve">b) La Sentencia recurrida fue notificada al representante procesal del señor Alvarez-Cascos con fecha 15 de noviembre de 1984, por lo que el plazo para recurrir debe empezar a contarse desde el 16 del mismo mes. Dado que tal plazo es de veinte días (art. 43.2 de la LOTC) y que en su cómputo deben descontarse los días inhábiles, el plazo para interponer el recurso de amparo finalizaba el día 10 de diciembre, fecha en que se presentó el recurso. </w:t>
      </w:r>
    </w:p>
    <w:p w:rsidR="00256EE9" w:rsidRDefault="00256EE9" w:rsidP="00256EE9">
      <w:pPr>
        <w:pStyle w:val="TextoNormal"/>
      </w:pPr>
      <w:r>
        <w:t>A la luz de las anteriores alegaciones la parte recurrente estima procedente que se acuerde la admisión del presente recurso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parte recurrente en amparo ha presentado dentro del término concedido en la providencia de 13 de marzo de 1985 copia de la Sentencia de 7 de noviembre de 1984 de la Sala Tercera de lo Contencioso-Administrativo del Tribunal Supremo, que fue notificada el día 15 del mismo mes, por lo que el recurso ha sido promovido en plazo hábil.</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admitir a trámite la demanda de amparo formulada por don Francisco Alvarez-Cascos Fernández, sin perjuicio de lo que resulte de sus antecedentes, y, de conformidad con lo establecido en el art.  51 de la Ley Orgánica</w:t>
      </w:r>
    </w:p>
    <w:p w:rsidR="00256EE9" w:rsidRDefault="00256EE9" w:rsidP="00256EE9">
      <w:pPr>
        <w:pStyle w:val="TextoNormal"/>
      </w:pPr>
      <w:r>
        <w:lastRenderedPageBreak/>
        <w:t>del Tribunal Constitucional, requerir atentamente y con carácter de urgencia a la Sala Tercera del Tribunal Supremo y a la Sala de lo Contencioso-Administrativo de la Audiencia Territorial de Oviedo, a fin de que, dentro del plazo de diez días, remitan a</w:t>
      </w:r>
    </w:p>
    <w:p w:rsidR="00256EE9" w:rsidRDefault="00256EE9" w:rsidP="00256EE9">
      <w:pPr>
        <w:pStyle w:val="TextoNormal"/>
      </w:pPr>
      <w:r>
        <w:t>este Tribunal las actuaciones originales, o testimonio de ellas, relativas al recurso de apelación núm.  64.132 y al recurso núm.  610/1984, respectivamente.  Asimismo, acuerda que por dichas Autoridades judiciales se emplace a quienes hayan sido parte</w:t>
      </w:r>
    </w:p>
    <w:p w:rsidR="00256EE9" w:rsidRDefault="00256EE9" w:rsidP="00256EE9">
      <w:pPr>
        <w:pStyle w:val="TextoNormal"/>
      </w:pPr>
      <w:r>
        <w:t>en los citados procedimientos, a excepción del recurrente, para que, dentro del expresado plazo de diez días, si les interesa, se personen en el proceso constitucional.</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8" w:name="AUTO_1985_267"/>
      <w:r>
        <w:lastRenderedPageBreak/>
        <w:t>AUTO 267/1985, de 24 de abril de 1985</w:t>
      </w:r>
    </w:p>
    <w:bookmarkEnd w:id="328"/>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ECLI:ES:TC:1985:267A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869/1984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11 de diciembre de 1984, tiene entrada en este Tribunal Constitucional recurso de amparo, presentado en el Juzgado de Guardia el día 5 anterior, y que formula el Procurador de los Tribunales don Carlos Ibáñez de la Cadiniere, en nombre y representación de doña Rosa Teresa Santiago Fernández, contra Sentencia dictada en apelación por la Sección Tercera de la Audiencia Provincial de Madrid. El recurso de amparo se basa, en sustancia, en los hechos siguientes: </w:t>
      </w:r>
    </w:p>
    <w:p w:rsidR="00256EE9" w:rsidRDefault="00256EE9" w:rsidP="00256EE9">
      <w:pPr>
        <w:pStyle w:val="TextoNormal"/>
      </w:pPr>
      <w:r>
        <w:t xml:space="preserve">A) Con fecha 27 de enero de 1984, en juicio oral seguido conforme al procedimiento previsto por la Ley Orgánica 10/1980, de 11 de noviembre, el Juzgado de Instrucción núm. 20 de Madrid dictó Sentencia por la que absolvió a la demandante de amparo del delito del que era particularmente acusada, de hurto de un décimo de lotería premiado con 12.000.000 de pesetas, declarando probado que de dicho décimo se había desprendido con anterioridad al correspondiente sorteo la querellante, tras rasgarlo en varios pedazos, confundiéndolo con un número fallido de otro sorteo. En tal Sentencia se considera que «no hay hurto porque no hay sustracción ni pérdida sino abandono, no hay estafa porque no hay engaño fraudulento, sino más bien un vicio en el modo de adquirir la propiedad o un enriquecimiento injusto, pero en cualquier caso un ilícito civil y no penal», por lo que, conforme al art. 790.3 de la Ley de Enjuiciamiento Criminal (L.E.Cr.), se estimó no podía válidamente plantearse la cuestión civil prejudicial excluyente, propuesta en su momento por la defensa de la encausada, ya que dicha cuestión «forma parte del fondo del asunto, y, naturalmente, habrá de diligenciarse en vía civil». </w:t>
      </w:r>
    </w:p>
    <w:p w:rsidR="00256EE9" w:rsidRDefault="00256EE9" w:rsidP="00256EE9">
      <w:pPr>
        <w:pStyle w:val="TextoNormal"/>
      </w:pPr>
      <w:r>
        <w:t>B) Frente a la anterior Sentencia interpuso la acusación particular recurso de apelación, al que se adhirió la parte acusada en el sentido de interesar que el fallo absolutorio que acordó la Sentencia apelada lo fuera porque dicha inculpada compró en una Administración de Loterías el décimo en cuestión y que fue roto después, en un descuido, por una nieta suya de corta edad. La apelación fue resuelta, con fecha 22 de octubre de 1984, por la Sección Tercera de la Audiencia Provincial de Madrid, mediante Sentencia, notificada el día 12 de noviembre siguiente, por la que revocando íntegramente la Sentencia apelada, se condenó a la hoy demandante de amparo como autora de un delito de apropiación indebida, en grado de frustración, a la pena de 40.000 pesetas con arresto de veinte días, alzándose el depósito que pesaba sobre el décimo de lotería objeto del litigio y ordenando su entrega a la apelante. Dicha Sentencia de apelación se fundamenta en una revisión del relato fáctico de la Sentencia de instancia, en el sentido de declarar que, habiendo adquiri</w:t>
      </w:r>
      <w:r>
        <w:lastRenderedPageBreak/>
        <w:t>do el décimo de lotería la parte acusadora, no fue ésta quien lo rompió, sino que habiéndolo extraviado de forma involuntaria, fue encontrado en perfectas condiciones de conservación por la señora Santiago Fernández, quien lo guardó, y fue roto por su nieta mientras jugaba, sin que llegara a cumplirse la obligación de devolverlo o consignarlo.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presente demanda de amparo se apoya en los siguientes fundamentos jurídicos. </w:t>
      </w:r>
    </w:p>
    <w:p w:rsidR="00256EE9" w:rsidRDefault="00256EE9" w:rsidP="00256EE9">
      <w:pPr>
        <w:pStyle w:val="TextoNormal"/>
      </w:pPr>
      <w:r>
        <w:t xml:space="preserve">A) En una presunta violación del derecho a la igualdad reconocido por el art. 14 de la C. E. Dicha violación se habría producido al ser el demandante de amparo gitana y de modesta condición social e imputar al Juzgado de Instrucción la acusación particular en el proceso a quo, mediante su escrito de apelación, el deseo de no castigar a la inculpada en atención a las circunstancias, no siendo rebatida esa injusta imputación por el Tribunal de apelación, con lo que sería patente que éste se inclinó a preferir el crédito de la querellante, sobre el de la encartada. </w:t>
      </w:r>
    </w:p>
    <w:p w:rsidR="00256EE9" w:rsidRDefault="00256EE9" w:rsidP="00256EE9">
      <w:pPr>
        <w:pStyle w:val="TextoNormal"/>
      </w:pPr>
      <w:r>
        <w:t xml:space="preserve">B) En la presunta violación de diversos derechos constitucionales producida por la rectificación del hecho declarado probado en la Sentencia del Juzgado de Instrucción de que la inculpada se encontró troceado el décimo de lotería, siendo admitida tal posibilidad en el mismo escrito de apelación formulado contra dicha Sentencia, de manera que en ningún momento del procedimiento habría existido la oportunidad de defenderse frente a otra posibilidad distinta, no habiéndose practicado prueba alguna en el trámite de la apelación y sin haber presenciado el Tribunal de la segunda instancia el acto del juicio oral, en virtud de todo lo cual habría tenido lugar la indefensión de la solicitante de amparo, contra lo dispuesto en el apartado 1 del art. 24 de la C. E., y habrían sido vulnerados, asimismo, el principio de inmediación en la administración de justicia y el derecho a la presunción de inocencia garantizados por el apartado 2 del mismo precepto constitucional. </w:t>
      </w:r>
    </w:p>
    <w:p w:rsidR="00256EE9" w:rsidRDefault="00256EE9" w:rsidP="00256EE9">
      <w:pPr>
        <w:pStyle w:val="TextoNormal"/>
      </w:pPr>
      <w:r>
        <w:t xml:space="preserve">C) En la indefensión, y también vulneración de derechos procesales reconocidos por el art. 24.2 de la C. E., producidas al no ser admitida a trámite por el Juzgado de Instrucción la cuestión civil prejudicial solicitada por la defensa de la encausada y su sustitución por el fallo absolutorio del mismo Juzgado, donde viene a reconocerse la naturaleza civil de los hechos, siendo disentida tal naturaleza por la Sentencia revocatoria de la Audiencia Provincial. </w:t>
      </w:r>
    </w:p>
    <w:p w:rsidR="00256EE9" w:rsidRDefault="00256EE9" w:rsidP="00256EE9">
      <w:pPr>
        <w:pStyle w:val="TextoNormal"/>
      </w:pPr>
      <w:r>
        <w:t xml:space="preserve">D) En la denegación contra lo dispuesto en el art. 24.2 de la C. E., de prueba testifical solicitada por la defensa de la encartada al amparo de lo previsto en la regla 5.ª del art. 792 de la L.E.Cr. </w:t>
      </w:r>
    </w:p>
    <w:p w:rsidR="00256EE9" w:rsidRDefault="00256EE9" w:rsidP="00256EE9">
      <w:pPr>
        <w:pStyle w:val="TextoNormal"/>
      </w:pPr>
      <w:r>
        <w:t>E) En la aplicación por la Sentencia de apelación del art. 535.2 del Código Penal, reformado por la Ley Orgánica de 25 de junio de 1983, con lo que, al ser los hechos que dieron lugar al proceso anteriores a dicha reforma, se habrían incumplido el principio de irretroactividad de las Leyes, reconocido por el art. 9.3 de la C. E., infringiendo, en consecuencia, el art. 25.1 de la misma C. E. Todo ello independientemente de que, en virtud de los arts. 1 y 6 bis a) del Código Penal, reformado por la indicada Ley Orgánica, con efectos retroactivos a favor del reo, en conjunción con los arts. 609 (párrafo primero) y 460.1 y concordantes del Código Civil, tampoco resultaría punible el hecho de Autos, aunque se tomara como base fáctica la de la Sentencia de apelación.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Se solicita de este Tribunal Constitucional que declare la nulidad de todo lo actuado a partir del señalamiento v convocatoria del acto del juicio oral de referencia, dejando sin efecto tales señalamiento y convocatoria y reponiendo las actuaciones a ese momento procesal, de conformidad con la súplica que en su día se formuló de planteamiento de la cuestión civil prejudicial con todos los pronunciamientos derivados, o, en otro caso, decretar la </w:t>
      </w:r>
      <w:r>
        <w:lastRenderedPageBreak/>
        <w:t xml:space="preserve">nulidad de la Sentencia recaída en la segunda instancia, sustituyendo esta Sentencia por la de primer grado, y ordenando el pago a la demandante de amparo, por el Servicio Nacional de Loterías del Ministerio de Hacienda, de los 12.000.000 de pesetas que constituyen el premio al décimo referido, y condenando a la querellante en el proceso a quo al abono a la solicitante de amparo de la indemnización por los daños y perjuicios ocasionados a ésta por la incoación y trámite de dicho proceso. </w:t>
      </w:r>
    </w:p>
    <w:p w:rsidR="00256EE9" w:rsidRDefault="00256EE9" w:rsidP="00256EE9">
      <w:pPr>
        <w:pStyle w:val="TextoNormal"/>
      </w:pPr>
      <w:r>
        <w:t>Por otrosí se solicita, conforme a lo previsto en el art. 56 de la Ley Orgánica del Tribunal Constitucional (LOTC), la suspensión de la ejecución de la Sentencia dictada por la Sección Tercera de la Audiencia Provincial de Madrid, por la irreparabilidad de los perjuicios que llevaría consigo tal ejecución, respecto del pago de los 12.000.000 de pesetas comprendidos en la misma, dada la total insolvencia de la querellante en el proceso penal, extendiéndose dicha suspensión a los restantes pronunciamientos de la mencionada Sentencia.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La Sección, mediante providencia de 10 de enero de 1985, acordó, a tenor de lo dispuesto en el art. 50 de la LOTC, conceder un plazo común de diez días al Ministerio Fiscal y a la solicitante de amparo, para que dentro de dicho término alegasen lo que estimaran conveniente en relación con la posible existencia del siguiente motivo de inadmisión: carecer la demanda manifiestamente de contenido que justifique una decisión por parte de este Tribunal Constitucional de conformidad con el art. 50.2 b) de la mencionada Ley Orgánica. </w:t>
      </w:r>
    </w:p>
    <w:p w:rsidR="00256EE9" w:rsidRDefault="00256EE9" w:rsidP="00256EE9">
      <w:pPr>
        <w:pStyle w:val="TextoNormal"/>
      </w:pPr>
      <w:r>
        <w:t>En cuanto a la petición de suspensión interesada se acordó, mediante la misma providencia, resolver lo procedente una vez se decidiese la admisión o no a trámite del recurso de amparo.</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Ministerio Fiscal, dentro del plazo conferido por la anterior providencia, alega que todos los argumentos utilizados por la demandante de amparo son de legalidad ordinaria, conforme al art. 117.3 de la C. E. </w:t>
      </w:r>
    </w:p>
    <w:p w:rsidR="00256EE9" w:rsidRDefault="00256EE9" w:rsidP="00256EE9">
      <w:pPr>
        <w:pStyle w:val="TextoNormal"/>
      </w:pPr>
      <w:r>
        <w:t xml:space="preserve">En cuanto a la no tramitación de la cuestión prejudicial propuesta en la primera instancia, señala el Ministerio Fiscal que la misma fue resuelta adecuadamente por el Juzgado y con fundamento en los arts. 3 y 790.3 de la L.E.Cr. </w:t>
      </w:r>
    </w:p>
    <w:p w:rsidR="00256EE9" w:rsidRDefault="00256EE9" w:rsidP="00256EE9">
      <w:pPr>
        <w:pStyle w:val="TextoNormal"/>
      </w:pPr>
      <w:r>
        <w:t xml:space="preserve">Señala, además, que en el caso cuestionado hubo prueba documental y testifical que, además de lo expuesto por la acusación y defensa y lo manifestado por la propia acusada, sirvió de abundante fundamento para desvirtuar la presunción de inocencia garantizada por el apartado 2 del art. 24 de la C. E. sin que, por otra parte, existiera violación alguna del apartado 1 del mismo artículo, pues tutela efectiva obtuvo la demandante de amparo, aunque le fuera desfavorable la Sentencia, al obtener una resolución de fondo razonada y no arbitraria, sin que la falta de inmediación que se arguye, que es característica del recurso de apelación, pueda servir a la pretensión aquí suscitada. </w:t>
      </w:r>
    </w:p>
    <w:p w:rsidR="00256EE9" w:rsidRDefault="00256EE9" w:rsidP="00256EE9">
      <w:pPr>
        <w:pStyle w:val="TextoNormal"/>
      </w:pPr>
      <w:r>
        <w:t xml:space="preserve">La invocación del art. 9 de la C. E. es improcedente, según el Ministerio Fiscal, dados los términos del art. 53 de la misma. En cuanto a la violación del principio de legalidad, garantizado por el art. 25.1 de la C. E. no se justifica, para el Ministerio Fiscal, ni remotamente, y la Sentencia impugnada justifica concluyentemente la tipicidad antijurídica de los hechos en la fecha de los mismos. </w:t>
      </w:r>
    </w:p>
    <w:p w:rsidR="00256EE9" w:rsidRDefault="00256EE9" w:rsidP="00256EE9">
      <w:pPr>
        <w:pStyle w:val="TextoNormal"/>
      </w:pPr>
      <w:r>
        <w:t xml:space="preserve">La alusión al art. 14 de la Constitución y el supuesto quebrantamiento del principio de igualdad no pasa, según el Fiscal, de formularia queja sin un mínimo de razonamiento serio que le sirva de fundamento. </w:t>
      </w:r>
    </w:p>
    <w:p w:rsidR="00256EE9" w:rsidRDefault="00256EE9" w:rsidP="00256EE9">
      <w:pPr>
        <w:pStyle w:val="TextoNormal"/>
      </w:pPr>
      <w:r>
        <w:lastRenderedPageBreak/>
        <w:t xml:space="preserve">Para concluir, afirma el Ministerio Fiscal que sólo el argumento de que no se admitió prueba testifical propuesta en la segunda instancia podría viabilizar teóricamente un alegato con relieve constitucional, pero no se justifica en absoluto si la prueba interesada estaba en alguno de los supuestos taxativamente señalados en la regla 2.ª del art. 792 de la L.E. Cr., ni se trae a esta sede la resolución de la Audiencia dictada por imperativo de la regla 5.ª del mismo artículo, que hubiera permitido valorar las razones que la Audiencia tuvo para la inadmisión de la prueba que se dice rechazada. </w:t>
      </w:r>
    </w:p>
    <w:p w:rsidR="00256EE9" w:rsidRDefault="00256EE9" w:rsidP="00256EE9">
      <w:pPr>
        <w:pStyle w:val="TextoNormal"/>
      </w:pPr>
      <w:r>
        <w:t>Por todo lo anterior, el Ministerio Fiscal interesa se declare la inadmisión de la demanda de amparo, de conformidad con lo dispuesto en los arts. 86.1 y 50.2 b)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Dentro del mismo plazo, se presentó escrito de la recurrente, en el que, básicamente, se reiteran las alegaciones y pretensión de fondo, formuladas en su escrito inicial de solicitud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 objeto del presente Auto determinar si existe o no la causa de inadmisión establecida por el art. 50.2 b) de la LOTC, es decir, si la demanda carece o no manifiestamente de contenido que justifique una decisión por parte de este Tribunal Constitucional en forma de Sentencia, con el desarrollo procesal consiguiente.  A estos efectos, hemos de examinar si existieron las vulneraciones constitucionales que alega la demandante de amparo respecto a derechos reconocidos por los arts.  14, 24.1 y 2 y 25.1, en relación este último con el 9.3, todos ellos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Comienza, en efecto, por plantear la presente demanda de amparo una supuesta vulneración del derecho a la igualdad mediante la Sentencia por la que fue condenada la solicitante de amparo, y ello en base a un argumento tan forzado como lo es señalar que dicha Sentencia no rebatió de forma expresa la alusión que la parte querellante en el proceso hizo en su escrito de apelación respecto a una posible influencia sobre el ánimo del Juzgador de instancia y su fallo absolutorio de la condición social y racial de la inculpada.  Resulta evidente que, en modo alguno, puede considerarse vulnerado el derecho reconocido por el art. 14 de la C. E. cuando la condena fue impuesta en virtud de consideraciones estrictamente jurídicas, ceñidas a la autoría de un hecho delictivo, que ninguna relación guardan con dicha condición social y racial, y que, en sí mismos, significan un rechazo de aquella alusión, sin que del referido derecho fundamental pueda deducirse la exigencia para un órgano jurisdiccional de entrar en el examen de la existencia de una posible situación de desigualdad, cuando este examen es irrelevante o resulta del todo innecesario para la resolución del caso planteado.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Plantea, en segundo término, el recurso de amparo la presunta violación de diversos derechos garantizados por el art.  24 de la C. E.  mediante la rectificación de hechos probados que se opera en la Sentencia de apelación.  Afirma, de una parte, dicha Sentencia -en lo que no difiere de la Sentencia apelada- que el décimo de lotería, por cuya apropiación indebida se produce la condena no fue adquirido por la solicitante de amparo, contra lo que ésta sostuvo a lo largo del proceso, y, de otra parte, que la misma encontró dicho décimo en perfecto estado de conservación, ocasionando su rotura, no la querellante en el </w:t>
      </w:r>
      <w:r>
        <w:lastRenderedPageBreak/>
        <w:t>proceso -como se declaraba probado en la Sentencia de instancia-, sino una nieta de la querellada con posterioridad a que ésta última lo guardara en su poder.</w:t>
      </w:r>
    </w:p>
    <w:p w:rsidR="00256EE9" w:rsidRDefault="00256EE9" w:rsidP="00256EE9">
      <w:pPr>
        <w:pStyle w:val="TextoNormal"/>
      </w:pPr>
      <w:r>
        <w:t>Antes que nada ha de afirmarse la imposibilidad de que este Tribunal Constitucional entre a conocer acerca de los referidos hechos, pues dicho conocimiento permanece fuera de sus facultades revisoras, como expresamente se establece en el art. 44.1 b) de la LOTC debiendo limitar su función a comprobar si efectivamente fueron vulnerados los derechos fundamentales que se alegan mediante la referida rectificación fáctica.</w:t>
      </w:r>
    </w:p>
    <w:p w:rsidR="00256EE9" w:rsidRDefault="00256EE9" w:rsidP="00256EE9">
      <w:pPr>
        <w:pStyle w:val="TextoNormal"/>
      </w:pPr>
    </w:p>
    <w:p w:rsidR="00256EE9" w:rsidRDefault="00256EE9" w:rsidP="00256EE9">
      <w:pPr>
        <w:pStyle w:val="TextoNormal"/>
      </w:pPr>
      <w:r w:rsidRPr="00256EE9">
        <w:rPr>
          <w:rStyle w:val="NumeroAFNegritaCaracter"/>
        </w:rPr>
        <w:t>4</w:t>
      </w:r>
      <w:r>
        <w:t>. En tal sentido, ha de reconocerse que no se ha producido violación alguna del derecho reconocido por el art.  24.1 de la C. E., cuyo contenido, según reiterada jurisprudencia de este Tribunal, no se identifica con una exigencia de obtener resoluciones favorables a las pretensiones suscitadas ante los Jueces y Tribunales ordinarios, sino con la de que tales exigencias, sea cual fuere su signo, sean razonadas y fundadas en Derecho, lo que, en el presente caso, cumple sobradamente la Sentencia condenatoria de la demandante de amparo.</w:t>
      </w:r>
    </w:p>
    <w:p w:rsidR="00256EE9" w:rsidRDefault="00256EE9" w:rsidP="00256EE9">
      <w:pPr>
        <w:pStyle w:val="TextoNormal"/>
      </w:pPr>
    </w:p>
    <w:p w:rsidR="00256EE9" w:rsidRDefault="00256EE9" w:rsidP="00256EE9">
      <w:pPr>
        <w:pStyle w:val="TextoNormal"/>
      </w:pPr>
      <w:r w:rsidRPr="00256EE9">
        <w:rPr>
          <w:rStyle w:val="NumeroAFNegritaCaracter"/>
        </w:rPr>
        <w:t>5</w:t>
      </w:r>
      <w:r>
        <w:t>. En cuanto a la supuesta violación del derecho a la presunción de inocencia, la Sentencia de apelación parece, ciertamente, haberse dictado en base al mismo material probatorio que la dictada previamente por el Juzgado de Instrucción.  Ninguna exigencia, sin embargo, puede extraerse del art.  24.2 de la C. E.  en el sentido de que un Tribunal de apelación necesite la práctica de nuevas pruebas para modificar las declaraciones contenidas en las Sentencias apeladas.  El mismo material probatorio utilizado por el Juzgador de instancia puede ser suficiente, por sí solo, para desvirtuar en el grado de apelación la presunción de inocencia garantizada por dicho precepto constitucional.  En cuanto a la proposición de pruebas realizadas por la demandante de amparo, y no practicadas, según se alega, debe recordarse que, como ha tenido ocasión de reiterar este Tribunal Constitucional, el art.  24.2 de la C. E.  permite que un órgano judicial pueda, en uso de su libertad razonable, negarse a admitir un medio de prueba propuesto por el enjuiciado, sin que por ello y sin más se vulnere dicho articulo, que no obliga a que todo Juez o Tribunal deba admitir todos los medios de prueba que cada parte entienda pertinentes a su defensa, sino los que el Juzgador valore libre y razonablemente como tales. Tampoco puede entenderse como exigencia implícita del art. 24.2 de la C. E. lo que la demandante de amparo denomina principio de inmediación, aplicado al conocimiento de una causa en grado de apelación, denunciando que el Tribunal de la segunda instancia no haya «presenciado» el acto del juicio oral, lo que en si mismo entraña una pretensión en abierta contradicción con la garantía que supone la posibilidad del conocimiento de una causa en diferentes instancias o grados jurisdiccionales.</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Que la Sentencia de apelación sostenga, contra las tesis de la querellada, que no fue ésta quien adquirió el décimo de lotería debe admitirse, por todo ello, como una declaración realizada en pleno e intangible ejercicio de la función jurisdiccional por parte del Tribunal correspondiente, apreciando libremente los elementos de juicio aportados al proceso penal, según establece el art. 741 de la L. E. Cr. La misma consideración merece que dicha Sentencia sostenga, además, que la rotura del décimo tuvo lugar con posterioridad a su extravío por la querellante y por causas del todo ajenas a ésta, siendo contradictorio que la hoy demandante de amparo llegue a afirmar, respecto a este último extremo, la existencia de indefensión o de vulneración de derechos reconocidos por el art.  24.2 de la C. E., </w:t>
      </w:r>
      <w:r>
        <w:lastRenderedPageBreak/>
        <w:t>cuando tal circunstancia -que el décimo «luego, en su casa, y en un descuido, fue roto por una nieta de corta edad»- es algo que expresamente afirma en el escrito por el que se adhirió al recurso de apelación, con el propósito de obtener que el fallo absolutorio del Juzgado de Instrucción se revisara en el sentido de que dicha absolución lo fuera porque la demandante de amparo adquirió el décimo de lotería.  Resulta, por ello, sorprendente que, al no conseguir este último propósito, se alegue indefensión o violación de garantías del art. 24.2 respecto a una revisión de los hechos que se produce en el mismo sentido que ella misma reconoció.</w:t>
      </w:r>
    </w:p>
    <w:p w:rsidR="00256EE9" w:rsidRDefault="00256EE9" w:rsidP="00256EE9">
      <w:pPr>
        <w:pStyle w:val="TextoNormal"/>
      </w:pPr>
    </w:p>
    <w:p w:rsidR="00256EE9" w:rsidRDefault="00256EE9" w:rsidP="00256EE9">
      <w:pPr>
        <w:pStyle w:val="TextoNormal"/>
      </w:pPr>
      <w:r w:rsidRPr="00256EE9">
        <w:rPr>
          <w:rStyle w:val="NumeroAFNegritaCaracter"/>
        </w:rPr>
        <w:t>7</w:t>
      </w:r>
      <w:r>
        <w:t>. La demandante de amparo alega, asimismo, la existencia de indefensión y violación de derechos reconocidos por el art.  24.2 de la C. E.  al no prosperar la solicitud que en su momento realizó de plantear una cuestión civil prejudicial. No aparece con claridad, en este punto, si lo que impugna es una actuación del Juzgado de Instrucción o del Tribunal de apelación. En cualquier caso, la impugnación resultaría inconsistente.  Lo que el Juzgado de Instrucción afirmó, en plena coherencia con su fallo absolutorio de la acusación formulada en el orden penal, es que dicha cuestión civil formaba parte del fondo del asunto y habría de diligenciarse plenamente ante la jurisdicción civil. Lo que resulta de la Sentencia de la Audiencia Provincial, con igual coherencia respecto a su fallo condenatorio, es la improcedencia de la misma cuestión respecto a unos hechos que son calificados de delictivos, de tal manera que se produciría la situación a que alude el art. 3 de la L. E.  Cr., esto es, la necesidad de que la jurisdicción penal resuelva, al efecto de la represión, las cuestiones civiles propuestas con motivo de los hechos perseguidos cuando tales cuestiones aparezcan tan íntimamente ligadas al hecho punible que sea racionalmente imposible su separación.</w:t>
      </w:r>
    </w:p>
    <w:p w:rsidR="00256EE9" w:rsidRDefault="00256EE9" w:rsidP="00256EE9">
      <w:pPr>
        <w:pStyle w:val="TextoNormal"/>
      </w:pPr>
    </w:p>
    <w:p w:rsidR="00256EE9" w:rsidRDefault="00256EE9" w:rsidP="00256EE9">
      <w:pPr>
        <w:pStyle w:val="TextoNormal"/>
      </w:pPr>
      <w:r w:rsidRPr="00256EE9">
        <w:rPr>
          <w:rStyle w:val="NumeroAFNegritaCaracter"/>
        </w:rPr>
        <w:t>8</w:t>
      </w:r>
      <w:r>
        <w:t>. En el escrito de amparo se alega, por último, la violación del art. 25.1, en relación al 9.3 de la C. E., al tipificarse y castigarse los hechos enjuiciados como constitutivos de un delito frustrado de apropiación indebida, conforme a la reforma del Código Penal de 25 de junio de 1983, cuando tales hechos tuvieron lugar con anterioridad a dicha fecha. Es preciso, sin embargo, tener en cuenta que la pena impuesta -multa de 40.000 pesetas-, como consecuencia de la aplicación de dicha reforma, resulta notoriamente inferior a la que hubiera correspondido por los mismos hechos según las normas penales anteriormente vigentes, cuando, por aplicación de los anteriores arts. 514.2 (el llamado «hurto imperfecto», reconducido, ya antes de la reforma, por la doctrina y la jurisprudencia, en supuestos como el que nos ocupa, a la figura de la «apropiación indebida», según se indica atinadamente en la Sentencia de la Audiencia Territorial) y 515 del Código Penal, la pena correspondiente a dicho delito cometido en grado de frustración hubiera sido de presidio menor, con lo que, de la aplicación retroactiva de la reforma, se ha seguido un resultado claramente favorable para la condenada, sin que pueda, en consecuencia, estimarse la denunciada violación constitucional.</w:t>
      </w:r>
    </w:p>
    <w:p w:rsidR="00256EE9" w:rsidRDefault="00256EE9" w:rsidP="00256EE9">
      <w:pPr>
        <w:pStyle w:val="TextoNormal"/>
      </w:pPr>
      <w:r>
        <w:t>En cuanto a la imposibilidad alegada de que los hechos resulten punibles, conforme a los arts.  1 y 6 bis a) del Código Penal y arts.  609 (párrafo primero) y 460.1 del Código Civil, la invocación de dichos preceptos respecto de los hechos enjuiciados no sugiere, una vez más, sino un examen de pura legalidad respecto a tales hechos contrarios al que llevó a cabo la jurisdicción competente y cuya revisión es ajena al ámbito del proceso de amparo constitucional.</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9</w:t>
      </w:r>
      <w:r>
        <w:t>. Las consideraciones anteriores conducen a la conclusión de que se produce la causa de inadmisión establecida por el art.  50.2 b) de la LOTC, es decir, que la demanda de amparo carece manifiestamente de contenido que justifique una decisión por parte de este Tribunal Constitucional en forma de Sentencia, con el desarrollo penal consiguiente.  Conclusión que da lugar a la improcedencia de tramitar la pieza separada de suspensión, solicitada por la recurrente.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de amparo interpuesto por el Procurador de los Tribunales don Carlos Ibáñez de la Cadiniere, en nombre y representación de doña Rosa Teresa Santiago Fernández, así como el</w:t>
      </w:r>
    </w:p>
    <w:p w:rsidR="00256EE9" w:rsidRDefault="00256EE9" w:rsidP="00256EE9">
      <w:pPr>
        <w:pStyle w:val="TextoNormal"/>
      </w:pPr>
      <w:r>
        <w:t>archivo de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29" w:name="AUTO_1985_268"/>
      <w:r>
        <w:lastRenderedPageBreak/>
        <w:t>AUTO 268/1985, de 24 de abril de 1985</w:t>
      </w:r>
    </w:p>
    <w:bookmarkEnd w:id="329"/>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ECLI:ES:TC:1985:268A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880/1984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Por escrito presentado en este Tribunal el día 14 de diciembre de 1984, el Procurador de los Tribunales don José Castillo Ruiz, en nombre y representación de don Hilario Carmelo Aznarte Gómez interpuso recurso de amparo contra la Resolución del Ministerio de Educación y Ciencia de 13 de noviembre de 1979 y los actos posteriores a la misma. </w:t>
      </w:r>
    </w:p>
    <w:p w:rsidR="00256EE9" w:rsidRDefault="00256EE9" w:rsidP="00256EE9">
      <w:pPr>
        <w:pStyle w:val="TextoNormal"/>
      </w:pPr>
      <w:r>
        <w:t xml:space="preserve">El demandante solicita de este Tribunal la declaración de nulidad de la citada resolución ministerial por la que se acordó incoarle expediente disciplinario y de las Sentencias de la Audiencia Nacional y del Tribunal Supremo de 23 de junio de 1983 y de 9 de octubre de 1984, respectivamente, así como el reconocimiento de su derecho a ser restablecido y repuesto en el cargo de Administrador Delegado de la Escuela Universitaria de Arquitectura Técnica de Granada, con todos los derechos funcionales y económicos inherentes al mismo desde que fue privado de ellos por la resolución sancionatoria, que debe quedar igualmente anulada. </w:t>
      </w:r>
    </w:p>
    <w:p w:rsidR="00256EE9" w:rsidRDefault="00256EE9" w:rsidP="00256EE9">
      <w:pPr>
        <w:pStyle w:val="TextoNormal"/>
      </w:pPr>
      <w:r>
        <w:t>Por otrosí solicita, igualmente, que se acuerde la suspensión sin afianzamiento de la resolución administrativa de traslado a Ceuta.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antecedentes que están a la base del presente recurso son los siguientes: </w:t>
      </w:r>
    </w:p>
    <w:p w:rsidR="00256EE9" w:rsidRDefault="00256EE9" w:rsidP="00256EE9">
      <w:pPr>
        <w:pStyle w:val="TextoNormal"/>
      </w:pPr>
      <w:r>
        <w:t xml:space="preserve">Por Resolución del entonces Ministro de Universidades e Investigación de 13 de noviembre de 1979, visto el escrito elevado por el Rector de la Universidad de Granada, concerniente al irregular comportamiento que desde hacía tiempo observaba el señor Aznarte Gómez, funcionario administrativo de dicho organismo autónomo, así como los graves problemas que venía originando por su conducta indisciplinada en general, las ofensas de palabra y obra a sus superiores, compañeros o subordinados de las que era autor, aparte de otros extremos e infracciones que pudieran serle imputadas, y teniendo en cuenta lo previsto tanto por el Reglamento de Régimen Disciplinario de los Funcionarios de la Administración Civil del Estado, como por el Estatuto de Personal al servicio de los Organismos Autónomos y haciendo uso de las atribuciones que le estaban conferidas por el vigente ordenamiento juridico, se dispuso: 1.° incoar expediente disciplinario a don Hilario Carmelo Aznarte Gómez, funcionario administrativo de la Universidad de Granada, destinado en la Escuela de Arquitectura Técnica de dicha ciudad; 2.° nombrar Instructor del procedimiento a don Andrés Plaza Lerena, Doctor en Ciencias Políticas y Económicas </w:t>
      </w:r>
      <w:r>
        <w:lastRenderedPageBreak/>
        <w:t xml:space="preserve">e Inspector de Servicios; y 3.° designar Secretario del expediente a don Lucas Montes Muñoz, Licenciado en Derecho, Administrativo de la Universidad de Granada. </w:t>
      </w:r>
    </w:p>
    <w:p w:rsidR="00256EE9" w:rsidRDefault="00256EE9" w:rsidP="00256EE9">
      <w:pPr>
        <w:pStyle w:val="TextoNormal"/>
      </w:pPr>
      <w:r>
        <w:t xml:space="preserve">Por Resolución del ahora ya Ministro de Educación y Ciencia de 12 de mayo de 1981 se impone al señor Aznarte la sanción de traslado con cambio de residencia a una población en la que exista centro superior dependiente de la Universidad de Granada donde sea necesaria la actividad de un funcionario de nivel administrativo, centro a determinar por el Rector de dicha Universidad, quien, por Acuerdo de 3 de junio siguiente, lo concretó en la Escuela Universitaria de Formación del Profesorado de E. G. B. de Ceuta. </w:t>
      </w:r>
    </w:p>
    <w:p w:rsidR="00256EE9" w:rsidRDefault="00256EE9" w:rsidP="00256EE9">
      <w:pPr>
        <w:pStyle w:val="TextoNormal"/>
      </w:pPr>
      <w:r>
        <w:t xml:space="preserve">Interpuesto por el señor Aznarte recurso de reposición contra la anterior resolución, sin obtener contestación, y considerándolo presuntamente desestimado por silencio, interpuso contra una y otro recurso contencioso-administrativo ante la Sala de este orden jurisdiccional de la Audiencia Nacional, que, por Sentencia de 23 de junio de 1983, lo desestimó, declarando, en consecuencia, conformes a Derecho las resoluciones impugnadas. </w:t>
      </w:r>
    </w:p>
    <w:p w:rsidR="00256EE9" w:rsidRDefault="00256EE9" w:rsidP="00256EE9">
      <w:pPr>
        <w:pStyle w:val="TextoNormal"/>
      </w:pPr>
      <w:r>
        <w:t>Interpuesto por el señor Aznarte recurso extraordinario de revisión contra dicha Sentencia con base en el apartado g) del art. 102.1 de la LJ, la Sala Quinta del Tribunal Supremo, por Sentencia de 9 de octubre de 1984, lo desestimó por entender que no concurría el motivo de revisión alegado.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lo que respecta a la pretensión principal de la demanda, el recurrente entiende que las resoluciones impugnadas han vulnerado los derechos fundamentales consagrados en los arts. 14, 17 y 24.2 de la Constitución. </w:t>
      </w:r>
    </w:p>
    <w:p w:rsidR="00256EE9" w:rsidRDefault="00256EE9" w:rsidP="00256EE9">
      <w:pPr>
        <w:pStyle w:val="TextoNormal"/>
      </w:pPr>
      <w:r>
        <w:t xml:space="preserve">Así, y en primer lugar, considera que el derecho a la igualdad se violó por la resolución ministerial por la que se dispuso la incoación del expediente disciplinario, en la medida en que, al contrario de lo que se hizo en todos los demás expedientes disciplinarios abiertos por el Rectorado de la Universidad de Granada, en los que el Instructor fue funcionario de la propia Universidad, en el expediente que se le incoó al ahora demandante de amparo el Instructor lo fue un funcionario ajeno a dicha Universidad (concretamente, de la Inspección General de los Servicios), ya que ninguno de aquéllos quiso asumir tal función. </w:t>
      </w:r>
    </w:p>
    <w:p w:rsidR="00256EE9" w:rsidRDefault="00256EE9" w:rsidP="00256EE9">
      <w:pPr>
        <w:pStyle w:val="TextoNormal"/>
      </w:pPr>
      <w:r>
        <w:t xml:space="preserve">En segundo término, el demandante afirma que el traslado de residencia impuesto como sanción ha supuesto, en su caso, aparte de una arbitrariedad, una degradación profesional, que no está prevista legalmente como tal sanción, y se pregunta sobre la seguridad jurídica del funcionario y si es que el art. 17 de la Constitución discrimina entre funcionarios y los que no lo son. </w:t>
      </w:r>
    </w:p>
    <w:p w:rsidR="00256EE9" w:rsidRDefault="00256EE9" w:rsidP="00256EE9">
      <w:pPr>
        <w:pStyle w:val="TextoNormal"/>
      </w:pPr>
      <w:r>
        <w:t xml:space="preserve">En tercer lugar, invoca el demandante como violado el derecho a un proceso sin dilaciones indebidas, consagrado en el art. 24.2 de la Constitución -cuyas garantías son ampliables a todos los procedimientos judiciales e incluso administrativos, sancionadores o restrictivos de los derechos fundamentales o de las libertades públicas, tal como ha sido declarado por este Tribunal en la Sentencia de 8 de junio de 1981-, dado que desde que se concluyó la instrucción del expediente disciplinario, con propuesta del instructor, hasta que se acordó la imposición de la correspondiente sanción transcurrió casi un año, circunstancia que debió, por lo demás, provocar la caducidad del expediente. </w:t>
      </w:r>
    </w:p>
    <w:p w:rsidR="00256EE9" w:rsidRDefault="00256EE9" w:rsidP="00256EE9">
      <w:pPr>
        <w:pStyle w:val="TextoNormal"/>
      </w:pPr>
      <w:r>
        <w:t>Por último, se ha violado también, según el recurrente, el derecho a la presunción de inocencia, consagrado, igualmente, en el art. 24.2 de la Constitución -derecho que, según ha declarado este Tribunal en la Sentencia de 1 de abril de 1982, no puede entenderse reducido al estricto campo del enjuiciamiento penal,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 ya que en el caso pre</w:t>
      </w:r>
      <w:r>
        <w:lastRenderedPageBreak/>
        <w:t>sente se dan como probados cargos o imputaciones sin fecha o con fecha inconcreta o dudosa, sin que se aplique el principio in dubio pro reo, aplicable de oficio, se aceptan como pruebas las declaraciones de las personas presuntamente ofendidas como si fueran pruebas objetivas e imparciales y en otros cargos se dan como válidos los testimonios de personas tachables por tratarse de funcionarios dependientes jerárquicamente de la Gerencia y del Rectorado de la Universidad, con temor a represalias y otras motivaciones no limpias.</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 10 de enero de 1985 la Sección acordó tener por recibido el escrito de demanda de amparo y por personado y parte, en nombre y representación de don Hilario Carmelo Aznarte Gómez, al Procurador don José Castillo Ruiz, así como hacer saber al expresado Procurador, en la representación que ostenta del recurrente, la posible concurrencia del motivo de inadmisión de carácter subsanable consistente en ser la demanda defectuosa al no acompañar a la misma copia, traslado o certificación de la resolución sancionatoria impugnada en amparo, de fecha 12 de mayo de 1981, de acuerdo con lo establecido en el art. 50.1 b), en conexión con el 49.2 b), ambos de la Ley Orgánica del Tribunal Constitucional (LOTC), por lo que, en virtud de lo establecido en el art. 85.2 de la Ley Orgánica citada, se le concedió un plazo de diez días a fin de que, dentro del mismo, procediera a la subsanación del expresado defecto, advirtiéndole que, efectuada dicha subsanación, se podría pasar al trámite de inadmisión que regula el art. 50 de la LOTC. </w:t>
      </w:r>
    </w:p>
    <w:p w:rsidR="00256EE9" w:rsidRDefault="00256EE9" w:rsidP="00256EE9">
      <w:pPr>
        <w:pStyle w:val="TextoNormal"/>
      </w:pPr>
      <w:r>
        <w:t>En relación con el primer otrosí, se acordó que, una vez se decidiera sobre la admisión o no a trámite de la demanda, se acordaría lo que procediese en relación con la suspensión solicitada.</w:t>
      </w:r>
    </w:p>
    <w:p w:rsidR="00256EE9" w:rsidRDefault="00256EE9" w:rsidP="00256EE9">
      <w:pPr>
        <w:pStyle w:val="TextoNormal"/>
      </w:pPr>
    </w:p>
    <w:p w:rsidR="00256EE9" w:rsidRDefault="00256EE9" w:rsidP="00256EE9">
      <w:pPr>
        <w:pStyle w:val="TextoNormal"/>
      </w:pPr>
      <w:r w:rsidRPr="00256EE9">
        <w:rPr>
          <w:rStyle w:val="NumeroAFNegritaCaracter"/>
        </w:rPr>
        <w:t>5</w:t>
      </w:r>
      <w:r>
        <w:t>. Por providencia de 6 de febrero siguiente, la Sección acordó tener por recibido el escrito del recurrente, con los documentos adjuntos, en cumplimiento de lo acordado en providencia anterior, así como hacer saber al Procurador señor Castillo Ruiz, en la representación que ostenta, la posible existencia del motivo de inadmisión consistente en la falta de agotamiento de la vía judicial previa, por no haberse invocado en la misma los derechos fundamentales que considera vulnerados por la resolución administrativa impugnada, de acuerdo con lo establecido en el art. 50.1 b), en conexión con el 43, ambos de la Ley Orgánica del Tribunal Constitucional, por lo que, en virtud de lo dispuesto en el art. 50 de la citada Ley Orgánica, se concedió al recurrente y Ministerio Fiscal un plazo común de diez días, a fin de que, dentro del mismo, formulasen las alegaciones que estimasen pertinentes.</w:t>
      </w:r>
    </w:p>
    <w:p w:rsidR="00256EE9" w:rsidRDefault="00256EE9" w:rsidP="00256EE9">
      <w:pPr>
        <w:pStyle w:val="TextoNormal"/>
      </w:pPr>
    </w:p>
    <w:p w:rsidR="00256EE9" w:rsidRDefault="00256EE9" w:rsidP="00256EE9">
      <w:pPr>
        <w:pStyle w:val="TextoNormal"/>
      </w:pPr>
      <w:r w:rsidRPr="00256EE9">
        <w:rPr>
          <w:rStyle w:val="NumeroAFNegritaCaracter"/>
        </w:rPr>
        <w:t>6</w:t>
      </w:r>
      <w:r>
        <w:t>. El Ministerio Fiscal, en su escrito de alegaciones interesa de este Tribunal: a) la inadmisión del presente recurso por concurrir el motivo previsto en el art. 50.1 b) de la LOTC y a tal efecto señala que en realidad lo que se recurre no es la sanción impuesta al demandante por Resolución del Ministerio de Educación y Ciencia de 12 de mayo, sino la Orden de dicho Ministerio de 13 de noviembre de 1979 por la que se acordó incoarle expediente disciplinario, tal como resulta claramente del «suplico» y, en la medida que se entiende, de la argumentación de la demanda, que no está sobrada de la claridad y precisión que requiere el art. 49.1 de la LOTC; y b) que según resulta de la Sentencia de la Audiencia Nacional, el recurso ante la misma versó sobre la resolución sancionadora, no siendo objeto de impugnación la resolución que ahora se recurre, lo que supone que se trae ante este Tribunal una cuestión ex novo que no fue previamente sometida a la consideración de los Tribunales ordinarios como exige el art. 43.2 de la LOTC al disponer que se agote la vía judicial procedente antes de hacer uso del recurso de amparo.</w:t>
      </w:r>
    </w:p>
    <w:p w:rsidR="00256EE9" w:rsidRDefault="00256EE9" w:rsidP="00256EE9">
      <w:pPr>
        <w:pStyle w:val="TextoNormal"/>
      </w:pPr>
    </w:p>
    <w:p w:rsidR="00256EE9" w:rsidRDefault="00256EE9" w:rsidP="00256EE9">
      <w:pPr>
        <w:pStyle w:val="TextoNormal"/>
      </w:pPr>
      <w:r w:rsidRPr="00256EE9">
        <w:rPr>
          <w:rStyle w:val="NumeroAFNegritaCaracter"/>
        </w:rPr>
        <w:t>7</w:t>
      </w:r>
      <w:r>
        <w:t>. El recurrente, por su parte, en su escrito de alegaciones, además de reiterar los argumentos expuestos en la demanda y solicitar la admisión a trámite del recurso señala que: a) en el escrito de demanda del recurso contencioso-administrativo interpuesto ante la Audiencia Nacional se invoca y alega expresamente el derecho a la seguridad jurídica citando el art. 17 de la Constitución; b) en el escrito de alegaciones del recurso de revisión ante el Tribunal Supremo se cita expresamente el art. 24.2 de la Constitución, alegando el derecho a un proceso sin dilaciones indebidas y con todas las garantías; c) en dicho escrito, además de invocarse de nuevo el derecho a la seguridad jurídica consagrado en el art. 17.1 de la Constitución, se alega el principio o derecho fundamental de «igualdad ante la Ley» consagrado en el art. 14 de la misma Carta fundamental; y d) al haberse alegado el art. 24.2 de la Constitución debe entenderse que se ha invocado también la garantía de la presunción de inocencia contenida en dicho precepto in fine.</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concurre en la demanda la causa de inadmisión puesta de manifiesto en nuestra providencia del pasado día 6 de febrero y, en concreto, la prevista en el art.  50. 1 b) de la LOTC, en relación con el art. 43 de la misma Ley, y consistente en la falta de agotamiento de la vía judicial previa, por no haberse invocado en la misma los derechos fundamentales que se consideran vulnerados por las resoluciones administrativas impugnadas.</w:t>
      </w:r>
    </w:p>
    <w:p w:rsidR="00256EE9" w:rsidRDefault="00256EE9" w:rsidP="00256EE9">
      <w:pPr>
        <w:pStyle w:val="TextoNormal"/>
      </w:pPr>
    </w:p>
    <w:p w:rsidR="00256EE9" w:rsidRDefault="00256EE9" w:rsidP="00256EE9">
      <w:pPr>
        <w:pStyle w:val="TextoNormal"/>
      </w:pPr>
      <w:r w:rsidRPr="00256EE9">
        <w:rPr>
          <w:rStyle w:val="NumeroAFNegritaCaracter"/>
        </w:rPr>
        <w:t>2</w:t>
      </w:r>
      <w:r>
        <w:t>. Aun admitiendo que a pesar de la ambigüedad de la demanda de amparo y la limitación del «suplico» de la misma a la petición de nulidad de la Orden ministerial de 13 de noviembre de 1979, es no solamente ésta sino también la Resolución de 12 de mayo de 1981, la impugnada en amparo ante este Tribunal, es de notar que si se confrontan los motivos de impugnación alegados ante la Audiencia Nacional en el recurso contencioso-administrativo interpuesto contra las resoluciones administrativas impugnadas y los que ahora se aducen contra las mismas ante este Tribunal en el presente recurso de amparo, se comprobará que no coinciden en absoluto, ya que en el primer caso se adujeron exclusivamente motivos de legalidad ordinaria -concretamente, la incoación del expediente disciplinario por un órgano manifiestamente incompetente y la prescripción de los actos sancionados-, sin mención alguna de derechos fundamentales vulnerados, con lo que al no haberse pretendido ante la jurisdición contenciosa lo mismo que ante esta jurisdicción constitucional -en lo que a la causa petendi se refiere- no puede decirse que se haya cumplido el requisito establecido en el art.  43.1 de la LOTC, por mucho que se haya interpuesto recurso contencioso-administrativo ordinario contra las resoluciones administrativas ahora impugnadas en amparo y se haya interpuesto, incluso, con posterioridad a la Sentencia desestimatoria de la Audiencia Nacional, recurso extraordinario de revisión.</w:t>
      </w:r>
    </w:p>
    <w:p w:rsidR="00256EE9" w:rsidRDefault="00256EE9" w:rsidP="00256EE9">
      <w:pPr>
        <w:pStyle w:val="TextoNormal"/>
      </w:pPr>
      <w:r>
        <w:t>La conclusión anterior no puede desvirtuarse -como pretende el recurrente en su escrito de alegaciones-, con el argumento de que en el escrito de demanda ante la Audiencia Nacional se invocó el derecho a la seguridad jurídica, citando el art.  17 de la Constitución, ya que este precepto, como ha señalado reiteradamente este Tribunal, no consagra dicho «derecho» que, en realidad, es un «principio» sancionado en el art.  9.3 de la Carta fundamental, fuera, pues, del catálogo de derechos fundamentales y libertades públicas-, sino el de libertad o seguridad personal, que para nada ha sido afectado en el presente caso.</w:t>
      </w:r>
    </w:p>
    <w:p w:rsidR="00256EE9" w:rsidRDefault="00256EE9" w:rsidP="00256EE9">
      <w:pPr>
        <w:pStyle w:val="TextoNormal"/>
      </w:pPr>
      <w:r>
        <w:lastRenderedPageBreak/>
        <w:t>Lo mismo puede decirse de la invocación de los derechos fundamentales consagrados en los arts.  14 y 24.2 de la Constitución en el escrito de alegaciones del recurso de revisión, invocación que se hace, además, en esa instancia extraordinaria por vez primera, puramente pro forma y siendo absolutamente irrelevante en un recurso como el señalado, planteado con base en el art.  102.1 g) de la Ley Reguladora de la Jurisdicción Contenciosa, que el propio Tribunal Supremo ni se molesta, como es lógico, dada la notoria impertinencia de la susodicha invocación, en contestar, no aludiendo siquiera a ello.</w:t>
      </w:r>
    </w:p>
    <w:p w:rsidR="00256EE9" w:rsidRDefault="00256EE9" w:rsidP="00256EE9">
      <w:pPr>
        <w:pStyle w:val="TextoNormal"/>
      </w:pPr>
    </w:p>
    <w:p w:rsidR="00256EE9" w:rsidRDefault="00256EE9" w:rsidP="00256EE9">
      <w:pPr>
        <w:pStyle w:val="TextoNormal"/>
      </w:pPr>
      <w:r w:rsidRPr="00256EE9">
        <w:rPr>
          <w:rStyle w:val="NumeroAFNegritaCaracter"/>
        </w:rPr>
        <w:t>3</w:t>
      </w:r>
      <w:r>
        <w:t>. Es obvio que, como este Tribunal ha señalado en múltiples ocasiones, el recurso de amparo constitucional está configurado constitucional y legalmente como un remedio subsidiario respecto del que compete prestar a la jurisdicción ordinaria y que el agotamiento de la vía judicial procedente a que se refiere el art.  43.1 de la LOTC constituye un requisito que dimana de la naturaleza propia de la jurisdicción constitucional y, en concreto, de la específica del recurso de amparo (en este sentido, cabe citar, entre otros, el Auto de 23 de febrero de 1983, en asunto 2/1983).</w:t>
      </w:r>
    </w:p>
    <w:p w:rsidR="00256EE9" w:rsidRDefault="00256EE9" w:rsidP="00256EE9">
      <w:pPr>
        <w:pStyle w:val="TextoNormal"/>
      </w:pPr>
      <w:r>
        <w:t>De ahí que la Sentencia núm.  45/1982 haya declarado con todo énfasis que la falta comprobada de correlación entre el contenido formal del proceso contencioso-administrativo y el subsiguiente proceso constitucional permite considerar que aquél no constituye la «vía judicial procedente» de éste y, en consecuencia, que no puede decirse que se haya agotado tal vía, quedando incumplido lo preceptuado al respecto por el art.  50.1 b ) en relación con el 43.1 de la LOTC (fundamento jurídico 2, in fine).</w:t>
      </w:r>
    </w:p>
    <w:p w:rsidR="00256EE9" w:rsidRDefault="00256EE9" w:rsidP="00256EE9">
      <w:pPr>
        <w:pStyle w:val="TextoNormal"/>
      </w:pPr>
      <w:r>
        <w:t>Dicho también con palabras de otra Sentencia más reciente (la núm. 20/1983): el agotamiento de la vía judicial procedente hay que entenderla en relación con la presunta violación invocada ante el Tribunal Constitucional, de manera que si en el proceso previo no se invocó dicha violación constitucional, no cabe luego esgrimir ese motivo ante este Tribunal, pues se incurre, según los casos, en causa de inadmisión o de desestimación, total o parcial (fundamento jurídico 1).</w:t>
      </w:r>
    </w:p>
    <w:p w:rsidR="00256EE9" w:rsidRDefault="00256EE9" w:rsidP="00256EE9">
      <w:pPr>
        <w:pStyle w:val="TextoNormal"/>
      </w:pPr>
      <w:r>
        <w:t>En definitiva, como ha señalado la Sentencia núm. 79/1984, para cumplir con el requisito del art. 43.1, in fine, de la LOTC, no basta con recorrer toda la cadena de fases procesales subsiguientes a la resolución administrativa, sino que es necesario plantear en aquéllas como tema central la violación de los derechos fundamentales (fundamento jurídico 1).  (Igualmente, pueden verse, entre otros Autos en sentido análogo, los de 15 de junio y 28 de septiembre de 1983 y el de 27 de junio de 1984, en asuntos núms. 218/1983, 395/1983 y 178/1984, respectivamente.)</w:t>
      </w:r>
    </w:p>
    <w:p w:rsidR="00256EE9" w:rsidRDefault="00256EE9" w:rsidP="00256EE9">
      <w:pPr>
        <w:pStyle w:val="TextoNormal"/>
      </w:pPr>
    </w:p>
    <w:p w:rsidR="00256EE9" w:rsidRDefault="00256EE9" w:rsidP="00256EE9">
      <w:pPr>
        <w:pStyle w:val="TextoNormal"/>
      </w:pPr>
      <w:r w:rsidRPr="00256EE9">
        <w:rPr>
          <w:rStyle w:val="NumeroAFNegritaCaracter"/>
        </w:rPr>
        <w:t>4</w:t>
      </w:r>
      <w:r>
        <w:t>. La existencia de la causa de inadmisión puesta de manifiesto en nuestra providencia de 6 de febrero pasado, da lugar a la inadmisibilidad del recurso.  Conclusión que da lugar a la improcedencia de tramitar la pieza separada de suspensión solicitada por el actor.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Archívense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lastRenderedPageBreak/>
        <w:br w:type="page"/>
      </w:r>
    </w:p>
    <w:p w:rsidR="00256EE9" w:rsidRDefault="00256EE9" w:rsidP="00256EE9">
      <w:pPr>
        <w:pStyle w:val="TtuloResolucin"/>
      </w:pPr>
      <w:bookmarkStart w:id="330" w:name="AUTO_1985_269"/>
      <w:r>
        <w:lastRenderedPageBreak/>
        <w:t>AUTO 269/1985, de 24 de abril de 1985</w:t>
      </w:r>
    </w:p>
    <w:bookmarkEnd w:id="330"/>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ECLI:ES:TC:1985:269A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906/1984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22 de diciembre de 1984, tuvo entrada en este Tribunal Constitucional demanda de amparo formulada por el Procurador de los Tribunales don Dionisio García Arroyo, en nombre y representación de doña Asunción Bezanilla Algorri, frente a Sentencia dictada en apelación por la Audiencia Provincial de Santander, por la que se confirma parcialmente la dictada por el Juzgado de Instrucción de Santander, núm. 2, condenatoria de la hoy demandante de amparo por un delito de lesiones. La demanda de amparo se fundamenta, en sustancia, en los hechos siguientes: </w:t>
      </w:r>
    </w:p>
    <w:p w:rsidR="00256EE9" w:rsidRDefault="00256EE9" w:rsidP="00256EE9">
      <w:pPr>
        <w:pStyle w:val="TextoNormal"/>
      </w:pPr>
      <w:r>
        <w:t xml:space="preserve">A) Con fecha 24 de mayo de 1984, el Juzgado de Instrucción de Santander, núm. 2, dictó Sentencia, por la que condenó a la hoy recurrente en amparo, encausada en las correspondientes diligencias, como autora responsable de un delito de lesiones graves, a la pena de un mes y un día de arresto mayor, a la accesoria de suspensión de todo cargo público y derecho de sufragio durante el tiempo de la condena, a la multa de 20.000 pesetas, con arresto sustitutorio de un día por cada 1.000 pesetas en caso de impago, y al abono de una indemnización, en concepto de responsabilidad civil, de 208.000 pesetas y al pago de las costas del juicio. </w:t>
      </w:r>
    </w:p>
    <w:p w:rsidR="00256EE9" w:rsidRDefault="00256EE9" w:rsidP="00256EE9">
      <w:pPr>
        <w:pStyle w:val="TextoNormal"/>
      </w:pPr>
      <w:r>
        <w:t xml:space="preserve">B) Frente a la anterior Sentencia, tanto la acusación particular como la encausada formularon recurso de apelación. La primera disintiendo de la indemnización aplicada y la segunda solicitando su absolución, y refiriéndose a pruebas propuestas en su día y denegadas o mal practicadas, en lo que al formalizar escrito de alegaciones, insistió, requiriendo su práctica, lo que fue denegado por Auto de la correspondiente Sala de la Audiencia Provincial de Santander, de fecha 27 de noviembre de 1984. </w:t>
      </w:r>
    </w:p>
    <w:p w:rsidR="00256EE9" w:rsidRDefault="00256EE9" w:rsidP="00256EE9">
      <w:pPr>
        <w:pStyle w:val="TextoNormal"/>
      </w:pPr>
      <w:r>
        <w:t>C) Con fecha 28 de noviembre de 1984, la Audiencia Provincial de Santander dictó Sentencia, por la que, confirmando parcialmente la resolución apelada, revocó ésta, al exclusivo fin de establecer en 308.000 pesetas la indemnización impuesta en concepto de responsabilidad civil.</w:t>
      </w:r>
    </w:p>
    <w:p w:rsidR="00256EE9" w:rsidRDefault="00256EE9" w:rsidP="00256EE9">
      <w:pPr>
        <w:pStyle w:val="TextoNormal"/>
      </w:pPr>
    </w:p>
    <w:p w:rsidR="00256EE9" w:rsidRDefault="00256EE9" w:rsidP="00256EE9">
      <w:pPr>
        <w:pStyle w:val="TextoNormal"/>
      </w:pPr>
      <w:r w:rsidRPr="00256EE9">
        <w:rPr>
          <w:rStyle w:val="NumeroAFNegritaCaracter"/>
        </w:rPr>
        <w:t>2</w:t>
      </w:r>
      <w:r>
        <w:t>. La presente demanda de amparo dice dirigirse frente a la referida Sentencia dictada por la Audiencia Provincial de Santander, y se fundamenta en una presunta violación del derecho, reconocido por el art. 24.2 de la C. E., a utilizar los medios pertinentes para la defensa.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3</w:t>
      </w:r>
      <w:r>
        <w:t>. Se solicita de este Tribunal Constitucional que declare nulo los referidos Autos, de denegación de pruebas de 27 de noviembre de 1984, y Sentencia del día 28 de noviembre siguiente, retrotrayendo las actuaciones al momento anterior, de modo que se practiquen las pruebas solicitadas y no acordadas en el mencionado escrito de alegaciones. Por otrosí, se solicita, asimismo, la suspensión de la ejecución de la Sentencia impugnada, conforme a lo previsto en el art. 56 de la Ley Orgánica del Tribunal Constitucional (LOTC), en base a los perjuicios irreparables que de dicha ejecución se seguirían para la solicitante de amparo.</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mediante providencia de 30 de enero de 1985, acordó a tenor de lo dispuesto en el art. 50 de la LOTC, conceder un plazo común de diez días al Ministerio Fiscal y a la solicitante de amparo, para que, dentro de dicho término, alegasen lo que estimaran pertinente en relación con la posible existencia del siguiente motivo de inadmisión: carecer la demanda manifiestamente de contenido que justifique una decisión por parte de este Tribunal Constitucional, conforme previene el art. 50.2 b ) de la mencionada Ley Orgánica. Mediante la misma providencia, en cuanto a la petición de suspensión interesada, se declara que, una vez se decida sobre la admisión o inadmisión del presente recurso, se acordará lo procedente.</w:t>
      </w:r>
    </w:p>
    <w:p w:rsidR="00256EE9" w:rsidRDefault="00256EE9" w:rsidP="00256EE9">
      <w:pPr>
        <w:pStyle w:val="TextoNormal"/>
      </w:pPr>
    </w:p>
    <w:p w:rsidR="00256EE9" w:rsidRDefault="00256EE9" w:rsidP="00256EE9">
      <w:pPr>
        <w:pStyle w:val="TextoNormal"/>
      </w:pPr>
      <w:r w:rsidRPr="00256EE9">
        <w:rPr>
          <w:rStyle w:val="NumeroAFNegritaCaracter"/>
        </w:rPr>
        <w:t>5</w:t>
      </w:r>
      <w:r>
        <w:t>. El Ministerio Fiscal, dentro del plazo conferido, formuló sus alegaciones en el sentido de interesar la inadmisión del recurso de amparo, por entender que concurría el defecto puesto de manifiesto por la anterior providencia, al ser la pertinencia de las pruebas algo que corresponde declarar al Juzgador, que es el destinatario de las mismas, y si, fundadamente, declara una prueba impertinente, según repetida doctrina de este Tribunal Constitucional, no se puede por la vía del amparo revisar el criterio razonadamente expuesto sin invadir la esfera competencial de la jurisdicción correspondiente.</w:t>
      </w:r>
    </w:p>
    <w:p w:rsidR="00256EE9" w:rsidRDefault="00256EE9" w:rsidP="00256EE9">
      <w:pPr>
        <w:pStyle w:val="TextoNormal"/>
      </w:pPr>
    </w:p>
    <w:p w:rsidR="00256EE9" w:rsidRDefault="00256EE9" w:rsidP="00256EE9">
      <w:pPr>
        <w:pStyle w:val="TextoNormal"/>
      </w:pPr>
      <w:r w:rsidRPr="00256EE9">
        <w:rPr>
          <w:rStyle w:val="NumeroAFNegritaCaracter"/>
        </w:rPr>
        <w:t>6</w:t>
      </w:r>
      <w:r>
        <w:t>. Dentro del mismo plazo, por la representación de la demandante de amparo se formuló escrito de alegaciones en el que se reiteran, en términos resumidos, las ya formuladas en el escrito inicial de solicitud de amparo.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 el objeto del presente Auto determinar si existe o no la causa de inadmisión prevista por el art.  50.2 b) de la LOTC, es decir, si la demanda de amparo carece o no manifiestamente de contenido que justifique una decisión por parte de este Tribunal en forma de Sentencia, con el desarrollo procesal consiguiente.  A estos efectos, hemos de examinar la supuesta vulneración del derecho a utilizar los medios pertinentes para la defensa, reconocido por el art. 24.2 de la C. E., que es alegado por la demandante.</w:t>
      </w:r>
    </w:p>
    <w:p w:rsidR="00256EE9" w:rsidRDefault="00256EE9" w:rsidP="00256EE9">
      <w:pPr>
        <w:pStyle w:val="TextoNormal"/>
      </w:pPr>
    </w:p>
    <w:p w:rsidR="00256EE9" w:rsidRDefault="00256EE9" w:rsidP="00256EE9">
      <w:pPr>
        <w:pStyle w:val="TextoNormal"/>
      </w:pPr>
      <w:r w:rsidRPr="00256EE9">
        <w:rPr>
          <w:rStyle w:val="NumeroAFNegritaCaracter"/>
        </w:rPr>
        <w:t>2</w:t>
      </w:r>
      <w:r>
        <w:t>. En efecto, el presente recurso de amparo fundamenta su pretensión en la denegación de ciertas pruebas propuestas al Tribunal de apelación por la defensa de la encausada en el proceso a quo.</w:t>
      </w:r>
    </w:p>
    <w:p w:rsidR="00256EE9" w:rsidRDefault="00256EE9" w:rsidP="00256EE9">
      <w:pPr>
        <w:pStyle w:val="TextoNormal"/>
      </w:pPr>
      <w:r>
        <w:t>No obstante, según reiterada jurisprudencia de este Tribunal Constitucional, el invocado precepto constitucional permite que los órganos judiciales, dentro de los márgenes de su libertad razonable, puedan negarse a admitir medios de prueba propuestos por los en</w:t>
      </w:r>
      <w:r>
        <w:lastRenderedPageBreak/>
        <w:t>juiciados, sin que por ello y sin más se lesione dicho mandato constitucional, que no obliga a que los Jueces y Tribunales deban admitir todos los medios de prueba que cada parte entienda pertinentes para su defensa, sino los que el Juzgador valore libre y razonadamente como tales.</w:t>
      </w:r>
    </w:p>
    <w:p w:rsidR="00256EE9" w:rsidRDefault="00256EE9" w:rsidP="00256EE9">
      <w:pPr>
        <w:pStyle w:val="TextoNormal"/>
      </w:pPr>
      <w:r>
        <w:t>En el presente caso, la denegación de las pruebas propuestas tuvo lugar expresamente mediante un Auto de la Audiencia Provincial, cuya copia no se aporta, pero, en cualquier caso, la misma Audiencia confirma esta decisión, en el primer considerando de la Sentencia impugnada en amparo, declarando que la causa de dicha denegación obedece a «su remota relación con los hechos», sin que «pudieran haber sido útiles o pertinentes a fin de variar el relato histórico de los mismos».</w:t>
      </w:r>
    </w:p>
    <w:p w:rsidR="00256EE9" w:rsidRDefault="00256EE9" w:rsidP="00256EE9">
      <w:pPr>
        <w:pStyle w:val="TextoNormal"/>
      </w:pPr>
      <w:r>
        <w:t>No puede, en consecuencia, afirmarse que el órgano judicial, en pleno ejercicio de sus facultades para resolver libremente acerca de la admisibilidad de las pruebas propuestas, no haya tenido motivos para decidir en sentido negativo acerca de su pertinencia.</w:t>
      </w:r>
    </w:p>
    <w:p w:rsidR="00256EE9" w:rsidRDefault="00256EE9" w:rsidP="00256EE9">
      <w:pPr>
        <w:pStyle w:val="TextoNormal"/>
      </w:pPr>
    </w:p>
    <w:p w:rsidR="00256EE9" w:rsidRDefault="00256EE9" w:rsidP="00256EE9">
      <w:pPr>
        <w:pStyle w:val="TextoNormal"/>
      </w:pPr>
      <w:r w:rsidRPr="00256EE9">
        <w:rPr>
          <w:rStyle w:val="NumeroAFNegritaCaracter"/>
        </w:rPr>
        <w:t>3</w:t>
      </w:r>
      <w:r>
        <w:t>. Las consideraciones anteriores conducen a la conclusión de que existe la causa de inadmisión establecida en el art.  50.2 b) de la LOTC, es decir, que la demanda de amparo carece manifiestamente de contenido que justifique una decisión por parte de este Tribunal Constitucional en forma de Sentencia, con el desarrollo procesal consiguiente.  Conclusión que da lugar a la improcedencia de tramitar la pieza separada de suspensión solicitada por la actora.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de amparo interpuesto por el Procurador de los Tribunales, don Dionisio García Arroyo, en nombre y representación de doña Asunción Bezanilla Algorri, y el archivo de las</w:t>
      </w:r>
    </w:p>
    <w:p w:rsidR="00256EE9" w:rsidRDefault="00256EE9" w:rsidP="00256EE9">
      <w:pPr>
        <w:pStyle w:val="TextoNormal"/>
      </w:pPr>
      <w:r>
        <w:t>actuaciones.</w:t>
      </w:r>
    </w:p>
    <w:p w:rsidR="00256EE9" w:rsidRDefault="00256EE9" w:rsidP="00256EE9">
      <w:pPr>
        <w:pStyle w:val="TextoNormal"/>
      </w:pPr>
    </w:p>
    <w:p w:rsidR="00256EE9" w:rsidRDefault="00256EE9" w:rsidP="00256EE9">
      <w:pPr>
        <w:pStyle w:val="TextoNormal"/>
      </w:pPr>
      <w:r>
        <w:t>Madrid, a veinticinco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31" w:name="AUTO_1985_270"/>
      <w:r>
        <w:lastRenderedPageBreak/>
        <w:t>AUTO 270/1985, de 24 de abril de 1985</w:t>
      </w:r>
    </w:p>
    <w:bookmarkEnd w:id="331"/>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ECLI:ES:TC:1985:270A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917/1984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Con fecha 17 de diciembre de 1984, tuvo entrada en este Tribunal Constitucional recurso de amparo formulado por el Procurador de los Tribunales don Saturnino Estévez Rodríguez, en nombre y representación de don Atilano Morandeira Losada, contra Sentencia dictada por el Juzgado de Primera Instancia núm. 2 de Lugo, por la que se desestimó demanda en procedimiento del art. 41 de la Ley Hipotecaria (L.H.) y contra la dictada, en apelación, por la Audiencia Provincial de Lugo, en la que se confirmó la anterior. El recurso de amparo se basa, en sustancia, en los hechos siguientes: </w:t>
      </w:r>
    </w:p>
    <w:p w:rsidR="00256EE9" w:rsidRDefault="00256EE9" w:rsidP="00256EE9">
      <w:pPr>
        <w:pStyle w:val="TextoNormal"/>
      </w:pPr>
      <w:r>
        <w:t xml:space="preserve">A) El hoy demandante de amparo formuló en su día, por el cauce del procedimiento previsto en el art. 41 de la L.H., demanda frente a don José Calaza López y su esposa, doña Sofía Feijóo Mouriño, en solicitud del reintegro posesorio de una finca que el señor Calaza López venía poseyendo. </w:t>
      </w:r>
    </w:p>
    <w:p w:rsidR="00256EE9" w:rsidRDefault="00256EE9" w:rsidP="00256EE9">
      <w:pPr>
        <w:pStyle w:val="TextoNormal"/>
      </w:pPr>
      <w:r>
        <w:t xml:space="preserve">Llevado a cabo el emplazamiento de los demandados, únicamente se personó en los autos el señor Calaza López, siendo declarada en rebeldía la señora Feijóo Mouriño, y en la correspondiente demanda de contradicción formulada por la parte demandada y personada se alegó como motivo de oposición, previsto en la causa segunda del referido art. 41 de la L.H., la existencia de un contrato de arrendamiento, celebrado en el año de 1937, entre su antecesor y causante con el anterior titular registral de la finca. Al mismo tiempo, planteó el contradictor la alternativa de que, en el supuesto de que la finca litigiosa no estuviese comprendida en el arrendamiento mencionado, la prolongada permanencia posesoria hubiera sido determinante de la prescripción extraordinaria, la cual invocaba como motivo de oposición también previsto en la causa segunda del mismo art. 41 de la L.H. </w:t>
      </w:r>
    </w:p>
    <w:p w:rsidR="00256EE9" w:rsidRDefault="00256EE9" w:rsidP="00256EE9">
      <w:pPr>
        <w:pStyle w:val="TextoNormal"/>
      </w:pPr>
      <w:r>
        <w:t xml:space="preserve">B) Con fecha 23 de junio de 1984, el Juzgado de Primera Instancia núm. 2 de Lugo dictó Sentencia, por la que declaró no haber lugar a la estimación de la demanda interpuesta y, por lo tanto, a la adopción de las medidas solicitadas por el señor Morandeira García, por estimarse existente la causa de contradicción alegada en la demanda de contradicción, referida a la existencia de una relación jurídica directa del demandado con el último titular o con titulares anteriores, todo ello sin perjuicio del derecho que le corresponde a las partes para promover el juicio declarativo sobre la misma cuestión. </w:t>
      </w:r>
    </w:p>
    <w:p w:rsidR="00256EE9" w:rsidRDefault="00256EE9" w:rsidP="00256EE9">
      <w:pPr>
        <w:pStyle w:val="TextoNormal"/>
      </w:pPr>
      <w:r>
        <w:t>C) Interpuesto por el señor Morandeira García recurso de apelación frente a la anterior Sentencia, con fecha 20 de noviembre de 1984 la Audiencia Provincial de Lugo dictó Sentencia, por la que desestimando la apelación interpuesta, se acordó la confirmación de la resolución apelada. Interpuestos recursos de aclaración y súplica, fueron rechazados am</w:t>
      </w:r>
      <w:r>
        <w:lastRenderedPageBreak/>
        <w:t>bos por el mismo Tribunal mediante Auto de fecha 2 del mismo mes, frente al que se interpuso recurso de reforma, en el que la Audiencia declaró no haber lugar a su admisión a trámite, mediante Auto de fecha 3 de diciembre de 1984.</w:t>
      </w:r>
    </w:p>
    <w:p w:rsidR="00256EE9" w:rsidRDefault="00256EE9" w:rsidP="00256EE9">
      <w:pPr>
        <w:pStyle w:val="TextoNormal"/>
      </w:pPr>
    </w:p>
    <w:p w:rsidR="00256EE9" w:rsidRDefault="00256EE9" w:rsidP="00256EE9">
      <w:pPr>
        <w:pStyle w:val="TextoNormal"/>
      </w:pPr>
      <w:r w:rsidRPr="00256EE9">
        <w:rPr>
          <w:rStyle w:val="NumeroAFNegritaCaracter"/>
        </w:rPr>
        <w:t>2</w:t>
      </w:r>
      <w:r>
        <w:t>. El presente recurso de amparo dice dirigirse frente a las referidas Sentencias del Juzgado de Primera Instancia núm. 2 y de la Audiencia Provincial de Lugo, así como, alternativamente, frente al mencionado Auto por el que esta última declaró no haber lugar al recurso de reforma interpuesto por el actor. La demanda de amparo dice fundamentarse en una presunta vulneración de derechos reconocidos por los arts. 24.1 y 2 y, eventualmente, el 14 de la C.E. Dicha violación habría tenido lugar, según se alega en el escrito de amparo, en base a diversos motivos, que pueden resumirse en los dos siguientes: 1.° en la incongruencia de las Sentencias impugnadas, al desestimar la demanda formulada por el hoy solicitante de amparo, apreciando la existencia de una relación jurídica directa del demandado con el último titular o titulares anteriores de la finca litigiosa, lo que no fue planteado en la correspondiente demanda de contradicción, ni, en consecuencia, pudo ser discutido en el pleito; 2.° en la infracción de principios procesales, implícita en el hecho de haber ampliado en tales Sentencias los beneficios de la absolución a la cónyuge del demandado, cuando ésta no había comparecido en el proceso y había sido, por tanto, declarada en rebeldía. Con carácter subsidiario o alternativo, se alega la nulidad de las resoluciones que deniegan la procedencia del recurso de súplica interpuesto por el actor, conforme a lo previsto en el art. 402 de la Ley de Enjuiciamiento Civil (L.E.C.), pues, en la medida que la Sentencia recaida en la segunda instancia sobre el asunto principal resuelve al mismo tiempo los incidentes planteados en dicha instancia, habría de admitirse, en beneficio de las garantías del justiciable, dicho recurso frente a tal Sentencia.</w:t>
      </w:r>
    </w:p>
    <w:p w:rsidR="00256EE9" w:rsidRDefault="00256EE9" w:rsidP="00256EE9">
      <w:pPr>
        <w:pStyle w:val="TextoNormal"/>
      </w:pPr>
    </w:p>
    <w:p w:rsidR="00256EE9" w:rsidRDefault="00256EE9" w:rsidP="00256EE9">
      <w:pPr>
        <w:pStyle w:val="TextoNormal"/>
      </w:pPr>
      <w:r w:rsidRPr="00256EE9">
        <w:rPr>
          <w:rStyle w:val="NumeroAFNegritaCaracter"/>
        </w:rPr>
        <w:t>3</w:t>
      </w:r>
      <w:r>
        <w:t>. Se solicita de este Tribunal Constitucional que declare la nulidad de las Sentencias impugnadas y, en consecuencia retrotraídas todas las actuaciones hasta el momento inmediato anterior a ser dictada la de primera instancia y, en su sustitución, que debe ser dictada nueva Sentencia, en forma y modo que proceda en Derecho. Alternativamente, se solicita la declaración de nulidad de los mencionados Autos que deniegan la admisión a trámite del recurso de súplica, estimando que el actor tiene derecho a la interposición de dicho recurso, debiendo ser éste admitido a trámite.</w:t>
      </w:r>
    </w:p>
    <w:p w:rsidR="00256EE9" w:rsidRDefault="00256EE9" w:rsidP="00256EE9">
      <w:pPr>
        <w:pStyle w:val="TextoNormal"/>
      </w:pPr>
    </w:p>
    <w:p w:rsidR="00256EE9" w:rsidRDefault="00256EE9" w:rsidP="00256EE9">
      <w:pPr>
        <w:pStyle w:val="TextoNormal"/>
      </w:pPr>
      <w:r w:rsidRPr="00256EE9">
        <w:rPr>
          <w:rStyle w:val="NumeroAFNegritaCaracter"/>
        </w:rPr>
        <w:t>4</w:t>
      </w:r>
      <w:r>
        <w:t>. La Sección, mediante providencia de 30 de enero de 1985, acordó, a tenor de lo dispuesto en el art. 50 de la Ley Orgánica del Tribunal Constitucional (LOTC), conceder un plazo común de diez días al Ministerio Fiscal y al solicitante del amparo, para que dentro de dicho término alegasen lo que estimaran conveniente en relación con la posible existencia del siguiente motivo de inadmisión: carecer la demanda manifiestamente de contenido que justifique una decisión por parte de este Tribunal Constitucional, conforme previene el art. 50.2 b) de la mencionada Ley Orgánica.</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Ministerio Fiscal, dentro del plazo conferido, formula las siguientes alegaciones: 1.° que el hecho de que el art. 41 de la L.H. permita diversas causas de oposición que el demandado puede esgrimir frente a la acción posesoria y de que algunas de ellas puedan ser incompatibles entre sí, no supone que su alegación simultánea sea incongruente, ni menos aún que el fallo que las considera, para aceptar una u otra, no todas a un tiempo, incurra en incongruencia; 2.° que acreditado, según las Sentencias impugnadas, que el hoy </w:t>
      </w:r>
      <w:r>
        <w:lastRenderedPageBreak/>
        <w:t xml:space="preserve">demandante de amparo tenia una «relación jurídica directa» con el último titular de la finca objeto del litigio, holgaba cualquier declaración referente a su esposa, que en nada haría cambiar el efecto del fallo, por lo que tampoco puede considerarse que exista incongruencia al faltar una declaración de este tipo; 3.° que son inconsistentes las alegaciones del actor relativas a la inadmisión del recurso de súplica intentado frente a la Sentencia de apelación, pues la súplica únicamente está prevista por el art. 402 de la L.E.C. resolutorias de incidentes y, obviamente, la apelación no es un incidente, aunque en el seno de la misma se pudieran plantear incidentes. </w:t>
      </w:r>
    </w:p>
    <w:p w:rsidR="00256EE9" w:rsidRDefault="00256EE9" w:rsidP="00256EE9">
      <w:pPr>
        <w:pStyle w:val="TextoNormal"/>
      </w:pPr>
      <w:r>
        <w:t>En mérito de lo expuesto, concluye el Ministerio Fiscal interesando la declaración de inadmisión del presente recurso de amparo, por entender que en el mismo concurre la causa señalada por nuestra anterior providencia.</w:t>
      </w:r>
    </w:p>
    <w:p w:rsidR="00256EE9" w:rsidRDefault="00256EE9" w:rsidP="00256EE9">
      <w:pPr>
        <w:pStyle w:val="TextoNormal"/>
      </w:pPr>
    </w:p>
    <w:p w:rsidR="00256EE9" w:rsidRDefault="00256EE9" w:rsidP="00256EE9">
      <w:pPr>
        <w:pStyle w:val="TextoNormal"/>
      </w:pPr>
      <w:r w:rsidRPr="00256EE9">
        <w:rPr>
          <w:rStyle w:val="NumeroAFNegritaCaracter"/>
        </w:rPr>
        <w:t>6</w:t>
      </w:r>
      <w:r>
        <w:t>. Dentro del mismo plazo, por la representación del recurrente se formula escrito de alegaciones, por el que, reiterando básicamente las ya contenidas en su escrito inicial de interposición del amparo, se acaba solicitando la admisión a trámite del recurso, se entre en el fondo del asunto y se dicte Sentencia estimatoria de la pretensión aducida.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 objeto del presente Auto determinar si existe o no la causa de inadmisión prevista por el art.  50.2 b) de la LOTC, es decir, si la demanda de amparo carece o no manifiestamente de contenido que justifique una decisión por parte de este Tribunal en forma de Sentencia, con el desarrollo procesal consiguiente. A estos efectos, hemos de examinar las supuestas vulneraciones alegadas por el demandante, y que serían de derechos reconocidos por los arts.  24.1 y 2 y 14 de la C. E.</w:t>
      </w:r>
    </w:p>
    <w:p w:rsidR="00256EE9" w:rsidRDefault="00256EE9" w:rsidP="00256EE9">
      <w:pPr>
        <w:pStyle w:val="TextoNormal"/>
      </w:pPr>
    </w:p>
    <w:p w:rsidR="00256EE9" w:rsidRDefault="00256EE9" w:rsidP="00256EE9">
      <w:pPr>
        <w:pStyle w:val="TextoNormal"/>
      </w:pPr>
      <w:r w:rsidRPr="00256EE9">
        <w:rPr>
          <w:rStyle w:val="NumeroAFNegritaCaracter"/>
        </w:rPr>
        <w:t>2</w:t>
      </w:r>
      <w:r>
        <w:t>. La primera de las cuestiones planteadas por el recurso de amparo hace referencia a que por la parte demandada en el proceso a quo se alegó como causa de la oposición a la demanda formulada en aquel proceso la existencia de un titulo arrendaticio sobre la finca objeto del litigio y, alternativamente, la existencia de prescripción por vía posesoria sobre dicha finca, y a que, sin embargo, la desestimación de la demanda lo fue en base a la existencia de una «relación jurídica directa» del demandado con el último titular o titulares anteriores de la finca.  Se habría producido, así, según se alega en el escrito de amparo, una estimación por dichas Sentencias de una causa de oposición que no fue aducida por la parte demandada.</w:t>
      </w:r>
    </w:p>
    <w:p w:rsidR="00256EE9" w:rsidRDefault="00256EE9" w:rsidP="00256EE9">
      <w:pPr>
        <w:pStyle w:val="TextoNormal"/>
      </w:pPr>
      <w:r>
        <w:t>Ello, en su caso, se traduciría en una ruptura del ajuste o adecuación exigibles entre la parte dispositiva de las resoluciones judiciales y los términos en que las partes han formulado sus pretensiones y peticiones, es decir, en una quiebra del principio de congruencia.  Esta ruptura, según jurisprudencia reiterada por este Tribunal Constitucional, puede entrañar una vulneración del principio de contradicción y, por ende, del fundamental derecho de defensa, consagrado por el art. 24 de la C.E., cuando la desviación en que consiste la incongruencia es de tal naturaleza que supone una completa modificación de los términos en que se produjo el debate procesal.</w:t>
      </w:r>
    </w:p>
    <w:p w:rsidR="00256EE9" w:rsidRDefault="00256EE9" w:rsidP="00256EE9">
      <w:pPr>
        <w:pStyle w:val="TextoNormal"/>
      </w:pPr>
    </w:p>
    <w:p w:rsidR="00256EE9" w:rsidRDefault="00256EE9" w:rsidP="00256EE9">
      <w:pPr>
        <w:pStyle w:val="TextoNormal"/>
      </w:pPr>
      <w:r w:rsidRPr="00256EE9">
        <w:rPr>
          <w:rStyle w:val="NumeroAFNegritaCaracter"/>
        </w:rPr>
        <w:t>3</w:t>
      </w:r>
      <w:r>
        <w:t>. Dicha ruptura, sin embargo, no se observa en el presente caso.</w:t>
      </w:r>
    </w:p>
    <w:p w:rsidR="00256EE9" w:rsidRDefault="00256EE9" w:rsidP="00256EE9">
      <w:pPr>
        <w:pStyle w:val="TextoNormal"/>
      </w:pPr>
      <w:r>
        <w:lastRenderedPageBreak/>
        <w:t>Antes al contrario, tanto la Sentencia dictada en la Primera Instancia como la de apelación, son perfectamente congruentes con lo alegado por la parte demandada en su escrito de oposición, al considerar existente un derecho posesorio de carácter arrendaticio sobre la finca cuyo reintegro posesorio se reclamaba por el hoy demandante de amparo, y con claridad meridiana se afirma en ambas resoluciones que es la existencia de tal derecho lo que produce esa « relación jurídica directa con el último titular o titulares anteriores» que, como segunda posible causa de contradicción se establece en el art. 41 de la L.H., y ello, sin perjuicio de que, según se afirma asimismo en ambas Sentencias, el actor pudiera plantear, en defensa de sus derechos, cuestiones relativas a la existencia y preciso objeto del contrato de arrendamiento mediante el correspondiente juicio declarativo, todo lo cual conduce a apreciar, de modo manifiesto, la carencia de fundamento con que, respecto a la cuestión aquí suscitada, se invoca la violación de los derechos de defensa del solicitante de amparo.</w:t>
      </w:r>
    </w:p>
    <w:p w:rsidR="00256EE9" w:rsidRDefault="00256EE9" w:rsidP="00256EE9">
      <w:pPr>
        <w:pStyle w:val="TextoNormal"/>
      </w:pPr>
    </w:p>
    <w:p w:rsidR="00256EE9" w:rsidRDefault="00256EE9" w:rsidP="00256EE9">
      <w:pPr>
        <w:pStyle w:val="TextoNormal"/>
      </w:pPr>
      <w:r w:rsidRPr="00256EE9">
        <w:rPr>
          <w:rStyle w:val="NumeroAFNegritaCaracter"/>
        </w:rPr>
        <w:t>4</w:t>
      </w:r>
      <w:r>
        <w:t>. No es posible, tampoco, apreciar la presunta violación que se invoca del derecho a la igualdad, reconocido por el art.  14 de la C.E., producida, según parece alegarse, por la ruptura de la situación de igualdad o equilibrio entre las partes, al resolver el Juzgador por si mismo, en contra de la imparcialidad que le ha de ser exigida, el defecto de la demanda de contradicción consistente en su indeterminación o incertidumbre al formular dos proposiciones contradictorias o excluyentes, como la existencia del referido contrato de arrendamiento y, al mismo tiempo, la prescripción por vía posesoria.  El supuesto defecto ya fue examinado y resuelto, de manera suficientemente razonada, por el Tribunal de apelación, en términos que no pueden ser revisados por esta jurisdicción constitucional, al declarar que no podía hablarse de peticiones contradictorias, recíprocamente excluyentes y por lo tanto incompatibles, según la pretensión del apelante, cuando la causa de oposición que éste alegó fue, con toda claridad, la posesión en virtud de arrendamiento, y la referencia a la prescripción contenida en su escrito de contradicción respondía a un afán de agotar sus alegaciones, pero haciendo constar inmediatamente, que no proponía tal alternativa, porque sabía que lo poseído lo era en concepto de arrendamiento.</w:t>
      </w:r>
    </w:p>
    <w:p w:rsidR="00256EE9" w:rsidRDefault="00256EE9" w:rsidP="00256EE9">
      <w:pPr>
        <w:pStyle w:val="TextoNormal"/>
      </w:pPr>
    </w:p>
    <w:p w:rsidR="00256EE9" w:rsidRDefault="00256EE9" w:rsidP="00256EE9">
      <w:pPr>
        <w:pStyle w:val="TextoNormal"/>
      </w:pPr>
      <w:r w:rsidRPr="00256EE9">
        <w:rPr>
          <w:rStyle w:val="NumeroAFNegritaCaracter"/>
        </w:rPr>
        <w:t>5</w:t>
      </w:r>
      <w:r>
        <w:t>. La misma carencia de fundamento constitucional cabe apreciar respecto a la cuestión que suscita la demanda de amparo, en cuanto a la indebida extensión que denuncia de los efectos de las Sentencias impugnadas para la cónyuge del demandado en el proceso a quo, al no haber comparecido ésta en dicho proceso y ser, en consecuencia, declarada en rebeldía.</w:t>
      </w:r>
    </w:p>
    <w:p w:rsidR="00256EE9" w:rsidRDefault="00256EE9" w:rsidP="00256EE9">
      <w:pPr>
        <w:pStyle w:val="TextoNormal"/>
      </w:pPr>
      <w:r>
        <w:t>La pretensión de que los fallos desestimatorios de la demanda del actor limitasen sus efectos a la persona del demandado aparece, sin embargo, como una solicitud que resultaba de imposible estimación, pues, según se afirma atinadamente en el Auto por el que se declara no haber lugar a los escritos de súplica y aclaración formulados por el actor, dada la solidaridad jurídica que existe entre los esposos interpelados, al ser la misma acción que contra ambos se ejercitaba, idéntica la razón de pedir y análoga su finalidad, al exigírseles una misma pretensión, no existia posibilidad legal de fallar con respecto a ambos de forma distinta, ya que ello conduciría al absurdo de la existencia de dos fallos contradictorios basados en unas mismas circunstancias.</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demandante de amparo plantea, por último, con carácter alternativo, la supuesta nulidad de las resoluciones por las que la correspondiente Sala de la Audiencia Provincial denegó la admisión a trámite del recurso de súplica que el actor trató de formular contra la </w:t>
      </w:r>
      <w:r>
        <w:lastRenderedPageBreak/>
        <w:t>Sentencia dictada por la misma Audiencia.  No obstante, según doctrina abundantemente reiterada por este Tribunal Constitucional, de ninguno de los mandatos contenidos por el art.  24 de la C.E.  cabe extraer un derecho ilimitado a los recursos por encima de lo dispuesto por las correspondientes Leyes procesales. Según se establece por el art. 402 de la L.E.C., el recurso de súplica únicamente puede interponerse frente a las Sentencias o Autos que resuelvan incidentes promovidos durante la segunda instancia. La súplica formulada por el actor no se dirigía, sin embargo, frente a la resolución de cuestión incidental alguna, sino contra la Sentencia que, según se razona en las mencionadas resoluciones denegatorias, en juicio de legalidad, cuya revisión escapa también a las facultades de este Tribunal, resultaba de aplicación el art.  403 de la misma L.E.C., que puesto en relación con el art. 41 de la L.H., era determinante de que la Sentencia dictada por la Audiencia Provincial adquiriese el carácter de definitiva, sin perjuicio del derecho a acudir al declarativo correspondiente.</w:t>
      </w:r>
    </w:p>
    <w:p w:rsidR="00256EE9" w:rsidRDefault="00256EE9" w:rsidP="00256EE9">
      <w:pPr>
        <w:pStyle w:val="TextoNormal"/>
      </w:pPr>
    </w:p>
    <w:p w:rsidR="00256EE9" w:rsidRDefault="00256EE9" w:rsidP="00256EE9">
      <w:pPr>
        <w:pStyle w:val="TextoNormal"/>
      </w:pPr>
      <w:r w:rsidRPr="00256EE9">
        <w:rPr>
          <w:rStyle w:val="NumeroAFNegritaCaracter"/>
        </w:rPr>
        <w:t>7</w:t>
      </w:r>
      <w:r>
        <w:t>. Todas las consideraciones anteriores nos conducen a la conclusión de que concurre, en efecto, la causa de inadmisión prevista por el art.  50.2 b) de la LOTC, es decir, que la presente demanda de amparo carece manifiestamente de contenido que justifique una decisión por parte de este Tribunal Constitucional, en forma de Sentencia, con el desarrollo procesal consiguiente.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Sección acuerda declarar inadmisible el recurso de amparo interpuesto por el Procurador de los Tribunales, don Saturnino Estévez Rodríguez, en nombre y representación de don Atilano Morandeira Losada, así como el</w:t>
      </w:r>
    </w:p>
    <w:p w:rsidR="00256EE9" w:rsidRDefault="00256EE9" w:rsidP="00256EE9">
      <w:pPr>
        <w:pStyle w:val="TextoNormal"/>
      </w:pPr>
      <w:r>
        <w:t>archivo de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32" w:name="AUTO_1985_271"/>
      <w:r>
        <w:lastRenderedPageBreak/>
        <w:t>AUTO 271/1985, de 24 de abril de 1985</w:t>
      </w:r>
    </w:p>
    <w:bookmarkEnd w:id="332"/>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ECLI:ES:TC:1985:271A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924/1984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Con fecha 29 de diciembre de 1984, tuvo entrada en este Tribunal Constitucional (T.C.) recurso de amparo formulado por el Procurador de los Tribunales, don Ignacio Aguilar Fernández, en nombre y representación de don José Luis Sánchez Jiménez, contra Auto dictado por la Sala Segunda del Tribunal Supremo declarando desierto el recurso de casación preparado contra Sentencia dictada por la Sección Sexta de la Audiencia Provincial de Barcelona.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demanda de amparo se basa en los hechos siguientes: </w:t>
      </w:r>
    </w:p>
    <w:p w:rsidR="00256EE9" w:rsidRDefault="00256EE9" w:rsidP="00256EE9">
      <w:pPr>
        <w:pStyle w:val="TextoNormal"/>
      </w:pPr>
      <w:r>
        <w:t xml:space="preserve">a) Con fecha 21 de julio de 1984, la Sección Sexta de la Audiencia Provincial de Barcelona dictó Sentencia, por la que condenó al hoy demandante de amparo, como autor de un delito de robo con intimidación en las personas a la pena de cuatro años, dos meses y un día de prisión menor. </w:t>
      </w:r>
    </w:p>
    <w:p w:rsidR="00256EE9" w:rsidRDefault="00256EE9" w:rsidP="00256EE9">
      <w:pPr>
        <w:pStyle w:val="TextoNormal"/>
      </w:pPr>
      <w:r>
        <w:t xml:space="preserve">b) Frente a la anterior Sentencia, interpuso el señor Sánchez Jiménez escrito de preparación de recurso de casación, siéndole notificada, con fecha 20 de septiembre de 1984, cédula de emplazamiento ante la Sala Segunda del Tribunal Supremo, para ejercitar su derecho por el plazo improrrogable de quince días, lo que realizó el día 29 del mismo mes, adjuntando al escrito en el que formalizó la casación poder para pleitos legalizado, en que, por error del Letrado del recurrente, al dar el nombre del Procurador, en lugar de indicar el de don Ignacio Aguilar Fernández, figuraba el de don Ignacio Aguilar Jiménez, que no corresponde a Procurador alguno del Colegio de Madrid. Mediante escrito posterior dirigido a la Sala Segunda del Tribunal Supremo, de fecha 29 de noviembre de 1984, tras haberse percatado del error cometido, e interesando se tuviera por subsanado, se remitió escritura de subsanación, indicando el nombre correcto del Procurador. </w:t>
      </w:r>
    </w:p>
    <w:p w:rsidR="00256EE9" w:rsidRDefault="00256EE9" w:rsidP="00256EE9">
      <w:pPr>
        <w:pStyle w:val="TextoNormal"/>
      </w:pPr>
      <w:r>
        <w:t>c) La Sala Segunda del Tribunal Supremo, con fecha 5 de diciembre de 1984, dictó Auto, notificado el día 7 siguiente, por el que declaró desierto el referido recurso de casación, con imposición de costas al recurrente por no haber comparecido en forma y ordenando la devolución al Procurador «señor Aguilar Fernández» de la copia de poder presentado, por no figurar en la misma apoderado.</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La presente demanda de amparo se dirige frente a la mencionada resolución de la Sala Segunda del Tribunal Supremo, y se fundamenta en la presunta violación del derecho </w:t>
      </w:r>
      <w:r>
        <w:lastRenderedPageBreak/>
        <w:t>a la tutela jurisdiccional efectiva, reconocido por el art. 24.1 de la C.E. Dicha violación se habría producido, según se alega en el escrito de amparo, al implicar la resolución impugnada la denegación de tutela judicial para el demandante, así como la indefensión, pues, en base a un error de transcripción en el poder conferido, se le cierra la posibilidad de la casación y adquiere firmeza la Sentencia condenatoria dictada por la Audiencia Provincial.</w:t>
      </w:r>
    </w:p>
    <w:p w:rsidR="00256EE9" w:rsidRDefault="00256EE9" w:rsidP="00256EE9">
      <w:pPr>
        <w:pStyle w:val="TextoNormal"/>
      </w:pPr>
    </w:p>
    <w:p w:rsidR="00256EE9" w:rsidRDefault="00256EE9" w:rsidP="00256EE9">
      <w:pPr>
        <w:pStyle w:val="TextoNormal"/>
      </w:pPr>
      <w:r w:rsidRPr="00256EE9">
        <w:rPr>
          <w:rStyle w:val="NumeroAFNegritaCaracter"/>
        </w:rPr>
        <w:t>4</w:t>
      </w:r>
      <w:r>
        <w:t>. Se solicita de este T.C. que declare la nulidad del Auto que se impugna, dictado por la Sala Segunda del Tribunal Supremo, reconociendo expresamente el derecho del recurrente a que por dicha Sala se vea el recurso de casación presentado.</w:t>
      </w:r>
    </w:p>
    <w:p w:rsidR="00256EE9" w:rsidRDefault="00256EE9" w:rsidP="00256EE9">
      <w:pPr>
        <w:pStyle w:val="TextoNormal"/>
      </w:pPr>
    </w:p>
    <w:p w:rsidR="00256EE9" w:rsidRDefault="00256EE9" w:rsidP="00256EE9">
      <w:pPr>
        <w:pStyle w:val="TextoNormal"/>
      </w:pPr>
      <w:r w:rsidRPr="00256EE9">
        <w:rPr>
          <w:rStyle w:val="NumeroAFNegritaCaracter"/>
        </w:rPr>
        <w:t>5</w:t>
      </w:r>
      <w:r>
        <w:t>. La Sección, mediante providencia de 30 de enero de 1985, acordó, a tenor de lo dispuesto en el art. 50 de la Ley Orgánica del Tribunal Constitucional (LOTC), conceder un plazo común de diez días al Ministerio Fiscal y al solicitante de amparo para que dentro de dicho término alegasen lo que estimaran pertinente en relación con la posible existencia de los siguientes motivos de inadmisión: 1.° no haberse agotado todos los recursos utilizables dentro de la vía judicial [art. 44.1 a), en relación con el art. 50.1 b), ambos de la LOTC], y 2.° consiguientemente, no haberse invocado formalmente en el proceso el derecho constitucional vulnerado, tan pronto como, una vez conocida la violación, hubiere lugar para ello [art. 44.1 c) de la LOTC, en conexión con el art. 50.1 b) de la misma Ley].</w:t>
      </w:r>
    </w:p>
    <w:p w:rsidR="00256EE9" w:rsidRDefault="00256EE9" w:rsidP="00256EE9">
      <w:pPr>
        <w:pStyle w:val="TextoNormal"/>
      </w:pPr>
    </w:p>
    <w:p w:rsidR="00256EE9" w:rsidRDefault="00256EE9" w:rsidP="00256EE9">
      <w:pPr>
        <w:pStyle w:val="TextoNormal"/>
      </w:pPr>
      <w:r w:rsidRPr="00256EE9">
        <w:rPr>
          <w:rStyle w:val="NumeroAFNegritaCaracter"/>
        </w:rPr>
        <w:t>6</w:t>
      </w:r>
      <w:r>
        <w:t>. El Ministerio Fiscal, dentro del plazo conferido, formuló sus alegaciones en el sentido de interesar la inadmisión del recurso de amparo, por entender que en el mismo concurren los defectos procesales indicados por nuestra anterior providencia.</w:t>
      </w:r>
    </w:p>
    <w:p w:rsidR="00256EE9" w:rsidRDefault="00256EE9" w:rsidP="00256EE9">
      <w:pPr>
        <w:pStyle w:val="TextoNormal"/>
      </w:pPr>
    </w:p>
    <w:p w:rsidR="00256EE9" w:rsidRDefault="00256EE9" w:rsidP="00256EE9">
      <w:pPr>
        <w:pStyle w:val="TextoNormal"/>
      </w:pPr>
      <w:r w:rsidRPr="00256EE9">
        <w:rPr>
          <w:rStyle w:val="NumeroAFNegritaCaracter"/>
        </w:rPr>
        <w:t>7</w:t>
      </w:r>
      <w:r>
        <w:t>. Dentro del mismo plazo, por el demandante de amparo se presentó escrito de alegaciones en el que afirma no existir recurso alguno contra la resolución judicial frente a la que interpone el amparo, y en consecuencia no haber tenido ocasión de invocar formalmente el derecho fundamental que considera vulnerado.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La presente demanda de amparo se dirige frente a un Auto dictado por la Sala Segunda del Tribunal Supremo, conforme a lo previsto en el art.  878 de la Ley de Enjuiciamiento Criminal, precepto en el que nada se establece acerca del carácter irrecurrible de ese tipo de resoluciones, por lo que éstas no se sustraen a la regla general contenida en el art.  236 de la misma L.E.Cr., en virtud del cual «contra los Autos de los Tribunales de lo Criminal podrá interponerse el recurso de súplica ante el mismo que los hubiese dictado».</w:t>
      </w:r>
    </w:p>
    <w:p w:rsidR="00256EE9" w:rsidRDefault="00256EE9" w:rsidP="00256EE9">
      <w:pPr>
        <w:pStyle w:val="TextoNormal"/>
      </w:pPr>
      <w:r>
        <w:t>No consta que el actor haya recurrido en súplica la resolución frente a la que ahora solicita el amparo, y con ello ha impedido a la Sala que dictó dicha resolución pronunciarse sobre la presunta vulneración constitucional en la que fundamenta su actual pretensión.  En consecuencia, ha de considerarse que no se han agotado todos los recursos utilizables dentro de la vía judicial, como requiere el art. 44.1 a) de la LOTC y el recurso de amparo es inadmisible, de conformidad con lo previsto en el art.  50.1 b) de la misma LOTC.</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Como consecuencia de lo anterior, el recurso de amparo incide, asimismo, en la causa de inadmisión a que se refiere el art. 50.1 b), en relación con el 44.1 c), ambos de la </w:t>
      </w:r>
      <w:r>
        <w:lastRenderedPageBreak/>
        <w:t>LOTC, por cuanto no se invocó formalmente en el proceso a quo el derecho constitucional vulnerado, en el momento que hubo lugar para ello, que era el recurso de súplica contra el Auto aquí impugnado de la Sala Segunda del Tribunal Supremo, que no llegó a interponerse.</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anterior, la Sección acuerda declarar inadmisible el recurso de amparo formulado por el Procurador de los Tribunales, don Ignacio Aguilar Fernández, en nombre y representación de don José Luis Sánchez Jiménez, y el archivo de las</w:t>
      </w:r>
    </w:p>
    <w:p w:rsidR="00256EE9" w:rsidRDefault="00256EE9" w:rsidP="00256EE9">
      <w:pPr>
        <w:pStyle w:val="TextoNormal"/>
      </w:pPr>
      <w:r>
        <w:t>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33" w:name="AUTO_1985_272"/>
      <w:r>
        <w:lastRenderedPageBreak/>
        <w:t>AUTO 272/1985, de 24 de abril de 1985</w:t>
      </w:r>
    </w:p>
    <w:bookmarkEnd w:id="333"/>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ECLI:ES:TC:1985:272A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2/1985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presentado en el Juzgado de Guardia de los de Madrid el 2 de enero del presente año y entrado en este Tribunal al día siguiente, el Procurador don José Granados Weil interpuso en nombre del Excmo. Ayuntamiento de Madrid recurso de amparo contra los Autos de 5 de octubre y 6 de diciembre de 1984 del Juzgado de Instrucción núm. 1 de los de Madrid.</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antecedentes que están a la base del presente recurso son los siguientes: </w:t>
      </w:r>
    </w:p>
    <w:p w:rsidR="00256EE9" w:rsidRDefault="00256EE9" w:rsidP="00256EE9">
      <w:pPr>
        <w:pStyle w:val="TextoNormal"/>
      </w:pPr>
      <w:r>
        <w:t xml:space="preserve">A la vista de la negativa del propietario de un local de negocio a permitir el acceso al mismo de funcionarios del Ayuntamiento de Madrid que pretendían inspeccionar el estado de conservación y determinar las medidas de seguridad que habían de ser adoptadas en dicho local, que había sido declarado en estado de ruina, el mencionado Ayuntamiento, apoyándose en la Sentencia de este Tribunal núm. 22/1984, de 17 de febrero, solicitó del Juzgado de Instrucción de Madrid el otorgamiento de autorización judicial de entrada en domicilio a los expresados efectos. </w:t>
      </w:r>
    </w:p>
    <w:p w:rsidR="00256EE9" w:rsidRDefault="00256EE9" w:rsidP="00256EE9">
      <w:pPr>
        <w:pStyle w:val="TextoNormal"/>
      </w:pPr>
      <w:r>
        <w:t xml:space="preserve">Por Auto de 5 de octubre de 1984 el Juzgado de Instrucción núm. 1 denegó la autorización solicitada con base en que la « facultad que previenen los arts. 545, 546 y siguientes de la Ley de Enjuiciamiento Criminal, en orden a la entrada y registro en domicilio de particulares, se refiere únicamente a los supuestos en que, incoada una causa criminal por hechos que revistan caracteres de delito, consten indicios racionales de que en el domicilio cuya entrada se pretende, de encontrarse en él el procesado o de efectos o instrumentos que puedan servir para el descubrimiento del delito», y que no era este el supuesto del cual se derivaba la petición de mandamiento de entrada formulada por el Ayuntamiento de Madrid. </w:t>
      </w:r>
    </w:p>
    <w:p w:rsidR="00256EE9" w:rsidRDefault="00256EE9" w:rsidP="00256EE9">
      <w:pPr>
        <w:pStyle w:val="TextoNormal"/>
      </w:pPr>
      <w:r>
        <w:t xml:space="preserve">Estimado que el Auto no resultaba ajustado a Derecho el Ayuntamiento dedujo contra el mismo el oportuno recurso de reforma, y subsidiaria apelación, que fue resuelto por otro Auto de 6 de diciembre de 1984 en el que, tras señalar que no quedaban desvirtuados por las argumentaciones jurídicas contenidas en el recurso de reforma los fundamentos jurídicos del Auto recurrido, por cuanto al estar limitado por Ley -arts. 545 y 546 de la L.E. Cr.- el mandamiento de entrada y registro por el Juez penal, a los supuestos que dichos preceptos señalan, desestimaba dicho recurso de reforma, confirmando, en consecuencia, el Auto de 5 de octubre de 1984. </w:t>
      </w:r>
    </w:p>
    <w:p w:rsidR="00256EE9" w:rsidRDefault="00256EE9" w:rsidP="00256EE9">
      <w:pPr>
        <w:pStyle w:val="TextoNormal"/>
      </w:pPr>
      <w:r>
        <w:lastRenderedPageBreak/>
        <w:t>Se añadía, igualmente, que en aplicación del art. 217 de la L.E.Cr., procedía la no admisión del recurso de apelación, al no estar determinado en la propia Ley rituaria penal que contra la denegación del mandamiento de entrada pudiera interponerse recurso de apelación.</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El demandante solicita de este Tribunal que declare: </w:t>
      </w:r>
    </w:p>
    <w:p w:rsidR="00256EE9" w:rsidRDefault="00256EE9" w:rsidP="00256EE9">
      <w:pPr>
        <w:pStyle w:val="TextoNormal"/>
      </w:pPr>
      <w:r>
        <w:t xml:space="preserve">a) La nulidad de dichos Autos por infringir el derecho a la tutela judicial efectiva consagrada en el art. 24.1 de la Constitución. </w:t>
      </w:r>
    </w:p>
    <w:p w:rsidR="00256EE9" w:rsidRDefault="00256EE9" w:rsidP="00256EE9">
      <w:pPr>
        <w:pStyle w:val="TextoNormal"/>
      </w:pPr>
      <w:r>
        <w:t xml:space="preserve">b) Que el Ayuntamiento de Madrid tiene derecho a la obtención de una resolución sobre el fondo de la cuestión planteada mediante la cual se conceda o deniegue por razones sustantivas, la autorización solicitada para acceder al local comercial sito en el núm. 22 de la calle Ronda de Toledo de esta capital, cuya titularidad ostenta don José Lucero Durán, al efecto de practicar la inspección necesaria para determinar el estado de conservación en el que dicho inmueble se halla. </w:t>
      </w:r>
    </w:p>
    <w:p w:rsidR="00256EE9" w:rsidRDefault="00256EE9" w:rsidP="00256EE9">
      <w:pPr>
        <w:pStyle w:val="TextoNormal"/>
      </w:pPr>
      <w:r>
        <w:t xml:space="preserve">Los argumentos en los que el demandante apoya su pretensión podrían resumirse así: </w:t>
      </w:r>
    </w:p>
    <w:p w:rsidR="00256EE9" w:rsidRDefault="00256EE9" w:rsidP="00256EE9">
      <w:pPr>
        <w:pStyle w:val="TextoNormal"/>
      </w:pPr>
      <w:r>
        <w:t xml:space="preserve">a) El art. 24.1 de la Constitución ha sido vulnerado por los Autos impugnados, ya que en ellos, en base a una supuesta incompetencia, desmentida por la propia jurisprudencia del Tribunal Constitucional, se prescinde en forma manifiestamente arbitraria de adoptar una decisión sobre el fondo de la cuestión planteada, generando con ello una situación sin salida en la que la Administración municipal se ve jurídicamente imposibilitada, so pena de incurrir en una clara vulneración del derecho a la inviolabilidad del domicilio, consagrado en el art. 18.2 de la Constitución, para el ejercicio de las potestades configuradas, con un marcado carácter preceptivo, en los arts. 181.2 y 183.4 del vigente Texto Refundido de la Ley del Suelo aprobada por Real Decreto 1346/1976, de 9 de abril, al no poder llevar a cabo su necesaria actividad inspectora. </w:t>
      </w:r>
    </w:p>
    <w:p w:rsidR="00256EE9" w:rsidRDefault="00256EE9" w:rsidP="00256EE9">
      <w:pPr>
        <w:pStyle w:val="TextoNormal"/>
      </w:pPr>
      <w:r>
        <w:t xml:space="preserve">b) Los Autos recurridos olvidan que a raíz de la entrada en vigor de la Constitución los Jueces penales tienen asimismo atribuida la competencia para autorizar la entrada en el domicilio de un particular, cuando tal entrada es necesaria, aún con carácter meramente instrumental para llevar a cabo la ejecución de una resolución administrativa legalmente adoptada, como resulta de lo establecido en el art. 18.2 de dicho Texto Fundamental, de acuerdo con la interpretación atribuida al mismo en la Sentencia de este Tribunal núm. 22/1984, de 17 de febrero, recaída en el recurso de amparo núm. 59/1983. </w:t>
      </w:r>
    </w:p>
    <w:p w:rsidR="00256EE9" w:rsidRDefault="00256EE9" w:rsidP="00256EE9">
      <w:pPr>
        <w:pStyle w:val="TextoNormal"/>
      </w:pPr>
      <w:r>
        <w:t xml:space="preserve">c) Queda fuera de duda que, de acuerdo con el criterio fijado por este Tribunal en la citada Sentencia de 17 de febrero de 1984, la competencia para autorizar, en supuestos como el que nos ocupa, la entrada en el domicilio de los particulares es ostentada por los Jueces de instrucción, al margen de sus funciones típicas de actuación sumarial, puesto que «nada permite inferir que ningún orden jurisdiccional -fuera del Juez penal- pueda intervenir cuando se le solicite la autorización para la entrada en el domicilio de una persona». </w:t>
      </w:r>
    </w:p>
    <w:p w:rsidR="00256EE9" w:rsidRDefault="00256EE9" w:rsidP="00256EE9">
      <w:pPr>
        <w:pStyle w:val="TextoNormal"/>
      </w:pPr>
      <w:r>
        <w:t>d) Proyectándose en una dimensión predominantemente penal la protección que en nuestro ordenamiento jurídico recibe el derecho de inviolabilidad del domicilio a través de la tipificación en los arts. 191.1 y 490 del Código Penal del delito de allanamiento de morada cometido por funcionarios públicos o particulares, respectivamente -sin perjuicio de las consecuencias que en el plano estrictamente administrativo podría tener la ilegítima vulneración de este derecho por parte de la Administración pública, consecuencias que derivarían básicamente de lo establecido en el art. 47. I de la LPA, cuya letra c ) declara la nulidad de pleno derecho de los actos constitutivos de delito-, parece lógico pensar que sea el mismo orden jurisdiccional al que corresponde el enjuiciamiento de aquellos hechos que supongan vulneración de este derecho el que asuma como competencia propia el otor</w:t>
      </w:r>
      <w:r>
        <w:lastRenderedPageBreak/>
        <w:t xml:space="preserve">gamiento de las autorizaciones cuya obtención exige, en defecto del consentimiento del titular, el art. 18.2 de la Constitución como presupuesto para la licitud y regularidad de la entrada y registro domiciliarios. </w:t>
      </w:r>
    </w:p>
    <w:p w:rsidR="00256EE9" w:rsidRDefault="00256EE9" w:rsidP="00256EE9">
      <w:pPr>
        <w:pStyle w:val="TextoNormal"/>
      </w:pPr>
      <w:r>
        <w:t>e) A la vista de todo ello no puede sino calificarse de arbitraria e irrazonable la actuación del Juzgado de Instrucción núm. 1 de los de Madrid, puesto que, por un lado, la argumentación plasmada en los parcos considerandos de los Autos impugnados es ciertamente superficial y endeble y, en segundo término, ninguna mención mereció en los mismos la referida Sentencia de este Tribunal de 17 de febrero de 1984, a pesar de que la misma fue repetidamente invocada, junto con el art. 18.2 de la Constitución, en los sucesivos escritos presentados por el Ayuntamiento.</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Por providencia del día 30 de enero pasado la Sección acordó tener por interpuesto recurso de amparo por el Excmo. Ayuntamiento de Madrid y por personado y parte en nombre y representación del mismo al Procurador de los Tribunales señor Granados Weil y a tenor de lo dispuesto en el art. 50 de la Ley Orgánica del Tribunal Constitucional (LOTC) conceder un plazo común de diez días, al Ministerio Fiscal y al solicitante del amparo, para que dentro de dicho término alegasen lo que estimasen pertinente en relación con la posible existencia de los siguientes motivos de inadmisión: </w:t>
      </w:r>
    </w:p>
    <w:p w:rsidR="00256EE9" w:rsidRDefault="00256EE9" w:rsidP="00256EE9">
      <w:pPr>
        <w:pStyle w:val="TextoNormal"/>
      </w:pPr>
      <w:r>
        <w:t>a) no haberse invocado formalmente en el proceso el derecho constitucional vulnerado, tan pronto como, una vez conocida la violación, hubiere lugar para ello [art. 50.1 b) en conexión con el art. 44.1 c), ambos de la LOTC]; y b) carecer la demanda manifiestamente de contenido que justifique una decisión por parte de este Tribunal Constitucional.</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El Ministerio Fiscal, en su escrito de alegaciones, interesa de este Tribunal que dicte Auto desestimando la demanda de amparo por concurrir la causa de inadmisión del art. 44.1 c) de la LOTC. </w:t>
      </w:r>
    </w:p>
    <w:p w:rsidR="00256EE9" w:rsidRDefault="00256EE9" w:rsidP="00256EE9">
      <w:pPr>
        <w:pStyle w:val="TextoNormal"/>
      </w:pPr>
      <w:r>
        <w:t xml:space="preserve">Los argumentos en los que el Ministerio Público apoya su pretensión son los siguientes: </w:t>
      </w:r>
    </w:p>
    <w:p w:rsidR="00256EE9" w:rsidRDefault="00256EE9" w:rsidP="00256EE9">
      <w:pPr>
        <w:pStyle w:val="TextoNormal"/>
      </w:pPr>
      <w:r>
        <w:t xml:space="preserve">a) Aunque el recurso de amparo tiene por objeto el Auto de 5 de octubre de 1984, el recurrente impugna el Auto de 6 de diciembre de 1984 dictado resolviendo el recurso de reforma, interpuesto contra el primero. Como este segundo Auto confirma el recurrido, la violación del derecho constitucional del art. 24.1 de la Constitución, se habría producido en el primer Auto del Juzgado. </w:t>
      </w:r>
    </w:p>
    <w:p w:rsidR="00256EE9" w:rsidRDefault="00256EE9" w:rsidP="00256EE9">
      <w:pPr>
        <w:pStyle w:val="TextoNormal"/>
      </w:pPr>
      <w:r>
        <w:t xml:space="preserve">b) La naturaleza misma del recurso de amparo, como remedio subsidiario frente a las lesiones de derechos fundamentales y libertades públicas, implica la necesidad de que antes de acudir al Tribunal Constitucional, se haya intentado obtener de los órganos del Poder Judicial, en cada caso competentes, la reparación del derecho fundamental que se considere vulnerado. </w:t>
      </w:r>
    </w:p>
    <w:p w:rsidR="00256EE9" w:rsidRDefault="00256EE9" w:rsidP="00256EE9">
      <w:pPr>
        <w:pStyle w:val="TextoNormal"/>
      </w:pPr>
      <w:r>
        <w:t xml:space="preserve">Esta necesidad es la que justifica el requisito que impone el art. 44.1 c) de la LOTC, cuya ausencia se convierte, en razón de lo dispuesto en el art. 50.1 b ) de la misma Ley, en causa de inadmisión de la demanda de amparo. Tal requisito constituye una carga procesal que el demandante tiene que asumir en términos suficientes. De aquí se deduce la obligatoria necesidad de que tan pronto fuere conocida la violación se invoque formalmente el derecho presuntamente violado, cuando hubiere lugar para ello. </w:t>
      </w:r>
    </w:p>
    <w:p w:rsidR="00256EE9" w:rsidRDefault="00256EE9" w:rsidP="00256EE9">
      <w:pPr>
        <w:pStyle w:val="TextoNormal"/>
      </w:pPr>
      <w:r>
        <w:t xml:space="preserve">c) Dado que la vulneración del derecho constitucional del art. 24 de la Constitución se produjo presuntamente en el Auto de 5 de octubre de 1984, en el que se denegaba la solicitud de entrada deducida por el recurrente, el momento procesal adecuado para la invocación formal era, precisamente, el de la interposición del recurso de reforma contra dicho Auto a los efectos de introducir en el proceso el motivo constitucional, para que sobre él el </w:t>
      </w:r>
      <w:r>
        <w:lastRenderedPageBreak/>
        <w:t xml:space="preserve">Juez pudiera resolver, ya que es necesario siempre que sea posible y para que proceda el amparo que el problema no se plantee por primera vez ante el Tribunal Constitucional. </w:t>
      </w:r>
    </w:p>
    <w:p w:rsidR="00256EE9" w:rsidRDefault="00256EE9" w:rsidP="00256EE9">
      <w:pPr>
        <w:pStyle w:val="TextoNormal"/>
      </w:pPr>
      <w:r>
        <w:t xml:space="preserve">d) El recurrente no realizó la invocación formal del derecho vulnerado en el momento procesal oportuno y, por lo tanto, falta el presupuesto procesal necesario para la procedencia del recurso de amparo, concurriendo la causa de inadmisión de carácter insubsanable del art. 44.1 b) de la LOTC. </w:t>
      </w:r>
    </w:p>
    <w:p w:rsidR="00256EE9" w:rsidRDefault="00256EE9" w:rsidP="00256EE9">
      <w:pPr>
        <w:pStyle w:val="TextoNormal"/>
      </w:pPr>
      <w:r>
        <w:t xml:space="preserve">La falta de invocación aparece acreditada por la afirmación del recurrente alegando que la violación se produjo en el Auto del Juzgado de 6 de diciembre de 1984 que denegaba la reforma, confirmando el primer Auto. </w:t>
      </w:r>
    </w:p>
    <w:p w:rsidR="00256EE9" w:rsidRDefault="00256EE9" w:rsidP="00256EE9">
      <w:pPr>
        <w:pStyle w:val="TextoNormal"/>
      </w:pPr>
      <w:r>
        <w:t>e) Apareciendo acreditada la existencia de esta causa de inadmisión, se hace innecesario el entrar en el estudio de la causa del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6</w:t>
      </w:r>
      <w:r>
        <w:t xml:space="preserve">. El recurrente, por su parte, en su escrito de alegaciones, además de reiterar los argumentos expuestos en la demanda y solicitar la admisión a trámite del recurso, señala, en cuanto a la falta de invocación formal en el proceso del derecho constitucional vulnerado, por un lado, que en este caso no era exigible hacer tal invocación, ya que la vulneración del derecho fundamental se ha producido en la resolución judicial que ha puesto término al proceso, con lo que puede plantearse el recurso de amparo sin cumplirse el requisito en cuestión. </w:t>
      </w:r>
    </w:p>
    <w:p w:rsidR="00256EE9" w:rsidRDefault="00256EE9" w:rsidP="00256EE9">
      <w:pPr>
        <w:pStyle w:val="TextoNormal"/>
      </w:pPr>
      <w:r>
        <w:t xml:space="preserve">Por otro lado, el demandante, invocando la jurisprudencia de este Tribunal en orden a una interpretación flexible de la exigencia contenida en el art. 44.1 c) de la LOTC, entiende que la argumentación vertida en la quinta de las alegaciones del recurso de reforma contra el Auto del dia 5 de octubre de 1984 pone de manifiesto que la denegación del otorgamiento de la autorización solicitada en base a una supuesta incompetencia, desmentida por la propia jurisprudencia del Tribunal Constitucional, originaba una situación de clara indefensión, con lo cual el órgano jurisdiccional en cuestión podía inferir sin dificultades que la resolución que pudiera adoptar, en el caso de que confirmara el criterio inicialmente sustentado, afectaría de manera directa al derecho consagrado en el art. 24.1 de la Constitución. </w:t>
      </w:r>
    </w:p>
    <w:p w:rsidR="00256EE9" w:rsidRDefault="00256EE9" w:rsidP="00256EE9">
      <w:pPr>
        <w:pStyle w:val="TextoNormal"/>
      </w:pPr>
      <w:r>
        <w:t>En cuanto a la carencia manifiesta de contenido constitucional de la demanda, el demandante sostiene que aunque el Juzgado se ha pronunciado sobre la solicitud que se le formuló con ello no ha quedado satisfecho el derecho a la obtención de tutela judicial efectiva, ya que tal pronunciamiento ha consistido en la denegación de la autorización solicitada en base a una hipotética incompetencia que no concurre, lo que hace aparecer como arbitraria e irrazonable la denegación operada y determina la procedencia del recurso de amparo interpuesto, de conformidad con una reiteradísima doctrina de este Tribunal de la que puede servir como exponente, además de las invocadas en el escrito de demanda, la reciente Sentencia núm. 102/1984.</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objeto del presente Auto es determinar si concurren en la demanda las causas de inadmisión puestas de manifiesto en nuestra providencia del pasado día 30 de enero y, en concreto, las previstas en el art.  50.1 b) de la LOTC, en relación con el art. 44.1 c) y 50.2 b) de la propia Ley Orgánica.</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Por lo que respecta al primero de tales motivos, de la documentación aportada por el recurrente y, en especial, del escrito de recurso de reforma y subsidiario de apelación, así como del Auto del Juzgado de Instrucción de 6 de diciembre de 1984, se desprende con meridiana claridad que el demandante no ha cumplido con el requisito establecido en el art.  44.1 c) de la LOTC, ya que, como es obvio, nada tiene que ver en este caso con el cumplimiento de tal requisito la invocación del derecho consagrado en el art. 18.2 de la Constitución, que es el precepto en el que el Ayuntamiento se apoyó inicialmente para solicitar el mandato de entrada en el domicilio del titular del local declarado en ruina y en el que se basó igualmente para fundamentar el recurso a que se ha hecho alusión contra el primer Auto dictado por el Juzgado de Instrucción.</w:t>
      </w:r>
    </w:p>
    <w:p w:rsidR="00256EE9" w:rsidRDefault="00256EE9" w:rsidP="00256EE9">
      <w:pPr>
        <w:pStyle w:val="TextoNormal"/>
      </w:pPr>
      <w:r>
        <w:t>El derecho cuya violación tenía que haberse invocado en dicho trámite era el que ahora se invoca ante este Tribunal para justificar la acción de amparo constitucional, es decir, el derecho a la tutela judicial efectiva consagrado en el art. 24.1 de la Carta fundamental.</w:t>
      </w:r>
    </w:p>
    <w:p w:rsidR="00256EE9" w:rsidRDefault="00256EE9" w:rsidP="00256EE9">
      <w:pPr>
        <w:pStyle w:val="TextoNormal"/>
      </w:pPr>
      <w:r>
        <w:t>Y es que, como ha declarado este Tribunal, el repetido requisito de admisibilidad del recurso de amparo sólo se cumple realmente cuando la vulneración del derecho o derechos fundamentales que se invoca ante la jurisdicción ordinaria es la misma que ante este Tribunal (Cfr., por ejemplo, la Sentencia núm. 53/1983, fundamento jurídico 2, in fine).</w:t>
      </w:r>
    </w:p>
    <w:p w:rsidR="00256EE9" w:rsidRDefault="00256EE9" w:rsidP="00256EE9">
      <w:pPr>
        <w:pStyle w:val="TextoNormal"/>
      </w:pPr>
      <w:r>
        <w:t>Frente a tal exigencia procesal no vale en modo alguno alegar, como hace el recurrente en su escrito de demanda, que en el supuesto que nos ocupa resultaba de imposible cumplimiento, «ya que la vulneración del derecho constitucional invocado como fundamento de este recurso de amparo no se produjo hasta el mismo momento en el que recayó la segunda de las resoluciones judiciales en relación a las cuales éste se formula y, por tanto, una vez agotada la vía judicial».</w:t>
      </w:r>
    </w:p>
    <w:p w:rsidR="00256EE9" w:rsidRDefault="00256EE9" w:rsidP="00256EE9">
      <w:pPr>
        <w:pStyle w:val="TextoNormal"/>
      </w:pPr>
      <w:r>
        <w:t>Y ello porque, evidentemente, el único derecho que ha podido vulnerarse al dictar el Juzgado el primer Auto -con la posibilidad, pues, de invocar su presunta violación al formular el correspondiente recurso ante dicho Juzgado- es el de la tutela judicial efectiva, que es, por lo demás, el que se invoca ahora como infringido por las dos resoluciones judiciales impugnadas ante este Tribunal.</w:t>
      </w:r>
    </w:p>
    <w:p w:rsidR="00256EE9" w:rsidRDefault="00256EE9" w:rsidP="00256EE9">
      <w:pPr>
        <w:pStyle w:val="TextoNormal"/>
      </w:pPr>
      <w:r>
        <w:t>Pudo, pues, perfectamente invocarse la violación del derecho consagrado en el art. 24.1 de la Constitución al interponer el recurso de reforma, dando así oportunidad al Juzgado de reconsiderar su primitiva decisión y cumpliendo también este recurso de amparo de remedio subsidiario frente a una violación de un derecho constitucional no reparada en la vía judicial ordinaria, que es la que, como este Tribunal ha reiterado, ostenta el papel primario de restablecimiento de tal tipo de derechos.</w:t>
      </w:r>
    </w:p>
    <w:p w:rsidR="00256EE9" w:rsidRDefault="00256EE9" w:rsidP="00256EE9">
      <w:pPr>
        <w:pStyle w:val="TextoNormal"/>
      </w:pPr>
      <w:r>
        <w:t xml:space="preserve">Por grande que sea la flexibilidad con que se interprete la exigencia aludida de la invocación del derecho, a que se refiere el art.  44. 1 c) de la LOTC, no puede en absoluto considerarse cumplida en este caso, como pretende el recurrente en su escrito de alegaciones del presente recurso, al remitirse, a tal efecto, a la quinta de las alegaciones contenidas en su recurso de reforma.  Basta, en efecto, con leerla para darse perfecta cuenta de que tal invocación no aparece en ella por lado alguno: « Ha de destacarse -decía el recurrente- que la no autorización de la entrada en domicilio, en éste como en otros muchos supuestos que sin duda se plantearán, colocaria a la Administración pública en una situación sin salida, en la que se vería imposibilitada para la ejecución de un gran número de las resoluciones de ellas emanadas, con el consiguiente perjuicio para los intereses generales».  « En efecto -prosigue el demandante-, habiendo precisado el Tribunal Constitucional... que la resolución judicial autorizatoria de la entrada en domicilio es necesaria en aplicación de lo preceptuado en el art.  18.2 de la Constitución, aún en aquellas hipótesis en las que tal entrada se lleve a cabo en ejecución de una resolución administrativa dictada en legal forma.  la no </w:t>
      </w:r>
      <w:r>
        <w:lastRenderedPageBreak/>
        <w:t>concesión de la autorización solicitada sería tanto como privar a la Administración de sus características potestades ejecutivas, especialmente habida cuenta de que en el caso de llevarse a cabo la entrada en el domicilio de un particular sin contar con la preceptiva resolución judicial, se incurriría en el delito tipificado en el núm. 1 del art.  191 del Código Penal.» Como se ha visto, ni expresa ni implícitamente puede afirmarse en modo alguno que en la alegación transcrita se contiene la invocación del derecho constitucional consagrado en el art.  24.1 de la Carta fundamental.</w:t>
      </w:r>
    </w:p>
    <w:p w:rsidR="00256EE9" w:rsidRDefault="00256EE9" w:rsidP="00256EE9">
      <w:pPr>
        <w:pStyle w:val="TextoNormal"/>
      </w:pPr>
    </w:p>
    <w:p w:rsidR="00256EE9" w:rsidRDefault="00256EE9" w:rsidP="00256EE9">
      <w:pPr>
        <w:pStyle w:val="TextoNormal"/>
      </w:pPr>
      <w:r w:rsidRPr="00256EE9">
        <w:rPr>
          <w:rStyle w:val="NumeroAFNegritaCaracter"/>
        </w:rPr>
        <w:t>3</w:t>
      </w:r>
      <w:r>
        <w:t>. Aunque bastaría, para declarar la inadmisión del recurso, con constatar, como se ha hecho, la concurrencia del primer motivo, vamos a pasar a examinar, a mayor abundamiento, la del segundo.</w:t>
      </w:r>
    </w:p>
    <w:p w:rsidR="00256EE9" w:rsidRDefault="00256EE9" w:rsidP="00256EE9">
      <w:pPr>
        <w:pStyle w:val="TextoNormal"/>
      </w:pPr>
      <w:r>
        <w:t>A este respecto, es de notar que el demandante, a pesar de reproducir buena parte de los considerandos de la Sentencia núm. 22/1984, de este Tribunal, y, de entre ellos, el que, sin duda, nos parece clave a los efectos de sostener la concurrencia en la demanda de la causa de inadmisión a la que ahora estamos refiriéndonos, no sólo no ha comprendido la tesis que sostiene el Tribunal Constitucional, sino que hace derivar de ella una solución radicalmente contraria a la que se deduce de la misma.</w:t>
      </w:r>
    </w:p>
    <w:p w:rsidR="00256EE9" w:rsidRDefault="00256EE9" w:rsidP="00256EE9">
      <w:pPr>
        <w:pStyle w:val="TextoNormal"/>
      </w:pPr>
      <w:r>
        <w:t>En efecto, la Sentencia núm.  22/1984, entre otras cosas que ahora no hacen al caso, tras declarar que no comparte la tesis según la cual «sólo el Juez que conoce de una causa criminal puede expedir un mandamiento de entrada y registro y que el art.  117.3 y 4 de la Constitución impide al Poder Judicial ejercitar otras funciones que no sean las de juzgar y hacer ejecutar lo juzgado», afirma no sólo que «la Autoridad judicial está investida de la suficiente potestad para otorgar las autorizaciones de entrada y registro, de la misma manera que ocurre en el apartado 3 del art. 18, donde se inviste a los Jueces de potestad para permitir el levantamiento parcial del secreto de las comunicaciones», sino, aún más claramente, que «ante todo, hay que dejar claro que el Juez a quien se confiere la protección del derecho fundamental a la inviolabilidad del domicilio no es necesariamente el Juez penal encargado de una instrucción sumarial, el cual sólo tiene que intervenir cuando la entrada en un domicilio guarde relación directa con la investigación sumarial que lleve a cabo».  Y concluye: «Nada permite inferir que ningún orden jurisdiccional -fuera del Juez penal- puede intervenir cuando se le solicite la autorización para la entrada en el domicilio de una persona» (fundamento jurídico 3).</w:t>
      </w:r>
    </w:p>
    <w:p w:rsidR="00256EE9" w:rsidRDefault="00256EE9" w:rsidP="00256EE9">
      <w:pPr>
        <w:pStyle w:val="TextoNormal"/>
      </w:pPr>
      <w:r>
        <w:t>Es decir, el Tribunal Constitucional deja muy claro en la Sentencia citada que el Juez penal no ostenta el monopolio de las autorizaciones para la entrada y registro en los domicilios, con lo que está dando a entender que también pueden ser competentes, por ejemplo, los Jueces civiles, concretamente, en aquellos supuestos en los que no exista relación directa entre la necesidad de obtener dicha autorización y la persecución de un delito.</w:t>
      </w:r>
    </w:p>
    <w:p w:rsidR="00256EE9" w:rsidRDefault="00256EE9" w:rsidP="00256EE9">
      <w:pPr>
        <w:pStyle w:val="TextoNormal"/>
      </w:pPr>
      <w:r>
        <w:t>En consecuencia, no existiendo en el supuesto que está a la base del presente recurso tal relación, no es inconstitucional la denegación de la autorización requerida por parte del Juzgado de Instrucción sobre la base implícita de su incompetencia en la materia.</w:t>
      </w:r>
    </w:p>
    <w:p w:rsidR="00256EE9" w:rsidRDefault="00256EE9" w:rsidP="00256EE9">
      <w:pPr>
        <w:pStyle w:val="TextoNormal"/>
      </w:pPr>
      <w:r>
        <w:t>Con lo que es a todas luces evidente que el susodicho Juzgado no ha cometido en este caso, por el hecho de haber producido tal denegación, violación alguna del derecho a la tutela judicial efectiva del ahora demandante de amparo.</w:t>
      </w:r>
    </w:p>
    <w:p w:rsidR="00256EE9" w:rsidRDefault="00256EE9" w:rsidP="00256EE9">
      <w:pPr>
        <w:pStyle w:val="TextoNormal"/>
      </w:pPr>
      <w:r>
        <w:t xml:space="preserve">Este Tribunal ha reiterado en varias resoluciones que la declaración de incompetencia por parte de un órgano jurisdiccional es perfectamente regular y lícita desde el punto de vista del art. 24.1 de la Constitución (Sentencia núm.  49/1983, fundamento jurídico 7) y que la declaración de incompetencia de jurisdicción por un Juez o Tribunal de un orden determinado no priva en modo alguno a los ciudadanos del derecho a la tutela judicial </w:t>
      </w:r>
      <w:r>
        <w:lastRenderedPageBreak/>
        <w:t>efectiva que pueden obtener accediendo a los órganos del orden jurisdiccional competente (Autos de 13 de abril de 1983 y de 27 de junio de 1984, en asuntos núms. 216/1982 y 274/184, respectivamente), ya que, como también se ha señalado por este mismo Tribunal (Auto de 18 de enero de 1984, en asunto 64/1983), el conocimiento sobre el fondo del asunto por los Jueces y Tribunales ordinarios está condicionado a que se cumplan los requisitos legales necesarios, entre ellos, el de la competencia, por lo que no cabe confundir la falta de protección judicial con la declaración de incompetencia de jurisdicción cuando ésta se razona y fundamenta en Derecho.</w:t>
      </w:r>
    </w:p>
    <w:p w:rsidR="00256EE9" w:rsidRDefault="00256EE9" w:rsidP="00256EE9">
      <w:pPr>
        <w:pStyle w:val="TextoNormal"/>
      </w:pPr>
      <w:r>
        <w:t>Bien entendido que no puede aplicarse al presente supuesto, por ser notoriamente diverso del contemplado en ella, la doctrina contenida en la Sentencia de este Tribunal núm. 43/1984, según la cual, dado el carácter tuitivo de la legislación laboral, la declaración de incompetencia en la jurisdicción laboral debe hacerse previniendo al demandante ante quién y cómo puede hacer uso de su derecho (fundamento juridico 2).</w:t>
      </w:r>
    </w:p>
    <w:p w:rsidR="00256EE9" w:rsidRDefault="00256EE9" w:rsidP="00256EE9">
      <w:pPr>
        <w:pStyle w:val="TextoNormal"/>
      </w:pPr>
      <w:r>
        <w:t>Por todo ello, el que el Juzgado de Instrucción se haya abstenido de indicar cuál era el órgano y el orden jurisdiccional competente para conocer de la pretensión del Excmo. Ayuntamiento de Madrid no ha violado el derecho a la tutela judicial efectiva de éste, consagrado en el art.  24.1 de la Constitución.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la inadmisión del recurso de amparo formulado por la representación procesal del Excmo. Ayuntamiento de Madrid, asi como el archivo de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34" w:name="AUTO_1985_273"/>
      <w:r>
        <w:lastRenderedPageBreak/>
        <w:t>AUTO 273/1985, de 24 de abril de 1985</w:t>
      </w:r>
    </w:p>
    <w:bookmarkEnd w:id="334"/>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ECLI:ES:TC:1985:273A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23/1985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José Luis Rodríguez Pereira, Procurador de los Tribunales, interpone en nombre y representación de don Mariano Felipe Marrondo recurso de amparo constitucional contra la Sentencia de 10 de diciembre de 1984 dictada por la Magistratura de Trabajo núm. 4 de las de Málaga sustanciando demanda en reclamación por sanción. </w:t>
      </w:r>
    </w:p>
    <w:p w:rsidR="00256EE9" w:rsidRDefault="00256EE9" w:rsidP="00256EE9">
      <w:pPr>
        <w:pStyle w:val="TextoNormal"/>
      </w:pPr>
      <w:r>
        <w:t>La pretensión que se postula, se apoya en los siguientes hechos: a) El actor, que presta servicios por cuenta de la empresa «Banco Hispano Americano, S. A.», con la categoría profesional de Jefe 1.ª en plaza del Grupo C, recibió escrito en fecha 11 de junio de 1984, datado de 7 de mayo de ese mismo año, en el que se le comunicaba, a resultas de las irregularidades advertidas sobre su actuación como Director de la Sucursal de dicha Empresa en la localidad de Estepona, la imposición de la sanción de pérdida de categoría, pasando por consiguiente a ser reclasificado como Oficial 1.ª en puesto acorde a sus aptitudes y conocimientos. b) Promovida demanda en reclamación por sanción ante la jurisdicción ordinaria del orden laboral, la Magistratura de Trabajo núm. 4 de las de Málaga dictó Sentencia en 10 de diciembre de 1984 cuyo fallo declaró lo siguiente: «Que desestimando las excepciones formuladas por la representación de la parte demandante y estimando sólo parcialmente la demanda interpuesta (... ) debo dejar y dejo sin efecto la sanción impugnada que habrá de quedar sustituida por la pérdida de categoría, pasando a ser reclasificado como Jefe de 4.ª C y acoplado en consecuencia a un puesto acorde con tal categoría.» En la referida Sentencia se advertía a las partes que contra la misma no cabía recurso alguno de conformidad con lo establecido en el art. 105 de la Ley de Procedimiento Laboral.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escrito de demanda denuncia la violación por la Sentencia recurrida de los arts. 14 y 24 de la C.E. En el decir del recurrente, el principio de igualdad ante la Ley se habría infringido por las siguientes razones: a) por no otorgar recurso contra la Sentencia dictada, al amparo de lo establecido en el art. 105 de la Ley rituaria laboral «sin haber promovido cuestión de inconstitucionalidad de oficio (... ), produciendo una violación de los derechos individuales al provocar la indefensión»; b) por considerar interrumpido el plazo de prescripción que previene el art. 60.2 del Estatuto de los Trabajadores (E.T.) en razón de haber pasado el recurrente a situación de «invalidez laboral transitoria, cuando tal situación no interrumpe la caducidad, tal y como sostiene reiterada jurisprudencia, en las decisiones de empresa en el ámbito sancionador y por tanto, en aras de la igualdad ante la Ley, no puede </w:t>
      </w:r>
      <w:r>
        <w:lastRenderedPageBreak/>
        <w:t xml:space="preserve">ser invocada en contra», y c ) por admitir la Magistratura que la carta de sanción reúne los requisitos esenciales, cuando todo su relato «es genérico y sin ninguna concreción». De su lado, el derecho a la tutela judicial efectiva se habría vulnerado por los motivos siguientes: a) por no decretar la Sentencia la nulidad de la sanción, al no reunir el escrito comunicativo de la misma las exigencias legales establecidas en los arts. 55.1 y 58.2 del E. T.; b) al no aplicarse la prescripción «apreciada en los hechos por la Magistratura»; c) por admitir la Magistratura «en el acto del juicio hechos no reflejados en la carta de sanción», produciendo una indefensión en el recurrente imposibilitado «para rebatir las imputaciones aparecidas y no comunicadas en la carta de sanción», así como para aportar los elementos necesarios para negarlos, otorgando de ese modo a la Empresa «una patente de corso» para imputar hechos; d) por establecer «gratuitamente» que el contrato de trabajo estaba suspendido por motivo de enfermedad, siendo así que el art. 45.1 c) del E.T. prevé (que podrá suspenderse, pero no es imperativo, como lo prueba el hecho de que el actor y la Empresa han mantenido en el tiempo el contrato de trabajo, ni consta en autos y por tanto irrelevante a efectos de la pretendida interrupción de plazos a efectos prescriptivos de las supuestas faltas». </w:t>
      </w:r>
    </w:p>
    <w:p w:rsidR="00256EE9" w:rsidRDefault="00256EE9" w:rsidP="00256EE9">
      <w:pPr>
        <w:pStyle w:val="TextoNormal"/>
      </w:pPr>
      <w:r>
        <w:t>En el «suplico» se interesa de este Tribunal que decrete la nulidad de la Sentencia recurrida, así como que declare la inconstitucionalidad del art. 105 de la Ley de Procedimiento Laboral, restableciendo al recurrente en su categoría de Jefe de primera en plaza del Grupo C, como Director de la Sucursal de la Entidad bancaria demandada, en Estepona.</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23 de febrero de 1985, la Sección acordó, tras tener por interpuesto el presente recurso de amparo, otorgar un plazo común de diez días al Ministerio Fiscal y al recurrente a fin de que, dentro de dicho plazo, aleguen lo pertinente en relación con la posible existencia del motivo de inadmisión, consistente en carecer la demanda manifiestamente de contenido que justifique una decisión por parte de este Tribunal [art. 50.2 b) de la Ley Orgánica del Tribunal Constitucional -LOTC-]. </w:t>
      </w:r>
    </w:p>
    <w:p w:rsidR="00256EE9" w:rsidRDefault="00256EE9" w:rsidP="00256EE9">
      <w:pPr>
        <w:pStyle w:val="TextoNormal"/>
      </w:pPr>
      <w:r>
        <w:t xml:space="preserve">a) Evacuando el trámite, el Fiscal ante el Tribunal Constitucional, después de exponer los hechos y fundamentos de Derecho, manifiesta la falta de contenido constitucional de la demanda. En primer lugar, por cuanto, como el propio Tribunal Constitucional ha declarado reiteradamente, el sistema de doble instancia no es obligado, por lo que el párrafo último del art. 105 de la L.P.L., no produce indefensión, la cual tampoco ha tenido lugar por el alegado desconocimiento de los hechos origen de la sanción, ya que el tema fue tratado por la Sentencia recurrida. Finalmente, la resolución judicial razona la no concurrencia de la prescripción de la falta, lo que permite afirmar la ausencia de violación del art. 24.1 al tratarse de una cuestión de mera legalidad. </w:t>
      </w:r>
    </w:p>
    <w:p w:rsidR="00256EE9" w:rsidRDefault="00256EE9" w:rsidP="00256EE9">
      <w:pPr>
        <w:pStyle w:val="TextoNormal"/>
      </w:pPr>
      <w:r>
        <w:t xml:space="preserve">En razón de lo expuesto, el Ministerio Fiscal interesa del Tribunal dicte Auto decretando la inadmisión del recurso por concurrir la causa prevista en el art. 50.2 b) de la LOTC. </w:t>
      </w:r>
    </w:p>
    <w:p w:rsidR="00256EE9" w:rsidRDefault="00256EE9" w:rsidP="00256EE9">
      <w:pPr>
        <w:pStyle w:val="TextoNormal"/>
      </w:pPr>
      <w:r>
        <w:t>b) En su escrito de alegaciones, el actor destaca, fundamentalmente, la violación del principio de igualdad causada por privársele de recurso, siendo así que tiene derecho a recibir igual trato por ser su situación sustancialmente idéntica a la de quienes pueden recurrir al amparo del art. 137 de la L.P.L. Se suplica al Tribunal admitir a trámite el recurso.</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Entremezclando narración de hechos y alegato jurídico, el recurrente denuncia la vulneración por la Sentencia recurrida de los arts. 14 y 24.1 de la C.E.  en base a una heterogénea serie de motivos, todos los cuales, no obstante, giran en torno a tres aspectos: desestimación de la excepción de prescripción de la falta, fijación de los hechos constitutivos de la sanción impugnada e irrecurribilidad de la resolución ahora combatida en amparo.</w:t>
      </w:r>
    </w:p>
    <w:p w:rsidR="00256EE9" w:rsidRDefault="00256EE9" w:rsidP="00256EE9">
      <w:pPr>
        <w:pStyle w:val="TextoNormal"/>
      </w:pPr>
    </w:p>
    <w:p w:rsidR="00256EE9" w:rsidRDefault="00256EE9" w:rsidP="00256EE9">
      <w:pPr>
        <w:pStyle w:val="TextoNormal"/>
      </w:pPr>
      <w:r w:rsidRPr="00256EE9">
        <w:rPr>
          <w:rStyle w:val="NumeroAFNegritaCaracter"/>
        </w:rPr>
        <w:t>2</w:t>
      </w:r>
      <w:r>
        <w:t>. Arguye el recurrente que la decisión del juzgador de desestimar la excepción de prescripción de las faltas por las que la Entidad bancaria en la que presta servicios le sancionó, vulnera los derechos de igualdad ante la Ley y de defensa que consagran, respectivamente, los arts.  14 y 24.1 de la C.E.  El primero, por aplicar el Magistrado el instituto de la interrupción de la prescripción de faltas en razón de encontrarse el hoy solicitante de amparo en situación de «invalidez laboral transitoria», siendo así que la jurisprudencia ha señalado que dicha situación « no interrumpe la caducidad en las decisiones de la Empresa de ámbito sancionador».  El segundo, de su lado, se infringe por la interpretación errónea de los arts. 60.2 del E.T., que establece unas reglas de prescripción que no han sido aplicadas, y 45.1 c) del mismo texto legislativo, que se limita a fijar el carácter «no imperativo» de la suspensión del contrato por «« invalidez laboral transitoria» y del que no cabe deducir consecuencias relevantes en orden a la interrupción de plazos a efectos prescriptivos.</w:t>
      </w:r>
    </w:p>
    <w:p w:rsidR="00256EE9" w:rsidRDefault="00256EE9" w:rsidP="00256EE9">
      <w:pPr>
        <w:pStyle w:val="TextoNormal"/>
      </w:pPr>
      <w:r>
        <w:t>Las alegaciones del recurrente que se acaban de exponer resumidamente carecen, sin embargo, de toda conexión constitucional.</w:t>
      </w:r>
    </w:p>
    <w:p w:rsidR="00256EE9" w:rsidRDefault="00256EE9" w:rsidP="00256EE9">
      <w:pPr>
        <w:pStyle w:val="TextoNormal"/>
      </w:pPr>
      <w:r>
        <w:t>Ello es evidente, desde luego, en lo que se refiere a la presunta vulneración del derecho a la tutela judicial efectiva bajo cuyo amparo no otro cosa se está haciendo que combatir los criterios de interpretación de la legalidad ordinaria elaborados con plena competencia por un órgano judicial en ejercicio de la función constitucional que le es propia (art.  117.3 de la C.E.). Sin entrar a enjuiciar el acierto o desacierto de tales criterios, este Tribunal ha señalado con insistencia, que el recurrente no debería haber ignorado, que el contenido del derecho a la tutela judicial no comprende el derecho a la satisfacción de las pretensiones postuladas, de suerte que la decisión judicial de desestimar, con fundamentación razonada, la excepción de prescripción de la falta alegada en el acto de juicio no infringe derecho constitucional alguno ni causa indefensión, pues el recurrente ha tenido oportunidad en el curso del proceso de hacer valer, sin merma ni impedimento alguno, dicha excepción.</w:t>
      </w:r>
    </w:p>
    <w:p w:rsidR="00256EE9" w:rsidRDefault="00256EE9" w:rsidP="00256EE9">
      <w:pPr>
        <w:pStyle w:val="TextoNormal"/>
      </w:pPr>
    </w:p>
    <w:p w:rsidR="00256EE9" w:rsidRDefault="00256EE9" w:rsidP="00256EE9">
      <w:pPr>
        <w:pStyle w:val="TextoNormal"/>
      </w:pPr>
      <w:r w:rsidRPr="00256EE9">
        <w:rPr>
          <w:rStyle w:val="NumeroAFNegritaCaracter"/>
        </w:rPr>
        <w:t>3</w:t>
      </w:r>
      <w:r>
        <w:t>. Similar irrelevancia constitucional tiene la pretendida violación del art.  14 de la C.E.  Pese a que el recurrente manifiesta haber incurrido la Sentencia combatida en una desigualdad ante la Ley, el examen de la argumentación que sirve de soporte a esta presunta violación muestra que lo que se quiere denunciar es la desigualdad en la aplicación de la Ley.  Al efecto, se menciona la existencia de ««una reiterada jurisprudencia» laboral a tenor de la cual la enfermedad del trabajador no interrumpe los plazos de caducidad, citándose en concreto dos Sentencias del Tribunal Central de Trabajo de 1976 y 1978.</w:t>
      </w:r>
    </w:p>
    <w:p w:rsidR="00256EE9" w:rsidRDefault="00256EE9" w:rsidP="00256EE9">
      <w:pPr>
        <w:pStyle w:val="TextoNormal"/>
      </w:pPr>
      <w:r>
        <w:t xml:space="preserve">Dado de lado la errónea tipificación de la infracción alegada, las tesis del recurrente son de todo punto insostenibles.  Primeramente, por cuanto los términos de comparación esgrimidos son arbitrarios, ya que las dos Sentencias citadas se refieren al instituto de la caducidad y no al de la prescripción y contemplan supuestos de hecho diferentes.  Pero además y sobre todo por cuanto lo que se denuncia no sería reconducible al terreno de la </w:t>
      </w:r>
      <w:r>
        <w:lastRenderedPageBreak/>
        <w:t>igualdad en la aplicación de la Ley sino, y ello es bien diferente, al de la presunta infracción, por violación, de doctrina legal.  Nuevamente, lo que combate el actor son los criterios de interpretación de la legalidad ordinaria, pretensión ésta que se intenta revestir, sin éxito alguno, de contenido constitucional.</w:t>
      </w:r>
    </w:p>
    <w:p w:rsidR="00256EE9" w:rsidRDefault="00256EE9" w:rsidP="00256EE9">
      <w:pPr>
        <w:pStyle w:val="TextoNormal"/>
      </w:pPr>
    </w:p>
    <w:p w:rsidR="00256EE9" w:rsidRDefault="00256EE9" w:rsidP="00256EE9">
      <w:pPr>
        <w:pStyle w:val="TextoNormal"/>
      </w:pPr>
      <w:r w:rsidRPr="00256EE9">
        <w:rPr>
          <w:rStyle w:val="NumeroAFNegritaCaracter"/>
        </w:rPr>
        <w:t>4</w:t>
      </w:r>
      <w:r>
        <w:t>. El segundo aspecto que concentra distintos motivos de impugnación de la Sentencia recurrida alude a los hechos imputados al actor, base de la sanción impuesta.  En esquemática síntesis, la línea argumentativa es la siguiente: de un lado, se dice que la denominada «carta de sanción» no se ajustó en su contenido a las exigencias previstas en los arts. 55.1 y 58.2 del E.T., ya que no concretaba los hechos imputados; de otro, se arguye que el Juez permitió a la Entidad demandada «una ampliación detallada» de aquella carta.  Uno y otro extremo producen indefensión: el primero «por admitir como correctos unos requisitos distintos a los concretos que señalan» los artículos que se invocan del E.T.; el segundo, por privar al actor de aprestar los elementos probatorios necesarios para demostrar « su total o parcial inexactitud, probar su imputabilidad o cualesquiera otra excepción», atribuyendo al Banco «una patente de corso para imputar hechos».</w:t>
      </w:r>
    </w:p>
    <w:p w:rsidR="00256EE9" w:rsidRDefault="00256EE9" w:rsidP="00256EE9">
      <w:pPr>
        <w:pStyle w:val="TextoNormal"/>
      </w:pPr>
      <w:r>
        <w:t>Además, el primer extremo lesiona el principio de igualdad ante la Ley.</w:t>
      </w:r>
    </w:p>
    <w:p w:rsidR="00256EE9" w:rsidRDefault="00256EE9" w:rsidP="00256EE9">
      <w:pPr>
        <w:pStyle w:val="TextoNormal"/>
      </w:pPr>
      <w:r>
        <w:t>En relación con las presuntas lesiones al principio de igualdad y al derecho a la tutela judicial efectiva por interpretación errónea de los arts.  55.1 y 58.2 del E.T., poco se puede añadir a lo ya indicado con anterioridad.</w:t>
      </w:r>
    </w:p>
    <w:p w:rsidR="00256EE9" w:rsidRDefault="00256EE9" w:rsidP="00256EE9">
      <w:pPr>
        <w:pStyle w:val="TextoNormal"/>
      </w:pPr>
      <w:r>
        <w:t>El recurrente sortea la naturaleza del recurso de amparo y con insistencia pretende convertir este proceso constitucional en una nueva instancia revisora de la legalidad aplicada por los Tribunales ordinarios.  Determinar cuáles son los requisitos que han de reunir los escritos por los que se comunica a los trabajadores la imposición de sanciones por incumplimiento de sus deberes contractuales, estableciendo si son o no aplicables a tales escritos los previstos por la Ley para las sanciones consistentes en despido, v precisar si en el caso a examen concurrían o no tales requisitos, son cuestiones que carecen de toda relevancia constitucional y sobre las que este Tribunal no tiene que emitir pronunciamientos, pues es claro que el art. 24.1 de la Constitución no formula derecho alguno al respecto.</w:t>
      </w:r>
    </w:p>
    <w:p w:rsidR="00256EE9" w:rsidRDefault="00256EE9" w:rsidP="00256EE9">
      <w:pPr>
        <w:pStyle w:val="TextoNormal"/>
      </w:pPr>
      <w:r>
        <w:t>Algunas observaciones merecen, sin embargo, la presunta violación por la Sentencia combatida del derecho a la defensa por haber permitido a la Entidad bancaria, en opinión del recurrente, introducir en el proceso unos hechos por éste desconocidos y respecto de los cuales no ha podido defenderse.</w:t>
      </w:r>
    </w:p>
    <w:p w:rsidR="00256EE9" w:rsidRDefault="00256EE9" w:rsidP="00256EE9">
      <w:pPr>
        <w:pStyle w:val="TextoNormal"/>
      </w:pPr>
    </w:p>
    <w:p w:rsidR="00256EE9" w:rsidRDefault="00256EE9" w:rsidP="00256EE9">
      <w:pPr>
        <w:pStyle w:val="TextoNormal"/>
      </w:pPr>
      <w:r w:rsidRPr="00256EE9">
        <w:rPr>
          <w:rStyle w:val="NumeroAFNegritaCaracter"/>
        </w:rPr>
        <w:t>5</w:t>
      </w:r>
      <w:r>
        <w:t>. El argumento central del alegato jurídico, que se reitera desde ángulos distintos, reside en estimar que el Magistrado quebrantó el derecho de defensa al admitir que la parte demandada en el proceso laboral aportase, en el acto del juicio oral, nuevos hechos que venían a ampliar los contenidos en la carta de sanción y que el recurrente no pudo rebatir.  Pero este argumento no puede en modo alguno ser compartido.  Y ello por diversas razones.</w:t>
      </w:r>
    </w:p>
    <w:p w:rsidR="00256EE9" w:rsidRDefault="00256EE9" w:rsidP="00256EE9">
      <w:pPr>
        <w:pStyle w:val="TextoNormal"/>
      </w:pPr>
      <w:r>
        <w:t xml:space="preserve">En primer lugar, por cuanto la detenida comparación entre los hechos contenidos en la carta de sanción, que la Sentencia de instancia recoge en el segundo resultando del relato fáctico, y los hechos calificados como desconocidos, igualmente recogidos por aquélla en el sexto resultando de la narración fáctica, evidencia la inexistencia del desajuste alegado, tal y como con fundamento razonable manifiesta el Magistrado, destacando que el actor «quedó enterado mediante su firma en los correspondientes documentos de todas y cada una de las operaciones concretas en las que habia contraído riesgos desproporcionados a la solvencia de la Entidad deudora, o incumpliendo la autorización previa para la concesión </w:t>
      </w:r>
      <w:r>
        <w:lastRenderedPageBreak/>
        <w:t>de descubiertos».  En segundo lugar, por cuanto el derecho de defensa que el art. 24.1 de la C.E. consagra no comprende, como de contrario entiende el recurrente, la obligación de un litigante de poner en conocimiento de la otra parte, en todas sus circunstancias y matices, los medios que va a utilizar en juicio para hacer valer sus tesis. En un proceso como el laboral, dominado por el principio contradictorio, el derecho constitucional de defensa implica en lo sustancial la oportunidad de las partes para, en situación de igualdad, alegar y probar cuanto estimen pertinente con vistas al logro de sus pretensiones; y desde esta perspectiva no hay la menor huella de que la Sentencia combatida haya causado indefensión al actor. Por lo demás y como ya se ha señalado, el control de legalidad, formal y sustantiva, de ciertos escritos extraprocesales con relevancia procesal compete en exclusiva a los Tribunales ordinarios.</w:t>
      </w:r>
    </w:p>
    <w:p w:rsidR="00256EE9" w:rsidRDefault="00256EE9" w:rsidP="00256EE9">
      <w:pPr>
        <w:pStyle w:val="TextoNormal"/>
      </w:pPr>
    </w:p>
    <w:p w:rsidR="00256EE9" w:rsidRDefault="00256EE9" w:rsidP="00256EE9">
      <w:pPr>
        <w:pStyle w:val="TextoNormal"/>
      </w:pPr>
      <w:r w:rsidRPr="00256EE9">
        <w:rPr>
          <w:rStyle w:val="NumeroAFNegritaCaracter"/>
        </w:rPr>
        <w:t>6</w:t>
      </w:r>
      <w:r>
        <w:t>. Finalmente, el recurrente denuncia la violación del art.  14 de la C.E. por declarar la resolución recurrida que contra la misma no cabe recurso alguno, entendiendo el demandante que el precepto de la L.P.L. que excluye los procesos por sanciones de los recursos extraordinarios produce indefensión.  Con independencia del error conceptual que implica deducir indefensión en base a la infracción del princicipio de igualdad, la alegación recogida está privada de toda fundamentación.</w:t>
      </w:r>
    </w:p>
    <w:p w:rsidR="00256EE9" w:rsidRDefault="00256EE9" w:rsidP="00256EE9">
      <w:pPr>
        <w:pStyle w:val="TextoNormal"/>
      </w:pPr>
      <w:r>
        <w:t>Partiendo de la tesis tantas veces expuesta por el Tribunal de que la Constitución no consagra el derecho al doble enjuiciamiento salvo en materia penal y que, por tanto, compete al legislador arbitrar los medios impugnatorios que estime convenientes de conformidad con los criterios que juzgue oportunos, no puede estimarse atentatorio al principio de igualdad la regla establecida en el último apartado del art. 105 de la L.P.L.</w:t>
      </w:r>
    </w:p>
    <w:p w:rsidR="00256EE9" w:rsidRDefault="00256EE9" w:rsidP="00256EE9">
      <w:pPr>
        <w:pStyle w:val="TextoNormal"/>
      </w:pPr>
      <w:r>
        <w:t>La aplicación por la Sentencia impugnada de los criterios ordenadores de los recursos no infringe, por tanto, el principio de igualdad, que evidentemente no ampara la pretensión de obtener las consecuencias jurídicas previstas para situaciones de hecho diferentes, careciendo de toda relevancia la equiparación que el escrito de alegaciones ensaya entre este supuesto y el resuelto por la Sentencia 51/1982, de 19 de julio, del Tribunal Constitucional, que declaró la inconstitucionalidad del último párrafo del art.  137. de la L.P.L. por razones que, ni desde una perspectiva formal ni de otra material, concurren en el art.  105 de ese mismo texto legislativo ahora examinado.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declarar inadmisible el amparo promovido por don Mariano F. Marrondo Pelayo, y archivar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35" w:name="AUTO_1985_274"/>
      <w:r>
        <w:lastRenderedPageBreak/>
        <w:t>AUTO 274/1985, de 24 de abril de 1985</w:t>
      </w:r>
    </w:p>
    <w:bookmarkEnd w:id="335"/>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ECLI:ES:TC:1985:274A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el archivo de las actuaciones en el procedimiento 34/1985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que tuvo entrada en el Registro de este Tribunal el día 14 de enero de 1985, don Juan Castro de la Torre solicita que se le abonen los atrasos incrementados en los intereses legales y el ingreso mensual en nomina para el futuro, correspondientes a la Cruz de la Real y Militar Orden de San Hermenegildo, que le fue concedida por Orden ministerial de 5 de octubre de 1959 y cuya Asamblea le dio de baja de la misma por acuerdo de 5 de febrero de 1970.</w:t>
      </w:r>
    </w:p>
    <w:p w:rsidR="00256EE9" w:rsidRDefault="00256EE9" w:rsidP="00256EE9">
      <w:pPr>
        <w:pStyle w:val="TextoNormal"/>
      </w:pPr>
    </w:p>
    <w:p w:rsidR="00256EE9" w:rsidRDefault="00256EE9" w:rsidP="00256EE9">
      <w:pPr>
        <w:pStyle w:val="TextoNormal"/>
      </w:pPr>
      <w:r w:rsidRPr="00256EE9">
        <w:rPr>
          <w:rStyle w:val="NumeroAFNegritaCaracter"/>
        </w:rPr>
        <w:t>2</w:t>
      </w:r>
      <w:r>
        <w:t>. Según el demandante, aparte de que tal acuerdo no fue publicado y se funda en hechos anteriores a la concesión de la mencionada distinción, la desposesión de la citada Cruz equivale a una sanción retroactiva, no favorable o restrictiva, prevista en el art. 9.3 de la Constitución, añadiendo que la decisión de la Asamblea de la Orden mencionada vulnera de alguna manera el art. 33.3 de la misma Carta fundamental.</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del pasado día 20 de febrero la Sección acordó tener por recibido el escrito del señor Castro, así como hacerle saber la concurrencia del motivo de inadmisión de carácter subsanable consistente en la falta de postulación, al no estar representado por Procurador ni actuar bajo la dirección de Letrado, según lo dispuesto en el art. 81.1 de la Ley Orgánica del Tribunal Constitucional (LOTC), por lo que, en virtud de lo dispuesto en el art. 85.2 de la citada Ley Orgánica, se concedió al recurrente un plazo de diez días, a fin de que, dentro del mismo, procediera a la subsanación del defecto procesal indicado, advirtiéndole que, verificada dicha subsanación, se podría pasar al trámite de inadmisión que establece el art. 50 de la LOTC, por la posible concurrencia de los siguientes motivos de carácter insubsanable: a) ser la demanda defectuosa al no haberse agotado la vía judicial procedente [art. 50.1 b) de la LOTC, en relación con el art. 43.1, in fine, del mismo texto legal]; b) deducirse la demanda respecto de derechos o libertades no susceptibles de amparo constitucional [art. 50.2 a)], y c) carecer la demanda manifiestamente de contenido que justifique una decisión por parte del Tribunal Constitucional [art. 50 2 b) de la LOTC].</w:t>
      </w:r>
    </w:p>
    <w:p w:rsidR="00256EE9" w:rsidRDefault="00256EE9" w:rsidP="00256EE9">
      <w:pPr>
        <w:pStyle w:val="TextoNormal"/>
      </w:pPr>
    </w:p>
    <w:p w:rsidR="00256EE9" w:rsidRDefault="00256EE9" w:rsidP="00256EE9">
      <w:pPr>
        <w:pStyle w:val="TextoNormalNegritaCentrado"/>
        <w:keepNext/>
      </w:pPr>
      <w:r>
        <w:lastRenderedPageBreak/>
        <w:t>II. Fundamentos jurídicos</w:t>
      </w:r>
    </w:p>
    <w:p w:rsidR="00256EE9" w:rsidRDefault="00256EE9" w:rsidP="00256EE9">
      <w:pPr>
        <w:pStyle w:val="TextoNormalNegritaCentrado"/>
        <w:keepNext/>
      </w:pPr>
    </w:p>
    <w:p w:rsidR="00256EE9" w:rsidRDefault="00256EE9" w:rsidP="00256EE9">
      <w:pPr>
        <w:pStyle w:val="TextoNormal"/>
      </w:pPr>
      <w:r>
        <w:t>Unico.  Transcurrido ampliamente el plazo concedido al recurrente en providencia del pasado día 20 de febrero sin que el mismo procediera a subsanar el defecto de falta de postulación, esta circunstancia produce, conforme a una ya reiterada jurisprudencia de este Tribunal, la caducidad del recurso, sin necesidad de entrar a examinar los otros posibles motivos de inadmisión de la demanda, pues, en realidad, no se trata de una causa de inadmisión insubsanable o no subsanada, sino de la ausencia del requisito previo para proceder al propio enjuiciamiento de la admisión del recurso de amparo.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la Sección acuerda estimar producida la extinción del proceso abierto por el escrito de demanda formulado por don Juan Castro de la Torre, y el archivo de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36" w:name="AUTO_1985_275"/>
      <w:r>
        <w:lastRenderedPageBreak/>
        <w:t>AUTO 275/1985, de 24 de abril de 1985</w:t>
      </w:r>
    </w:p>
    <w:bookmarkEnd w:id="336"/>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ECLI:ES:TC:1985:275A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inadmisión a trámite del recurso de amparo 105/1985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Doña Rosina Montes Agustí, Procuradora de los Tribunales, interpone en nombre y representación de doña Josefa Gutiérrez Marín recurso de amparo constitucional contra la Sentencia de la Audiencia Provincial de Santander de 28 de enero de 1985, desestimatoria del recurso de apelación promovido por la actora frente a la resolución dictada por el Juzgado de Distrito de Castro Urdiales en autos sobre resolución de contrato de arrendamiento de finca rústica. Los hechos en que se fundamenta la demanda son los siguientes: </w:t>
      </w:r>
    </w:p>
    <w:p w:rsidR="00256EE9" w:rsidRDefault="00256EE9" w:rsidP="00256EE9">
      <w:pPr>
        <w:pStyle w:val="TextoNormal"/>
      </w:pPr>
      <w:r>
        <w:t xml:space="preserve">a) El 27 de febrero de 1984, la entidad Banco Español de Crédito, S. A., formuló, ante el Juzgado de Distrito de Castro Urdiales, demanda a seguir por los trámites del juicio de cognición contra don Jesús Manuel Pico Ibarguren y doña Josefa Gutiérrez Marín sobre ejercicio de la acción resolutoria del contrato de arrendamiento rústico, alegando en síntesis ser dueño de una finca rústica adquirida por adjudicación de la misma que le hizo el Juzgado de Primera Instancia núm. 12 de los de Madrid, como consecuencia de procedimiento ejecutivo de la Ley Hipotecaria contra su anterior propietario, don Ramón Peña Aznar, quien hacia 1944 ó 1945 la arrendó a los demandados, los cuales desde entonces la vienen aprovechando sin interrupción. </w:t>
      </w:r>
    </w:p>
    <w:p w:rsidR="00256EE9" w:rsidRDefault="00256EE9" w:rsidP="00256EE9">
      <w:pPr>
        <w:pStyle w:val="TextoNormal"/>
      </w:pPr>
      <w:r>
        <w:t xml:space="preserve">En la indicada demanda, la parte actora señalaba haber requerido en fecha 25 de mayo de 1981 a los demandados dejar la finca a su libre disposición por haberse resuelto el contrato de arrendamiento en aplicación de lo prevenido en la nueva Ley de Arrendamientos Rústicos, requerimiento que fue contestado el 11 de junio de ese mismo año. La demanda suplicaba del Juzgado dictase Sentencia estimatoria de sus pretensiones. . </w:t>
      </w:r>
    </w:p>
    <w:p w:rsidR="00256EE9" w:rsidRDefault="00256EE9" w:rsidP="00256EE9">
      <w:pPr>
        <w:pStyle w:val="TextoNormal"/>
      </w:pPr>
      <w:r>
        <w:t xml:space="preserve">b) Admitida a trámite, se dio traslado de la demanda a los demandados, quienes se opusieron a la misma, manifestando: 1) no reconocer a la demandante como propietario legitimo de la finca; 2) desconocer la transmisión de la propiedad, pues ni transmitente ni adquirente comunicaron la enajenación efectuada, lo que constituye un requisito necesario; 3) haber adquirido la condición de arrendatarios en abril de 1970, fecha en que suscribieron contrato de arrendamiento con don Ramón Peña Aznar, y 4) habérseles ocultado las condiciones de enajenación precisa para poder haber utilizado los derechos de tanteo y retracto. En su escrito de contestación, los demandados formularon demanda reconvencional, solicitando fuera declarado su derecho a ejercitar los derechos de tanteo y retracto. </w:t>
      </w:r>
    </w:p>
    <w:p w:rsidR="00256EE9" w:rsidRDefault="00256EE9" w:rsidP="00256EE9">
      <w:pPr>
        <w:pStyle w:val="TextoNormal"/>
      </w:pPr>
      <w:r>
        <w:t xml:space="preserve">c) En el escrito de contestación a la demanda reconvencional, la sociedad mercantil Banco Español de Crédito, S. A. se opuso a la misma, señalando los siguientes hechos y fundamentos de Derecho: 1) desconocer la existencia del contrato de arrendamiento en el </w:t>
      </w:r>
      <w:r>
        <w:lastRenderedPageBreak/>
        <w:t xml:space="preserve">momento de adquisición de la finca rústica; 2) haber tenido conocimiento de dicho contrato en julio de 1979, fecha en la que se puso en contacto con los demandados que abonaron las anualidades de renta pendientes de los años mayo de 1975 a septiembre de 1980; 3) el pago por los demandados de tales anualidades, así como de otras dos posteriores, implicó el reconocimiento por aquéllos de la condición de propietario arrendador de la Entidad demandante; 4) no haberse debido aceptar la acumulación de acciones de tanteo y retracto al presente juicio, en base a lo dispuesto en los arts. 124 de la Ley de Arrendamientos Rústicos (LAR) y 154 de la Ley de Enjuiciamiento Civil (L.E.C.), y 5) no resultar aplicable al ejercicio de los derechos de tanteo y retracto la Ley de Arrendamientos Rústicos de 31 de diciembre de 1980, en razón de la fecha de adquisición por la parte actora de la finca de referencia, sino el Decreto de 29 de abril de 1959. </w:t>
      </w:r>
    </w:p>
    <w:p w:rsidR="00256EE9" w:rsidRDefault="00256EE9" w:rsidP="00256EE9">
      <w:pPr>
        <w:pStyle w:val="TextoNormal"/>
      </w:pPr>
      <w:r>
        <w:t xml:space="preserve">d) En fecha 27 de mayo de 1984, el Juez de distrito de la ciudad de Castro Urdiales dictó Sentencia estimatoria del «suplico» de la demanda inicial de las actuaciones, declarando resuelto el contrato de arrendamiento y, en consecuencia, haber lugar al desahucio solicitado por la demandante. En el cuarto resultando, la mentada resolución indicaba no haberse observado en la tramitación del juicio las normas procesales siguientes: «que presentada demanda reconvencional por los demandados, fue admitida, siendo que este órgano judicial carece de competencia para conocer las acciones de tanteo y retracto arrendaticio», anulando para efectos procesales el escrito de reconvención de la parte demandada y teniéndolo por no interpuesto. </w:t>
      </w:r>
    </w:p>
    <w:p w:rsidR="00256EE9" w:rsidRDefault="00256EE9" w:rsidP="00256EE9">
      <w:pPr>
        <w:pStyle w:val="TextoNormal"/>
      </w:pPr>
      <w:r>
        <w:t>e) Contra la anterior Sentencia, la representación de la parte demandada interpuso recurso de apelación ante la Audiencia Provincial de Santander, desestimado por Resolución de 28 de enero de 1985, confirmatoria en todas sus partes de la recurrida.</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escrito de demanda denuncia la vulneración por las Sentencias impugnadas del derecho de defensa reconocido en el art. 24.1 de la Constitución Española (C.E.) que se habría producido por los siguientes motivos: </w:t>
      </w:r>
    </w:p>
    <w:p w:rsidR="00256EE9" w:rsidRDefault="00256EE9" w:rsidP="00256EE9">
      <w:pPr>
        <w:pStyle w:val="TextoNormal"/>
      </w:pPr>
      <w:r>
        <w:t xml:space="preserve">a) no haberse sometido la resolución del contrato de arrendamiento a la preceptiva conciliación ante las Juntas Arbitrales de Arrendamientos Rústicos con carácter previo a la incoación del procedimiento judicial; b) cercenarse los derechos de tanteo y retracto, en relación a los cuales la acción reconvencional no pretendía su ejercicio sino la declaración de su procedencia, y c) haberse fundado la Sentencia única y exclusivamente en la confesión de don José Manuel Pico Ibarguren, esposo de la solicitante de amparo, incapacitado «para el dominio de su persona y la administración de sus bienes». </w:t>
      </w:r>
    </w:p>
    <w:p w:rsidR="00256EE9" w:rsidRDefault="00256EE9" w:rsidP="00256EE9">
      <w:pPr>
        <w:pStyle w:val="TextoNormal"/>
      </w:pPr>
      <w:r>
        <w:t>En el «suplico» se solicita de este Tribunal la nulidad de las actuaciones judiciales, así como que «se ordene al Banco Español de Crédito, S. A. notificar el cumplimiento de los arts. 86 y siguientes de la Ley de Arrendamientos Rústicos y el cumplimiento de los arts. 121 y 122 del mismo cuerpo legal», en razón de haber causado tales incumplimientos indefensión. La demandante de amparo pide, finalmente, la suspensión de las Sentencias recurridas.</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6 de marzo de 1985, la Sección acordó tener por interpuesto el presente recurso de amparo y conceder al Ministerio Fiscal y a la recurrente un plazo común de diez dias a fin de que, dentro del mismo, aleguen lo pertinente en relación con la posible existencia del motivo de inadmisión consistente en carecer la demanda manifiestamente de contenido que justifique una decisión por parte de este Tribunal Constitucional [art. 50.2 b) de la LOTC].</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4</w:t>
      </w:r>
      <w:r>
        <w:t xml:space="preserve">. Evacuando el trámite, el Fiscal ante el Tribunal Constitucional comienza señalando que se denuncia como violado el art. 14 de la C.E., pero no se determina la discriminación y respecto a quienes se discrimina, ni se acredita en qué consiste la desigualdad. Se trata de una mera invocación, que no puede ser tenida en cuenta para fundamentar el recurso de amparo. </w:t>
      </w:r>
    </w:p>
    <w:p w:rsidR="00256EE9" w:rsidRDefault="00256EE9" w:rsidP="00256EE9">
      <w:pPr>
        <w:pStyle w:val="TextoNormal"/>
      </w:pPr>
      <w:r>
        <w:t xml:space="preserve">En relación con los motivos de presunta vulneración del art. 24.1 de la C.E., el Ministerio Fiscal entiende: a) el consistente en no haber sido oída la Junta Arbitral carece de fundamentación legal, pues con arreglo a las previsiones de la L.A.R. el supuesto contemplado en la demanda no queda incluido entre los que han de someterse a la previa conciliación de aquel organismo; b) la resolución recurrida ha apreciado en intima convicción la prueba practicada, no siendo de recibo la alegación sobre la presunta incapacidad del demandado que, como aquélla razona, sólo es atendible mediante declaración judicial pertinente, y c) la Sentencia da respuesta a los temas de tanteo y retracto, afirmándose que tales derechos se atribuyen por disposición legal y no por declaración judicial. La recurrente debió ejercitar ante la Autoridad judicial competente tales derechos, en lugar de intentar su ejercicio en demanda reconvencional ante órgano incompetente. </w:t>
      </w:r>
    </w:p>
    <w:p w:rsidR="00256EE9" w:rsidRDefault="00256EE9" w:rsidP="00256EE9">
      <w:pPr>
        <w:pStyle w:val="TextoNormal"/>
      </w:pPr>
      <w:r>
        <w:t>Por todo ello, el Fiscal interesa de este Tribunal dicte Auto declarando la inadmisión del recurso por concurrir la causa prevista en el art. 50.2 b)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5</w:t>
      </w:r>
      <w:r>
        <w:t>. En su escrito de alegaciones, la solicitante de amparo da por reproducida íntegramente la demanda, reiterando los argumentos tendentes a demostrar la indefensión padecida. Solicita la admisión a trámite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Sin entrar en el examen de la presunta violación del principio de igualdad, en relación a la cual el alegato contenido en la demanda no ofrece más fundamentación que la que brinda la nominalista invocación del art.  14 de la Constitución, y ciñendo por consiguiente nuestra consideración a la pretendida infracción del art.  24.1 del Texto constitucional, la demandante alega haber sido víctima de una indefensión causada por haberse prescindido de la intervención de las Juntas Arbitrales de Arrendamientos Rústicos, por no aceptarse la acción reconvencional planteada y, en fin, por haberse valorado como prueba la confesión judicial del esposo de la solicitante de amparo, siendo así que es «una persona demente, con pérdida de intelectualidad, memoria, audición (y) trauma de pensamiento».</w:t>
      </w:r>
    </w:p>
    <w:p w:rsidR="00256EE9" w:rsidRDefault="00256EE9" w:rsidP="00256EE9">
      <w:pPr>
        <w:pStyle w:val="TextoNormal"/>
      </w:pPr>
      <w:r>
        <w:t>En lo que concierne a las dos últimas alegaciones, la demanda de amparo reproduce, sin otro adimento que una mención al art.  24.1 de la C.E., los motivos de oposición a la demanda de resolución del contrato de arrendamiento, rechazados por las Sentencias de instancia, primero, y de apelación, después.  Con insistencia y apartándose notoriamente de lo que constituye la naturaleza del recurso de amparo, se replantea la eficacia de las pruebas realizadas y valoradas en íntima convicción por los juzgadores, así como la procedencia de la acción reconvencional ejercitada, temas ambos resueltos con competencia exclusiva por los órganos judiciales en ejercicio de la función que les es propia (art.  117.3 de la C.E.).</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2</w:t>
      </w:r>
      <w:r>
        <w:t>. Similar falta de contenido constitucional tiene la desviación procesal denunciada, consistente en no haberse celebrado la conciliación ante la correspondiente Junta Arbitral de Arrendamientos Rústicos. Sin entrar a analizar la naturaleza de las Juntas y el campo en que su intervención es preceptiva, conforme lo prevenido en la Ley 83/1980, de 31 de diciembre, no son necesarias largas argumentaciones para sostener la ausencia de todo vestigio de indefensión por tal motivo.</w:t>
      </w:r>
    </w:p>
    <w:p w:rsidR="00256EE9" w:rsidRDefault="00256EE9" w:rsidP="00256EE9">
      <w:pPr>
        <w:pStyle w:val="TextoNormal"/>
      </w:pPr>
      <w:r>
        <w:t>En su versión más sencilla, el derecho de defensa implica la oportunidad para las partes litigantes de alegar y probar cuanto estimaren conveniente para la defensa de sus tesis en pie de igualdad.  El incumplimiento de un trámite pre-procesal, como es la conciliación ante las Juntas Arbitrales de Arrendamientos Rústicos, produciría indefensión tan sólo en aquellos casos en los que dicho incumplimiento se convirtiera en un obstáculo impeditivo para la obtención de la prestación jurisdiccional. Pero no es ello lo acaecido en el presente caso en el que la demandante no ha visto en nada mermadas sus garantías de defensa por la circunstancia de no haberse celebrado la conciliación ante la Junta correspondiente, con independencia de que dicha conciliación resultare o no obligatoria, por tratarse de la extinción de una relación arrendaticia amparada en la disposición transitoria primera, 1.ª, de la citada Ley 83/1980, tema éste ajeno a la competencia del Tribunal.</w:t>
      </w:r>
    </w:p>
    <w:p w:rsidR="00256EE9" w:rsidRDefault="00256EE9" w:rsidP="00256EE9">
      <w:pPr>
        <w:pStyle w:val="TextoNormal"/>
      </w:pPr>
    </w:p>
    <w:p w:rsidR="00256EE9" w:rsidRDefault="00256EE9" w:rsidP="00256EE9">
      <w:pPr>
        <w:pStyle w:val="TextoNormal"/>
      </w:pPr>
      <w:r w:rsidRPr="00256EE9">
        <w:rPr>
          <w:rStyle w:val="NumeroAFNegritaCaracter"/>
        </w:rPr>
        <w:t>3</w:t>
      </w:r>
      <w:r>
        <w:t>. Como consecuencia de las consideraciones anteriores resulta patente la existencia de la causa de inadmisión prevista en el art. 50.2 b) de la Ley Orgánica del Tribunal, al carecer la demanda manifiestamente de contenido que justifique una decisión por parte del Tribunal en forma de Sentencia con el desarrollo procesal consiguiente. Conclusión que da lugar a la improcedencia de tramitar la pieza separada de suspensión solicitada por el actor.</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declarar inadmisible el recurso de amparo promovido por doña Josefa Gutiérrez Marín e improcedente la suspensión solicitada, y archivar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37" w:name="AUTO_1985_276"/>
      <w:r>
        <w:lastRenderedPageBreak/>
        <w:t>AUTO 276/1985, de 24 de abril de 1985</w:t>
      </w:r>
    </w:p>
    <w:bookmarkEnd w:id="337"/>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ECLI:ES:TC:1985:276A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106/1985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Julián Cosias Hortelano se dirige a este Tribunal por escrito firmado por el mismo y fechado en Cuenca el 6 de febrero de 1985, exponiendo que el 30 de septiembre de 1983 el Tribunal Económico-Administrativo Central desestimó una reclamación formulada por él contra un acuerdo de la Dirección General del Tesoro que, según dice, estimó incompatible la percepción de dos pensiones de jubilación. Manifiesta el señor Cosias Hortelano que interpone recurso de amparo y que lo hace por tener conocimiento de que determinadas personas que cita nominativamente, y algunas más, han estado percibiendo, siendo retirados de la Guardia Civil, otras pensiones, lo que, a su juicio, contraviene el derecho a la igualdad ante la Ley establecido por el art. 14 de la Constitución. </w:t>
      </w:r>
    </w:p>
    <w:p w:rsidR="00256EE9" w:rsidRDefault="00256EE9" w:rsidP="00256EE9">
      <w:pPr>
        <w:pStyle w:val="TextoNormal"/>
      </w:pPr>
      <w:r>
        <w:t>Señala el interesado que, al amparo de la Ley 46/1977, de 15 de octubre, sobre Amnistía, le fue concedida una pensión, que se declaró incompatible, en cuanto a su percepción, con la que ya venía disfrutando como retirado de la Guardia Civil.</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La Sección Cuarta de este Tribunal en su reunión del día 6 de marzo pasado, acordó poner de manifiesto la posible existencia de las siguientes causas de inadmisión: 1.ª la regulada por el art. 50.1 b), en relación con el 81 de la Ley Orgánica del Tribunal Constitucional, por no comparecer por medio de Procurador y asistido de Abogado; 2.ª la del art. 50.1 a), en relación al 43.2 de la Ley Orgánica del Tribunal Constitucional, por interposición extemporánea del recurso; 3.ª la del art. 50.1 a), en relación al 43.1 de la Ley Orgánica del Tribunal Constitucional, por no haberse acudido previamente a la via contencioso-administrativa; 4.ª la del art. 50.2 b) de la Ley Orgánica del Tribunal Constitucional, por cuanto la demanda pudiera carecer de contenido que justifique una decisión por parte de este Tribunal. </w:t>
      </w:r>
    </w:p>
    <w:p w:rsidR="00256EE9" w:rsidRDefault="00256EE9" w:rsidP="00256EE9">
      <w:pPr>
        <w:pStyle w:val="TextoNormal"/>
      </w:pPr>
      <w:r>
        <w:t>En virtud de ello, en aplicación de lo dispuesto en el art. 50 de la Ley Orgánica del Tribunal Constitucional, se concede un plazo común de diez días a la representación del recurrente y al Ministerio Fiscal para que efectuaran las alegaciones que a su derecho pudieran convenir.</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Dentro del plazo mencionado, el solicitante del amparo no ha efectuado alegación alguna. </w:t>
      </w:r>
    </w:p>
    <w:p w:rsidR="00256EE9" w:rsidRDefault="00256EE9" w:rsidP="00256EE9">
      <w:pPr>
        <w:pStyle w:val="TextoNormal"/>
      </w:pPr>
      <w:r>
        <w:lastRenderedPageBreak/>
        <w:t xml:space="preserve">El Fiscal General del Estado se ha opuesto a la admisión del asunto señalando que el escrito del señor Cosias Hortelano no puede dar lugar a la admisión a trámite porque incumple el art. 81 de la Ley Orgánica del Tribunal Constitucional al no otorgar la representación procesal ni la dirección letrada en los términos que el mismo exige; el escrito es presentado por el propio interesado que no tiene, que no la alega, en todo caso, la condición de Licenciado en Derecho. </w:t>
      </w:r>
    </w:p>
    <w:p w:rsidR="00256EE9" w:rsidRDefault="00256EE9" w:rsidP="00256EE9">
      <w:pPr>
        <w:pStyle w:val="TextoNormal"/>
      </w:pPr>
      <w:r>
        <w:t xml:space="preserve">El recurso, además, es extemporáneo, pues se presenta transcurridos mucho más de los veinte dias (art. 43.2 de la Ley Orgánica del Tribunal Constitucional) desde que se produjo la resolución, y lógicamente su notificación, que se impugna. </w:t>
      </w:r>
    </w:p>
    <w:p w:rsidR="00256EE9" w:rsidRDefault="00256EE9" w:rsidP="00256EE9">
      <w:pPr>
        <w:pStyle w:val="TextoNormal"/>
      </w:pPr>
      <w:r>
        <w:t xml:space="preserve">Asimismo se incumple lo establecido en el art. 43.1 de la Ley Orgánica del Tribunal Constitucional, pues frente a la resolución del Tribunal Económico-Administrativo no se hizo uso de la vía contencioso-administrativa. </w:t>
      </w:r>
    </w:p>
    <w:p w:rsidR="00256EE9" w:rsidRDefault="00256EE9" w:rsidP="00256EE9">
      <w:pPr>
        <w:pStyle w:val="TextoNormal"/>
      </w:pPr>
      <w:r>
        <w:t xml:space="preserve">Por último, dice el Fiscal que el problema de incompatibilidad de pensiones que plantea es cuestión de simple legalidad, y, por otra parte, no basta para entrar en el examen de una posible desigualdad la mera referencia de que en otros casos, aunque cite nombres, se ha resuelto de forma diferente. </w:t>
      </w:r>
    </w:p>
    <w:p w:rsidR="00256EE9" w:rsidRDefault="00256EE9" w:rsidP="00256EE9">
      <w:pPr>
        <w:pStyle w:val="TextoNormal"/>
      </w:pPr>
      <w:r>
        <w:t>La petición carece pues de contenido constitucional que requiera una resolución de fondo de este Tribunal.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 falta de subsanación de los defectos que en su momento fueron puestos de relieve, convierte a éstos en insubsanables y determina, consiguientemente, la inadmisibilidad de este asunto.</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su virtud, la Sección acuerda declarar inadmisible el presente recurso de amparo.</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38" w:name="AUTO_1985_277"/>
      <w:r>
        <w:lastRenderedPageBreak/>
        <w:t>AUTO 277/1985, de 24 de abril de 1985</w:t>
      </w:r>
    </w:p>
    <w:bookmarkEnd w:id="338"/>
    <w:p w:rsidR="00256EE9" w:rsidRDefault="00256EE9" w:rsidP="00256EE9">
      <w:pPr>
        <w:pStyle w:val="TtuloResolucin"/>
      </w:pPr>
      <w:r>
        <w:t>Sala Primera</w:t>
      </w:r>
    </w:p>
    <w:p w:rsidR="00256EE9" w:rsidRDefault="00256EE9" w:rsidP="00256EE9">
      <w:pPr>
        <w:pStyle w:val="TtuloResolucin"/>
      </w:pPr>
    </w:p>
    <w:p w:rsidR="00256EE9" w:rsidRDefault="00256EE9" w:rsidP="00256EE9">
      <w:pPr>
        <w:pStyle w:val="SntesisDescriptiva"/>
      </w:pPr>
      <w:r>
        <w:t>ECLI:ES:TC:1985:277A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don Manuel Díez de Velasco Vallejo, doña Gloria Begué Cantón,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la suspensión de la ejecución del acto que origina el recurso de amparo 116/1985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Procurador de los Tribunales don Federico Bravo Nieves, en nombre de don Luis Rosa Ocaña, recurre en amparo ante este Tribunal por escrito de demanda que tuvo entrada en el Registro General el día 14 de febrero de 1985, con la pretensión de que se recabe de la Sección Tercera de la Audiencia Provincial de Madrid el rollo núm. 39/1979 y el sumario núm. 39/1979 del Juzgado de Instrucción núm. 9, así como el recurso correspondiente de la Sala Segunda del Tribunal Supremo que contiene el rollo del recurso de casación, para que se anulen las actuaciones seguidas ante la Sala Segunda del Tribunal Supremo desde el día 18 de junio de 1983 y para que a partir de dicha fecha y a través del Procurador nombrado de oficio por la Sala Segunda del Tribunal Supremo se haga entrega del recurso al Letrado nombrado por el solicitante del amparo para que formalice el recurso de casación penal. </w:t>
      </w:r>
    </w:p>
    <w:p w:rsidR="00256EE9" w:rsidRDefault="00256EE9" w:rsidP="00256EE9">
      <w:pPr>
        <w:pStyle w:val="TextoNormal"/>
      </w:pPr>
      <w:r>
        <w:t>Por otrosí la parte recurrente solicita que se deje en suspenso la ejecutoria despachada por la Sección Tercera de la Audiencia Provincial de Madrid para que el solicitante del amparo continúe gozando de libertad provisional hasta que se resuelva el recurso de amparo.</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Los hechos a los que se contrae la demanda eran, sucintamente, los siguientes: </w:t>
      </w:r>
    </w:p>
    <w:p w:rsidR="00256EE9" w:rsidRDefault="00256EE9" w:rsidP="00256EE9">
      <w:pPr>
        <w:pStyle w:val="TextoNormal"/>
      </w:pPr>
      <w:r>
        <w:t xml:space="preserve">a) El recurrente en amparo fue condenado a la pena de cinco años de presidio menor por la Sección Tercera de la Audiencia Provincial de Madrid en el rollo núm. 39/1979, dimanante del sumario núm. 39/1979 del Juzgado de Instrucción núm. 9 de Madrid y no considerando ajustada a Derecho la Sentencia de fecha de 27 de noviembre de 1982, reiteró ante la Sección Tercera de la Audiencia Provincial el telegrama cursado ante la misma, en el que anunciaba la intención de recurrir la Sentencia, designando para su defensa al Letrado don Pedro Antonio Montero Marín, al discrepar del anterior Letrado, señor Acebal. </w:t>
      </w:r>
    </w:p>
    <w:p w:rsidR="00256EE9" w:rsidRDefault="00256EE9" w:rsidP="00256EE9">
      <w:pPr>
        <w:pStyle w:val="TextoNormal"/>
      </w:pPr>
      <w:r>
        <w:t xml:space="preserve">b) La Procuradora designada de oficio al anunciar el recurso de casación, por escrito de 16 de julio de 1983 manifestó ante la Sala Segunda que renunciaba a la representación e interesaba que se designase por la Sala un nuevo Procurador en turno de oficio. </w:t>
      </w:r>
    </w:p>
    <w:p w:rsidR="00256EE9" w:rsidRDefault="00256EE9" w:rsidP="00256EE9">
      <w:pPr>
        <w:pStyle w:val="TextoNormal"/>
      </w:pPr>
      <w:r>
        <w:lastRenderedPageBreak/>
        <w:t xml:space="preserve">c) Cuando el recurrente y el Letrado esperaban el nombramiento de Procurador de oficio y el traslado del rollo de la Sala y del sumario en cuestión, respectivamente, el solicitante del amparo, que se encuentra en libertad provisional bajo fianza, fue sorprendido, ya que por la ejecutoria de la Sentencia se determina su ingreso en prisión, y puesto en contacto con su Letrado éste comprueba en la Sala Segunda del Tribunal Supremo los siguientes extremos: 1.° la Sala nombra no sólo Procurador sino Letrado de oficio al solicitante del amparo, sin respetar el nombramiento que provenía de la Audiencia; 2.° que los Letrados de oficio, primero y segundo, evacuaron dictamen en el sentido de que no veían motivos de casación y a tenor de ello la Sala declaró firme la Sentencia remitiendo las actuaciones a la Sección Tercera de la Audiencia Provincial. </w:t>
      </w:r>
    </w:p>
    <w:p w:rsidR="00256EE9" w:rsidRDefault="00256EE9" w:rsidP="00256EE9">
      <w:pPr>
        <w:pStyle w:val="TextoNormal"/>
      </w:pPr>
      <w:r>
        <w:t xml:space="preserve">d) Los hechos anteriores vulneran el derecho que tiene el recurrente de nombrar libremente a su defensor y de poder ser defendido eficazmente ante los Tribunales de Justicia, ya que el solicitante del amparo no ha podido formalizar el recurso de casación contra la Sentencia de la Audiencia Provincial a causa de indefensión. </w:t>
      </w:r>
    </w:p>
    <w:p w:rsidR="00256EE9" w:rsidRDefault="00256EE9" w:rsidP="00256EE9">
      <w:pPr>
        <w:pStyle w:val="TextoNormal"/>
      </w:pPr>
      <w:r>
        <w:t>e) El solicitante ha tenido conocimiento de la resolución recaída en la ejecutoria que acuerda el ingreso en prisión, que le fue notificada por la Comisaría de Distrito en virtud de requerimiento efectuado por la Sección Tercera de la Audiencia Provincial.</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En el asunto reseñado, la Sección acordó por providencia de 6 de marzo de 1985 formar la pieza separada de suspensión y, conforme a lo dispuesto en el art. 56.2 de la Ley Orgánica del Tribunal Constitucional (LOTC), otorgar un plazo común de tres días al Ministerio Fiscal y al solicitante del amparo, para que aleguen lo que estimen pertinente en orden a la suspensión solicitada. </w:t>
      </w:r>
    </w:p>
    <w:p w:rsidR="00256EE9" w:rsidRDefault="00256EE9" w:rsidP="00256EE9">
      <w:pPr>
        <w:pStyle w:val="TextoNormal"/>
      </w:pPr>
      <w:r>
        <w:t>Asimismo, acuerda dirigir comunicación a la Sección Tercera de la Audiencia Provincial de Madrid, a fin de que, en relación con la indicada suspensión, informe a este Tribunal sobre su procedencia, en orden a los daños o perjuicios que pudieren originarse, y si aquélla ha de concederse con o sin caución, indicando en tal caso, la cuantía estimativa de la misma.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El Fiscal ante el Tribunal Constitucional, por escrito de 14 de marzo de 1985 señala que al impugnarse en el amparo la declaración de firmeza de la Sentencia, por el error sufrido, a juicio del recurrente, por la Sala Segunda del Tribunal Supremo, parece claro que si el amparo se otorgara -cualquiera que sea la viabilidad de la demanda que aún no ha sido admitida a trámite- podía perder su finalidad si no se acordara la suspensión solicitada, sin que aparezcan, con claridad, por otra parte, concretos perjuicios. </w:t>
      </w:r>
    </w:p>
    <w:p w:rsidR="00256EE9" w:rsidRDefault="00256EE9" w:rsidP="00256EE9">
      <w:pPr>
        <w:pStyle w:val="TextoNormal"/>
      </w:pPr>
      <w:r>
        <w:t xml:space="preserve">Como en la demanda de amparo se hace referencia a fianzas constituidas por el recurrente, cuyos términos no se precisan, es de gran interés, en este caso, el informe de la Sala Sentenciadora por este Tribunal. </w:t>
      </w:r>
    </w:p>
    <w:p w:rsidR="00256EE9" w:rsidRDefault="00256EE9" w:rsidP="00256EE9">
      <w:pPr>
        <w:pStyle w:val="TextoNormal"/>
      </w:pPr>
      <w:r>
        <w:t>Con la salvedad expresada el Fiscal no se opone a la suspensión solicitada, con caución de 100.000 pesetas en cualquiera de las clases admitidas en el Derecho procesal penal.</w:t>
      </w:r>
    </w:p>
    <w:p w:rsidR="00256EE9" w:rsidRDefault="00256EE9" w:rsidP="00256EE9">
      <w:pPr>
        <w:pStyle w:val="TextoNormal"/>
      </w:pPr>
    </w:p>
    <w:p w:rsidR="00256EE9" w:rsidRDefault="00256EE9" w:rsidP="00256EE9">
      <w:pPr>
        <w:pStyle w:val="TextoNormal"/>
      </w:pPr>
      <w:r w:rsidRPr="00256EE9">
        <w:rPr>
          <w:rStyle w:val="NumeroAFNegritaCaracter"/>
        </w:rPr>
        <w:t>5</w:t>
      </w:r>
      <w:r>
        <w:t>. La Sección Tercera de la Audiencia Provincial de Madrid en escrito dirigido a este Tribunal con fecha de 22 de marzo de 1985 señala que « no existe inconveniente en suspender la ejecución del fallo de la Sentencia referida, siempre que se constituya caución en cualquiera de las formalidades admitidas por la Ley en cuantía de 100.000 pesetas ».</w:t>
      </w:r>
    </w:p>
    <w:p w:rsidR="00256EE9" w:rsidRDefault="00256EE9" w:rsidP="00256EE9">
      <w:pPr>
        <w:pStyle w:val="TextoNormal"/>
      </w:pPr>
    </w:p>
    <w:p w:rsidR="00256EE9" w:rsidRDefault="00256EE9" w:rsidP="00256EE9">
      <w:pPr>
        <w:pStyle w:val="TextoNormal"/>
      </w:pPr>
      <w:r w:rsidRPr="00256EE9">
        <w:rPr>
          <w:rStyle w:val="NumeroAFNegritaCaracter"/>
        </w:rPr>
        <w:lastRenderedPageBreak/>
        <w:t>6</w:t>
      </w:r>
      <w:r>
        <w:t xml:space="preserve">. Don Federico Bravo Nieves, Procurador de los Tribunales, y de don Luis Rosa Ocaña, por escrito de 14 de marzo de 1985 formula, en resumen, los siguientes razonamientos: </w:t>
      </w:r>
    </w:p>
    <w:p w:rsidR="00256EE9" w:rsidRDefault="00256EE9" w:rsidP="00256EE9">
      <w:pPr>
        <w:pStyle w:val="TextoNormal"/>
      </w:pPr>
      <w:r>
        <w:t xml:space="preserve">a) El recurrente, desde que le fue concedida la libertad provisional, después de dieciséis meses de cumplimiento preventivo, con la fianza que actualmente tiene constituida, ha venido cumpliendo con exactitud matemática, las rigurosas presentaciones, que la libertad provisional le obligaba, sin que en ningún momento haya intentado soslayar la acción de la justicia. </w:t>
      </w:r>
    </w:p>
    <w:p w:rsidR="00256EE9" w:rsidRDefault="00256EE9" w:rsidP="00256EE9">
      <w:pPr>
        <w:pStyle w:val="TextoNormal"/>
      </w:pPr>
      <w:r>
        <w:t xml:space="preserve">b) Si la Sala Segunda del Tribunal Supremo declaró firme la Sentencia de la Sala a quo, lo fue debido exclusivamente al error padecido por dicha Sala Segunda, al interpretar el escrito de la Procuradora, que se personaba y declinaba la representación por los motivos de ausentarse de Madrid, pero analizando dicho escrito, existe el dato, suficientemente claro, que decía: designándose a don Luis Rosa Ocaña nuevo Procurador en turno de oficio, pero sin solicitar Letrado en turno de oficio, porque, ya, lo venia teniendo de nombramiento, en la persona que firma y dirige este recurso de amparo, don Pedro Antonio Montero Marín, que aceptó, en 27 de noviembre de 1982, tal defensa, como consta en el indicado rollo, de la Sección Tercera, de la Ilma. Audiencia Provincial. </w:t>
      </w:r>
    </w:p>
    <w:p w:rsidR="00256EE9" w:rsidRDefault="00256EE9" w:rsidP="00256EE9">
      <w:pPr>
        <w:pStyle w:val="TextoNormal"/>
      </w:pPr>
      <w:r>
        <w:t xml:space="preserve">Aquel error fue el que conllevó a que se le nombrara defensores de oficio, ante la Sala Segunda del Tribunal Supremo, que consideraron no ver motivos de casación, y consecuentemente produjo la firmeza de la Sentencia. </w:t>
      </w:r>
    </w:p>
    <w:p w:rsidR="00256EE9" w:rsidRDefault="00256EE9" w:rsidP="00256EE9">
      <w:pPr>
        <w:pStyle w:val="TextoNormal"/>
      </w:pPr>
      <w:r>
        <w:t xml:space="preserve">c) Es lógico que este Tribunal mantenga aquella misma situación, hasta tanto se resuelva el recurso de amparo interesado, ya que de otra cosa sería desestabilizador del principio de inocencia que la Constitución otorga a todo inculpado mientras no exista una Sentencia firme, y de que toda persona es inocente mientras no se demuestre lo contrario, y sobre todo, la repugnancia que la Ley tiene a privar de libertad a un individuo, mientras no sea inexorablemente necesario. </w:t>
      </w:r>
    </w:p>
    <w:p w:rsidR="00256EE9" w:rsidRDefault="00256EE9" w:rsidP="00256EE9">
      <w:pPr>
        <w:pStyle w:val="TextoNormal"/>
      </w:pPr>
      <w:r>
        <w:t xml:space="preserve">d) Por último, aboga también la pretensión de mantener el estado de libertad, y por consiguiente, de suspensión del cumplimiento de la condena hasta tanto en cuanto no se resuelva el recurso de amparo, el hecho de que el recurrente tiene -desde que se le otorgó la libertad provisional por la Sala a quo-, un puesto de trabajo -en donde actualmente se encuentra accidentado profesionalmente-, y de perder éste, cuando disfrutar de un puesto de trabajo es tan difícil, se le ocasionaría un daño irreparable, si este Tribunal Constitucional diere lugar al amparo y el Tribunal Supremo hubiere de retrotraer la casación al momento de entregar los Autos al Letrado nombrado por el recurrente, para que formalizare la casación. </w:t>
      </w:r>
    </w:p>
    <w:p w:rsidR="00256EE9" w:rsidRDefault="00256EE9" w:rsidP="00256EE9">
      <w:pPr>
        <w:pStyle w:val="TextoNormal"/>
      </w:pPr>
      <w:r>
        <w:t>La parte recurrente concluye señalando que con la caución que se señalare, o considere procedente mantener la misma fianza que venia constituida, se otorgue a Luis Rosa Ocaña la suspensión de condena que solicita.</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art. 56.1 de la LOTC establece que la Sala que conozca de un recurso suspenderá, de oficio o a instancia del recurrente, la ejecución del acto de los Poderes Públicos por razón del cual se reclame el amparo constitucional, cuando la ejecución hubiere de ocasionar un perjuicio que haría perder al amparo su finalidad; no obstante, podrán denegar la suspensión cuando de ésta pueda seguirse perturbación grave de los intereses generales o de los derechos fundamentales o libertades públicas de un tercero.</w:t>
      </w:r>
    </w:p>
    <w:p w:rsidR="00256EE9" w:rsidRDefault="00256EE9" w:rsidP="00256EE9">
      <w:pPr>
        <w:pStyle w:val="TextoNormal"/>
      </w:pPr>
      <w:r>
        <w:lastRenderedPageBreak/>
        <w:t>Por otra parte, junto a estos supuestos de suspensión preceptiva, en los términos vistos, la Sala ha entendido que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00256EE9" w:rsidRDefault="00256EE9" w:rsidP="00256EE9">
      <w:pPr>
        <w:pStyle w:val="TextoNormal"/>
      </w:pPr>
    </w:p>
    <w:p w:rsidR="00256EE9" w:rsidRDefault="00256EE9" w:rsidP="00256EE9">
      <w:pPr>
        <w:pStyle w:val="TextoNormal"/>
      </w:pPr>
      <w:r w:rsidRPr="00256EE9">
        <w:rPr>
          <w:rStyle w:val="NumeroAFNegritaCaracter"/>
        </w:rPr>
        <w:t>2</w:t>
      </w:r>
      <w:r>
        <w:t>. En el presente caso, la Sección Tercera de la Audiencia Provincial de Madrid, en el rollo que dimana del sumario núm.  39/1979, seguido ante el Juzgado de Instrucción núm. 9 de Madrid, acordó por providencia de 8 de junio de 1984 la firmeza de la Sentencia dictada el dia 17 de febrero de 1982 en la que se condenaba al solicitante del amparo como autor de un delito de robo previsto en los arts. 500, 501.5 y párrafo último del Código Penal a la pena de cinco años de prisión menor, accesorias, costas y a que indemnizara a Teodoro Pérez Gómez en la suma de 29.957,20 pesetas y a Isidoro Pérez Sebastián en la suma de 31.491 pesetas, y en posterior providencia de 14 de diciembre de 1984 la Sección Tercera de la Audiencia Provincial de Madrid, oficiaba a la Dirección General de Seguridad interesando la detención e ingreso en prisión de Luis Rosa Ocaña para que cumpliera la condena impuesta, pues sólo consta en las actuaciones remitidas a este Tribunal por la Audiencia que el solicitante del amparo había permanecido privado de libertad desde el día 16 de mayo de 1979 al día 21 de junio del mismo año y desde el día 16 de febrero de 1982 al día 1 de marzo de 1983.</w:t>
      </w:r>
    </w:p>
    <w:p w:rsidR="00256EE9" w:rsidRDefault="00256EE9" w:rsidP="00256EE9">
      <w:pPr>
        <w:pStyle w:val="TextoNormal"/>
      </w:pPr>
      <w:r>
        <w:t>El día 14 de febrero de 1985 tiene entrada en el Registro General de este Tribunal el recurso de amparo del solicitante instando la suspensión de la ejecución de la resolución judicial que ordena su ingreso en prisión y solicita seguir en libertad provisional hasta que .se resuelva el recurso de amparo estimando que la Sala Segunda del Tribunal Supremo había cometido el error de designar al recurrente Letrado de oficio para su defensa cuando la Sección Tercera de la Audiencia Provincial, en providencia de 3 de diciembre de 1982, había designado al Letrado don Pedro Montero Marín para defender al solicitante del amparo con la consecuencia de que la Sala Segunda del Tribunal Supremo había desestimado indebidamente, por Auto, el recurso interpuesto por Luis Rosa Ocaña.</w:t>
      </w:r>
    </w:p>
    <w:p w:rsidR="00256EE9" w:rsidRDefault="00256EE9" w:rsidP="00256EE9">
      <w:pPr>
        <w:pStyle w:val="TextoNormal"/>
      </w:pPr>
    </w:p>
    <w:p w:rsidR="00256EE9" w:rsidRDefault="00256EE9" w:rsidP="00256EE9">
      <w:pPr>
        <w:pStyle w:val="TextoNormal"/>
      </w:pPr>
      <w:r w:rsidRPr="00256EE9">
        <w:rPr>
          <w:rStyle w:val="NumeroAFNegritaCaracter"/>
        </w:rPr>
        <w:t>3</w:t>
      </w:r>
      <w:r>
        <w:t>. A la vista de estos antecedentes y del examen de las actuaciones practicadas, parece claro que si el amparo se otorgara podía perder su finalidad -como pone acertadamente de manifiesto el Fiscal en el informe- de no otorgarse la suspensión solicitada, máxime cuando a la vista del escrito cursado ante la Audiencia por el Letrado Pedro A.</w:t>
      </w:r>
    </w:p>
    <w:p w:rsidR="00256EE9" w:rsidRDefault="00256EE9" w:rsidP="00256EE9">
      <w:pPr>
        <w:pStyle w:val="TextoNormal"/>
      </w:pPr>
      <w:r>
        <w:t>Montero Marín, la Sección Tercera, por providencia de 20 de febrero de 1985, notificada al Procurador señor Bravo el dia 12 de marzo de 1985 y dictada con posterioridad a la fecha en que se promovió el recurso de amparo, dejó sin efecto la busca y captura del solicitante del amparo por un período de dos meses.</w:t>
      </w:r>
    </w:p>
    <w:p w:rsidR="00256EE9" w:rsidRDefault="00256EE9" w:rsidP="00256EE9">
      <w:pPr>
        <w:pStyle w:val="TextoNormal"/>
      </w:pPr>
      <w:r>
        <w:t>Centrada así la cuestión, no cabe duda de que el interés general que existe en el cumplimiento de las resoluciones judiciales aparece en este caso superado por el que concurre en que no produzca consecuencias una resolución judicial que de llevarse a efecto originaría la privación de libertad del solicitante del amparo, tan pronto como transcurra el plazo de dos meses fijado en la providencia de la Sección Tercera de la Audiencia Provincial de 20 de febrero de 1985 que deja sin efecto, durante dicho período el ingreso en prisión del solicitante del amparo.</w:t>
      </w:r>
    </w:p>
    <w:p w:rsidR="00256EE9" w:rsidRDefault="00256EE9" w:rsidP="00256EE9">
      <w:pPr>
        <w:pStyle w:val="TextoNormal"/>
      </w:pPr>
      <w:r>
        <w:t xml:space="preserve">Existe, por tanto, un interés en que la Sentencia recurrida no produzca efectos temporalmente hasta que se resuelva el recurso de amparo promovido como consecuencia de un </w:t>
      </w:r>
      <w:r>
        <w:lastRenderedPageBreak/>
        <w:t>posible error dimanante de la actuación procesal de la Sala Segunda del Tribunal Supremo.</w:t>
      </w:r>
    </w:p>
    <w:p w:rsidR="00256EE9" w:rsidRDefault="00256EE9" w:rsidP="00256EE9">
      <w:pPr>
        <w:pStyle w:val="TextoNormal"/>
      </w:pPr>
    </w:p>
    <w:p w:rsidR="00256EE9" w:rsidRDefault="00256EE9" w:rsidP="00256EE9">
      <w:pPr>
        <w:pStyle w:val="TextoNormal"/>
      </w:pPr>
      <w:r w:rsidRPr="00256EE9">
        <w:rPr>
          <w:rStyle w:val="NumeroAFNegritaCaracter"/>
        </w:rPr>
        <w:t>4</w:t>
      </w:r>
      <w:r>
        <w:t>. La suspensión de la eficacia de la Sentencia impugnada y de la posterior ejecutoria dimanante de la firmeza de esta resolución, puede acordarse con o sin fianza.  En el presente caso el acuerdo de suspensión, dadas las consideraciones antes efectuadas, las circunstancias concurrentes en el solicitante del amparo y los criterios mantenidos por el Fiscal y la propia Sección Tercera de lo Penal de la Audiencia Provincial de Madrid que no se oponen a la suspensión de la ejecución de la Sentencia, siempre que se constituya fianza por importe de 100.000 pesetas, tendente a que el recurrente no se sustraiga a la acción de la justicia, nos inclina a conceder la suspensión condicionada a que previamente se constituya caución en cualquiera de las formalidades admitidas por la Ley, en cuantía de 100.000 pesetas, a satisfacción de la Sección Tercera de la Audiencia Provincial de Madrid, en su condición de órgano encargado de la ejecución de la Sentencia recaída.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atención a todo lo expuesto, la Sala acuerda suspender la ejecución del fallo de la Sentencia dictada por la Sección Tercera de la Audiencia Provincial de Madrid en 17 de febrero de 1982, recaida en la causa 39/1979, condicionada a que previamente se</w:t>
      </w:r>
    </w:p>
    <w:p w:rsidR="00256EE9" w:rsidRDefault="00256EE9" w:rsidP="00256EE9">
      <w:pPr>
        <w:pStyle w:val="TextoNormal"/>
      </w:pPr>
      <w:r>
        <w:t>constituya caución a satisfacción de la mencionada Sección, en cualquiera de las formalidades admitidas por la Ley, en cuantía de 100.000 pesetas.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39" w:name="AUTO_1985_278"/>
      <w:r>
        <w:lastRenderedPageBreak/>
        <w:t>AUTO 278/1985, de 24 de abril de 1985</w:t>
      </w:r>
    </w:p>
    <w:bookmarkEnd w:id="339"/>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ECLI:ES:TC:1985:278A</w:t>
      </w:r>
    </w:p>
    <w:p w:rsidR="00256EE9" w:rsidRDefault="00256EE9" w:rsidP="00256EE9">
      <w:pPr>
        <w:pStyle w:val="SntesisDescriptiva"/>
      </w:pPr>
    </w:p>
    <w:p w:rsidR="00256EE9" w:rsidRDefault="00256EE9" w:rsidP="00256EE9">
      <w:pPr>
        <w:pStyle w:val="SntesisDescriptiva"/>
      </w:pPr>
      <w:r>
        <w:t>Excms. Srs. don Luis Díez-Picazo y Ponce de León, don Francisco Tomás y Valiente y don Francisco Pera Verdaguer.</w:t>
      </w:r>
    </w:p>
    <w:p w:rsidR="00256EE9" w:rsidRDefault="00256EE9" w:rsidP="00256EE9">
      <w:pPr>
        <w:pStyle w:val="SntesisDescriptiva"/>
      </w:pPr>
    </w:p>
    <w:p w:rsidR="00256EE9" w:rsidRDefault="00256EE9" w:rsidP="00256EE9">
      <w:pPr>
        <w:pStyle w:val="SntesisDescriptiva"/>
      </w:pPr>
      <w:r>
        <w:t>Acordando la inadmisión a trámite del recurso de amparo 119/1985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pasado día 15 de febrero quedó registrado en el Tribunal Constitucional un escrito mediante el cual don Santos de Gandarillas Carmona, Procurador de los Tribunales de Madrid, interpuso recurso de amparo en nombre de su poderdante, la «Asociación Naviera Valenciana», entidad en la que se integran Empresas portuarias. </w:t>
      </w:r>
    </w:p>
    <w:p w:rsidR="00256EE9" w:rsidRDefault="00256EE9" w:rsidP="00256EE9">
      <w:pPr>
        <w:pStyle w:val="TextoNormal"/>
      </w:pPr>
      <w:r>
        <w:t xml:space="preserve">La demanda de amparo expone, en síntesis, la siguiente relación de hechos: </w:t>
      </w:r>
    </w:p>
    <w:p w:rsidR="00256EE9" w:rsidRDefault="00256EE9" w:rsidP="00256EE9">
      <w:pPr>
        <w:pStyle w:val="TextoNormal"/>
      </w:pPr>
      <w:r>
        <w:t xml:space="preserve">a) Con fecha 1 de marzo de 1982, la actora presentó en las oficinas de la Organización de Trabajos Portuarios de Valencia un escrito en el que manifestaba el acuerdo de las Empresas en ella asociadas en orden a que las contingencias de accidentes laborales de los trabajadores a su servicio quedasen cubiertas por la Mutua del Puerto de Valencia, Mutua Patronal de Accidentes de Trabajo debidamente autorizada en su gestión como Entidad colaboradora de acuerdo con el art. 462 del Texto refundido de la Ley de Régimen Especial de los Trabajadores del Mar. Tal anunciada decisión -justificada en una diversidad de argumentos- se fundamentó en dicho escrito en lo dispuesto en el art. 204.1 de la Ley de la Seguridad Social, de acuerdo con el cual las Empresas disponen de un derecho de opción para elegir la Entidad que cubra los riesgos por lo que responden. </w:t>
      </w:r>
    </w:p>
    <w:p w:rsidR="00256EE9" w:rsidRDefault="00256EE9" w:rsidP="00256EE9">
      <w:pPr>
        <w:pStyle w:val="TextoNormal"/>
      </w:pPr>
      <w:r>
        <w:t xml:space="preserve">b) El 12 de julio de 1982 le fueron comunicados a la Asociación Naviera Valenciana a través de la Organización de Trabajos Portuarios de Valencia sendos escritos de los Servicios Centrales de la Organización de Trabajos Portuarios y de la Vicesecretaría Técnica del Instituto Social de la Marina en los que, por lo que aquí interesa, se hacía constar que el aseguramiento por accidentes de trabajo de los estibadores portuarios debía ser gestionado por el citado Instituto Social de la Marina, por cuanto la relación de Seguridad Social quedaba establecida, en este caso, con la Organización de Trabajos Portuarios. Por ello, y toda vez que la Organización mencionada se hallaba incluida en el apartado a) núm. 2 del art. 204 de la Ley de la Seguridad Social, la protección frente a la contingencia de accidentes de trabajo habría de establecerse necesariamente con el mismo Instituto Social de la Marina. </w:t>
      </w:r>
    </w:p>
    <w:p w:rsidR="00256EE9" w:rsidRDefault="00256EE9" w:rsidP="00256EE9">
      <w:pPr>
        <w:pStyle w:val="TextoNormal"/>
      </w:pPr>
      <w:r>
        <w:t xml:space="preserve">c) El día 5 de agosto del mismo año, la Asociación Naviera se dirigió a la sede en Valencia del Instituto Social de la Marina, acusando recibo del escrito de éste del 12 de julio y manifestando que, frente a lo aducido en este escrito, la Organización de Trabajos Portuarios no era la Empresa responsable de las contingencias de accidentes de trabajo de los estibadores en ella censados y sí, meramente, una oficina especial de empleo sin ningún carácter de Empresa, de acuerdo con lo dispuesto en el Real Decreto 2303/1980, de 24 de </w:t>
      </w:r>
      <w:r>
        <w:lastRenderedPageBreak/>
        <w:t xml:space="preserve">octubre, y normas complementarias. En el mismo sentido se habria pronunciado en diferentes ocasiones la Sala de lo Contencioso-Administrativo de la Audiencia Territorial de Valencia. </w:t>
      </w:r>
    </w:p>
    <w:p w:rsidR="00256EE9" w:rsidRDefault="00256EE9" w:rsidP="00256EE9">
      <w:pPr>
        <w:pStyle w:val="TextoNormal"/>
      </w:pPr>
      <w:r>
        <w:t xml:space="preserve">Por ello, no sería aplicable al caso el art. 204.2 a) de la Ley de Seguridad Social, pudiendo elegir las Empresas representadas por la Asociación Naviera la Entidad gestora o Mutua Patronal que cubriese los riesgos en cuestión. </w:t>
      </w:r>
    </w:p>
    <w:p w:rsidR="00256EE9" w:rsidRDefault="00256EE9" w:rsidP="00256EE9">
      <w:pPr>
        <w:pStyle w:val="TextoNormal"/>
      </w:pPr>
      <w:r>
        <w:t xml:space="preserve">d) Frente a la denegación del que estimaban su derecho, las Empresas portuarias afectadas presentaron, representadas por la Asociación Naviera de Valencia, demanda ante la Magistratura de Trabajo, resolviéndose su pretensión en Sentencia de 17 de enero de 1983, de la Magistratura núm. 1 de las de Valencia. En esta Sentencia se acogieron las tesis de la parte actora, declarándose el derecho de las Empresas asociadas a la demandante en orden a optar entre el Instituto Social de la Marina y la Mutua Patronal de su elección para formalizar la protección respecto a las contingencias de accidentes de trabajo y enfermedades profesionales del personal a su servicio. </w:t>
      </w:r>
    </w:p>
    <w:p w:rsidR="00256EE9" w:rsidRDefault="00256EE9" w:rsidP="00256EE9">
      <w:pPr>
        <w:pStyle w:val="TextoNormal"/>
      </w:pPr>
      <w:r>
        <w:t xml:space="preserve">e) Recurrida en suplicación la resolución anterior por el Instituto Social de la Marina y la Organización de Trabajos Portuarios, el recurso fue resuelto por Sentencia del Tribunal Central de Trabajo de 13 de diciembre de 1984. En la misma, estimándose el recurso, se declaró que la Organización de Trabajos Portuarios era la Entidad oficial encargada de facilitar a las Empresas solicitantes los estibadores destinados a la carga y descarga de mercancías, ostentando dicha Organización, por lo que se refiere a la Segu idad Social, el carácter de Empresa respecto de tales trabajadores. Por ello, al tener esta Organización el carácter de organismo autónomo estatal, habría de cubrir los riesgos laborales en cuestión con el Instituto Social de la Marina, a tenor de lo preceptuado en el art. 204.2 a) de la Ley General de la Seguridad Social. </w:t>
      </w:r>
    </w:p>
    <w:p w:rsidR="00256EE9" w:rsidRDefault="00256EE9" w:rsidP="00256EE9">
      <w:pPr>
        <w:pStyle w:val="TextoNormal"/>
      </w:pPr>
      <w:r>
        <w:t xml:space="preserve">La fundamentación en Derecho de la demanda de amparo puede resumirse como sigue: </w:t>
      </w:r>
    </w:p>
    <w:p w:rsidR="00256EE9" w:rsidRDefault="00256EE9" w:rsidP="00256EE9">
      <w:pPr>
        <w:pStyle w:val="TextoNormal"/>
      </w:pPr>
      <w:r>
        <w:t xml:space="preserve">a) La demandante reitera el derecho de opción que, de acuerdo con el art. 204.1 de la Ley General de la Seguridad Social, asiste a las Empresas en ella asociadas. Tal derecho de opción habría quedado enervado en el presente caso por la Sentencia recurrida en la que, erróneamente, se consideró como Empresa de los trabajadores estibadores a la Organización de Trabajos Portuarios, interpretación ésta -se dice- que habría deparado discriminación de las Empresas asociadas en cuyo interés se demanda amparo, a las que se habría privado de este modo de un derecho genéricamente reconocido por la Ley a todas las Empresas. </w:t>
      </w:r>
    </w:p>
    <w:p w:rsidR="00256EE9" w:rsidRDefault="00256EE9" w:rsidP="00256EE9">
      <w:pPr>
        <w:pStyle w:val="TextoNormal"/>
      </w:pPr>
      <w:r>
        <w:t xml:space="preserve">b) Discute la recurrente aquella calificación como Empresa de la Organización de Trabajos Portuarios, aduciendo al efecto diferentes disposiciones (Real Decreto 2302/1980 y Orden de 16 de junio de 1981, básicamente), de las que se seguiría que dicha Organización no guarda relación laboral alguna con los estibadores, agotándose sus tareas en las propias de una Oficina de Empleo en la que las Empresas del ramo contratan a su personal. Son estas Empresas las que abonan los salarios correspondientes y cotizan a la Seguridad Social en virtud de tales contratos. </w:t>
      </w:r>
    </w:p>
    <w:p w:rsidR="00256EE9" w:rsidRDefault="00256EE9" w:rsidP="00256EE9">
      <w:pPr>
        <w:pStyle w:val="TextoNormal"/>
      </w:pPr>
      <w:r>
        <w:t>En la súplica se solicita del Tribunal que, otorgando el amparo, declare la nulidad de la Sentencia recurrida, reconociendo el derecho que asiste a las Empresas estibadoras del puerto de Valencia en orden a realizar la opción en su dia pretendida.</w:t>
      </w:r>
    </w:p>
    <w:p w:rsidR="00256EE9" w:rsidRDefault="00256EE9" w:rsidP="00256EE9">
      <w:pPr>
        <w:pStyle w:val="TextoNormal"/>
      </w:pPr>
    </w:p>
    <w:p w:rsidR="00256EE9" w:rsidRDefault="00256EE9" w:rsidP="00256EE9">
      <w:pPr>
        <w:pStyle w:val="TextoNormal"/>
      </w:pPr>
      <w:r w:rsidRPr="00256EE9">
        <w:rPr>
          <w:rStyle w:val="NumeroAFNegritaCaracter"/>
        </w:rPr>
        <w:t>2</w:t>
      </w:r>
      <w:r>
        <w:t>. La Sección Cuarta de este Tribunal, en su reunión del pasado 13 de marzo, acordó poner de manifiesto la posible existencia de la causa de inadmisión que regula el art. 50.2 b) de la Ley Orgánica del Tribunal Constitucional, por cuanto la demanda pudiera carecer de contenido que justifique una decisión por parte de este Tribunal; y por ello, en aplica</w:t>
      </w:r>
      <w:r>
        <w:lastRenderedPageBreak/>
        <w:t xml:space="preserve">ción de lo dispuesto en el art. 50 de la Ley Orgánica de este Tribunal, se concede un plazo común de diez días a la representación de la recurrente y al Ministerio Fiscal para alegaciones. </w:t>
      </w:r>
    </w:p>
    <w:p w:rsidR="00256EE9" w:rsidRDefault="00256EE9" w:rsidP="00256EE9">
      <w:pPr>
        <w:pStyle w:val="TextoNormal"/>
      </w:pPr>
      <w:r>
        <w:t xml:space="preserve">Dentro del mencionado plazo el solicitante del amparo ha insistido en sus iniciales pretensiones alegando que la Sentencia motivo del recurso de fecha 13 de diciembre de 1984 viola el art. 14 de la Constitución, al discriminar a los empresarios del sector marítimo-portuario en relación a los demás sectores empresariales, por cuanto niega a aquéllos la libertad de elegir la Entidad para la protección de las contingencias de accidentes de trabajo de los estibadores a su servicio, según lo dispuesto en el art. 204.1 de la Ley General de la Seguridad Social, Texto articulado por Decreto de 30 de mayo de 1974. Esta afirmación se apoya en que el núm. 2 del citado art. 204 sólo sería aplicable al caso de autos en la falsa premisa de que la Organización de Trabajos Portuarios fuera empresario único, con carácter excluyente y exclusivo, de dichos estibadores, como sostiene el Tribunal Central de Trabajo, con base en la aplicación anticonstitucional del art. 5 del Decreto de 30 de agosto de 1974, que aprobó el Texto Refundido de la Ley de Régimen Especial de la Seguridad Social de los Trabajadores del Mar. </w:t>
      </w:r>
    </w:p>
    <w:p w:rsidR="00256EE9" w:rsidRDefault="00256EE9" w:rsidP="00256EE9">
      <w:pPr>
        <w:pStyle w:val="TextoNormal"/>
      </w:pPr>
      <w:r>
        <w:t xml:space="preserve">Según el solicitante de amparo para que las diferencias o discriminaciones del principio de igualdad jurídica ante la Ley sean admisibles, se requiere no sólo que se dispongan en precepto con rango de Ley, sino suficiente justificación que aparezca al mismo tiempo como fundada y razonable, de acuerdo con criterios y juicios de valor generalmente aceptados. </w:t>
      </w:r>
    </w:p>
    <w:p w:rsidR="00256EE9" w:rsidRDefault="00256EE9" w:rsidP="00256EE9">
      <w:pPr>
        <w:pStyle w:val="TextoNormal"/>
      </w:pPr>
      <w:r>
        <w:t xml:space="preserve">En el caso de autos, dice el solicitante del amparo, falta el primer requisito (discriminación legal) porque el art. 5 del Decreto de 30 de agosto de 1974, se limita a enumerar a la Organización de Trabajos Portuarios, como una Empresa más de las consideradas como tales a efectos de la referida Ley de la Seguridad Social de los Trabajadores del Mar, sin que diga ni pueda interpretarse su texto en el sentido que propugna la Sentencia al considerarla empresario único con carácter excluyente y exclusivo, expresión que sólo aparece en la Orden del Ministerio de Trabajo de 19 de mayo de 1975, que, además, de referirse a cuestión distinta de la que motiva el presente procedimiento, se declaró inviable por contraria al párrafo 2.° del art. 25 de la repetida Ley de 30 de agosto de 1974, en Sentencias de la Sala Cuarta del Tribunal Supremo de 20 de mayo de 1980, 9 de febrero y 9 de marzo de 1983, y 20 de marzo de 1984. </w:t>
      </w:r>
    </w:p>
    <w:p w:rsidR="00256EE9" w:rsidRDefault="00256EE9" w:rsidP="00256EE9">
      <w:pPr>
        <w:pStyle w:val="TextoNormal"/>
      </w:pPr>
      <w:r>
        <w:t xml:space="preserve">La inexistencia del precepto legal discriminatorio, de que parte la tesis de la Sentencia impugnada, priva de base a ésta, porque ninguna jurisdicción puede justificar diferencias o discriminaciones fundadas y razonables, de acuerdo con criterios y juicios de valor generalmente aceptados, sin que previamente estén declaradas por Ley, porque ello no seria aplicarla, sino inventarla, sobre todo si se trata de preceptos de excepción, como el art. 204.2 de la Ley General de la Seguridad Social, cuya aplicación es restrictiva, según el art. 4.2 del Código Civil. </w:t>
      </w:r>
    </w:p>
    <w:p w:rsidR="00256EE9" w:rsidRDefault="00256EE9" w:rsidP="00256EE9">
      <w:pPr>
        <w:pStyle w:val="TextoNormal"/>
      </w:pPr>
      <w:r>
        <w:t xml:space="preserve">Establecido lo anterior, cede también el argumento b) del tercer considerando de la Sentencia recurrida, porque la declaración del Decreto de 24 de octubre de 1980 y la Orden de 16 de junio de 1981, de que la Organización de Trabajos Portuarios es simple Oficina Especial de Empleo de los estibadores portuarios, sin relación laboral alguna con éstos, no es contraria a precepto legal alguno, que concediera en exclusiva la condición de empresario a dicha Organización por inexistencia de tal precepto, y cuya actuación se limita y ha limitado en todo momento a trámites burocráticos de recaudación de cuotas de Seguridad Social de los estibadores y otras funciones que no hacen al caso, según normas de rango reglamentario que dichos Decretos y Orden modificaron o suprimieron. </w:t>
      </w:r>
    </w:p>
    <w:p w:rsidR="00256EE9" w:rsidRDefault="00256EE9" w:rsidP="00256EE9">
      <w:pPr>
        <w:pStyle w:val="TextoNormal"/>
      </w:pPr>
      <w:r>
        <w:lastRenderedPageBreak/>
        <w:t xml:space="preserve">El Fiscal General del Estado ha solicitado la inadmisión de este recurso, señalando que la Sentencia del Tribunal Central de Trabajo al resolver el recurso de suplicación interpuesto contra la que dictó la Magistratura de Trabajo núm. 1 de Valencia, estimó aquel recurso revocando la resolución de la Magistratura y declaró que a las Empresas asociadas a la Asociación Naviera Valenciana, demandante-recurrida, no les asiste el derecho, cuyo reconocimiento se pide en la demanda, de optar en favor de la Mutua Patronal a los fines de protección de la contingencia de los accidentes laborales, y enfermedades profesionales de los estibadores portuarios que para ella trabajan, dado que, a estos efectos, la condición de Empresa de dichos profesionales está legalmente atribuida a la Organización de Trabajos Portuarios con carácter exclusivo y excluyente... y tal Empresa -sigue diciendo la Sentencia- tiene la obligación de suscribirse en el Régimen Especial de la Seguridad Social de los Trabajadores del Mar en cuanto al trabajo de los estibadores, así como el designar la Entidad que cubrirá las contingencias de los accidentes de trabajo y enfermedades profesionales, que no puede ser otro que el propio Instituto Social de la Marina al tener la Organización de Trabajos Portuarios el carácter de Organismo Autónomo Estatal. </w:t>
      </w:r>
    </w:p>
    <w:p w:rsidR="00256EE9" w:rsidRDefault="00256EE9" w:rsidP="00256EE9">
      <w:pPr>
        <w:pStyle w:val="TextoNormal"/>
      </w:pPr>
      <w:r>
        <w:t xml:space="preserve">El recurso de amparo que contra la citada Sentencia del Tribunal Central de Trabajo interpone la Asociación Naviera Valenciana se dedica a discrepar de la interpretación que el Tribunal Central de Trabajo ha hecho respecto de las disposiciones legales aplicables al caso, afirmando que la Sentencia recurrida al privar a las Empresas estibadoras del derecho a elegir la Entidad para formalizar la protección respecto a las contingencias de accidentes de trabajo y enfermedades profesionales del personal a su servicio, las sitúa en desigualdad legal con relación al resto de los empresarios españoles e infringe el art. 14 de la Constitución Española. </w:t>
      </w:r>
    </w:p>
    <w:p w:rsidR="00256EE9" w:rsidRDefault="00256EE9" w:rsidP="00256EE9">
      <w:pPr>
        <w:pStyle w:val="TextoNormal"/>
      </w:pPr>
      <w:r>
        <w:t>Sin embargo, debe recordarse que es doctrina del Tribunal que para poderse entender conculcado el principio de igualdad se exige que los supuestos de hecho que han de ser comparados sean sustancialmente iguales, lo que no parece darse en el asunto contemplado pues se establecen como términos comparativos el resto de los empresarios españoles, cuya identidad con aquella Empresa, planteado en estos términos, no es desde luego posible establecer.</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recurso pretende dirigirse frente a la Sentencia dictada el 13 de diciembre de 1983, pero, de ser cierta la discriminación aducida, ésta se habría producido ya a resultas de la actuación administrativa previa, consistente en este caso en el acto de la Vicesecretaría Técnica del Instituto Social de la Marina, en el que se afirmó que era sólo la Organización de Trabajos Portuarios el organismo legitimado para interesar la pretendida cobertura de riesgos, sin que a este ente le correspondiera el derecho de opción recabado por las Empresas estibadoras, al quedar incluido en la excepción prevista en el art. 204.2 a) de la Ley General de la Seguridad Social. La demanda, por su contenido objetivo, habría de reconducirse, pues, al cauce del art. 43 de la Ley Orgánica del Tribunal.</w:t>
      </w:r>
    </w:p>
    <w:p w:rsidR="00256EE9" w:rsidRDefault="00256EE9" w:rsidP="00256EE9">
      <w:pPr>
        <w:pStyle w:val="TextoNormal"/>
      </w:pPr>
    </w:p>
    <w:p w:rsidR="00256EE9" w:rsidRDefault="00256EE9" w:rsidP="00256EE9">
      <w:pPr>
        <w:pStyle w:val="TextoNormal"/>
      </w:pPr>
      <w:r w:rsidRPr="00256EE9">
        <w:rPr>
          <w:rStyle w:val="NumeroAFNegritaCaracter"/>
        </w:rPr>
        <w:t>2</w:t>
      </w:r>
      <w:r>
        <w:t>. El recurso está manifiestamente desprovisto de relevancia constitucional que pudiera justificar su conocimiento y fallo por este Tribunal.  La Entidad demandante afirma que se ha producido discriminación en desfavor de las Empresas portuarias, al no reconocerse a éstas el derecho de opción genéricamente previsto en el art.  204.1 de la Ley General de la Seguridad Social.  Tal quiebra del principio de igualdad seria, así, el resultado de un erró</w:t>
      </w:r>
      <w:r>
        <w:lastRenderedPageBreak/>
        <w:t>neo entendimiento por parte del aplicador del Derecho (de la Administración y, confirmando su actuar, del Tribunal Central de Trabajo) de la verdadera naturaleza de la Organización de Trabajos Portuarios, a la luz de las disposiciones vigentes en la materia.  Tal yerro en la interpretación habria concluido en la negación del derecho legal de las Empresas interesadas y, por ello, en su discriminación frente a todas las demás Empresas.</w:t>
      </w:r>
    </w:p>
    <w:p w:rsidR="00256EE9" w:rsidRDefault="00256EE9" w:rsidP="00256EE9">
      <w:pPr>
        <w:pStyle w:val="TextoNormal"/>
      </w:pPr>
      <w:r>
        <w:t>Lo expuesto podría acaso bastar para apreciar de qué modo esta pretendida queja constitucional queda incursa en la causa de inadmisibilidad prevista en el art. 50.2 b) de la Ley Orgánica de este Tribunal. La recurrente no invoca una desigualdad en la Ley [no tacha de inconstitucional lo dispuesto en el art.  204.2 a) de la Ley General de la Seguridad Social], ni tampoco alza su queja frente a una decisión -administrativa o judicial- que hubiese resuelto en este caso de modo diferente a como lo hiciera en supuestos análogos.</w:t>
      </w:r>
    </w:p>
    <w:p w:rsidR="00256EE9" w:rsidRDefault="00256EE9" w:rsidP="00256EE9">
      <w:pPr>
        <w:pStyle w:val="TextoNormal"/>
      </w:pPr>
      <w:r>
        <w:t>Se trata, estrictamente, de discutir una interpretación de una norma legal llevada a cabo por la Administración Pública y más tarde por los Tribunales.  Tal interpretación -reconociendo el carácter de Empresa de los estibadores a la Organización de Trabajos Portuarios- no podría ser revisada en este proceso constitucional de amparo, porque no existe aquí asomo de lesión de derecho fundamental alguno.  No vale, para identificar tal afectación de derechos amparables, la conexión que la recurrente intenta trabar entre la interpretación discutida y el principio de igualdad declarado por el art.  14 de la Constitución.  Y la improcedencia de semejante razonamiento puede apreciarse si se tiene en cuenta que, para poder concluir en la hipotética discriminación denunciada, no habría otra vía que la de examinar aquel controvertido entendimiento de la legalidad, lo que es por sí solo ajeno a este Tribunal.</w:t>
      </w:r>
    </w:p>
    <w:p w:rsidR="00256EE9" w:rsidRDefault="00256EE9" w:rsidP="00256EE9">
      <w:pPr>
        <w:pStyle w:val="TextoNormal"/>
      </w:pPr>
      <w:r>
        <w:t>En realidad, ni siquiera una hipotética apreciación del error en la interpretación y aplicación del Derecho significaría aquí que se hubiera producido la discriminación aducida, a no ser -como parece pretenderse en la demanda- que se reconociese que todo acto de aplicación singular del Derecho, si erróneo, supone, por lo mismo, un quebrantamiento de la regla recogida en el art.  14 de nuestra Constitución.  Al presente caso sería trasladable lo ya dicho en nuestro Auto 231/1982, de 23 de junio (fundamento jurídico 3): « la interpretación que los interesados consideran defectuosa de las Leyes vigentes no puede ser considerada, en sí misma, violatoria del principio de igualdad si de la misma no resulta una discriminación que sólo puede argumentarse a partir de una diferencia de trato entre quien la aduce y otras personas». En análogo sentido, el Auto de 15 de junio de 1983 (fundamento jurídico 2) advirtió que «es obvio que el art.  14 de la Constitución por sí solo no impone ningún juicio específico de legalidad, ni ningún tipo específico de interpretación».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ha acordado la inadmisión del recurso de amparo promovido por la Asociación Naviera Valenciana.</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40" w:name="AUTO_1985_279"/>
      <w:r>
        <w:lastRenderedPageBreak/>
        <w:t>AUTO 279/1985, de 24 de abril de 1985</w:t>
      </w:r>
    </w:p>
    <w:bookmarkEnd w:id="340"/>
    <w:p w:rsidR="00256EE9" w:rsidRDefault="00256EE9" w:rsidP="00256EE9">
      <w:pPr>
        <w:pStyle w:val="TtuloResolucin"/>
      </w:pPr>
      <w:r>
        <w:t>Sección Primera</w:t>
      </w:r>
    </w:p>
    <w:p w:rsidR="00256EE9" w:rsidRDefault="00256EE9" w:rsidP="00256EE9">
      <w:pPr>
        <w:pStyle w:val="TtuloResolucin"/>
      </w:pPr>
    </w:p>
    <w:p w:rsidR="00256EE9" w:rsidRDefault="00256EE9" w:rsidP="00256EE9">
      <w:pPr>
        <w:pStyle w:val="SntesisDescriptiva"/>
      </w:pPr>
      <w:r>
        <w:t>ECLI:ES:TC:1985:279A</w:t>
      </w:r>
    </w:p>
    <w:p w:rsidR="00256EE9" w:rsidRDefault="00256EE9" w:rsidP="00256EE9">
      <w:pPr>
        <w:pStyle w:val="SntesisDescriptiva"/>
      </w:pPr>
    </w:p>
    <w:p w:rsidR="00256EE9" w:rsidRDefault="00256EE9" w:rsidP="00256EE9">
      <w:pPr>
        <w:pStyle w:val="SntesisDescriptiva"/>
      </w:pPr>
      <w:r>
        <w:t>Excms. Srs. don Manuel García-Pelayo y Alonso, don Ángel Latorre Segura y doña Gloria Begué Cantón.</w:t>
      </w:r>
    </w:p>
    <w:p w:rsidR="00256EE9" w:rsidRDefault="00256EE9" w:rsidP="00256EE9">
      <w:pPr>
        <w:pStyle w:val="SntesisDescriptiva"/>
      </w:pPr>
    </w:p>
    <w:p w:rsidR="00256EE9" w:rsidRDefault="00256EE9" w:rsidP="00256EE9">
      <w:pPr>
        <w:pStyle w:val="SntesisDescriptiva"/>
      </w:pPr>
      <w:r>
        <w:t>Acordando la inadmisión a trámite del recurso de amparo 120/1985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Don Albito Martínez Díez, Procurador de los Tribunales, interpone en nombre y representación de la entidad mercantil «Famauto, S. A.» recurso de amparo constitucional contra el Auto de la Sala Primera del Tribunal Supremo de 9 de enero de I985 por el que se desestima recurso de queja formulado contra el pronunciado por la Sala de lo Civil de la Audiencia Territorial de Madrid que deniega la remisión de los autos a aquella Sala y el emplazamiento de las partes para interponer recurso de casación. La pretensión postulada se apoya en los siguientes hechos: a) Con fecha ll de septiembre de 1984, la Sala Tercera de lo Civil de la Audiencia Territorial de Madrid sustanció el recurso de apelación promovido por la parte actora contra la Sentencia dictada por el Juzgado de Primera Instancia núm. ll de los de Madrid, en autos de juicio de mayor cuantía. Frente a la anterior resolución, la representación de «Famauto, S. A.» preparó recurso de casación al amparo de lo prevenido en el párrafo primero de la disposición transitoria segunda de la Ley 34/1984, de 6 de agosto, y del art. 1.694 de la L.E. C., solicitando la remisión de los autos originales y el rollo de la apelación a la Sala Primera del Tribunal Supremo. b) Por Auto de 7 de noviembre de 1984, la Sala Tercera de lo Civil de la citada Audiencia denegó la remisión de los autos, considerando que la Sentencia que pretendía impugnarse no era susceptible de ser recurrida en casación en virtud de lo establecido en el art. 1.687.1 de la L.E.C., tras las modificaciones introducidas en dicho precepto por la Ley 34/1984. c) Contra el anterior Auto la hoy recurrente en amparo interpuso recurso de queja ante la Sala Primera del Tribunal Supremo alegando, entre otros motivos, infracción del art. 24.1 de la C.E., que fue desestimado por el suyo de 9 de enero de 1985. </w:t>
      </w:r>
    </w:p>
    <w:p w:rsidR="00256EE9" w:rsidRDefault="00256EE9" w:rsidP="00256EE9">
      <w:pPr>
        <w:pStyle w:val="TextoNormal"/>
      </w:pPr>
      <w:r>
        <w:t>En el «suplico», se solicita de este Tribunal la nulidad de los Autos impugnados, reconociendo el derecho de la recurrente a que se tenga por preparado el recurso de casación formulado contra la Sentencia dictada por la Sala Tercera de lo Civil de la Audiencia Territorial de Madrid.</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El escrito de demanda impugna los Autos de la Audiencia Territorial y del Tribunal Supremo, denunciando la violación por los mismos del art. 24.1 de la C.E., que, en el decir de la demandante, se habría producido la perpetuatio jurisdictionis, y si al iniciarse las actuaciones que han dado origen al presente recurso eran competentes para el conocimiento y resolución del litigio el Juzgado de Primera Instancia, la Audiencia Territorial y el </w:t>
      </w:r>
      <w:r>
        <w:lastRenderedPageBreak/>
        <w:t>Tribunal Supremo, la competencia de estos órganos jurisdiccionales no puede ser modificada como consecuencia de las alteraciones producidas con posterioridad a la iniciación del juicio. La privación del recurso de casación contra una Sentencia dictada por la Audiencia Territorial susceptible de ser impugnada por ese cauce extraordinario en la fecha del comienzo de las actuaciones infringe el art. 24.1 de la C.E., produciendo indefensión.</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20 de marzo de 1985, la Sección acuerda tener por recibido el escrito de demanda así como conceder un plazo común de diez días al Ministerio Fiscal y a la Entidad recurrente, para que, dentro de dicho término, aleguen lo pertinente en relación con la posible concurrencia del motivo de inadmisión consistente en carecer la demanda manifiestamente de contenido que justifique una decisión por parte del Tribunal Constitucional [art. 50.2 b) de la Ley Orgánica del Tribunal Constitucional LOTC].</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Evacuando el trámite, el Fiscal ante el Tribunal Constitucional comienza manifestando la reiteración con la que la jurisprudencia constitucional ha señalado que el sistema de recursos no afecta, salvo en materia penal, a la constitucionalidad de la norma que los rige, correspondiendo a la libertad del legislador regular el acceso al recurso dentro de criterios razonables y proporcionados. En el presente caso, el recurrente lo que pretende atacar es la aplicación de las disposiciones de la Ley 34/1984 al proceso iniciado antes de su entrada en vigor, pretensión falta de contenido constitucional pues esa norma ha limitado el acceso al recurso de casación y fijado el momento a partir del cual rigen las limitaciones y respecto a qué procesos. </w:t>
      </w:r>
    </w:p>
    <w:p w:rsidR="00256EE9" w:rsidRDefault="00256EE9" w:rsidP="00256EE9">
      <w:pPr>
        <w:pStyle w:val="TextoNormal"/>
      </w:pPr>
      <w:r>
        <w:t>Por lo expuesto, el Fiscal interesa del Tribunal Constitucional dicte Auto desestimatorio de la demanda por concurrir la causa prevista en el art. 50.2 b) de la LOTC.</w:t>
      </w:r>
    </w:p>
    <w:p w:rsidR="00256EE9" w:rsidRDefault="00256EE9" w:rsidP="00256EE9">
      <w:pPr>
        <w:pStyle w:val="TextoNormal"/>
      </w:pPr>
    </w:p>
    <w:p w:rsidR="00256EE9" w:rsidRDefault="00256EE9" w:rsidP="00256EE9">
      <w:pPr>
        <w:pStyle w:val="TextoNormal"/>
      </w:pPr>
      <w:r w:rsidRPr="00256EE9">
        <w:rPr>
          <w:rStyle w:val="NumeroAFNegritaCaracter"/>
        </w:rPr>
        <w:t>5</w:t>
      </w:r>
      <w:r>
        <w:t xml:space="preserve">. En su escrito de alegaciones, la Entidad solicitante de amparo estima que los Autos impugnados, al privarla del recurso de casación, producen indefensión, ya que tal recurso resultaba procedente: a) por la interpretación conjunta de las disposiciones transitorias primera y segunda de la Ley 34/1984, de las que se deduce con claridad que lo.s litigantes tienen derecho a la utilización de todos los recursos de que estaban asistidos al iniciarse el procedimiento; b) por la aplicación del principio de la perpetuatio jurisdictionis, reconocido como fundamental por la doctrina procesalista española y omitido, sin embargo, por las resoluciones combatidas, y c) la irretroactividad aplicable a la Ley 34/1984 en relación con los recursos que se interpongan en las actuaciones promovidas antes de la entrada en vigor de dicha norma legal. </w:t>
      </w:r>
    </w:p>
    <w:p w:rsidR="00256EE9" w:rsidRDefault="00256EE9" w:rsidP="00256EE9">
      <w:pPr>
        <w:pStyle w:val="TextoNormal"/>
      </w:pPr>
      <w:r>
        <w:t>En mérito de las razones expuestas, se solicita la admisión a trámite del recurso.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La indefensión que la recurrente dice haber padecido, con la violación de lo establecido en el art.  24.1 de la C.E., se habría producido por haber denegado las resoluciones impugnadas la remisión de los Autos a la Sala Primera del Tribunal Supremo y el emplazamiento de las partes litigantes en el procedimiento de mayor cuantía del que este amparo trae origen para interponer recurso de casación contra la Sentencia de 11 de septiembre de 1984, dictada por la Sala Tercera de lo Civil de la Audiencia Territorial de Madrid.  Esta decisión vino motivada por no alcanzar el pleito la cuantía mínima exigible para recurrir </w:t>
      </w:r>
      <w:r>
        <w:lastRenderedPageBreak/>
        <w:t>en casación, de conformidad con las nuevas reglas sobre procedencia de los recursos de esa naturaleza fijadas por la Ley 34/1984, de 6 de agosto, en particular por la establecida en el art.  1.687-1, que el demandante considera no ha de serle de aplicación por cuanto, al iniciarse la tramitación del juicio declarativo de mayor cuantía ante el Juzgado de Instrucción, la legislación procesal entonces en vigor permitía la impugnación en casación de las Sentencias dictadas por las Audiencias al resolver recursos de apelación formulados contra las resoluciones de instancia.</w:t>
      </w:r>
    </w:p>
    <w:p w:rsidR="00256EE9" w:rsidRDefault="00256EE9" w:rsidP="00256EE9">
      <w:pPr>
        <w:pStyle w:val="TextoNormal"/>
      </w:pPr>
      <w:r>
        <w:t>La alteración de las reglas sobre procedencia de los recursos de casación operada por la mencionada Ley 34/1984 constituye una arbitraria privación del derecho a recurrir, causando indefensión.</w:t>
      </w:r>
    </w:p>
    <w:p w:rsidR="00256EE9" w:rsidRDefault="00256EE9" w:rsidP="00256EE9">
      <w:pPr>
        <w:pStyle w:val="TextoNormal"/>
      </w:pPr>
    </w:p>
    <w:p w:rsidR="00256EE9" w:rsidRDefault="00256EE9" w:rsidP="00256EE9">
      <w:pPr>
        <w:pStyle w:val="TextoNormal"/>
      </w:pPr>
      <w:r w:rsidRPr="00256EE9">
        <w:rPr>
          <w:rStyle w:val="NumeroAFNegritaCaracter"/>
        </w:rPr>
        <w:t>2</w:t>
      </w:r>
      <w:r>
        <w:t>. Partiendo de la doctrina tan reiterada por este Tribunal de que compete al Legislador arbitrar los medios impugnatorios que estime convenientes con arreglo a los criterios de ordenación que juzgue más oportunos y sean compatibles con los principios constitucionales, no puede estimarse en modo alguno atentatorio a las garantias que el art.  24.1 consagra la modificación de las reglas de procedencia de los recursos y su aplicación a las actuaciones ya iniciadas una vez concluida «la instancia en que se hallen» (disposición transitoria segunda de la Ley 34/1984). Ninguna norma constitucional fundamenta el derecho de los justiciables a la inmodificabilidad del sistema de ordenación de los recursos legalmente establecidos o, formulada la tesis en otros términos, el art.  24.1 de la C.E. no consagra el derecho a impugnar una decisión no existente aún en el mundo jurídico con arreglo a ciertos criterios en lugar de conformes a otros.</w:t>
      </w:r>
    </w:p>
    <w:p w:rsidR="00256EE9" w:rsidRDefault="00256EE9" w:rsidP="00256EE9">
      <w:pPr>
        <w:pStyle w:val="TextoNormal"/>
      </w:pPr>
      <w:r>
        <w:t>Sustanciado por la Audiencia Territorial el recurso de apelación en una fecha posterior a la entrada en vigor de la Ley 34/1984, la caracterización de la Sentencia dictada por ese órgano judicial como resolución irrecurrible en casación quedaba sujeta, por virtud de las previsiones transitorias de ese texto legislativo, a las nuevas reglas de procedencia del recurso fijadas en el art.  1.687.1.  Los Autos impugnados, al entenderlo así, no han infrigido el derecho constitucional a la tutela judicial ni han lesionado el derecho de defensa.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acuerda declarar la inadmisibilidad del recurso de amparo promovido por «Famauto, S. A.», y archivar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41" w:name="AUTO_1985_280"/>
      <w:r>
        <w:lastRenderedPageBreak/>
        <w:t>AUTO 280/1985, de 24 de abril de 1985</w:t>
      </w:r>
    </w:p>
    <w:bookmarkEnd w:id="341"/>
    <w:p w:rsidR="00256EE9" w:rsidRDefault="00256EE9" w:rsidP="00256EE9">
      <w:pPr>
        <w:pStyle w:val="TtuloResolucin"/>
      </w:pPr>
      <w:r>
        <w:t>Sección Cuarta</w:t>
      </w:r>
    </w:p>
    <w:p w:rsidR="00256EE9" w:rsidRDefault="00256EE9" w:rsidP="00256EE9">
      <w:pPr>
        <w:pStyle w:val="TtuloResolucin"/>
      </w:pPr>
    </w:p>
    <w:p w:rsidR="00256EE9" w:rsidRDefault="00256EE9" w:rsidP="00256EE9">
      <w:pPr>
        <w:pStyle w:val="SntesisDescriptiva"/>
      </w:pPr>
      <w:r>
        <w:t>ECLI:ES:TC:1985:280A</w:t>
      </w:r>
    </w:p>
    <w:p w:rsidR="00256EE9" w:rsidRDefault="00256EE9" w:rsidP="00256EE9">
      <w:pPr>
        <w:pStyle w:val="SntesisDescriptiva"/>
      </w:pPr>
    </w:p>
    <w:p w:rsidR="00256EE9" w:rsidRDefault="00256EE9" w:rsidP="00256EE9">
      <w:pPr>
        <w:pStyle w:val="SntesisDescriptiva"/>
      </w:pPr>
      <w:r>
        <w:t>Excms. Srs. don Jerónimo Arozamena Sierra, don Luis Díez-Picazo y Ponce de León y don Francisco Tomás y Valiente.</w:t>
      </w:r>
    </w:p>
    <w:p w:rsidR="00256EE9" w:rsidRDefault="00256EE9" w:rsidP="00256EE9">
      <w:pPr>
        <w:pStyle w:val="SntesisDescriptiva"/>
      </w:pPr>
    </w:p>
    <w:p w:rsidR="00256EE9" w:rsidRDefault="00256EE9" w:rsidP="00256EE9">
      <w:pPr>
        <w:pStyle w:val="SntesisDescriptiva"/>
      </w:pPr>
      <w:r>
        <w:t>Acordando la inadmisión a trámite del recurso de amparo 153/1985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xml:space="preserve">. El día 26 de febrero pasado tuvo entrada en el Registro de este Tribunal demanda de amparo constitucional en que se exponían los siguientes hechos: </w:t>
      </w:r>
    </w:p>
    <w:p w:rsidR="00256EE9" w:rsidRDefault="00256EE9" w:rsidP="00256EE9">
      <w:pPr>
        <w:pStyle w:val="TextoNormal"/>
      </w:pPr>
      <w:r>
        <w:t xml:space="preserve">a) Doña Rosita Vives Pérez y otros, trabajadores de la empresa «Construcciones y Prefabricados Urgel, S. A.», interpusieron demanda en reclamación de salarios contra la citada Empresa, asi como contra «Viguetas Linyola, S. A.» y contra los ahora recurrentes en amparo. </w:t>
      </w:r>
    </w:p>
    <w:p w:rsidR="00256EE9" w:rsidRDefault="00256EE9" w:rsidP="00256EE9">
      <w:pPr>
        <w:pStyle w:val="TextoNormal"/>
      </w:pPr>
      <w:r>
        <w:t xml:space="preserve">b) La Magistratura de Trabajo de Lérida dictó Sentencia de 16 de abril de 1984 estimando la reclamación y condenando solidariamente a todos los demandados a que abonasen a los trabajadores los salarios adeudados. En el penúltimo considerando, la Sentencia exponía que había quedado perfectamente acreditada «la continuidad de Empresas y la comunicabilidad patrimonial y entrecruce de intereses entre todos los codemandados, tanto personas físicas como jurídicas, ya que existe una identidad real entre los codemandados de la primera con los de la segunda naturaleza, siendo esta última una mera instrumentación jurídica para evitar la responsabilidad patrimonial que se evidencia con la última de las acciones, todo lo cual permite, con base en los arts. 5.3 y 7.2 del Código Civil y dada la utilización instrumental de la forma de la persona jurídica para lograr un resultado en contradicción con el espíritu del ordenamiento jurídico, la posibilidad de prescindir de la forma externa de la Sociedad para entrar en el fondo de la misma, alcanzando a las personas fisicas que se ocultan mediante ella... ». La Sentencia incluye en su último considerando y en el fallo la advertencia de que contra la misma no procedía recurso alguno. </w:t>
      </w:r>
    </w:p>
    <w:p w:rsidR="00256EE9" w:rsidRDefault="00256EE9" w:rsidP="00256EE9">
      <w:pPr>
        <w:pStyle w:val="TextoNormal"/>
      </w:pPr>
      <w:r>
        <w:t xml:space="preserve">c) Los recurrentes anunciaron la interposición del recurso de suplicación, declarándose mediante providencia de 19 de mayo de 1984 no haber lugar al mismo por no ser la Sentencia recurrible en razón a la cuantía litigiosa. Interpuesto recurso de reposición, fue desestimado por Auto de 4 de julio, y formulado recurso de queja, el Tribunal Central lo desestimó por Auto de 14 de diciembre. El Tribunal expone frente a la alegación del propósito de fundamentar el recurso de suplicación en el número 3 del art. 152 de la Ley de Procedimiento Laboral, a fin de subsanar faltas esenciales del procedimiento, que los recurrentes debieron consignar el importe del depósito de la condena, por lo que la omisión determina el fracaso de la queja, debiendo tenerse por no anunciado el recurso de suplicación y firme el Auto de Magistratura. </w:t>
      </w:r>
    </w:p>
    <w:p w:rsidR="00256EE9" w:rsidRDefault="00256EE9" w:rsidP="00256EE9">
      <w:pPr>
        <w:pStyle w:val="TextoNormal"/>
      </w:pPr>
      <w:r>
        <w:t>En la demanda de amparo se acusa a las resoluciones impugnadas de vulnerar: a) el derecho al Juez legal o natural predeterminado por la Ley, pues la determinación de la exis</w:t>
      </w:r>
      <w:r>
        <w:lastRenderedPageBreak/>
        <w:t xml:space="preserve">tencia de un fraude o simulación y la correspondiente atribución de responsabilidad al margen de la persona jurídica es algo que corresponde al Juez civil o penal y no al laboral; b ) el derecho al proceso con todas las garantías, ya que un juicio verbal como es el de trabajo, acelerado, con unos poderes jurisdiccionales que exceden de los del Juez civil, y en el que el objeto no es el de la simulación de Sociedad ni el del fraude o abuso de Derecho, no es el cauce procesal adecuado para resolver una cuestión tan grave; e) el derecho a la tutela efectiva, pues el Tribunal Central tenia el deber de analizar con rigor y detalle la prueba documental argüida en el recurso de queja y dictar el pronunciamiento de fondo favorable o adverso, en vez de limitarse a unas consideraciones o razonamientos puramente formales en flagrante contradicción con lo que resulta de dichos documentos, y d) el derecho a la igualdad, ya que a los demandantes se les coloca ante situaciones jurisdiccionales muy diferentes según quienes sean los acreedores que reclaman, disponiendo de un sistema de garantías jurisdiccionales muy diverso si reclaman acreedores que pueden acudir ante la Magistratura o si lo hacen quienes han de acudir ante los órganos jurisdiccionales civiles o penales Finalmente, solicitan que se otorgue el amparo en el siguiente sentido: </w:t>
      </w:r>
    </w:p>
    <w:p w:rsidR="00256EE9" w:rsidRDefault="00256EE9" w:rsidP="00256EE9">
      <w:pPr>
        <w:pStyle w:val="TextoNormal"/>
      </w:pPr>
      <w:r>
        <w:t>1) que se declare que los demandantes han sido privados de los derechos constitucionales que les asisten; 2) que se declare la nulidad de la Sentencia de Magistratura de Trabajo y el Auto del Tribunal, Central, limitando la nulidad a la parte del fallo que condena solidariamente a los demandantes a pagar las indemnizaciones; 3) que se reserve a los demandantes ante la Magistratura de Trabajo su derecho para que lo ejerciten ante el Juez legal o natural y por el cauce procesal correspondiente.</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20 de marzo se acordó oír a la representación de los demandantes y al Ministerio Fiscal acerca de la posible inadmisión de la demanda por la causa que regula el art. 50.2 b) de la Ley Orgánica de este Tribunal por cuanto pudiera carecer la pretensión de amparo de contenido que justifique nuestra decisión. </w:t>
      </w:r>
    </w:p>
    <w:p w:rsidR="00256EE9" w:rsidRDefault="00256EE9" w:rsidP="00256EE9">
      <w:pPr>
        <w:pStyle w:val="TextoNormal"/>
      </w:pPr>
      <w:r>
        <w:t xml:space="preserve">La parte demandante destaca que el contenido constitucional de la demanda deriva de estas tres razones: a) de la frecuencia con que se vienen produciendo en la práctica por parte de las Magistraturas de Trabajo de actuaciones como las que han dado ocasión a la demanda de amparo; b) de la gravedad que para las personas afectadas suelen tener dichas actuaciones de las Magistraturas de Trabajo, que ven afectado todo su patrimonio hasta el límite de verse en la misma ruina por obra de una Sentencia laboral que prejuzga la eventual ilicitud penal, o al menos civil, de determinados actos; c) del hecho evidente de que con ello se priva a los demandantes del derecho a ser juzgados por el Juez legal predeterminado por la Ley según las normas distribuidoras de la competencia de las diferentes jurisdicciones y en el procedimiento legalmente establecido. </w:t>
      </w:r>
    </w:p>
    <w:p w:rsidR="00256EE9" w:rsidRDefault="00256EE9" w:rsidP="00256EE9">
      <w:pPr>
        <w:pStyle w:val="TextoNormal"/>
      </w:pPr>
      <w:r>
        <w:t xml:space="preserve">Como una nueva indicación de la frecuencia con que se producen actuaciones por parte de las Magistraturas de Trabajo como la contemplada en la demanda de amparo, se hace mención de una Sentencia dictada por otra Magistratura de Barcelona (la núm. 14 de Barcelona), en fecha 17 de diciembre de 1979, en la que también se establece la condena solidaria del empresario y de dos Empresas o Sociedades que él había fundado, estableciéndose a cargo de aquél (para vincular así su patrimonio personal) muy crecidas indemnizaciones, que hacen que no pueda recurrirse contra la Sentencia porque es prácticamente imposible «consignar el importe de la condena», requisito exigido con todo rigor para la interposición y admisión de los recursos, y como prueba del fundamento de la demanda de amparo se refiere a la Sentencia que sobre aquel mismo asunto decidido por la Magistratura de Trabajo núm. 14 de Barcelona (que el empresario condenado individualmente no pudo recurrir) y que con posterioridad dictó la Audiencia Provincial de Barcelona, Sección </w:t>
      </w:r>
      <w:r>
        <w:lastRenderedPageBreak/>
        <w:t xml:space="preserve">Tercera de lo Penal, con fecha 7 de julio de 1984, en la causa seguida por los mismos hechos, que habían dado origen al proceso laboral, y en la cual el Tribunal Penal absolvió libremente al acusado de los delitos de «alzamiento de bienes» falsedad o apropiaciones indebidas de los que habia sido acusado. </w:t>
      </w:r>
    </w:p>
    <w:p w:rsidR="00256EE9" w:rsidRDefault="00256EE9" w:rsidP="00256EE9">
      <w:pPr>
        <w:pStyle w:val="TextoNormal"/>
      </w:pPr>
      <w:r>
        <w:t xml:space="preserve">Entiende la parte demandante que tales situaciones colocan a las personas afectadas ante auténtica indefensión; y con ello se quiebra la doble garantía de que el caso sea visto y decidido por el Juez legalmente competente y se quiebra también la garantía de que en tal enjuiciamiento se siga el juicio debido o «proceso de Ley legalmente preestablecido». Con todo lo cual se vulnera la tutela judicial efectiva. </w:t>
      </w:r>
    </w:p>
    <w:p w:rsidR="00256EE9" w:rsidRDefault="00256EE9" w:rsidP="00256EE9">
      <w:pPr>
        <w:pStyle w:val="TextoNormal"/>
      </w:pPr>
      <w:r>
        <w:t>El Ministerio Fiscal expone en su escrito de alegaciones que la cuestión es de mera legalidad y no se aprecia violación de derecho fundamental alguno por las resoluciones impugnadas. Efectivamente, la condena solidaria de los demandantes en amparo, por tener su origen en una relación laboral se produjo precisamente en esa vía procesal de acuerdo con el art. 50 y concordantes del Estatuto de los Trabajadores, lo que no conculca ningún derecho consagrado en la Constitución, como tampoco lo hace el que se deniegue la interposición del recurso de suplicación cuando no se cumplen los presupuestos requeridos por la Ley.</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En cuanto a las vulneraciones de derechos fundamentales establecidos en el art. 24 de la Constitución Española, en la que afecta al Juez ordinario predeterminado por la Ley y al proceso con las debidas garantías, señala la parte recurrente que se habrían producido por haberse pronunciado el Magistrado de Trabajo sobre el problema de la extensión de la responsabilidad de los empresarios demandados, reconociendo la existencia de un fraude de Ley en la constitución o funcionamiento de ciertas Sociedades, cuando dicho tema compete -en su opinión- al Juez civil o al penal a través de los correspondientes procedimientos.  Pero es de observar que si la predeterminación legal del Juez significa, como ha señalado este Tribunal en su Sentencia 101/1984, de 8 de noviembre, que la Ley, con generalidad y con anterioridad al caso, ha de contener los criterios de determinación competencial cuya aplicación a cada supuesto litigioso permita determinar cuál es el Juzgado o Tribunal llamado a conocer del caso, es patente que no existe infracción alguna en el supuesto actual, porque la jurisdicción laboral, especializada y no especial, se extiende al conocimiento y solución de todos los conflictos individuales que se produzcan entre empresarios y trabajadores, como consecuencia del contrato de trabajo, y no excluye cuestión alguna de su enjuiciamiento si posee base laboral, compitiendo también al Magistrado las cuestiones previas o prejudiciales civiles y administrativas que propongan las partes (arts.  1.1 y 76 de la L.P.L.), por lo que resulta obvio que la determinación de la responsabilidad empresarial corresponde estrictamente a esta esfera de competencia predeterminada.</w:t>
      </w:r>
    </w:p>
    <w:p w:rsidR="00256EE9" w:rsidRDefault="00256EE9" w:rsidP="00256EE9">
      <w:pPr>
        <w:pStyle w:val="TextoNormal"/>
      </w:pPr>
      <w:r>
        <w:t>Aun haciendo abstracción de que en principio no es misión de este Tribunal emitir pronunciamientos relativos a atribuciones de jurisdicción dentro de los diversos órdenes existentes, cabe notar que es recusable la idea de que la Jurisdicción de Trabajo no es competente para extraer las consecuencias oportunas una vez acreditada la comisión del fraude en la constitución o funcionamiento de las Sociedades mercantiles, ya que, por contra, tal idea constituiría un medio para privar a los trabajadores de la tutela judicial, precisados a descubrir el titular real y no aparente de la relación laboral e imputarle la responsabilidad que proceda.</w:t>
      </w:r>
    </w:p>
    <w:p w:rsidR="00256EE9" w:rsidRDefault="00256EE9" w:rsidP="00256EE9">
      <w:pPr>
        <w:pStyle w:val="TextoNormal"/>
      </w:pPr>
      <w:r>
        <w:lastRenderedPageBreak/>
        <w:t>De lo expuesto se sigue igualmente que carece de fundamento la imputación de haberse vulnerado el derecho al proceso con las debidas garantías, y, en conjunto, de haberse privado a la parte recurrente de la obtención de una tutela efectiva por parte de los Jueces del orden laboral, en el ejercicio de sus derechos e intereses legítimos, lo que tampoco surge de la circunstancia de la mayor o menor extensión de los razonamientos que incluyen las resoluciones impugnadas, suficientes en el caso actual para resolver las cuestiones que el proceso ofrecía.</w:t>
      </w:r>
    </w:p>
    <w:p w:rsidR="00256EE9" w:rsidRDefault="00256EE9" w:rsidP="00256EE9">
      <w:pPr>
        <w:pStyle w:val="TextoNormal"/>
      </w:pPr>
    </w:p>
    <w:p w:rsidR="00256EE9" w:rsidRDefault="00256EE9" w:rsidP="00256EE9">
      <w:pPr>
        <w:pStyle w:val="TextoNormal"/>
      </w:pPr>
      <w:r w:rsidRPr="00256EE9">
        <w:rPr>
          <w:rStyle w:val="NumeroAFNegritaCaracter"/>
        </w:rPr>
        <w:t>2</w:t>
      </w:r>
      <w:r>
        <w:t>. Lo expuesto sirve para refutar cuanto se alega sobre la posible vulneración del principio de igualdad establecido en el art.  14 de la C. E., argumentación insostenible, ya que en esencia se estima causada por suponer una discriminación, pues si los acreedores no fueran trabajadores, sino acreedores comunes, incluso con títulos y créditos privilegiados según la legislación civil o mercantil, no tendrían la posibilidad de acudir al procedimiento laboral y a la Magistratura de Trabajo, de modo que deberían hacerlo ante la Jurisdicción civil, en un proceso civil, con garantías distintas en uno y otro caso.  Decimos que lo expuesto en el fundamento que antecede es extensivo al motivo a que acabamos de referirnos, y solamente puede añadirse que el principio de igualdad no padece consecuentemente a que nuestra legislación, de orden procesal en concatenación con la de fondo, remita determinados supuestos a una u otra jurisdicción, a través de procedimientos lógicamente de naturaleza dispar, a pesar de su aparente identidad, identidad inexistente, bien por la calidad o condición de los sujetos afectados, bien por las cuestiones posiblemente suscitables, o, en suma, por el distinto alcance de los pronunciamientos a emitir por los diversos órdenes jurisdiccionales.</w:t>
      </w:r>
    </w:p>
    <w:p w:rsidR="00256EE9" w:rsidRDefault="00256EE9" w:rsidP="00256EE9">
      <w:pPr>
        <w:pStyle w:val="TextoNormal"/>
      </w:pPr>
    </w:p>
    <w:p w:rsidR="00256EE9" w:rsidRDefault="00256EE9" w:rsidP="00256EE9">
      <w:pPr>
        <w:pStyle w:val="TextoNormal"/>
      </w:pPr>
      <w:r w:rsidRPr="00256EE9">
        <w:rPr>
          <w:rStyle w:val="NumeroAFNegritaCaracter"/>
        </w:rPr>
        <w:t>3</w:t>
      </w:r>
      <w:r>
        <w:t>. Se impone pues la aplicación de las previsiones contenidas en el art.  50.2 b) de la LOTC.</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La Sección acuerda la inadmisibilidad de este recurso de amparo.</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42" w:name="AUTO_1985_281"/>
      <w:r>
        <w:lastRenderedPageBreak/>
        <w:t>AUTO 281/1985, de 24 de abril de 1985</w:t>
      </w:r>
    </w:p>
    <w:bookmarkEnd w:id="342"/>
    <w:p w:rsidR="00256EE9" w:rsidRDefault="00256EE9" w:rsidP="00256EE9">
      <w:pPr>
        <w:pStyle w:val="TtuloResolucin"/>
      </w:pPr>
      <w:r>
        <w:t>Sección Segunda</w:t>
      </w:r>
    </w:p>
    <w:p w:rsidR="00256EE9" w:rsidRDefault="00256EE9" w:rsidP="00256EE9">
      <w:pPr>
        <w:pStyle w:val="TtuloResolucin"/>
      </w:pPr>
    </w:p>
    <w:p w:rsidR="00256EE9" w:rsidRDefault="00256EE9" w:rsidP="00256EE9">
      <w:pPr>
        <w:pStyle w:val="SntesisDescriptiva"/>
      </w:pPr>
      <w:r>
        <w:t>ECLI:ES:TC:1985:281A</w:t>
      </w:r>
    </w:p>
    <w:p w:rsidR="00256EE9" w:rsidRDefault="00256EE9" w:rsidP="00256EE9">
      <w:pPr>
        <w:pStyle w:val="SntesisDescriptiva"/>
      </w:pPr>
    </w:p>
    <w:p w:rsidR="00256EE9" w:rsidRDefault="00256EE9" w:rsidP="00256EE9">
      <w:pPr>
        <w:pStyle w:val="SntesisDescriptiva"/>
      </w:pPr>
      <w:r>
        <w:t>Excms. Srs. don Manuel Díez de Velasco Vallejo, don Rafael Gómez-Ferrer Morant y don Ángel Escudero del Corral.</w:t>
      </w:r>
    </w:p>
    <w:p w:rsidR="00256EE9" w:rsidRDefault="00256EE9" w:rsidP="00256EE9">
      <w:pPr>
        <w:pStyle w:val="SntesisDescriptiva"/>
      </w:pPr>
    </w:p>
    <w:p w:rsidR="00256EE9" w:rsidRDefault="00256EE9" w:rsidP="00256EE9">
      <w:pPr>
        <w:pStyle w:val="SntesisDescriptiva"/>
      </w:pPr>
      <w:r>
        <w:t>Acordando el archivo de las actuaciones en el procedimiento 191/1985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FD024E">
        <w:rPr>
          <w:rStyle w:val="NumeroAFNegritaCaracter"/>
        </w:rPr>
        <w:t>Único.</w:t>
      </w:r>
      <w:r w:rsidRPr="00256EE9">
        <w:rPr>
          <w:rStyle w:val="TextoNormalNegritaCaracter"/>
        </w:rPr>
        <w:t xml:space="preserve"> </w:t>
      </w:r>
      <w:r>
        <w:t xml:space="preserve">Don Eduardo Narbón Sánchez, funcionario del Estado, presentó en el Registro del Gobierno Civil de La Coruña un escrito que ha tenido entrada en este Tribunal el día 12 de marzo de 1985, por el que dice elevar al Tribunal Constitucional conforme al art. 162.1 b) de la Constitución, recurso de amparo frente a diversos artículos de la Ley de Presupuestos Generales del Estado de 1985 relativos a los haberes pasivos de los funcionarios que, a su juicio, lesionan sus derechos y bienes constitucionalmente protegidos, dando lugar a la indefensión, distinto trato ante la Ley, desigualdad entre grupos e individuos que los forman, asignación no equitativa de los recursos públicos y, en consecuencia, redistribución menos equitativa de la renta. </w:t>
      </w:r>
    </w:p>
    <w:p w:rsidR="00256EE9" w:rsidRDefault="00256EE9" w:rsidP="00256EE9">
      <w:pPr>
        <w:pStyle w:val="TextoNormal"/>
      </w:pPr>
      <w:r>
        <w:t xml:space="preserve">Alega el recurrente, en su condición de funcionario público, que el nuevo sistema de clases pasivas conduce a una expropiación de sus únicos bienes (sueldo y, en breve plazo, la pensión de jubilación) y derechos (las normas vigentes en el momento de toma de posesión de su cargo de funcionario), con vulneración del art. 33.3 de la C.E., así como de otros preceptos fundamentales como son, los arts. 24, 9.2, 14, 31.2, 40.1 y 50 de la C.E. </w:t>
      </w:r>
    </w:p>
    <w:p w:rsidR="00256EE9" w:rsidRDefault="00256EE9" w:rsidP="00256EE9">
      <w:pPr>
        <w:pStyle w:val="TextoNormal"/>
      </w:pPr>
      <w:r>
        <w:t>Solicita la aceptación a trámite del recurso y que, apreciando el Tribunal los motivos de inconstitucionalidad de los artículos contenidos en la Ley de Presupuestos Generales del Estado para 1.985, que establece el cambio en el sistema de clases pasivas del Estado, se disponga su supresión o la modificación de su contenido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El art.  161.1 a) de la Constitución atribuye competencia al Tribunal Constitucional para conocer del recurso de inconstitucionalidad contra Leyes y disposiciones normativas con fuerza de Ley. Este recurso constituye, como es obvio, una vía procesal distinta de la del recurso de amparo regulado en el párrafo b) del mismo artículo y apartado, que se remite para el establecimiento de los casos en que ésta proceda y la forma de ejercerlo, a lo dispuesto por la Ley.</w:t>
      </w:r>
    </w:p>
    <w:p w:rsidR="00256EE9" w:rsidRDefault="00256EE9" w:rsidP="00256EE9">
      <w:pPr>
        <w:pStyle w:val="TextoNormal"/>
      </w:pPr>
      <w:r>
        <w:t>La Ley Orgánica del Tribunal Constitucional (LOTC), dispone, a su vez (art.  41.2) que el recurso de amparo constitucional protege a los ciudadanos frente a las violaciones originadas por disposiciones, actos jurídicos o simple vía de hecho de los Poderes Públicos. Aunque la Ley es, evidentemente, una disposición emanada del Poder Legislativo, su im</w:t>
      </w:r>
      <w:r>
        <w:lastRenderedPageBreak/>
        <w:t>pugnabilidad está reservada sólo a los órganos o partes de órgano enumerados en el art.  162.1 a) de la Constitución desarrollado por el art.  32 de la LOTC y sustraido por tanto, al ataque directo de los ciudadanos, los cuales, sin embargo, cuando invoquen un derecho o interés legítimo, podrán reaccionar contra los actos de aplicación de la Ley e indirectamente poner así en cuestión la validez de ésta, que incluso podrá ser declarada a través del procedimiento previsto en el art.  55.2 de la LOTC.  Esta configuración constitucional y legal del recurso de amparo, determina también la competencia del Tribunal Constitucional.</w:t>
      </w:r>
    </w:p>
    <w:p w:rsidR="00256EE9" w:rsidRDefault="00256EE9" w:rsidP="00256EE9">
      <w:pPr>
        <w:pStyle w:val="TextoNormal"/>
      </w:pPr>
      <w:r>
        <w:t>Carece por tanto de competencia el Tribunal para conocer de la pretensión deducida en este caso por el señor Narbón Sánchez y, por tanto, en uso de la facultad que otorga el art. 4.2 de la LOTC procede declararlo así.</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lo expuesto, la Sección ha acordado que procede declarar la incompetencia del Tribunal para conocer del recurso directo contra la Ley de Presupuestos Generales del Estado formulado por don Eduardo Narbón Sánchez.  Archívense las actuaciones.</w:t>
      </w:r>
    </w:p>
    <w:p w:rsidR="00256EE9" w:rsidRDefault="00256EE9" w:rsidP="00256EE9">
      <w:pPr>
        <w:pStyle w:val="TextoNormal"/>
      </w:pPr>
    </w:p>
    <w:p w:rsidR="00256EE9" w:rsidRDefault="00256EE9" w:rsidP="00256EE9">
      <w:pPr>
        <w:pStyle w:val="TextoNormal"/>
      </w:pPr>
      <w:r>
        <w:t>Madrid, a veinticuatro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43" w:name="AUTO_1985_282"/>
      <w:r>
        <w:lastRenderedPageBreak/>
        <w:t>AUTO 282/1985, de 30 de abril de 1985</w:t>
      </w:r>
    </w:p>
    <w:bookmarkEnd w:id="343"/>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ECLI:ES:TC:1985:282A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Ratificando la suspensión previamente acordada, del art. 2 k) del Decreto 240/1984, del Gobierno Vasco, en el conflicto positivo de competencia 777/1984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Por escrito de 8 de noviembre de 1984, el Abogado del Estado, en representación del Gobierno de la Nación, plantea conflicto positivo de competencia en relación con el art. 2 k), del Decreto 240/1984, de 10 de julio, del Gobierno vasco, por el que se modifica la estructura orgánica del Departamento de Sanidad y Seguridad Social, invocando expresamente el art. 161.2 de la Constitución al objeto de que sea ordenada la suspensión de la vigencia y aplicación del artículo anteriormente citado.</w:t>
      </w:r>
    </w:p>
    <w:p w:rsidR="00256EE9" w:rsidRDefault="00256EE9" w:rsidP="00256EE9">
      <w:pPr>
        <w:pStyle w:val="TextoNormal"/>
      </w:pPr>
    </w:p>
    <w:p w:rsidR="00256EE9" w:rsidRDefault="00256EE9" w:rsidP="00256EE9">
      <w:pPr>
        <w:pStyle w:val="TextoNormal"/>
      </w:pPr>
      <w:r w:rsidRPr="00256EE9">
        <w:rPr>
          <w:rStyle w:val="NumeroAFNegritaCaracter"/>
        </w:rPr>
        <w:t>2</w:t>
      </w:r>
      <w:r>
        <w:t>. Por providencia de 14 de noviembre de 1984 de la Sección Primera del Pleno de este Tribunal Constitucional, se tiene por planteado el conflicto y se da traslado de la demanda al Gobierno vasco, teniéndose por producida la suspensión del mencionado art. 2 k) del Decreto 240/1984, a que se ha hecho referencia, de conformidad con lo dispuesto en el art. 64.2 de la Ley Orgánica del Tribunal Constitucional (LOTC), lo que se participa al Presidente del Gobierno vasco y se publica en los «Boletines Oficiales del Estado» y de la Comunidad Autónoma. El Gobierno vasco se persona en el conflicto y presenta escrito de alegaciones el día 20 de diciembre de 1984, solicitando se dicte en su día Sentencia que declare en favor de la Comunidad Autónoma del País Vasco la titularidad de la competencia controvertida.</w:t>
      </w:r>
    </w:p>
    <w:p w:rsidR="00256EE9" w:rsidRDefault="00256EE9" w:rsidP="00256EE9">
      <w:pPr>
        <w:pStyle w:val="TextoNormal"/>
      </w:pPr>
    </w:p>
    <w:p w:rsidR="00256EE9" w:rsidRDefault="00256EE9" w:rsidP="00256EE9">
      <w:pPr>
        <w:pStyle w:val="TextoNormal"/>
      </w:pPr>
      <w:r w:rsidRPr="00256EE9">
        <w:rPr>
          <w:rStyle w:val="NumeroAFNegritaCaracter"/>
        </w:rPr>
        <w:t>3</w:t>
      </w:r>
      <w:r>
        <w:t>. La Sección, por providencia de 20 de marzo de 1985, acuerda que, próximo a finalizar el plazo de cinco meses señalado en el art. 65.2 de la LOTC, se oiga a las partes por plazo común de cinco días, para que expongan lo que estimen pertinente acerca del levantamiento o mantenimiento de la suspensión acordada.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Dentro de dicho plazo el Abogado del Estado manifiesta su opinión de que debe ser mantenida la suspensión del precepto impugnado, habida cuenta de la proyección de tal precepto frente a terceros por su carácter sancionador, siendo susceptible de producir perjuicios de difícil o gravosa reparación; al mismo tiempo pone de relieve que el conflicto </w:t>
      </w:r>
      <w:r>
        <w:lastRenderedPageBreak/>
        <w:t xml:space="preserve">planteado se funda en lo dispuesto en el art. 149.1.1 de la Constitución en relación con el principio de igualdad, que exige que no se produzcan quiebras profundas en el posible tratamiento sancionador de los administrados; y, finalmente, alega que la Comunidad Autónoma dispone del resto de las sanciones y de la facultad de propuesta en las impugnadas, de acuerdo con el Real Decreto de Transferencias, poseyendo por tanto un núcleo competencial al respecto suficiente y aceptado en su día por la propia Comunidad. En consecuencia suplica se acuerde el mantenimiento de la suspensión del precepto impugnado. </w:t>
      </w:r>
    </w:p>
    <w:p w:rsidR="00256EE9" w:rsidRDefault="00256EE9" w:rsidP="00256EE9">
      <w:pPr>
        <w:pStyle w:val="TextoNormal"/>
      </w:pPr>
      <w:r>
        <w:t>Por su parte, el Gobierno vasco no formula alegación alguna, dentro del plazo concedido, con referencia al mantenimiento o levantamiento de la suspensión del mencionado precepto.</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Según reiterada doctrina de este Tribunal Constitucional, el mantenimiento o alzamiento de la suspensión de una norma autonómica en conflicto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dia reclame la decisión de fondo.</w:t>
      </w:r>
    </w:p>
    <w:p w:rsidR="00256EE9" w:rsidRDefault="00256EE9" w:rsidP="00256EE9">
      <w:pPr>
        <w:pStyle w:val="TextoNormal"/>
      </w:pPr>
    </w:p>
    <w:p w:rsidR="00256EE9" w:rsidRDefault="00256EE9" w:rsidP="00256EE9">
      <w:pPr>
        <w:pStyle w:val="TextoNormal"/>
      </w:pPr>
      <w:r w:rsidRPr="00256EE9">
        <w:rPr>
          <w:rStyle w:val="NumeroAFNegritaCaracter"/>
        </w:rPr>
        <w:t>2</w:t>
      </w:r>
      <w:r>
        <w:t>. En el presente caso, de la suspensión de la vigencia de la norma en tanto se resuelve sobre el conflicto respecto a ella planteado no se infiere que pueda producirse un perjuicio irreparable o de difícil reparación, ya que las facultades sancionadoras sobre las que versa continúan mientras tanto atribuidas a órganos que, en su caso, pueden actuarlas, permaneciendo así salvaguardada la finalidad a que se dirigen. Por el contrario y como señala el Abogado del Estado, el levantamiento de la suspensión podría suponer, eventualmente, si la Sentencia fuere estimatoria de lo pedido por el representante del Gobierno de la Nación, perjuicios de difícil o gravosa reparación, dada la importancia y entidad de la sanción que prevé el precepto que se impugna y el carácter irreversible de la misma en caso de que se imponga.</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Por todo lo expuesto, el Pleno del Tribunal acuerda mantener la suspensión del apartado k) del art.  2 del Decreto 240/1984, de 10 de julio, del Gobierno vasco, por el que se modifica la estructura orgánica del Departamento de Sanidad y Seguridad Social.</w:t>
      </w:r>
    </w:p>
    <w:p w:rsidR="00256EE9" w:rsidRDefault="00256EE9" w:rsidP="00256EE9">
      <w:pPr>
        <w:pStyle w:val="TextoNormal"/>
      </w:pPr>
    </w:p>
    <w:p w:rsidR="00256EE9" w:rsidRDefault="00256EE9" w:rsidP="00256EE9">
      <w:pPr>
        <w:pStyle w:val="TextoNormal"/>
      </w:pPr>
      <w:r>
        <w:t>Madrid, a treinta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44" w:name="AUTO_1985_283"/>
      <w:r>
        <w:lastRenderedPageBreak/>
        <w:t>AUTO 283/1985, de 30 de abril de 1985</w:t>
      </w:r>
    </w:p>
    <w:bookmarkEnd w:id="344"/>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ECLI:ES:TC:1985:283A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Levantando la suspensión, previamente acordada, del art. 3, párrafo 2.º, del Decreto 587/1984, de la Comunidad Autónoma de Canarias, en el conflicto positivo de competencia 842/1984</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Abogado del Estado, en representación del Gobierno de la Nación, mediante escrito de 30 de noviembre de 1984, planteó conflicto constitucional positivo de competencia contra el art. 3, párrafo 2.°, del Decreto 587/1984, de 27 de julio, del Gobierno de Canarias, sobre distribución de la potestad sancionadora en materia de trabajo y sanidad entre los órganos de la Comunidad Autónoma de Canarias, con invocación expresa del art. 161.2 de la Constitución al objeto de que fuese ordenada la suspensión de las disposiciones impugnadas.</w:t>
      </w:r>
    </w:p>
    <w:p w:rsidR="00256EE9" w:rsidRDefault="00256EE9" w:rsidP="00256EE9">
      <w:pPr>
        <w:pStyle w:val="TextoNormal"/>
      </w:pPr>
    </w:p>
    <w:p w:rsidR="00256EE9" w:rsidRDefault="00256EE9" w:rsidP="00256EE9">
      <w:pPr>
        <w:pStyle w:val="TextoNormal"/>
      </w:pPr>
      <w:r w:rsidRPr="00256EE9">
        <w:rPr>
          <w:rStyle w:val="NumeroAFNegritaCaracter"/>
        </w:rPr>
        <w:t>2</w:t>
      </w:r>
      <w:r>
        <w:t xml:space="preserve">. Por providencia de la Sección Cuarta de este Tribunal, de 5 de diciembre de 1984, se tuvo por planteado el conflicto y se dio traslado de la demanda al Gobierno de Canarias, teniéndose por producida la suspensión de la vigencia y aplicación del Decreto objeto del conflicto desde la fecha de su formalización, de conformidad con lo dispuesto en el art. 64.2 de la Ley Orgánica del Tribunal Constitucional (LOTC), lo que se participó al Presidente del Gobierno de Canarias y se publicó en los periódicos oficiales del Estado y de la Comunidad Autónoma. </w:t>
      </w:r>
    </w:p>
    <w:p w:rsidR="00256EE9" w:rsidRDefault="00256EE9" w:rsidP="00256EE9">
      <w:pPr>
        <w:pStyle w:val="TextoNormal"/>
      </w:pPr>
      <w:r>
        <w:t>El Gobierno de Canarias se personó y presentó escrito de alegaciones el 28 de diciembre de 1984, en solicitud de que en su día se dicte Sentencia declarando que la competencia controvertida corresponde a la Comunidad Autónoma de Canarias.</w:t>
      </w:r>
    </w:p>
    <w:p w:rsidR="00256EE9" w:rsidRDefault="00256EE9" w:rsidP="00256EE9">
      <w:pPr>
        <w:pStyle w:val="TextoNormal"/>
      </w:pPr>
    </w:p>
    <w:p w:rsidR="00256EE9" w:rsidRDefault="00256EE9" w:rsidP="00256EE9">
      <w:pPr>
        <w:pStyle w:val="TextoNormal"/>
      </w:pPr>
      <w:r w:rsidRPr="00256EE9">
        <w:rPr>
          <w:rStyle w:val="NumeroAFNegritaCaracter"/>
        </w:rPr>
        <w:t>3</w:t>
      </w:r>
      <w:r>
        <w:t xml:space="preserve">. Por providencia de la Sección Cuarta de este Tribunal, de 10 de abril último, se acordó oír a las partes para que hicieran alegaciones en relación con el mantenimiento o levantamiento de la suspensión del Decreto objeto del conflicto. </w:t>
      </w:r>
    </w:p>
    <w:p w:rsidR="00256EE9" w:rsidRDefault="00256EE9" w:rsidP="00256EE9">
      <w:pPr>
        <w:pStyle w:val="TextoNormal"/>
      </w:pPr>
      <w:r>
        <w:t>El Abogado del Estado, en escrito presentado el 18 de abril último, solicita el mantenimiento de la suspensión en razón a que los preceptos suspendidos suponen una importantísima proyección frente a terceros, habida cuenta de su carácter sancionador, siendo susceptibles de producir perjuicios de difícil o gravosa reparación, dada la importancia y enti</w:t>
      </w:r>
      <w:r>
        <w:lastRenderedPageBreak/>
        <w:t xml:space="preserve">dad de las sanciones que contienen. A ello añade que la fundamentación del conflicto discurre por los cauces del art. 149.1.1 de la C.E., en relación con el principio de igualdad, que exige que no se produzcan quiebras profundas en el posible tratamiento sancionador de los administrados; y también que una de las sanciones afectadas -la clausura temporal- se consuma irreversiblemente si es impuesta ejecutivamente. Por otra parte, la Comunidad Autónoma dispone del resto de las sanciones y de la facultad de propuesta en las impugnadas, de acuerdo con el Real Decreto de transferencias, poseyendo por tanto un núcleo competencial suficiente y aceptado en su día por la propia Comunidad Autónoma. </w:t>
      </w:r>
    </w:p>
    <w:p w:rsidR="00256EE9" w:rsidRDefault="00256EE9" w:rsidP="00256EE9">
      <w:pPr>
        <w:pStyle w:val="TextoNormal"/>
      </w:pPr>
      <w:r>
        <w:t>El Gobierno de Canarias en su escrito recibido el 23 de abril último postula el levantamiento de la suspensión. Alude en apoyo de tal solicitud, al principio de seguridad jurídica que se vería afectado, caso de mantenerse la suspensión, en aquellos casos en que por los servicios de inspección sanitaria de la Consejería correspondiente del Gobierno de Canarias se detectasen graves irregularidades en algún establecimiento que deberían conllevar, tras el procedimiento adecuado, su inmediato cierre; situación que en algún caso concreto ha determinado que la Empresa incursa en infracciones sanitarias muy graves siga actuando con absoluta libertad. Por otra parte, indica el Gobierno de Canarias que el principio de eficacia de la actuación administrativa, consagrado en el art. 103 de la C.E. requiere garantizar que la Ley se cumpla, sin que repugne jurídicamente que sea la Administración pública de Canarias quien provisionalmente, hasta tanto se resuelva el conflicto, imponga las citadas sanciones, al ser la Entidad que más eficazmente pueda actuar tanto por su proximidad geográfica a las Empresas sancionables, como por ser titular del único aparato administrativo con posibilidad de inspección sanitaria en el territorio insular.</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t>Unico.  Las razones invocadas en el trámite presente por el Abogado del Estado en orden a la importancia de la competencia sancionadora no son invocables respecto a la decisión a tomar, pues de atender ese argumento se podría entender que la Comunidad Autónoma sólo debería tener (o sólo tiene) competencias de esta naturaleza en relación con sanciones menores.</w:t>
      </w:r>
    </w:p>
    <w:p w:rsidR="00256EE9" w:rsidRDefault="00256EE9" w:rsidP="00256EE9">
      <w:pPr>
        <w:pStyle w:val="TextoNormal"/>
      </w:pPr>
      <w:r>
        <w:t>Lo mismo puede decirse respecto al argumento de los efectos respecto a terceros producidos por las eventuales sanciones, ya que tal eficacia es propia de la sanción con independencia de que sea el Estado o la Comunidad quien la imponga. No se han invocado, pues, razones convincentes que avalen el mantenimiento de una suspensión cuya limitación temporal fijada por el art.  161.2 de la C.E.  debe ser respetada salvo razones suficientes en contrario.  Por lo demás, la representación de la Comunidad aduce la eficacia de la actividad inspectora sanitaria, previa a la eventualmente sancionatoria, a cargo de la Comunidad en cuanto que ésta es titular del único aparato administrativo existente en el territorio insular, argumento que, en este juicio ponderativo, nos inclina a resolver el problema en favor del levantamiento de la suspensión.</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consecuencia, el Pleno acuerda el levantamiento de la suspensión del art.  3, párrafo 2.°, del Decreto 587/1984, de 27 de julio, de la Comunidad Autónoma de Canarias.</w:t>
      </w:r>
    </w:p>
    <w:p w:rsidR="00256EE9" w:rsidRDefault="00256EE9" w:rsidP="00256EE9">
      <w:pPr>
        <w:pStyle w:val="TextoNormal"/>
      </w:pPr>
    </w:p>
    <w:p w:rsidR="00256EE9" w:rsidRDefault="00256EE9" w:rsidP="00256EE9">
      <w:pPr>
        <w:pStyle w:val="TextoNormal"/>
      </w:pPr>
      <w:r>
        <w:t>Madrid, a treinta de abril de mil novecientos ochenta y cinco.</w:t>
      </w:r>
    </w:p>
    <w:p w:rsidR="00256EE9" w:rsidRDefault="00256EE9">
      <w:pPr>
        <w:rPr>
          <w:rFonts w:ascii="Times New Roman" w:eastAsia="Times New Roman" w:hAnsi="Times New Roman" w:cs="Times New Roman"/>
          <w:sz w:val="24"/>
          <w:szCs w:val="24"/>
          <w:lang w:eastAsia="es-ES"/>
        </w:rPr>
      </w:pPr>
      <w:r>
        <w:br w:type="page"/>
      </w:r>
    </w:p>
    <w:p w:rsidR="00256EE9" w:rsidRDefault="00256EE9" w:rsidP="00256EE9">
      <w:pPr>
        <w:pStyle w:val="TtuloResolucin"/>
      </w:pPr>
      <w:bookmarkStart w:id="345" w:name="AUTO_1985_284"/>
      <w:r>
        <w:lastRenderedPageBreak/>
        <w:t>AUTO 284/1985, de 30 de abril de 1985</w:t>
      </w:r>
    </w:p>
    <w:bookmarkEnd w:id="345"/>
    <w:p w:rsidR="00256EE9" w:rsidRDefault="00256EE9" w:rsidP="00256EE9">
      <w:pPr>
        <w:pStyle w:val="TtuloResolucin"/>
      </w:pPr>
      <w:r>
        <w:t>Pleno</w:t>
      </w:r>
    </w:p>
    <w:p w:rsidR="00256EE9" w:rsidRDefault="00256EE9" w:rsidP="00256EE9">
      <w:pPr>
        <w:pStyle w:val="TtuloResolucin"/>
      </w:pPr>
    </w:p>
    <w:p w:rsidR="00256EE9" w:rsidRDefault="00256EE9" w:rsidP="00256EE9">
      <w:pPr>
        <w:pStyle w:val="SntesisDescriptiva"/>
      </w:pPr>
      <w:r>
        <w:t>ECLI:ES:TC:1985:284A</w:t>
      </w:r>
    </w:p>
    <w:p w:rsidR="00256EE9" w:rsidRDefault="00256EE9" w:rsidP="00256EE9">
      <w:pPr>
        <w:pStyle w:val="SntesisDescriptiva"/>
      </w:pPr>
    </w:p>
    <w:p w:rsidR="00256EE9" w:rsidRDefault="00256EE9" w:rsidP="00256EE9">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256EE9" w:rsidRDefault="00256EE9" w:rsidP="00256EE9">
      <w:pPr>
        <w:pStyle w:val="SntesisDescriptiva"/>
      </w:pPr>
    </w:p>
    <w:p w:rsidR="00256EE9" w:rsidRDefault="00256EE9" w:rsidP="00256EE9">
      <w:pPr>
        <w:pStyle w:val="SntesisDescriptiva"/>
      </w:pPr>
      <w:r>
        <w:t>Denegando la suspensión, solicitada por la Comunidad Autónoma de Galicia, de la Resolución de 26 de noviembre de 1984, de la Dirección General de Industrias Siderometalúrgicas y Navales, del Ministerio de Industria y Energía, en el conflicto positivo de competencia 209/1985</w:t>
      </w:r>
    </w:p>
    <w:p w:rsidR="00256EE9" w:rsidRDefault="00256EE9" w:rsidP="00256EE9">
      <w:pPr>
        <w:pStyle w:val="SntesisDescriptiva"/>
      </w:pPr>
    </w:p>
    <w:p w:rsidR="00256EE9" w:rsidRDefault="00256EE9" w:rsidP="00256EE9">
      <w:pPr>
        <w:pStyle w:val="SntesisDescriptiva"/>
      </w:pPr>
    </w:p>
    <w:p w:rsidR="00256EE9" w:rsidRDefault="00256EE9" w:rsidP="00256EE9">
      <w:pPr>
        <w:pStyle w:val="SntesisDescriptiva"/>
      </w:pPr>
    </w:p>
    <w:p w:rsidR="00256EE9" w:rsidRDefault="00256EE9" w:rsidP="00256EE9">
      <w:pPr>
        <w:pStyle w:val="TextoNormalNegritaCentrado"/>
      </w:pPr>
      <w:r>
        <w:t>AUTO</w:t>
      </w:r>
    </w:p>
    <w:p w:rsidR="00256EE9" w:rsidRDefault="00256EE9" w:rsidP="00256EE9">
      <w:pPr>
        <w:pStyle w:val="TextoNormalNegritaCentrado"/>
      </w:pPr>
    </w:p>
    <w:p w:rsidR="00256EE9" w:rsidRDefault="00256EE9" w:rsidP="00256EE9">
      <w:pPr>
        <w:pStyle w:val="TextoNormalNegritaCentrado"/>
        <w:keepNext/>
      </w:pPr>
      <w:r>
        <w:t>I. Antecedentes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El 15 de marzo último se presentó en este Tribunal escrito de la Junta de Galicia, representada por el Director General de lo Contencioso, por el que se formula conflicto constitucional positivo de competencia contra el Gobierno de la Nación que a través de la Dirección General de Industrias Siderometalúrgicas y Navales, dictó en 26 de noviembre de 1984, resolución por la que se aprueba el Programa de Reconversión presentado por la empresa «Astilleros y Talleres del Noroeste, S. A.» (ASTANO).</w:t>
      </w:r>
    </w:p>
    <w:p w:rsidR="00256EE9" w:rsidRDefault="00256EE9" w:rsidP="00256EE9">
      <w:pPr>
        <w:pStyle w:val="TextoNormal"/>
      </w:pPr>
    </w:p>
    <w:p w:rsidR="00256EE9" w:rsidRDefault="00256EE9" w:rsidP="00256EE9">
      <w:pPr>
        <w:pStyle w:val="TextoNormal"/>
      </w:pPr>
      <w:r w:rsidRPr="00256EE9">
        <w:rPr>
          <w:rStyle w:val="NumeroAFNegritaCaracter"/>
        </w:rPr>
        <w:t>2</w:t>
      </w:r>
      <w:r>
        <w:t>. En otrosí del escrito de interposición se solicita por la Junta de Galicia que, al amparo del art. 64.3 de la vigente Ley Orgánica del Tribunal Constitucional, se acuerde la suspensión de la ejecución de la resolución objeto del conflicto, por cuanto, su aplicación y consumación de efectos con anterioridad a la producción de la Sentencia que, en su día, se dicte, produce a la Comunidad Autónoma de Galicia perjuicios de reparación imposible o difícil. Se invoca en apoyo de esta petición la imposibilidad o dificultad de recuperación del empleo y puestos de trabajo de los excedentes laborales, en el supuesto de que la Sentencia estimase su inconstitucionalidad y nulidad, ante la consumación de las medidas reconversoras; la dificultad, rayana en imposibilidad, de una recuperación de la cuota de mercado en la Empresa en la construcción naval si, de conformidad con las previsiones de la Comunidad Económica Europea se produce, a partir del año 1986, fecha límite del proceso reconversor del Gobierno central, una reactivación de la demanda de la construcción de buques; la imposibilidad de una reconducción del proceso reconversor a los límites que postula el «equilibrio regional» y «sectorial», y de una valoración de la «cuota de sacrificio», si las medidas del Gobierno central se hubiesen consumado; la imposible recuperación de las Empresas auxiliares de la construcción naval, y en el propio supuesto de Sentencia favorable al interés de Galicia, la difícil o imposible recuperación industrial de El Ferrol y su comarca, si fracasan o se dilatan en el tiempo las medidas reindustrializadoras.</w:t>
      </w:r>
    </w:p>
    <w:p w:rsidR="00256EE9" w:rsidRDefault="00256EE9" w:rsidP="00256EE9">
      <w:pPr>
        <w:pStyle w:val="TextoNormal"/>
      </w:pPr>
    </w:p>
    <w:p w:rsidR="00256EE9" w:rsidRDefault="00256EE9" w:rsidP="00256EE9">
      <w:pPr>
        <w:pStyle w:val="TextoNormal"/>
      </w:pPr>
      <w:r w:rsidRPr="00256EE9">
        <w:rPr>
          <w:rStyle w:val="NumeroAFNegritaCaracter"/>
        </w:rPr>
        <w:t>3</w:t>
      </w:r>
      <w:r>
        <w:t>. Por providencia de la Sección Segunda del Pleno del Tribunal de 27 de marzo último se acordó admitir a trámite el conflicto, dándose traslado del mismo al Gobierno de la Nación, de conformidad y a los efectos del art. 64.1 de la LOTC, y asimismo oír al Abogado del Estado para que en nombre del Gobierno expusiera lo que estimase conveniente acerca de la suspensión solicitada por la Junta de Galicia.</w:t>
      </w:r>
    </w:p>
    <w:p w:rsidR="00256EE9" w:rsidRDefault="00256EE9" w:rsidP="00256EE9">
      <w:pPr>
        <w:pStyle w:val="TextoNormal"/>
      </w:pPr>
    </w:p>
    <w:p w:rsidR="00256EE9" w:rsidRDefault="00256EE9" w:rsidP="00256EE9">
      <w:pPr>
        <w:pStyle w:val="TextoNormal"/>
      </w:pPr>
      <w:r w:rsidRPr="00256EE9">
        <w:rPr>
          <w:rStyle w:val="NumeroAFNegritaCaracter"/>
        </w:rPr>
        <w:t>4</w:t>
      </w:r>
      <w:r>
        <w:t xml:space="preserve">. Comparecido el Abogado del Estado mediante escrito de 9 de abril del corriente, se opone a la suspensión solicitada, en atención a que conforme a la doctrina jurisprudencial acerca de los criterios a ponderar en orden a otorgamiento o denegación de la suspensión de las disposiciones estatales objeto de conflictos competenciales no procede razonar ahora sobre los fundamentos sustantivos de la competencia controvertida, sino tan sólo respecto a los perjuicios que, frente a la única hipótesis examinada por la Comunidad Autónoma, se derivarían en el supuesto contrario: otorgada la suspensión, la Sentencia que dicte el Tribunal resuelve declarar a favor del Estado la titularidad ejercitada en la resolución objeto de conflicto. </w:t>
      </w:r>
    </w:p>
    <w:p w:rsidR="00256EE9" w:rsidRDefault="00256EE9" w:rsidP="00256EE9">
      <w:pPr>
        <w:pStyle w:val="TextoNormal"/>
      </w:pPr>
      <w:r>
        <w:t>Los efectos de la reconversión industrial, para una Empresa, y aun para su entorno, no pueden reducirse a los que con significación exclusivamente negativa expone el otrosí de la demanda, pues las actuaciones de reconversión junto a las medidas de ajuste comportan también una adecuación, necesaria e inaplazable, de sus estructuras que, llegada la reactivación del sector, permitirá a la Empresa beneficiarse de la misma. La pretendida paralización de las actuaciones reconversadas respecto a ASTANO hasta tanto se resuelva la controversia competencial promovida por la Junta de Galicia produciría por ello unos perjuicios sin duda de mayor relevancia que los señalados por la Junta de Galicia, por cuanto demorar la efectividad del programa de reconversión presentado por la propia Empresa situaría en gravísimo riesgo la viabilidad ulterior de tal reconversión e incluso comprometería seriamente la política de reconversión respecto al conjunto nacional del sector de la construcción naval.</w:t>
      </w:r>
    </w:p>
    <w:p w:rsidR="00256EE9" w:rsidRDefault="00256EE9" w:rsidP="00256EE9">
      <w:pPr>
        <w:pStyle w:val="TextoNormal"/>
      </w:pPr>
    </w:p>
    <w:p w:rsidR="00256EE9" w:rsidRDefault="00256EE9" w:rsidP="00256EE9">
      <w:pPr>
        <w:pStyle w:val="TextoNormalNegritaCentrado"/>
        <w:keepNext/>
      </w:pPr>
      <w:r>
        <w:t>II. Fundamentos jurídicos</w:t>
      </w:r>
    </w:p>
    <w:p w:rsidR="00256EE9" w:rsidRDefault="00256EE9" w:rsidP="00256EE9">
      <w:pPr>
        <w:pStyle w:val="TextoNormalNegritaCentrado"/>
        <w:keepNext/>
      </w:pPr>
    </w:p>
    <w:p w:rsidR="00256EE9" w:rsidRDefault="00256EE9" w:rsidP="00256EE9">
      <w:pPr>
        <w:pStyle w:val="TextoNormal"/>
      </w:pPr>
      <w:r w:rsidRPr="00256EE9">
        <w:rPr>
          <w:rStyle w:val="NumeroAFNegritaCaracter"/>
        </w:rPr>
        <w:t>1</w:t>
      </w:r>
      <w:r>
        <w:t>. Es doctrina reiterada de este Tribunal la que determina, que la suspensión de la disposición, resolución o acto objeto del conflicto positivo de competencia, regulada en el art.  64.3 de la LOTC, es una medida cautelar dirigida a prevenir las repercusiones perjudiciales que fueran consecuencia de la ejecución de aquellas decisiones durante la tramitación del proceso, por poderse generar situaciones de imposible o difícil reparación para los intereses públicos comprometidos, que se oponen entre sí, y que deben ponderarse o valorarse a los solos efectos de otorgar o denegar la suspensión, sin prejuzgar las ulteriores decisiones de fondo del proceso constitucional, aunque en todo caso deba partirse de la existencia de una presunción de constitucionalidad en favor de las normas, resoluciones o actos materia del conflicto, que impone no suspender su vigencia o eficacia ante la mera alegación de la existencia de los perjuicios, al ser necesario demostrar o al menos razonar convincentemente su presencia y la imposible o difícil reparación de los mismos.</w:t>
      </w:r>
    </w:p>
    <w:p w:rsidR="00256EE9" w:rsidRDefault="00256EE9" w:rsidP="00256EE9">
      <w:pPr>
        <w:pStyle w:val="TextoNormal"/>
      </w:pPr>
    </w:p>
    <w:p w:rsidR="00256EE9" w:rsidRDefault="00256EE9" w:rsidP="00256EE9">
      <w:pPr>
        <w:pStyle w:val="TextoNormal"/>
      </w:pPr>
      <w:r w:rsidRPr="00256EE9">
        <w:rPr>
          <w:rStyle w:val="NumeroAFNegritaCaracter"/>
        </w:rPr>
        <w:t>2</w:t>
      </w:r>
      <w:r>
        <w:t>. El conflicto se formula por el Gobierno de la Comunidad Autónoma de Galicia, contra la Resolución de la Dirección de Industrias Siderometalúrgicas y Navales del Ministe</w:t>
      </w:r>
      <w:r>
        <w:lastRenderedPageBreak/>
        <w:t>rio de Industria y Energía de 26 de noviembre de 1984, aprobando el programa de reconversión de la empresa ASTANO, que se dice traer causa próxima del Decreto 1271/1984, de 13 de junio, sobre medidas de reconversión naval que no ha sido impugnado, y origen remoto del Real Decreto-ley 8/1983, de 30 de noviembre, regulando igual materia, y de la anterior Ley 27/1984, de 26 de julio, de reconversión y reindustrialización, que han sido objeto de impugnación en dos recursos de inconstitucionalidad acumulados, por la propia Comunidad Autónoma; de todo lo que deriva, que estando las indicadas Leyes en plena vigencia, asi como el Decreto no impugnado, de las que es consecuencia la resolución objeto del conflicto y que se pretende suspender, no procede acceder a esta medida cautelar, porque con ella se afectaría indirecta pero ciertamente la eficacia de aquellas disposiciones de rango superior, de la que dicha resolución es mera ejecución, lo que no parece posible aceptar por la operatividad que las Leyes y el Decreto imponen sobre la inferior y posterior resolución que de ellas deriva.</w:t>
      </w:r>
    </w:p>
    <w:p w:rsidR="00256EE9" w:rsidRDefault="00256EE9" w:rsidP="00256EE9">
      <w:pPr>
        <w:pStyle w:val="TextoNormal"/>
      </w:pPr>
    </w:p>
    <w:p w:rsidR="00256EE9" w:rsidRDefault="00256EE9" w:rsidP="00256EE9">
      <w:pPr>
        <w:pStyle w:val="TextoNormal"/>
      </w:pPr>
      <w:r w:rsidRPr="00256EE9">
        <w:rPr>
          <w:rStyle w:val="NumeroAFNegritaCaracter"/>
        </w:rPr>
        <w:t>3</w:t>
      </w:r>
      <w:r>
        <w:t>. Con independencia de lo expuesto ha de tenerse en cuenta, que deben establecerse los intereses públicos comprometidos por la suspensión de la resolución, a fin de ponderarlos en relación con los perjuicios de imposible o difícil reparación, y que se alegan con carácter doble y excluyente por las partes en conflicto, partiendo cada una de ellas de la futura Sentencia favorable a sus intereses, de un lado, por la Comunidad Autónoma si no se otorga la suspensión que pretende, y por otro lado, por el Abogado del Estado en representación de éste, si se concede tal medida de suspensión previa.</w:t>
      </w:r>
    </w:p>
    <w:p w:rsidR="00256EE9" w:rsidRDefault="00256EE9" w:rsidP="00256EE9">
      <w:pPr>
        <w:pStyle w:val="TextoNormal"/>
      </w:pPr>
      <w:r>
        <w:t>La Comunidad Autónoma funda su alegación de suspensión, en que de no otorgarse existiría imposibilidad o dificultad: de recuperar los puestos de trabajo de los excedentes laborales; de recobrar la cuota de mercado de la empresa, si se reactiva a partir de 1986, conforme a las previsiones de la Comunidad Económica Europea, la demanda de construcción de buques; de reconducir el proceso reconversor a los límites de equilibrio regional y sectorial, con valoración de la «cuota de sacrificio»; y de recuperar las empresas auxiliares y la industria de El Ferrol, si fracasan las medidas de reindustrialización.</w:t>
      </w:r>
    </w:p>
    <w:p w:rsidR="00256EE9" w:rsidRDefault="00256EE9" w:rsidP="00256EE9">
      <w:pPr>
        <w:pStyle w:val="TextoNormal"/>
      </w:pPr>
      <w:r>
        <w:t>Mientras que el Abogado del Estado, luego de negar que los efectos de la reconversión para la Empresa y su entorno sean sólo negativos, porque la adecuación necesaria e inaplazable de sus estructuras reactivaría el sector y beneficiaría a la misma, alega que la paralización de la reconversión por la suspensión originaría perjuicios de mayor relevancia que los señalados por la Junta de Galicia, porque la demora del programa de reconversión presentado por la propia Empresa, situaria en gravísimo riesgo de viabilidad interior a tal reconversión, cualquiera que fuere la Administración pública competente para su instrumentalización, e incluso comprometería seriamente la política de reconversión del conjunto nacional del sector de construcción naval.</w:t>
      </w:r>
    </w:p>
    <w:p w:rsidR="00256EE9" w:rsidRDefault="00256EE9" w:rsidP="00256EE9">
      <w:pPr>
        <w:pStyle w:val="TextoNormal"/>
      </w:pPr>
    </w:p>
    <w:p w:rsidR="00256EE9" w:rsidRDefault="00256EE9" w:rsidP="00256EE9">
      <w:pPr>
        <w:pStyle w:val="TextoNormal"/>
      </w:pPr>
      <w:r w:rsidRPr="00256EE9">
        <w:rPr>
          <w:rStyle w:val="NumeroAFNegritaCaracter"/>
        </w:rPr>
        <w:t>4</w:t>
      </w:r>
      <w:r>
        <w:t>. En las expuestas alegaciones de la Comunidad Autónoma se aprecia, que la existencia de los eventuales perjuicios que vaticina posibles no está demostrada, ni tampoco suficientemente razonada para adquirir convicción de su existencia, toda vez que por su intrínseco contenido son meras hipótesis sobre hechos y conductas futuras no comprobables, y que deberían suceder con un determinado sentido perjudicial, entre otros posibles de distinto signo beneficioso, lo cual impide aceptarlas como determinantes de la suspensión de la resolución sobre reconversión naval, por su carácter aleatorio y remoto; a lo que debe agregarse, no sólo la presunción de constitucionalidad en favor de dicha resolución, sino también el carácter general y nacional de las medidas sobre construcción naval, que no sólo afectan a la Comunidad promotora del conflicto, y que por su finalidad tienden a re</w:t>
      </w:r>
      <w:r>
        <w:lastRenderedPageBreak/>
        <w:t>estructurar y reactivar de nuevo un sector económicamente deficitario, lo que supone sacrificios indudables para las dos partes en conflicto, pero que de producirse por causa de la eficacia de la resolución, parecen poseer ponderando los intereses encontrados, superior relevancia los derivados de la demora en la realización del programa de reconversión solicitado por la propia Empresa, que su realización inmediata poniendo en marcha el programa diseñado, con mayor razón, cuando los perjuicios originados podrían compensarse con mayor eficacia por el Estado, dados los superiores medios que tiene a su alcance para dejar indemnes o atenuar profundamente los mismos.</w:t>
      </w:r>
    </w:p>
    <w:p w:rsidR="00256EE9" w:rsidRDefault="00256EE9" w:rsidP="00256EE9">
      <w:pPr>
        <w:pStyle w:val="TextoNormal"/>
      </w:pPr>
    </w:p>
    <w:p w:rsidR="00256EE9" w:rsidRDefault="00256EE9" w:rsidP="00256EE9">
      <w:pPr>
        <w:pStyle w:val="TextoNormal"/>
      </w:pPr>
    </w:p>
    <w:p w:rsidR="00256EE9" w:rsidRDefault="00256EE9" w:rsidP="00256EE9">
      <w:pPr>
        <w:pStyle w:val="TextoNormal"/>
      </w:pPr>
    </w:p>
    <w:p w:rsidR="00256EE9" w:rsidRDefault="00256EE9" w:rsidP="00256EE9">
      <w:pPr>
        <w:pStyle w:val="TextoNormalCentrado"/>
      </w:pPr>
      <w:r>
        <w:t>ACUERDA</w:t>
      </w:r>
    </w:p>
    <w:p w:rsidR="00256EE9" w:rsidRDefault="00256EE9" w:rsidP="00256EE9">
      <w:pPr>
        <w:pStyle w:val="TextoNormalCentrado"/>
      </w:pPr>
    </w:p>
    <w:p w:rsidR="00256EE9" w:rsidRDefault="00256EE9" w:rsidP="00256EE9">
      <w:pPr>
        <w:pStyle w:val="TextoNormal"/>
      </w:pPr>
      <w:r>
        <w:t>En virtud de todo lo expuesto, se acuerda por el Pleno, no acceder a la suspensión de la Resolución de 26 de noviembre de 1984, dictada por la Dirección General de Industrias Siderometalúrgicas y Navales del Ministerio de Industria y Energía, objeto del</w:t>
      </w:r>
    </w:p>
    <w:p w:rsidR="00256EE9" w:rsidRDefault="00256EE9" w:rsidP="00256EE9">
      <w:pPr>
        <w:pStyle w:val="TextoNormal"/>
      </w:pPr>
      <w:r>
        <w:t>presente conflicto y solicitada por la Comunidad Autónoma de Galicia.</w:t>
      </w:r>
    </w:p>
    <w:p w:rsidR="00256EE9" w:rsidRDefault="00256EE9" w:rsidP="00256EE9">
      <w:pPr>
        <w:pStyle w:val="TextoNormal"/>
      </w:pPr>
    </w:p>
    <w:p w:rsidR="00256EE9" w:rsidRDefault="00256EE9" w:rsidP="009452A2">
      <w:pPr>
        <w:pStyle w:val="TextoNormal"/>
      </w:pPr>
      <w:r>
        <w:t>Madrid, a treinta de abril de mil novecientos ochenta y cinco.</w:t>
      </w:r>
    </w:p>
    <w:p w:rsidR="009452A2" w:rsidRDefault="009452A2">
      <w:pPr>
        <w:rPr>
          <w:rFonts w:ascii="Times New Roman" w:eastAsia="Times New Roman" w:hAnsi="Times New Roman" w:cs="Times New Roman"/>
          <w:sz w:val="24"/>
          <w:szCs w:val="24"/>
          <w:lang w:eastAsia="es-ES"/>
        </w:rPr>
      </w:pPr>
      <w:r>
        <w:br w:type="page"/>
      </w:r>
    </w:p>
    <w:p w:rsidR="009452A2" w:rsidRDefault="009452A2" w:rsidP="00256EE9">
      <w:pPr>
        <w:pStyle w:val="ParrafoNormal"/>
      </w:pPr>
    </w:p>
    <w:p w:rsidR="009452A2" w:rsidRDefault="009452A2" w:rsidP="009452A2">
      <w:pPr>
        <w:pStyle w:val="TextoNormal"/>
      </w:pPr>
    </w:p>
    <w:p w:rsidR="009452A2" w:rsidRDefault="009452A2" w:rsidP="009452A2">
      <w:pPr>
        <w:pStyle w:val="TextoNormal"/>
      </w:pPr>
    </w:p>
    <w:p w:rsidR="009452A2" w:rsidRDefault="009452A2" w:rsidP="009452A2">
      <w:pPr>
        <w:pStyle w:val="TextoNormal"/>
      </w:pPr>
    </w:p>
    <w:p w:rsidR="009452A2" w:rsidRDefault="00FB3A39" w:rsidP="009452A2">
      <w:pPr>
        <w:pStyle w:val="Ttulondice"/>
        <w:suppressAutoHyphens/>
      </w:pPr>
      <w:r>
        <w:t>3.</w:t>
      </w:r>
      <w:r w:rsidR="008E7076">
        <w:t xml:space="preserve"> ÍNDICE DE DISPOSICIONES CON FUERZA DE LEY IMPUGNADAS</w:t>
      </w: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pPr>
    </w:p>
    <w:p w:rsidR="009452A2" w:rsidRDefault="009452A2" w:rsidP="009452A2">
      <w:pPr>
        <w:pStyle w:val="TextoNormal"/>
      </w:pPr>
      <w:bookmarkStart w:id="346" w:name="INDICE22802"/>
      <w:bookmarkEnd w:id="346"/>
    </w:p>
    <w:p w:rsidR="009452A2" w:rsidRDefault="00F87A86" w:rsidP="009452A2">
      <w:pPr>
        <w:pStyle w:val="TextoIndiceNivel2"/>
        <w:suppressAutoHyphens/>
      </w:pPr>
      <w:r>
        <w:t>A) Disposiciones con fuerza de ley del Estado</w:t>
      </w:r>
    </w:p>
    <w:p w:rsidR="009452A2" w:rsidRDefault="009452A2" w:rsidP="009452A2">
      <w:pPr>
        <w:pStyle w:val="TextoIndiceNivel2"/>
      </w:pPr>
    </w:p>
    <w:p w:rsidR="009452A2" w:rsidRDefault="009452A2" w:rsidP="009452A2">
      <w:pPr>
        <w:pStyle w:val="TextoNormalNegritaCursivandice"/>
      </w:pPr>
      <w:r>
        <w:t>Real Decreto de 22 de agosto de 1885. Código de comercio</w:t>
      </w:r>
    </w:p>
    <w:p w:rsidR="009452A2" w:rsidRDefault="009452A2" w:rsidP="009452A2">
      <w:pPr>
        <w:pStyle w:val="SangriaFrancesaArticulo"/>
      </w:pPr>
      <w:r w:rsidRPr="009452A2">
        <w:rPr>
          <w:rStyle w:val="TextoNormalNegritaCaracter"/>
        </w:rPr>
        <w:t>Artículo 504.2.</w:t>
      </w:r>
      <w:r w:rsidRPr="009452A2">
        <w:rPr>
          <w:rStyle w:val="TextoNormalCaracter"/>
        </w:rPr>
        <w:t>-</w:t>
      </w:r>
      <w:r>
        <w:t xml:space="preserve"> Sentencia </w:t>
      </w:r>
      <w:hyperlink w:anchor="SENTENCIA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504.3.</w:t>
      </w:r>
      <w:r w:rsidRPr="009452A2">
        <w:rPr>
          <w:rStyle w:val="TextoNormalCaracter"/>
        </w:rPr>
        <w:t>-</w:t>
      </w:r>
      <w:r>
        <w:t xml:space="preserve"> Sentencia </w:t>
      </w:r>
      <w:hyperlink w:anchor="SENTENCIA_1985_21" w:history="1">
        <w:r w:rsidRPr="009452A2">
          <w:rPr>
            <w:rStyle w:val="TextoNormalCaracter"/>
          </w:rPr>
          <w:t>21/1985</w:t>
        </w:r>
      </w:hyperlink>
      <w:r>
        <w:t xml:space="preserve"> (interpreta).</w:t>
      </w:r>
    </w:p>
    <w:p w:rsidR="009452A2" w:rsidRDefault="009452A2" w:rsidP="009452A2">
      <w:pPr>
        <w:pStyle w:val="SangriaFrancesaArticulo"/>
      </w:pPr>
    </w:p>
    <w:p w:rsidR="009452A2" w:rsidRDefault="009452A2" w:rsidP="009452A2">
      <w:pPr>
        <w:pStyle w:val="TextoNormalNegritaCursivandice"/>
      </w:pPr>
      <w:r>
        <w:t>Ley 46/1977, de 15 de octubre. Amnistía</w:t>
      </w:r>
    </w:p>
    <w:p w:rsidR="009452A2" w:rsidRDefault="009452A2" w:rsidP="009452A2">
      <w:pPr>
        <w:pStyle w:val="SangriaFrancesaArticulo"/>
      </w:pPr>
      <w:r w:rsidRPr="009452A2">
        <w:rPr>
          <w:rStyle w:val="TextoNormalNegritaCaracter"/>
        </w:rPr>
        <w:t>Artículo 5.</w:t>
      </w:r>
      <w:r w:rsidRPr="009452A2">
        <w:rPr>
          <w:rStyle w:val="TextoNormalCaracter"/>
        </w:rPr>
        <w:t>-</w:t>
      </w:r>
      <w:r>
        <w:t xml:space="preserve"> Auto </w:t>
      </w:r>
      <w:hyperlink w:anchor="AUTO_1985_176" w:history="1">
        <w:r w:rsidRPr="009452A2">
          <w:rPr>
            <w:rStyle w:val="TextoNormalCaracter"/>
          </w:rPr>
          <w:t>176/1985</w:t>
        </w:r>
      </w:hyperlink>
      <w:r>
        <w:t>.</w:t>
      </w:r>
    </w:p>
    <w:p w:rsidR="009452A2" w:rsidRDefault="009452A2" w:rsidP="009452A2">
      <w:pPr>
        <w:pStyle w:val="SangriaFrancesaArticulo"/>
      </w:pPr>
      <w:r w:rsidRPr="009452A2">
        <w:rPr>
          <w:rStyle w:val="TextoNormalNegritaCaracter"/>
        </w:rPr>
        <w:t>Artículo 8.</w:t>
      </w:r>
      <w:r w:rsidRPr="009452A2">
        <w:rPr>
          <w:rStyle w:val="TextoNormalCaracter"/>
        </w:rPr>
        <w:t>-</w:t>
      </w:r>
      <w:r>
        <w:t xml:space="preserve"> Auto </w:t>
      </w:r>
      <w:hyperlink w:anchor="AUTO_1985_176" w:history="1">
        <w:r w:rsidRPr="009452A2">
          <w:rPr>
            <w:rStyle w:val="TextoNormalCaracter"/>
          </w:rPr>
          <w:t>176/1985</w:t>
        </w:r>
      </w:hyperlink>
      <w:r>
        <w:t>.</w:t>
      </w:r>
    </w:p>
    <w:p w:rsidR="009452A2" w:rsidRDefault="009452A2" w:rsidP="009452A2">
      <w:pPr>
        <w:pStyle w:val="SangriaFrancesaArticulo"/>
      </w:pPr>
      <w:r w:rsidRPr="009452A2">
        <w:rPr>
          <w:rStyle w:val="TextoNormalNegritaCaracter"/>
        </w:rPr>
        <w:t>Artículo 11 bis</w:t>
      </w:r>
      <w:r>
        <w:t xml:space="preserve"> </w:t>
      </w:r>
      <w:r w:rsidRPr="009452A2">
        <w:rPr>
          <w:rStyle w:val="TextoNormalCaracter"/>
        </w:rPr>
        <w:t>(redactado por la Ley 1/1984, de 9 de enero)</w:t>
      </w:r>
      <w:r w:rsidRPr="009452A2">
        <w:rPr>
          <w:rStyle w:val="TextoNormalNegritaCaracter"/>
        </w:rPr>
        <w:t>.</w:t>
      </w:r>
      <w:r w:rsidRPr="009452A2">
        <w:rPr>
          <w:rStyle w:val="TextoNormalCaracter"/>
        </w:rPr>
        <w:t>-</w:t>
      </w:r>
      <w:r>
        <w:t xml:space="preserve"> Auto </w:t>
      </w:r>
      <w:hyperlink w:anchor="AUTO_1985_176" w:history="1">
        <w:r w:rsidRPr="009452A2">
          <w:rPr>
            <w:rStyle w:val="TextoNormalCaracter"/>
          </w:rPr>
          <w:t>176/1985</w:t>
        </w:r>
      </w:hyperlink>
      <w:r>
        <w:t>.</w:t>
      </w:r>
    </w:p>
    <w:p w:rsidR="009452A2" w:rsidRDefault="009452A2" w:rsidP="009452A2">
      <w:pPr>
        <w:pStyle w:val="SangriaFrancesaArticulo"/>
      </w:pPr>
    </w:p>
    <w:p w:rsidR="009452A2" w:rsidRDefault="009452A2" w:rsidP="009452A2">
      <w:pPr>
        <w:pStyle w:val="TextoNormalNegritaCursivandice"/>
      </w:pPr>
      <w:r>
        <w:t>Ley 8/1980, de 10 de marzo. Estatuto de los trabajadores</w:t>
      </w:r>
    </w:p>
    <w:p w:rsidR="009452A2" w:rsidRDefault="009452A2" w:rsidP="009452A2">
      <w:pPr>
        <w:pStyle w:val="SangriaFrancesaArticulo"/>
      </w:pPr>
      <w:r w:rsidRPr="009452A2">
        <w:rPr>
          <w:rStyle w:val="TextoNormalNegritaCaracter"/>
        </w:rPr>
        <w:t>Disposición adicional quinta, párrafo 2.</w:t>
      </w:r>
      <w:r w:rsidRPr="009452A2">
        <w:rPr>
          <w:rStyle w:val="TextoNormalCaracter"/>
        </w:rPr>
        <w:t>-</w:t>
      </w:r>
      <w:r>
        <w:t xml:space="preserve"> Sentencia </w:t>
      </w:r>
      <w:hyperlink w:anchor="SENTENCIA_1985_58" w:history="1">
        <w:r w:rsidRPr="009452A2">
          <w:rPr>
            <w:rStyle w:val="TextoNormalCaracter"/>
          </w:rPr>
          <w:t>58/1985</w:t>
        </w:r>
      </w:hyperlink>
      <w:r>
        <w:t>.</w:t>
      </w:r>
    </w:p>
    <w:p w:rsidR="009452A2" w:rsidRDefault="009452A2" w:rsidP="009452A2">
      <w:pPr>
        <w:pStyle w:val="SangriaFrancesaArticulo"/>
      </w:pPr>
    </w:p>
    <w:p w:rsidR="009452A2" w:rsidRDefault="009452A2" w:rsidP="009452A2">
      <w:pPr>
        <w:pStyle w:val="TextoNormalNegritaCursivandice"/>
      </w:pPr>
      <w:r>
        <w:t>Ley 32/1980, de 21 de junio. Impuesto sobre trasmisiones patrimoniales y actos jurídicos documentados</w:t>
      </w:r>
    </w:p>
    <w:p w:rsidR="009452A2" w:rsidRDefault="009452A2" w:rsidP="009452A2">
      <w:pPr>
        <w:pStyle w:val="SangriaFrancesaArticulo"/>
      </w:pPr>
      <w:r w:rsidRPr="009452A2">
        <w:rPr>
          <w:rStyle w:val="TextoNormalNegritaCaracter"/>
        </w:rPr>
        <w:t>Artículo 42.</w:t>
      </w:r>
      <w:r w:rsidRPr="009452A2">
        <w:rPr>
          <w:rStyle w:val="TextoNormalCaracter"/>
        </w:rPr>
        <w:t>-</w:t>
      </w:r>
      <w:r>
        <w:t xml:space="preserve"> Auto </w:t>
      </w:r>
      <w:hyperlink w:anchor="AUTO_1985_149" w:history="1">
        <w:r w:rsidRPr="009452A2">
          <w:rPr>
            <w:rStyle w:val="TextoNormalCaracter"/>
          </w:rPr>
          <w:t>149/1985</w:t>
        </w:r>
      </w:hyperlink>
      <w:r>
        <w:t>.</w:t>
      </w:r>
    </w:p>
    <w:p w:rsidR="009452A2" w:rsidRDefault="009452A2" w:rsidP="009452A2">
      <w:pPr>
        <w:pStyle w:val="SangriaFrancesaArticulo"/>
      </w:pPr>
    </w:p>
    <w:p w:rsidR="009452A2" w:rsidRDefault="009452A2" w:rsidP="009452A2">
      <w:pPr>
        <w:pStyle w:val="TextoNormalNegritaCursivandice"/>
      </w:pPr>
      <w:r>
        <w:t>Ley Orgánica 9/1980, de 6 de noviembre. Reforma del Código de justicia militar</w:t>
      </w:r>
    </w:p>
    <w:p w:rsidR="009452A2" w:rsidRDefault="009452A2" w:rsidP="009452A2">
      <w:pPr>
        <w:pStyle w:val="SangriaFrancesaArticulo"/>
      </w:pPr>
      <w:r w:rsidRPr="009452A2">
        <w:rPr>
          <w:rStyle w:val="TextoNormalNegritaCaracter"/>
        </w:rPr>
        <w:t>Artículo 13.1.</w:t>
      </w:r>
      <w:r w:rsidRPr="009452A2">
        <w:rPr>
          <w:rStyle w:val="TextoNormalCaracter"/>
        </w:rPr>
        <w:t>-</w:t>
      </w:r>
      <w:r>
        <w:t xml:space="preserve"> Sentencia </w:t>
      </w:r>
      <w:hyperlink w:anchor="SENTENCIA_1985_27" w:history="1">
        <w:r w:rsidRPr="009452A2">
          <w:rPr>
            <w:rStyle w:val="TextoNormalCaracter"/>
          </w:rPr>
          <w:t>27/1985</w:t>
        </w:r>
      </w:hyperlink>
      <w:r>
        <w:t xml:space="preserve"> (declara inconstitucional parcialmente).</w:t>
      </w:r>
    </w:p>
    <w:p w:rsidR="009452A2" w:rsidRDefault="009452A2" w:rsidP="009452A2">
      <w:pPr>
        <w:pStyle w:val="SangriaFrancesaArticulo"/>
      </w:pPr>
      <w:r w:rsidRPr="009452A2">
        <w:rPr>
          <w:rStyle w:val="TextoNormalNegritaCaracter"/>
        </w:rPr>
        <w:t>Artículo 14.</w:t>
      </w:r>
      <w:r w:rsidRPr="009452A2">
        <w:rPr>
          <w:rStyle w:val="TextoNormalCaracter"/>
        </w:rPr>
        <w:t>-</w:t>
      </w:r>
      <w:r>
        <w:t xml:space="preserve"> Sentencia </w:t>
      </w:r>
      <w:hyperlink w:anchor="SENTENCIA_1985_27" w:history="1">
        <w:r w:rsidRPr="009452A2">
          <w:rPr>
            <w:rStyle w:val="TextoNormalCaracter"/>
          </w:rPr>
          <w:t>27/1985</w:t>
        </w:r>
      </w:hyperlink>
      <w:r>
        <w:t xml:space="preserve"> (declara inconstitucional parcialmente).</w:t>
      </w:r>
    </w:p>
    <w:p w:rsidR="009452A2" w:rsidRDefault="009452A2" w:rsidP="009452A2">
      <w:pPr>
        <w:pStyle w:val="SangriaFrancesaArticulo"/>
      </w:pPr>
    </w:p>
    <w:p w:rsidR="009452A2" w:rsidRDefault="009452A2" w:rsidP="009452A2">
      <w:pPr>
        <w:pStyle w:val="TextoNormalNegritaCursivandice"/>
      </w:pPr>
      <w:r>
        <w:t>Real Decreto Legislativo 3050/1980, de 30 de diciembre. Texto refundido de la Ley del impuesto sobre transmisiones patrimoniales y actos jurídicos documentados</w:t>
      </w:r>
    </w:p>
    <w:p w:rsidR="009452A2" w:rsidRDefault="009452A2" w:rsidP="009452A2">
      <w:pPr>
        <w:pStyle w:val="SangriaFrancesaArticulo"/>
      </w:pPr>
      <w:r w:rsidRPr="009452A2">
        <w:rPr>
          <w:rStyle w:val="TextoNormalNegritaCaracter"/>
        </w:rPr>
        <w:t>Artículo 57.1.</w:t>
      </w:r>
      <w:r w:rsidRPr="009452A2">
        <w:rPr>
          <w:rStyle w:val="TextoNormalCaracter"/>
        </w:rPr>
        <w:t>-</w:t>
      </w:r>
      <w:r>
        <w:t xml:space="preserve"> Auto </w:t>
      </w:r>
      <w:hyperlink w:anchor="AUTO_1985_149" w:history="1">
        <w:r w:rsidRPr="009452A2">
          <w:rPr>
            <w:rStyle w:val="TextoNormalCaracter"/>
          </w:rPr>
          <w:t>149/1985</w:t>
        </w:r>
      </w:hyperlink>
      <w:r>
        <w:t>.</w:t>
      </w:r>
    </w:p>
    <w:p w:rsidR="009452A2" w:rsidRDefault="009452A2" w:rsidP="009452A2">
      <w:pPr>
        <w:pStyle w:val="SangriaFrancesaArticulo"/>
      </w:pPr>
    </w:p>
    <w:p w:rsidR="009452A2" w:rsidRDefault="009452A2" w:rsidP="009452A2">
      <w:pPr>
        <w:pStyle w:val="TextoNormalNegritaCursivandice"/>
      </w:pPr>
      <w:r>
        <w:lastRenderedPageBreak/>
        <w:t>Ley 9/1983, de 13 de julio. Presupuestos generales del Estado para 1983</w:t>
      </w:r>
    </w:p>
    <w:p w:rsidR="009452A2" w:rsidRDefault="009452A2" w:rsidP="009452A2">
      <w:pPr>
        <w:pStyle w:val="SangriaFrancesaArticulo"/>
      </w:pPr>
      <w:r w:rsidRPr="009452A2">
        <w:rPr>
          <w:rStyle w:val="TextoNormalNegritaCaracter"/>
        </w:rPr>
        <w:t>Sección 19, servicio 01, capítulo 04, artículo 48 concepto 483.</w:t>
      </w:r>
      <w:r w:rsidRPr="009452A2">
        <w:rPr>
          <w:rStyle w:val="TextoNormalCaracter"/>
        </w:rPr>
        <w:t>-</w:t>
      </w:r>
      <w:r>
        <w:t xml:space="preserve"> Sentencia </w:t>
      </w:r>
      <w:hyperlink w:anchor="SENTENCIA_1985_20" w:history="1">
        <w:r w:rsidRPr="009452A2">
          <w:rPr>
            <w:rStyle w:val="TextoNormalCaracter"/>
          </w:rPr>
          <w:t>20/1985</w:t>
        </w:r>
      </w:hyperlink>
      <w:r>
        <w:t xml:space="preserve"> (anula parcialmente).</w:t>
      </w:r>
    </w:p>
    <w:p w:rsidR="009452A2" w:rsidRDefault="009452A2" w:rsidP="009452A2">
      <w:pPr>
        <w:pStyle w:val="SangriaFrancesaArticulo"/>
      </w:pPr>
    </w:p>
    <w:p w:rsidR="009452A2" w:rsidRDefault="009452A2" w:rsidP="009452A2">
      <w:pPr>
        <w:pStyle w:val="TextoNormalNegritaCursivandice"/>
      </w:pPr>
      <w:r>
        <w:t>Ley 24/1983, de 21 de diciembre. Medidas urgentes de saneamiento y regulación de haciendas locales</w:t>
      </w:r>
    </w:p>
    <w:p w:rsidR="009452A2" w:rsidRDefault="009452A2" w:rsidP="009452A2">
      <w:pPr>
        <w:pStyle w:val="SangriaFrancesaArticulo"/>
      </w:pPr>
      <w:r w:rsidRPr="009452A2">
        <w:rPr>
          <w:rStyle w:val="TextoNormalNegritaCaracter"/>
        </w:rPr>
        <w:t>Artículos 8 a 12.</w:t>
      </w:r>
      <w:r w:rsidRPr="009452A2">
        <w:rPr>
          <w:rStyle w:val="TextoNormalCaracter"/>
        </w:rPr>
        <w:t>-</w:t>
      </w:r>
      <w:r>
        <w:t xml:space="preserve"> Auto </w:t>
      </w:r>
      <w:hyperlink w:anchor="AUTO_1985_148" w:history="1">
        <w:r w:rsidRPr="009452A2">
          <w:rPr>
            <w:rStyle w:val="TextoNormalCaracter"/>
          </w:rPr>
          <w:t>148/1985</w:t>
        </w:r>
      </w:hyperlink>
      <w:r>
        <w:t>.</w:t>
      </w:r>
    </w:p>
    <w:p w:rsidR="009452A2" w:rsidRDefault="009452A2" w:rsidP="009452A2">
      <w:pPr>
        <w:pStyle w:val="SangriaFrancesaArticulo"/>
      </w:pPr>
    </w:p>
    <w:p w:rsidR="009452A2" w:rsidRDefault="009452A2" w:rsidP="009452A2">
      <w:pPr>
        <w:pStyle w:val="TextoNormalNegritaCursivandice"/>
      </w:pPr>
      <w:r>
        <w:t>Ley 44/1983, de 28 de diciembre. Presupuestos generales del Estado para 1984</w:t>
      </w:r>
    </w:p>
    <w:p w:rsidR="009452A2" w:rsidRDefault="009452A2" w:rsidP="009452A2">
      <w:pPr>
        <w:pStyle w:val="SangriaFrancesaArticulo"/>
      </w:pPr>
      <w:r w:rsidRPr="009452A2">
        <w:rPr>
          <w:rStyle w:val="TextoNormalNegritaCaracter"/>
        </w:rPr>
        <w:t>Artículo 2.</w:t>
      </w:r>
      <w:r w:rsidRPr="009452A2">
        <w:rPr>
          <w:rStyle w:val="TextoNormalCaracter"/>
        </w:rPr>
        <w:t>-</w:t>
      </w:r>
      <w:r>
        <w:t xml:space="preserve"> Auto </w:t>
      </w:r>
      <w:hyperlink w:anchor="AUTO_1985_110" w:history="1">
        <w:r w:rsidRPr="009452A2">
          <w:rPr>
            <w:rStyle w:val="TextoNormalCaracter"/>
          </w:rPr>
          <w:t>110/1985</w:t>
        </w:r>
      </w:hyperlink>
      <w:r>
        <w:t>.</w:t>
      </w:r>
    </w:p>
    <w:p w:rsidR="009452A2" w:rsidRDefault="009452A2" w:rsidP="009452A2">
      <w:pPr>
        <w:pStyle w:val="SangriaFrancesaArticulo"/>
      </w:pPr>
      <w:r w:rsidRPr="009452A2">
        <w:rPr>
          <w:rStyle w:val="TextoNormalNegritaCaracter"/>
        </w:rPr>
        <w:t>Artículo 22.</w:t>
      </w:r>
      <w:r w:rsidRPr="009452A2">
        <w:rPr>
          <w:rStyle w:val="TextoNormalCaracter"/>
        </w:rPr>
        <w:t>-</w:t>
      </w:r>
      <w:r>
        <w:t xml:space="preserve"> Auto </w:t>
      </w:r>
      <w:hyperlink w:anchor="AUTO_1985_110" w:history="1">
        <w:r w:rsidRPr="009452A2">
          <w:rPr>
            <w:rStyle w:val="TextoNormalCaracter"/>
          </w:rPr>
          <w:t>110/1985</w:t>
        </w:r>
      </w:hyperlink>
      <w:r>
        <w:t>.</w:t>
      </w:r>
    </w:p>
    <w:p w:rsidR="009452A2" w:rsidRDefault="009452A2" w:rsidP="009452A2">
      <w:pPr>
        <w:pStyle w:val="SangriaFrancesaArticulo"/>
      </w:pPr>
      <w:r w:rsidRPr="009452A2">
        <w:rPr>
          <w:rStyle w:val="TextoNormalNegritaCaracter"/>
        </w:rPr>
        <w:t>Sección 19, servicio 01, programa 132.</w:t>
      </w:r>
      <w:r w:rsidRPr="009452A2">
        <w:rPr>
          <w:rStyle w:val="TextoNormalCaracter"/>
        </w:rPr>
        <w:t>-</w:t>
      </w:r>
      <w:r>
        <w:t xml:space="preserve"> Sentencia </w:t>
      </w:r>
      <w:hyperlink w:anchor="SENTENCIA_1985_26" w:history="1">
        <w:r w:rsidRPr="009452A2">
          <w:rPr>
            <w:rStyle w:val="TextoNormalCaracter"/>
          </w:rPr>
          <w:t>26/1985</w:t>
        </w:r>
      </w:hyperlink>
      <w:r>
        <w:t xml:space="preserve"> (anula parcialmente).</w:t>
      </w:r>
    </w:p>
    <w:p w:rsidR="009452A2" w:rsidRDefault="009452A2" w:rsidP="009452A2">
      <w:pPr>
        <w:pStyle w:val="SangriaFrancesaArticulo"/>
      </w:pPr>
      <w:r w:rsidRPr="009452A2">
        <w:rPr>
          <w:rStyle w:val="TextoNormalNegritaCaracter"/>
        </w:rPr>
        <w:t>Sección 33.</w:t>
      </w:r>
      <w:r w:rsidRPr="009452A2">
        <w:rPr>
          <w:rStyle w:val="TextoNormalCaracter"/>
        </w:rPr>
        <w:t>-</w:t>
      </w:r>
      <w:r>
        <w:t xml:space="preserve"> Auto </w:t>
      </w:r>
      <w:hyperlink w:anchor="AUTO_1985_110" w:history="1">
        <w:r w:rsidRPr="009452A2">
          <w:rPr>
            <w:rStyle w:val="TextoNormalCaracter"/>
          </w:rPr>
          <w:t>110/1985</w:t>
        </w:r>
      </w:hyperlink>
      <w:r>
        <w:t>.</w:t>
      </w:r>
    </w:p>
    <w:p w:rsidR="009452A2" w:rsidRDefault="009452A2" w:rsidP="009452A2">
      <w:pPr>
        <w:pStyle w:val="SangriaFrancesaArticulo"/>
      </w:pPr>
    </w:p>
    <w:p w:rsidR="009452A2" w:rsidRDefault="009452A2" w:rsidP="009452A2">
      <w:pPr>
        <w:pStyle w:val="TextoNormalNegritaCursivandice"/>
      </w:pPr>
      <w:r>
        <w:t>Ley 1/1984, de 9 de enero. Adiciona artículo 11 bis a la Ley 46/1977, de 15 de octubre, de Amnistía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76" w:history="1">
        <w:r w:rsidRPr="009452A2">
          <w:rPr>
            <w:rStyle w:val="TextoNormalCaracter"/>
          </w:rPr>
          <w:t>176/1985</w:t>
        </w:r>
      </w:hyperlink>
      <w:r>
        <w:t>.</w:t>
      </w:r>
    </w:p>
    <w:p w:rsidR="009452A2" w:rsidRDefault="009452A2" w:rsidP="009452A2">
      <w:pPr>
        <w:pStyle w:val="SangriaFrancesaArticulo"/>
      </w:pPr>
    </w:p>
    <w:p w:rsidR="009452A2" w:rsidRDefault="009452A2" w:rsidP="009452A2">
      <w:pPr>
        <w:pStyle w:val="TextoNormalNegritaCursivandice"/>
      </w:pPr>
      <w:r>
        <w:t>Ley 7/1984, de 31 de marzo. Fondo de compensación interterritorial</w:t>
      </w:r>
    </w:p>
    <w:p w:rsidR="009452A2" w:rsidRDefault="009452A2" w:rsidP="009452A2">
      <w:pPr>
        <w:pStyle w:val="SangriaFrancesaArticulo"/>
      </w:pPr>
      <w:r w:rsidRPr="009452A2">
        <w:rPr>
          <w:rStyle w:val="TextoNormalNegritaCaracter"/>
        </w:rPr>
        <w:t>Artículo 4.2 apartados a) a c).</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Artículo 5.1 apartados a), b).</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Artículo 5.2 apartados a) a d).</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Artículo 5.3.</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Artículo 6.</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Artículo 7.</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Artículo 8.</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Artículo 10.2.</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Artículo 11.4.</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Artículo 12.1.</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SangriaFrancesaArticulo"/>
      </w:pPr>
      <w:r w:rsidRPr="009452A2">
        <w:rPr>
          <w:rStyle w:val="TextoNormalNegritaCaracter"/>
        </w:rPr>
        <w:t>Disposición adicional segunda.</w:t>
      </w:r>
      <w:r w:rsidRPr="009452A2">
        <w:rPr>
          <w:rStyle w:val="TextoNormalCaracter"/>
        </w:rPr>
        <w:t>-</w:t>
      </w:r>
      <w:r>
        <w:t xml:space="preserve"> Auto </w:t>
      </w:r>
      <w:hyperlink w:anchor="AUTO_1985_17" w:history="1">
        <w:r w:rsidRPr="009452A2">
          <w:rPr>
            <w:rStyle w:val="TextoNormalCaracter"/>
          </w:rPr>
          <w:t>17/1985</w:t>
        </w:r>
      </w:hyperlink>
      <w:r>
        <w:t>.</w:t>
      </w:r>
    </w:p>
    <w:p w:rsidR="009452A2" w:rsidRDefault="009452A2" w:rsidP="009452A2">
      <w:pPr>
        <w:pStyle w:val="TextoNormal"/>
      </w:pPr>
    </w:p>
    <w:p w:rsidR="009452A2" w:rsidRDefault="009452A2" w:rsidP="009452A2">
      <w:pPr>
        <w:pStyle w:val="SangriaFrancesaArticulo"/>
      </w:pPr>
      <w:bookmarkStart w:id="347" w:name="INDICE22806"/>
    </w:p>
    <w:bookmarkEnd w:id="347"/>
    <w:p w:rsidR="009452A2" w:rsidRDefault="006670AE" w:rsidP="009452A2">
      <w:pPr>
        <w:pStyle w:val="TextoIndiceNivel2"/>
        <w:suppressAutoHyphens/>
      </w:pPr>
      <w:r>
        <w:t>B) Disposiciones con fuerza de ley de las Comunidades Autónomas</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B.1) Asturias</w:t>
      </w:r>
    </w:p>
    <w:p w:rsidR="009452A2" w:rsidRDefault="009452A2" w:rsidP="009452A2">
      <w:pPr>
        <w:pStyle w:val="TextoNormalNegritaCentrado"/>
      </w:pPr>
    </w:p>
    <w:p w:rsidR="009452A2" w:rsidRDefault="009452A2" w:rsidP="009452A2">
      <w:pPr>
        <w:pStyle w:val="TextoNormalNegritaCursivandice"/>
      </w:pPr>
      <w:r>
        <w:t>Ley de la Junta General del Principado de Asturias 8/1983, de 24 de noviembre. Tasas sanitarias de la Comunidad Autónoma del Principado de Asturias</w:t>
      </w:r>
    </w:p>
    <w:p w:rsidR="009452A2" w:rsidRDefault="009452A2" w:rsidP="009452A2">
      <w:pPr>
        <w:pStyle w:val="SangriaFrancesaArticulo"/>
      </w:pPr>
      <w:r w:rsidRPr="009452A2">
        <w:rPr>
          <w:rStyle w:val="TextoNormalNegritaCaracter"/>
        </w:rPr>
        <w:t>Artículo 19 apartados 3, 4.</w:t>
      </w:r>
      <w:r w:rsidRPr="009452A2">
        <w:rPr>
          <w:rStyle w:val="TextoNormalCaracter"/>
        </w:rPr>
        <w:t>-</w:t>
      </w:r>
      <w:r>
        <w:t xml:space="preserve"> Sentencia </w:t>
      </w:r>
      <w:hyperlink w:anchor="SENTENCIA_1985_46" w:history="1">
        <w:r w:rsidRPr="009452A2">
          <w:rPr>
            <w:rStyle w:val="TextoNormalCaracter"/>
          </w:rPr>
          <w:t>46/1985</w:t>
        </w:r>
      </w:hyperlink>
      <w:r>
        <w:t xml:space="preserve"> (declara inconstitucional parcialmente).</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B.2) Galicia</w:t>
      </w:r>
    </w:p>
    <w:p w:rsidR="009452A2" w:rsidRDefault="009452A2" w:rsidP="009452A2">
      <w:pPr>
        <w:pStyle w:val="TextoNormalNegritaCentrado"/>
      </w:pPr>
    </w:p>
    <w:p w:rsidR="009452A2" w:rsidRDefault="009452A2" w:rsidP="009452A2">
      <w:pPr>
        <w:pStyle w:val="TextoNormalNegritaCursivandice"/>
      </w:pPr>
      <w:r>
        <w:lastRenderedPageBreak/>
        <w:t>Ley del Parlamento de Galicia 1/1984, de 20 de febrero. Fondo de compensación financiera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54" w:history="1">
        <w:r w:rsidRPr="009452A2">
          <w:rPr>
            <w:rStyle w:val="TextoNormalCaracter"/>
          </w:rPr>
          <w:t>54/1985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B.3) País Vasco</w:t>
      </w:r>
    </w:p>
    <w:p w:rsidR="009452A2" w:rsidRDefault="009452A2" w:rsidP="009452A2">
      <w:pPr>
        <w:pStyle w:val="TextoNormalNegritaCentrado"/>
      </w:pPr>
    </w:p>
    <w:p w:rsidR="009452A2" w:rsidRDefault="009452A2" w:rsidP="009452A2">
      <w:pPr>
        <w:pStyle w:val="TextoNormalNegritaCursivandice"/>
      </w:pPr>
      <w:r>
        <w:t>Ley del Parlamento Vasco 9/1983, de 19 de mayo. Ordenación de la actividad comercial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2" w:history="1">
        <w:r w:rsidRPr="009452A2">
          <w:rPr>
            <w:rStyle w:val="TextoNormalCaracter"/>
          </w:rPr>
          <w:t>42/1985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B.4) Valencia</w:t>
      </w:r>
    </w:p>
    <w:p w:rsidR="009452A2" w:rsidRDefault="009452A2" w:rsidP="009452A2">
      <w:pPr>
        <w:pStyle w:val="TextoNormalNegritaCentrado"/>
      </w:pPr>
    </w:p>
    <w:p w:rsidR="009452A2" w:rsidRDefault="009452A2" w:rsidP="009452A2">
      <w:pPr>
        <w:pStyle w:val="TextoNormalNegritaCursivandice"/>
      </w:pPr>
      <w:r>
        <w:t>Ley de las Cortes Valencianas 7/1984, de 4 de julio, de creación de la Entidad Pública Radiotelevisión Valenciana (RTVV) y regulación de los Servicios de Radiodifusión y Televisión de la Generalidad Valenciana</w:t>
      </w:r>
    </w:p>
    <w:p w:rsidR="009452A2" w:rsidRDefault="009452A2" w:rsidP="009452A2">
      <w:pPr>
        <w:pStyle w:val="SangriaFrancesaArticulo"/>
      </w:pPr>
      <w:r w:rsidRPr="009452A2">
        <w:rPr>
          <w:rStyle w:val="TextoNormalNegritaCaracter"/>
        </w:rPr>
        <w:t>Artículo 15.5.</w:t>
      </w:r>
      <w:r w:rsidRPr="009452A2">
        <w:rPr>
          <w:rStyle w:val="TextoNormalCaracter"/>
        </w:rPr>
        <w:t>-</w:t>
      </w:r>
      <w:r>
        <w:t xml:space="preserve"> Auto </w:t>
      </w:r>
      <w:hyperlink w:anchor="AUTO_1985_175" w:history="1">
        <w:r w:rsidRPr="009452A2">
          <w:rPr>
            <w:rStyle w:val="TextoNormalCaracter"/>
          </w:rPr>
          <w:t>175/1985</w:t>
        </w:r>
      </w:hyperlink>
      <w:r>
        <w:t>.</w:t>
      </w:r>
    </w:p>
    <w:p w:rsidR="009452A2" w:rsidRDefault="009452A2">
      <w:pPr>
        <w:rPr>
          <w:rFonts w:ascii="Times New Roman" w:eastAsia="Times New Roman" w:hAnsi="Times New Roman" w:cs="Times New Roman"/>
          <w:sz w:val="24"/>
          <w:szCs w:val="24"/>
          <w:lang w:eastAsia="es-ES"/>
        </w:rPr>
      </w:pPr>
      <w:r>
        <w:br w:type="page"/>
      </w:r>
    </w:p>
    <w:p w:rsidR="009452A2" w:rsidRDefault="009452A2" w:rsidP="009452A2">
      <w:pPr>
        <w:pStyle w:val="SangriaFrancesaArticulo"/>
      </w:pPr>
    </w:p>
    <w:p w:rsidR="009452A2" w:rsidRDefault="009452A2" w:rsidP="009452A2">
      <w:pPr>
        <w:pStyle w:val="TextoNormal"/>
      </w:pPr>
    </w:p>
    <w:p w:rsidR="009452A2" w:rsidRDefault="009452A2" w:rsidP="009452A2">
      <w:pPr>
        <w:pStyle w:val="TextoNormal"/>
      </w:pPr>
    </w:p>
    <w:p w:rsidR="009452A2" w:rsidRDefault="009452A2" w:rsidP="009452A2">
      <w:pPr>
        <w:pStyle w:val="TextoNormal"/>
      </w:pPr>
    </w:p>
    <w:p w:rsidR="009452A2" w:rsidRDefault="00BD7949" w:rsidP="009452A2">
      <w:pPr>
        <w:pStyle w:val="Ttulondice"/>
        <w:suppressAutoHyphens/>
      </w:pPr>
      <w:r>
        <w:t>4. ÍNDICE DE DISPOSICIONES GENERALES IMPUGNADAS</w:t>
      </w: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pPr>
    </w:p>
    <w:p w:rsidR="009452A2" w:rsidRDefault="009452A2" w:rsidP="009452A2">
      <w:pPr>
        <w:pStyle w:val="TextoNormal"/>
      </w:pPr>
      <w:bookmarkStart w:id="348" w:name="INDICE22803"/>
      <w:bookmarkEnd w:id="348"/>
    </w:p>
    <w:p w:rsidR="009452A2" w:rsidRDefault="009452A2" w:rsidP="009452A2">
      <w:pPr>
        <w:pStyle w:val="TextoIndiceNivel2"/>
        <w:suppressAutoHyphens/>
      </w:pPr>
      <w:r>
        <w:t>A) Disposiciones del Estado</w:t>
      </w:r>
    </w:p>
    <w:p w:rsidR="009452A2" w:rsidRDefault="009452A2" w:rsidP="009452A2">
      <w:pPr>
        <w:pStyle w:val="TextoIndiceNivel2"/>
      </w:pPr>
    </w:p>
    <w:p w:rsidR="009452A2" w:rsidRDefault="009452A2" w:rsidP="009452A2">
      <w:pPr>
        <w:pStyle w:val="TextoNormalNegritaCursivandice"/>
      </w:pPr>
      <w:r>
        <w:t>Real Decreto 2819/1981, de 27 de noviembre. Fiestas laborales de ámbito nacional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7" w:history="1">
        <w:r w:rsidRPr="009452A2">
          <w:rPr>
            <w:rStyle w:val="TextoNormalCaracter"/>
          </w:rPr>
          <w:t>7/1985</w:t>
        </w:r>
      </w:hyperlink>
      <w:r>
        <w:t>.</w:t>
      </w:r>
    </w:p>
    <w:p w:rsidR="009452A2" w:rsidRDefault="009452A2" w:rsidP="009452A2">
      <w:pPr>
        <w:pStyle w:val="SangriaFrancesaArticulo"/>
      </w:pPr>
    </w:p>
    <w:p w:rsidR="009452A2" w:rsidRDefault="009452A2" w:rsidP="009452A2">
      <w:pPr>
        <w:pStyle w:val="TextoNormalNegritaCursivandice"/>
      </w:pPr>
      <w:r>
        <w:t>Real Decreto 2820/1981, de 27 de noviembre. Calendario de fiestas laborales para 1982 y 1983</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7" w:history="1">
        <w:r w:rsidRPr="009452A2">
          <w:rPr>
            <w:rStyle w:val="TextoNormalCaracter"/>
          </w:rPr>
          <w:t>7/1985</w:t>
        </w:r>
      </w:hyperlink>
      <w:r>
        <w:t>.</w:t>
      </w:r>
    </w:p>
    <w:p w:rsidR="009452A2" w:rsidRDefault="009452A2" w:rsidP="009452A2">
      <w:pPr>
        <w:pStyle w:val="SangriaFrancesaArticulo"/>
      </w:pPr>
    </w:p>
    <w:p w:rsidR="009452A2" w:rsidRDefault="009452A2" w:rsidP="009452A2">
      <w:pPr>
        <w:pStyle w:val="TextoNormalNegritaCursivandice"/>
      </w:pPr>
      <w:r>
        <w:t>Real Decreto 3217/1981, de 27 de noviembre. Día de la Hispanidad. Celebración del 12 de octubre</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7" w:history="1">
        <w:r w:rsidRPr="009452A2">
          <w:rPr>
            <w:rStyle w:val="TextoNormalCaracter"/>
          </w:rPr>
          <w:t>7/1985</w:t>
        </w:r>
      </w:hyperlink>
      <w:r>
        <w:t>.</w:t>
      </w:r>
    </w:p>
    <w:p w:rsidR="009452A2" w:rsidRDefault="009452A2" w:rsidP="009452A2">
      <w:pPr>
        <w:pStyle w:val="SangriaFrancesaArticulo"/>
      </w:pPr>
    </w:p>
    <w:p w:rsidR="009452A2" w:rsidRDefault="009452A2" w:rsidP="009452A2">
      <w:pPr>
        <w:pStyle w:val="TextoNormalNegritaCursivandice"/>
      </w:pPr>
      <w:r>
        <w:t>Resolución de la Dirección General de Transportes del Ministerio de Transportes, Turismo y Comunicaciones, del 17 de mayo de 1982, resolviendo recurso de alzada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9" w:history="1">
        <w:r w:rsidRPr="009452A2">
          <w:rPr>
            <w:rStyle w:val="TextoNormalCaracter"/>
          </w:rPr>
          <w:t>9/1985</w:t>
        </w:r>
      </w:hyperlink>
      <w:r>
        <w:t xml:space="preserve"> (anula).</w:t>
      </w:r>
    </w:p>
    <w:p w:rsidR="009452A2" w:rsidRDefault="009452A2" w:rsidP="009452A2">
      <w:pPr>
        <w:pStyle w:val="SangriaFrancesaArticulo"/>
      </w:pPr>
    </w:p>
    <w:p w:rsidR="009452A2" w:rsidRDefault="009452A2" w:rsidP="009452A2">
      <w:pPr>
        <w:pStyle w:val="TextoNormalNegritaCursivandice"/>
      </w:pPr>
      <w:r>
        <w:t>Orden del Ministerio de Educación y Ciencia, de 30 de julio de 1982. Convoca concurso de méritos para proveer plazas vacantes en la plantilla del Cuerpo Especial de Inspectores Técnicos de Formación Profesional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8" w:history="1">
        <w:r w:rsidRPr="009452A2">
          <w:rPr>
            <w:rStyle w:val="TextoNormalCaracter"/>
          </w:rPr>
          <w:t>48/1985</w:t>
        </w:r>
      </w:hyperlink>
      <w:r>
        <w:t xml:space="preserve"> (anula parcialmente).</w:t>
      </w:r>
    </w:p>
    <w:p w:rsidR="009452A2" w:rsidRDefault="009452A2" w:rsidP="009452A2">
      <w:pPr>
        <w:pStyle w:val="SangriaFrancesaArticulo"/>
      </w:pPr>
    </w:p>
    <w:p w:rsidR="009452A2" w:rsidRDefault="009452A2" w:rsidP="009452A2">
      <w:pPr>
        <w:pStyle w:val="TextoNormalNegritaCursivandice"/>
      </w:pPr>
      <w:r>
        <w:t>Proyecto de Ley Orgánica de reforma del artículo 417 bis del Código penal (BOCG de 25 de febrero de 1983)</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3" w:history="1">
        <w:r w:rsidRPr="009452A2">
          <w:rPr>
            <w:rStyle w:val="TextoNormalCaracter"/>
          </w:rPr>
          <w:t>53/1985</w:t>
        </w:r>
      </w:hyperlink>
      <w:r>
        <w:t xml:space="preserve"> (declara inconstitucional parcialmente).</w:t>
      </w:r>
    </w:p>
    <w:p w:rsidR="009452A2" w:rsidRDefault="009452A2" w:rsidP="009452A2">
      <w:pPr>
        <w:pStyle w:val="SangriaFrancesaArticulo"/>
      </w:pPr>
    </w:p>
    <w:p w:rsidR="009452A2" w:rsidRDefault="009452A2" w:rsidP="009452A2">
      <w:pPr>
        <w:pStyle w:val="TextoNormalNegritaCursivandice"/>
      </w:pPr>
      <w:r>
        <w:t>Real Decreto 2099/1983, de 4 de agosto. Reglamento de ordenación general de precedencias en el Estado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2" w:history="1">
        <w:r w:rsidRPr="009452A2">
          <w:rPr>
            <w:rStyle w:val="TextoNormalCaracter"/>
          </w:rPr>
          <w:t>12/1985</w:t>
        </w:r>
      </w:hyperlink>
      <w:r>
        <w:t>.</w:t>
      </w:r>
    </w:p>
    <w:p w:rsidR="009452A2" w:rsidRDefault="009452A2" w:rsidP="009452A2">
      <w:pPr>
        <w:pStyle w:val="SangriaFrancesaArticulo"/>
      </w:pPr>
    </w:p>
    <w:p w:rsidR="009452A2" w:rsidRDefault="009452A2" w:rsidP="009452A2">
      <w:pPr>
        <w:pStyle w:val="TextoNormalNegritaCursivandice"/>
      </w:pPr>
      <w:r>
        <w:t>Orden del Ministerio de Transportes, Turismo y Comunicaciones, de 19 de julio de 1984. Concurso de subvenciones a fondo perdido para el fomento de las ofertas turísticas especializadas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99" w:history="1">
        <w:r w:rsidRPr="009452A2">
          <w:rPr>
            <w:rStyle w:val="TextoNormalCaracter"/>
          </w:rPr>
          <w:t>199/1985</w:t>
        </w:r>
      </w:hyperlink>
      <w:r>
        <w:t>.</w:t>
      </w:r>
    </w:p>
    <w:p w:rsidR="009452A2" w:rsidRDefault="009452A2" w:rsidP="009452A2">
      <w:pPr>
        <w:pStyle w:val="SangriaFrancesaArticulo"/>
      </w:pPr>
    </w:p>
    <w:p w:rsidR="009452A2" w:rsidRDefault="009452A2" w:rsidP="009452A2">
      <w:pPr>
        <w:pStyle w:val="TextoNormalNegritaCursivandice"/>
      </w:pPr>
      <w:r>
        <w:t>Orden del Ministerio de Transportes, Turismo y Comunicaciones, de 19 de julio de 1984. Convocatoria concurso de subvenciones a fondo perdido para la promoción y comercialización del turismo rural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26" w:history="1">
        <w:r w:rsidRPr="009452A2">
          <w:rPr>
            <w:rStyle w:val="TextoNormalCaracter"/>
          </w:rPr>
          <w:t>126/1985</w:t>
        </w:r>
      </w:hyperlink>
      <w:r>
        <w:t>.</w:t>
      </w:r>
    </w:p>
    <w:p w:rsidR="009452A2" w:rsidRDefault="009452A2" w:rsidP="009452A2">
      <w:pPr>
        <w:pStyle w:val="SangriaFrancesaArticulo"/>
      </w:pPr>
    </w:p>
    <w:p w:rsidR="009452A2" w:rsidRDefault="009452A2" w:rsidP="009452A2">
      <w:pPr>
        <w:pStyle w:val="TextoNormalNegritaCursivandice"/>
      </w:pPr>
      <w:r>
        <w:t>Proyecto de Ley Orgánica de libertad sindical (BOCG de 31 de julio de 1984)</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38" w:history="1">
        <w:r w:rsidRPr="009452A2">
          <w:rPr>
            <w:rStyle w:val="TextoNormalCaracter"/>
          </w:rPr>
          <w:t>38/1985</w:t>
        </w:r>
      </w:hyperlink>
      <w:r>
        <w:t>.</w:t>
      </w:r>
    </w:p>
    <w:p w:rsidR="009452A2" w:rsidRDefault="009452A2" w:rsidP="009452A2">
      <w:pPr>
        <w:pStyle w:val="SangriaFrancesaArticulo"/>
      </w:pPr>
      <w:r w:rsidRPr="009452A2">
        <w:rPr>
          <w:rStyle w:val="TextoNormalNegritaCaracter"/>
        </w:rPr>
        <w:t>Artículo 6.2 b).</w:t>
      </w:r>
      <w:r w:rsidRPr="009452A2">
        <w:rPr>
          <w:rStyle w:val="TextoNormalCaracter"/>
        </w:rPr>
        <w:t>-</w:t>
      </w:r>
      <w:r>
        <w:t xml:space="preserve"> Auto </w:t>
      </w:r>
      <w:hyperlink w:anchor="AUTO_1985_18" w:history="1">
        <w:r w:rsidRPr="009452A2">
          <w:rPr>
            <w:rStyle w:val="TextoNormalCaracter"/>
          </w:rPr>
          <w:t>18/1985</w:t>
        </w:r>
      </w:hyperlink>
      <w:r>
        <w:t>.</w:t>
      </w:r>
    </w:p>
    <w:p w:rsidR="009452A2" w:rsidRDefault="009452A2" w:rsidP="009452A2">
      <w:pPr>
        <w:pStyle w:val="SangriaFrancesaArticulo"/>
      </w:pPr>
      <w:r w:rsidRPr="009452A2">
        <w:rPr>
          <w:rStyle w:val="TextoNormalNegritaCaracter"/>
        </w:rPr>
        <w:t>Artículo 6.3 a).</w:t>
      </w:r>
      <w:r w:rsidRPr="009452A2">
        <w:rPr>
          <w:rStyle w:val="TextoNormalCaracter"/>
        </w:rPr>
        <w:t>-</w:t>
      </w:r>
      <w:r>
        <w:t xml:space="preserve"> Auto </w:t>
      </w:r>
      <w:hyperlink w:anchor="AUTO_1985_18" w:history="1">
        <w:r w:rsidRPr="009452A2">
          <w:rPr>
            <w:rStyle w:val="TextoNormalCaracter"/>
          </w:rPr>
          <w:t>18/1985</w:t>
        </w:r>
      </w:hyperlink>
      <w:r>
        <w:t>.</w:t>
      </w:r>
    </w:p>
    <w:p w:rsidR="009452A2" w:rsidRDefault="009452A2" w:rsidP="009452A2">
      <w:pPr>
        <w:pStyle w:val="SangriaFrancesaArticulo"/>
      </w:pPr>
      <w:r w:rsidRPr="009452A2">
        <w:rPr>
          <w:rStyle w:val="TextoNormalNegritaCaracter"/>
        </w:rPr>
        <w:t>Artículo 7.</w:t>
      </w:r>
      <w:r w:rsidRPr="009452A2">
        <w:rPr>
          <w:rStyle w:val="TextoNormalCaracter"/>
        </w:rPr>
        <w:t>-</w:t>
      </w:r>
      <w:r>
        <w:t xml:space="preserve"> Auto </w:t>
      </w:r>
      <w:hyperlink w:anchor="AUTO_1985_18" w:history="1">
        <w:r w:rsidRPr="009452A2">
          <w:rPr>
            <w:rStyle w:val="TextoNormalCaracter"/>
          </w:rPr>
          <w:t>18/1985</w:t>
        </w:r>
      </w:hyperlink>
      <w:r>
        <w:t>.</w:t>
      </w:r>
    </w:p>
    <w:p w:rsidR="009452A2" w:rsidRDefault="009452A2" w:rsidP="009452A2">
      <w:pPr>
        <w:pStyle w:val="TextoNormal"/>
      </w:pPr>
    </w:p>
    <w:p w:rsidR="009452A2" w:rsidRDefault="009452A2" w:rsidP="009452A2">
      <w:pPr>
        <w:pStyle w:val="SangriaFrancesaArticulo"/>
      </w:pPr>
      <w:bookmarkStart w:id="349" w:name="INDICE22824"/>
    </w:p>
    <w:bookmarkEnd w:id="349"/>
    <w:p w:rsidR="009452A2" w:rsidRDefault="009452A2" w:rsidP="009452A2">
      <w:pPr>
        <w:pStyle w:val="TextoIndiceNivel2"/>
        <w:suppressAutoHyphens/>
      </w:pPr>
      <w:r>
        <w:t>B) Disposiciones de las Comunidades y Ciudades Autónomas</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B.1) Baleares</w:t>
      </w:r>
    </w:p>
    <w:p w:rsidR="009452A2" w:rsidRDefault="009452A2" w:rsidP="009452A2">
      <w:pPr>
        <w:pStyle w:val="TextoNormalNegritaCentrado"/>
      </w:pPr>
    </w:p>
    <w:p w:rsidR="009452A2" w:rsidRDefault="009452A2" w:rsidP="009452A2">
      <w:pPr>
        <w:pStyle w:val="TextoNormalNegritaCursivandice"/>
      </w:pPr>
      <w:r>
        <w:t>Decreto del Gobierno de las Illes Balears 25/1984, de 5 de abril. Régimen de compatibilidad de títulos de renta fija en el coeficiente de fondos públicos de las cajas de ahorro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91" w:history="1">
        <w:r w:rsidRPr="009452A2">
          <w:rPr>
            <w:rStyle w:val="TextoNormalCaracter"/>
          </w:rPr>
          <w:t>91/1985</w:t>
        </w:r>
      </w:hyperlink>
      <w:r>
        <w:t>.</w:t>
      </w:r>
    </w:p>
    <w:p w:rsidR="009452A2" w:rsidRDefault="009452A2" w:rsidP="009452A2">
      <w:pPr>
        <w:pStyle w:val="SangriaFrancesaArticulo"/>
      </w:pPr>
    </w:p>
    <w:p w:rsidR="009452A2" w:rsidRDefault="009452A2" w:rsidP="009452A2">
      <w:pPr>
        <w:pStyle w:val="TextoNormalNegritaCursivandice"/>
      </w:pPr>
      <w:r>
        <w:t>Decreto del Gobierno de las Illes Balears 55/1984, de 26 de julio. Creación de la gerencia de la campaña para la normalización lingüística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32" w:history="1">
        <w:r w:rsidRPr="009452A2">
          <w:rPr>
            <w:rStyle w:val="TextoNormalCaracter"/>
          </w:rPr>
          <w:t>232/1985</w:t>
        </w:r>
      </w:hyperlink>
      <w:r>
        <w:t>.</w:t>
      </w:r>
    </w:p>
    <w:p w:rsidR="009452A2" w:rsidRDefault="009452A2" w:rsidP="009452A2">
      <w:pPr>
        <w:pStyle w:val="SangriaFrancesaArticulo"/>
      </w:pPr>
    </w:p>
    <w:p w:rsidR="009452A2" w:rsidRDefault="009452A2" w:rsidP="009452A2">
      <w:pPr>
        <w:pStyle w:val="TextoNormalNegritaCursivandice"/>
      </w:pPr>
      <w:r>
        <w:t>Decreto del Gobierno de las Illes Balears 64/1984, de 9 de agosto. Procedimiento de contratación de personal al servicio de la Comunidad Autónoma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11" w:history="1">
        <w:r w:rsidRPr="009452A2">
          <w:rPr>
            <w:rStyle w:val="TextoNormalCaracter"/>
          </w:rPr>
          <w:t>211/1985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B.2) Castilla-La Mancha</w:t>
      </w:r>
    </w:p>
    <w:p w:rsidR="009452A2" w:rsidRDefault="009452A2" w:rsidP="009452A2">
      <w:pPr>
        <w:pStyle w:val="TextoNormalNegritaCentrado"/>
      </w:pPr>
    </w:p>
    <w:p w:rsidR="009452A2" w:rsidRDefault="009452A2" w:rsidP="009452A2">
      <w:pPr>
        <w:pStyle w:val="TextoNormalNegritaCursivandice"/>
      </w:pPr>
      <w:r>
        <w:t>Decreto del Gobierno Vasco 240/1984, de 10 de julio. Modifica la estructura orgánica del Departamento de Sanidad y Seguridad Social</w:t>
      </w:r>
    </w:p>
    <w:p w:rsidR="009452A2" w:rsidRDefault="009452A2" w:rsidP="009452A2">
      <w:pPr>
        <w:pStyle w:val="SangriaFrancesaArticulo"/>
      </w:pPr>
      <w:r w:rsidRPr="009452A2">
        <w:rPr>
          <w:rStyle w:val="TextoNormalNegritaCaracter"/>
        </w:rPr>
        <w:lastRenderedPageBreak/>
        <w:t>Artículo 2 k).</w:t>
      </w:r>
      <w:r w:rsidRPr="009452A2">
        <w:rPr>
          <w:rStyle w:val="TextoNormalCaracter"/>
        </w:rPr>
        <w:t>-</w:t>
      </w:r>
      <w:r>
        <w:t xml:space="preserve"> Auto </w:t>
      </w:r>
      <w:hyperlink w:anchor="AUTO_1985_282" w:history="1">
        <w:r w:rsidRPr="009452A2">
          <w:rPr>
            <w:rStyle w:val="TextoNormalCaracter"/>
          </w:rPr>
          <w:t>282/1985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B.3) Cataluña</w:t>
      </w:r>
    </w:p>
    <w:p w:rsidR="009452A2" w:rsidRDefault="009452A2" w:rsidP="009452A2">
      <w:pPr>
        <w:pStyle w:val="TextoNormalNegritaCentrado"/>
      </w:pPr>
    </w:p>
    <w:p w:rsidR="009452A2" w:rsidRDefault="009452A2" w:rsidP="009452A2">
      <w:pPr>
        <w:pStyle w:val="TextoNormalNegritaCursivandice"/>
      </w:pPr>
      <w:r>
        <w:t>Orden del Departamento de Agricultura, Ganadería y Pesca de la Generalidad de Cataluña, de 6 de abril de 1984. Modifica el Reglamento de la Denominación de Origen "Empordá-Costa Brava" y de su Consejo Regulador</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11" w:history="1">
        <w:r w:rsidRPr="009452A2">
          <w:rPr>
            <w:rStyle w:val="TextoNormalCaracter"/>
          </w:rPr>
          <w:t>111/1985</w:t>
        </w:r>
      </w:hyperlink>
      <w:r>
        <w:t>.</w:t>
      </w:r>
    </w:p>
    <w:p w:rsidR="009452A2" w:rsidRDefault="009452A2" w:rsidP="009452A2">
      <w:pPr>
        <w:pStyle w:val="SangriaFrancesaArticulo"/>
      </w:pPr>
    </w:p>
    <w:p w:rsidR="009452A2" w:rsidRDefault="009452A2" w:rsidP="009452A2">
      <w:pPr>
        <w:pStyle w:val="TextoNormalNegritaCursivandice"/>
      </w:pPr>
      <w:r>
        <w:t>Decreto de la Generalidad de Cataluña 125/1984, de 17 de abril. Regulación del uso de la lengua catalana en las escrituras públicas</w:t>
      </w:r>
    </w:p>
    <w:p w:rsidR="009452A2" w:rsidRDefault="009452A2" w:rsidP="009452A2">
      <w:pPr>
        <w:pStyle w:val="SangriaFrancesaArticulo"/>
      </w:pPr>
      <w:r w:rsidRPr="009452A2">
        <w:rPr>
          <w:rStyle w:val="TextoNormalNegritaCaracter"/>
        </w:rPr>
        <w:t>Artículo 3.</w:t>
      </w:r>
      <w:r w:rsidRPr="009452A2">
        <w:rPr>
          <w:rStyle w:val="TextoNormalCaracter"/>
        </w:rPr>
        <w:t>-</w:t>
      </w:r>
      <w:r>
        <w:t xml:space="preserve"> Auto </w:t>
      </w:r>
      <w:hyperlink w:anchor="AUTO_1985_55" w:history="1">
        <w:r w:rsidRPr="009452A2">
          <w:rPr>
            <w:rStyle w:val="TextoNormalCaracter"/>
          </w:rPr>
          <w:t>55/1985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B.4) Galicia</w:t>
      </w:r>
    </w:p>
    <w:p w:rsidR="009452A2" w:rsidRDefault="009452A2" w:rsidP="009452A2">
      <w:pPr>
        <w:pStyle w:val="TextoNormalNegritaCentrado"/>
      </w:pPr>
    </w:p>
    <w:p w:rsidR="009452A2" w:rsidRDefault="009452A2" w:rsidP="009452A2">
      <w:pPr>
        <w:pStyle w:val="TextoNormalNegritaCursivandice"/>
      </w:pPr>
      <w:r>
        <w:t>Orden de la Consejería de Agricultura, Pesca y Alimentación de la Junta de Galicia, de 30 de abril de 1984. Reglamento de la Denominación Específica "Albariño" y de su Consejo Regulador</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39" w:history="1">
        <w:r w:rsidRPr="009452A2">
          <w:rPr>
            <w:rStyle w:val="TextoNormalCaracter"/>
          </w:rPr>
          <w:t>239/1985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B.5) Navarra</w:t>
      </w:r>
    </w:p>
    <w:p w:rsidR="009452A2" w:rsidRDefault="009452A2" w:rsidP="009452A2">
      <w:pPr>
        <w:pStyle w:val="TextoNormalNegritaCentrado"/>
      </w:pPr>
    </w:p>
    <w:p w:rsidR="009452A2" w:rsidRDefault="009452A2" w:rsidP="009452A2">
      <w:pPr>
        <w:pStyle w:val="TextoNormalNegritaCursivandice"/>
      </w:pPr>
      <w:r>
        <w:t>Decreto Foral del Gobierno de Navarra 24/1984, de 18 de abril. Regulación del régimen jurídico del otorgamiento, modificación y extinción de la autorización del transporte público discrecional de mercancías y viajeros por carretera para vehículos con residencia en Navarra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25" w:history="1">
        <w:r w:rsidRPr="009452A2">
          <w:rPr>
            <w:rStyle w:val="TextoNormalCaracter"/>
          </w:rPr>
          <w:t>125/1985</w:t>
        </w:r>
      </w:hyperlink>
      <w:r>
        <w:t>.</w:t>
      </w:r>
    </w:p>
    <w:p w:rsidR="009452A2" w:rsidRDefault="009452A2" w:rsidP="009452A2">
      <w:pPr>
        <w:pStyle w:val="SangriaFrancesaArticulo"/>
      </w:pPr>
    </w:p>
    <w:p w:rsidR="009452A2" w:rsidRDefault="009452A2" w:rsidP="009452A2">
      <w:pPr>
        <w:pStyle w:val="TextoNormalNegritaCursivandice"/>
      </w:pPr>
      <w:r>
        <w:t>Decreto Foral del Gobierno de Navarra 182/1984, de 14 de agosto. Sobre normalización de situaciones para vehículos de viajeros y mercancías cuya residencia haya sido fijada en Navarra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01" w:history="1">
        <w:r w:rsidRPr="009452A2">
          <w:rPr>
            <w:rStyle w:val="TextoNormalCaracter"/>
          </w:rPr>
          <w:t>201/1985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B.6) País Vasco</w:t>
      </w:r>
    </w:p>
    <w:p w:rsidR="009452A2" w:rsidRDefault="009452A2" w:rsidP="009452A2">
      <w:pPr>
        <w:pStyle w:val="TextoNormalNegritaCentrado"/>
      </w:pPr>
    </w:p>
    <w:p w:rsidR="009452A2" w:rsidRDefault="009452A2" w:rsidP="009452A2">
      <w:pPr>
        <w:pStyle w:val="TextoNormalNegritaCursivandice"/>
      </w:pPr>
      <w:r>
        <w:t>Resolución de la Dirección General de Energía, del Departamento de Industria y Energía del Gobierno Vasco, de 12 de febrero de 1982. Autorización a la empresa "Petróleos del Norte, S.A." (PETRONOR), a modificar el proyecto inicial de instalaciones de una unidad de craking catalítico fluido y una unidad de vis-breaking</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24" w:history="1">
        <w:r w:rsidRPr="009452A2">
          <w:rPr>
            <w:rStyle w:val="TextoNormalCaracter"/>
          </w:rPr>
          <w:t>24/1985</w:t>
        </w:r>
      </w:hyperlink>
      <w:r>
        <w:t xml:space="preserve"> (anula).</w:t>
      </w:r>
    </w:p>
    <w:p w:rsidR="009452A2" w:rsidRDefault="009452A2">
      <w:pPr>
        <w:rPr>
          <w:rFonts w:ascii="Times New Roman" w:eastAsia="Times New Roman" w:hAnsi="Times New Roman" w:cs="Times New Roman"/>
          <w:sz w:val="24"/>
          <w:szCs w:val="24"/>
          <w:lang w:eastAsia="es-ES"/>
        </w:rPr>
      </w:pPr>
      <w:r>
        <w:br w:type="page"/>
      </w:r>
    </w:p>
    <w:p w:rsidR="009452A2" w:rsidRDefault="009452A2" w:rsidP="009452A2">
      <w:pPr>
        <w:pStyle w:val="SangriaFrancesaArticulo"/>
      </w:pPr>
    </w:p>
    <w:p w:rsidR="009452A2" w:rsidRDefault="009452A2" w:rsidP="009452A2">
      <w:pPr>
        <w:pStyle w:val="TextoNormal"/>
      </w:pPr>
    </w:p>
    <w:p w:rsidR="009452A2" w:rsidRDefault="009452A2" w:rsidP="009452A2">
      <w:pPr>
        <w:pStyle w:val="TextoNormal"/>
      </w:pPr>
    </w:p>
    <w:p w:rsidR="009452A2" w:rsidRDefault="009452A2" w:rsidP="009452A2">
      <w:pPr>
        <w:pStyle w:val="TextoNormal"/>
      </w:pPr>
    </w:p>
    <w:p w:rsidR="009452A2" w:rsidRDefault="009452A2" w:rsidP="009452A2">
      <w:pPr>
        <w:pStyle w:val="Ttulondice"/>
        <w:suppressAutoHyphens/>
      </w:pPr>
      <w:r>
        <w:t>5. ÍNDICE DE DISPOSICIONES CITADAS</w:t>
      </w: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pPr>
    </w:p>
    <w:p w:rsidR="009452A2" w:rsidRDefault="009452A2" w:rsidP="009452A2">
      <w:pPr>
        <w:pStyle w:val="TextoNormal"/>
      </w:pPr>
      <w:bookmarkStart w:id="350" w:name="INDICE22804"/>
      <w:bookmarkEnd w:id="350"/>
    </w:p>
    <w:p w:rsidR="009452A2" w:rsidRDefault="009452A2" w:rsidP="009452A2">
      <w:pPr>
        <w:pStyle w:val="TextoIndiceNivel2"/>
        <w:suppressAutoHyphens/>
      </w:pPr>
      <w:r>
        <w:t>A) Constitución</w:t>
      </w:r>
    </w:p>
    <w:p w:rsidR="009452A2" w:rsidRDefault="009452A2" w:rsidP="009452A2">
      <w:pPr>
        <w:pStyle w:val="TextoIndiceNivel2"/>
      </w:pPr>
    </w:p>
    <w:p w:rsidR="009452A2" w:rsidRDefault="009452A2" w:rsidP="009452A2">
      <w:pPr>
        <w:pStyle w:val="TextoNormalNegritaCursivandice"/>
      </w:pPr>
      <w:r>
        <w:t>Constitución española, de 27 de diciembre de 1978</w:t>
      </w:r>
    </w:p>
    <w:p w:rsidR="009452A2" w:rsidRDefault="009452A2" w:rsidP="009452A2">
      <w:pPr>
        <w:pStyle w:val="SangriaFrancesaArticulo"/>
      </w:pPr>
      <w:r w:rsidRPr="009452A2">
        <w:rPr>
          <w:rStyle w:val="TextoNormalNegritaCaracter"/>
        </w:rPr>
        <w:t>Título I.</w:t>
      </w:r>
      <w:r w:rsidRPr="009452A2">
        <w:rPr>
          <w:rStyle w:val="TextoNormalCaracter"/>
        </w:rPr>
        <w:t>-</w:t>
      </w:r>
      <w:r>
        <w:t xml:space="preserve"> Sentencia </w:t>
      </w:r>
      <w:hyperlink w:anchor="SENTENCIA_1985_5" w:history="1">
        <w:r w:rsidRPr="009452A2">
          <w:rPr>
            <w:rStyle w:val="TextoNormalCaracter"/>
          </w:rPr>
          <w:t>5/1985</w:t>
        </w:r>
      </w:hyperlink>
      <w:r>
        <w:t>, f. 6.</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Auto </w:t>
      </w:r>
      <w:hyperlink w:anchor="AUTO_1985_82" w:history="1">
        <w:r w:rsidRPr="009452A2">
          <w:rPr>
            <w:rStyle w:val="TextoNormalCaracter"/>
          </w:rPr>
          <w:t>82/1985</w:t>
        </w:r>
      </w:hyperlink>
      <w:r>
        <w:t>.</w:t>
      </w:r>
    </w:p>
    <w:p w:rsidR="009452A2" w:rsidRDefault="009452A2" w:rsidP="009452A2">
      <w:pPr>
        <w:pStyle w:val="SangriaFrancesaArticulo"/>
      </w:pPr>
      <w:r w:rsidRPr="009452A2">
        <w:rPr>
          <w:rStyle w:val="TextoNormalNegritaCaracter"/>
        </w:rPr>
        <w:t>Artículo 1.1.</w:t>
      </w:r>
      <w:r w:rsidRPr="009452A2">
        <w:rPr>
          <w:rStyle w:val="TextoNormalCaracter"/>
        </w:rPr>
        <w:t>-</w:t>
      </w:r>
      <w:r>
        <w:t xml:space="preserve"> Sentencias </w:t>
      </w:r>
      <w:hyperlink w:anchor="SENTENCIA_1985_20" w:history="1">
        <w:r w:rsidRPr="009452A2">
          <w:rPr>
            <w:rStyle w:val="TextoNormalCaracter"/>
          </w:rPr>
          <w:t>20/1985</w:t>
        </w:r>
      </w:hyperlink>
      <w:r>
        <w:t xml:space="preserve">, VP; </w:t>
      </w:r>
      <w:hyperlink w:anchor="SENTENCIA_1985_32" w:history="1">
        <w:r w:rsidRPr="009452A2">
          <w:rPr>
            <w:rStyle w:val="TextoNormalCaracter"/>
          </w:rPr>
          <w:t>32/1985</w:t>
        </w:r>
      </w:hyperlink>
      <w:r>
        <w:t xml:space="preserve">, f. 2; </w:t>
      </w:r>
      <w:hyperlink w:anchor="SENTENCIA_1985_53" w:history="1">
        <w:r w:rsidRPr="009452A2">
          <w:rPr>
            <w:rStyle w:val="TextoNormalCaracter"/>
          </w:rPr>
          <w:t>53/1985</w:t>
        </w:r>
      </w:hyperlink>
      <w:r>
        <w:t>, ff. 2, 6, VP I, VP III.</w:t>
      </w:r>
    </w:p>
    <w:p w:rsidR="009452A2" w:rsidRDefault="009452A2" w:rsidP="009452A2">
      <w:pPr>
        <w:pStyle w:val="SangriaIzquierdaArticulo"/>
      </w:pPr>
      <w:r>
        <w:t xml:space="preserve">Auto </w:t>
      </w:r>
      <w:hyperlink w:anchor="AUTO_1985_77" w:history="1">
        <w:r w:rsidRPr="009452A2">
          <w:rPr>
            <w:rStyle w:val="TextoNormalCaracter"/>
          </w:rPr>
          <w:t>77/1985</w:t>
        </w:r>
      </w:hyperlink>
      <w:r>
        <w:t>.</w:t>
      </w:r>
    </w:p>
    <w:p w:rsidR="009452A2" w:rsidRDefault="009452A2" w:rsidP="009452A2">
      <w:pPr>
        <w:pStyle w:val="SangriaFrancesaArticulo"/>
      </w:pPr>
      <w:r w:rsidRPr="009452A2">
        <w:rPr>
          <w:rStyle w:val="TextoNormalNegritaCaracter"/>
        </w:rPr>
        <w:t>Artículo 6.</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r w:rsidRPr="009452A2">
        <w:rPr>
          <w:rStyle w:val="TextoNormalNegritaCaracter"/>
        </w:rPr>
        <w:t>Artículo 7.</w:t>
      </w:r>
      <w:r w:rsidRPr="009452A2">
        <w:rPr>
          <w:rStyle w:val="TextoNormalCaracter"/>
        </w:rPr>
        <w:t>-</w:t>
      </w:r>
      <w:r>
        <w:t xml:space="preserve"> Sentencias </w:t>
      </w:r>
      <w:hyperlink w:anchor="SENTENCIA_1985_20" w:history="1">
        <w:r w:rsidRPr="009452A2">
          <w:rPr>
            <w:rStyle w:val="TextoNormalCaracter"/>
          </w:rPr>
          <w:t>20/1985</w:t>
        </w:r>
      </w:hyperlink>
      <w:r>
        <w:t xml:space="preserve">, passim; </w:t>
      </w:r>
      <w:hyperlink w:anchor="SENTENCIA_1985_26" w:history="1">
        <w:r w:rsidRPr="009452A2">
          <w:rPr>
            <w:rStyle w:val="TextoNormalCaracter"/>
          </w:rPr>
          <w:t>26/1985</w:t>
        </w:r>
      </w:hyperlink>
      <w:r>
        <w:t>, ff. 1, 2.</w:t>
      </w:r>
    </w:p>
    <w:p w:rsidR="009452A2" w:rsidRDefault="009452A2" w:rsidP="009452A2">
      <w:pPr>
        <w:pStyle w:val="SangriaIzquierdaArticulo"/>
      </w:pPr>
      <w:r>
        <w:t xml:space="preserve">Autos </w:t>
      </w:r>
      <w:hyperlink w:anchor="AUTO_1985_66" w:history="1">
        <w:r w:rsidRPr="009452A2">
          <w:rPr>
            <w:rStyle w:val="TextoNormalCaracter"/>
          </w:rPr>
          <w:t>66/1985</w:t>
        </w:r>
      </w:hyperlink>
      <w:r>
        <w:t xml:space="preserve">; </w:t>
      </w:r>
      <w:hyperlink w:anchor="AUTO_1985_100" w:history="1">
        <w:r w:rsidRPr="009452A2">
          <w:rPr>
            <w:rStyle w:val="TextoNormalCaracter"/>
          </w:rPr>
          <w:t>100/1985</w:t>
        </w:r>
      </w:hyperlink>
      <w:r>
        <w:t>.</w:t>
      </w:r>
    </w:p>
    <w:p w:rsidR="009452A2" w:rsidRDefault="009452A2" w:rsidP="009452A2">
      <w:pPr>
        <w:pStyle w:val="SangriaFrancesaArticulo"/>
      </w:pPr>
      <w:r w:rsidRPr="009452A2">
        <w:rPr>
          <w:rStyle w:val="TextoNormalNegritaCaracter"/>
        </w:rPr>
        <w:t>Artículo 8.</w:t>
      </w:r>
      <w:r w:rsidRPr="009452A2">
        <w:rPr>
          <w:rStyle w:val="TextoNormalCaracter"/>
        </w:rPr>
        <w:t>-</w:t>
      </w:r>
      <w:r>
        <w:t xml:space="preserve"> Sentencia </w:t>
      </w:r>
      <w:hyperlink w:anchor="SENTENCIA_1985_31" w:history="1">
        <w:r w:rsidRPr="009452A2">
          <w:rPr>
            <w:rStyle w:val="TextoNormalCaracter"/>
          </w:rPr>
          <w:t>31/1985</w:t>
        </w:r>
      </w:hyperlink>
      <w:r>
        <w:t>, f. 5.</w:t>
      </w:r>
    </w:p>
    <w:p w:rsidR="009452A2" w:rsidRDefault="009452A2" w:rsidP="009452A2">
      <w:pPr>
        <w:pStyle w:val="SangriaFrancesaArticulo"/>
      </w:pPr>
      <w:r w:rsidRPr="009452A2">
        <w:rPr>
          <w:rStyle w:val="TextoNormalNegritaCaracter"/>
        </w:rPr>
        <w:t>Artículo 9.</w:t>
      </w:r>
      <w:r w:rsidRPr="009452A2">
        <w:rPr>
          <w:rStyle w:val="TextoNormalCaracter"/>
        </w:rPr>
        <w:t>-</w:t>
      </w:r>
      <w:r>
        <w:t xml:space="preserve"> Sentencia </w:t>
      </w:r>
      <w:hyperlink w:anchor="SENTENCIA_1985_58" w:history="1">
        <w:r w:rsidRPr="009452A2">
          <w:rPr>
            <w:rStyle w:val="TextoNormalCaracter"/>
          </w:rPr>
          <w:t>58/1985</w:t>
        </w:r>
      </w:hyperlink>
      <w:r>
        <w:t>, f. 2.</w:t>
      </w:r>
    </w:p>
    <w:p w:rsidR="009452A2" w:rsidRDefault="009452A2" w:rsidP="009452A2">
      <w:pPr>
        <w:pStyle w:val="SangriaIzquierdaArticulo"/>
      </w:pPr>
      <w:r>
        <w:t xml:space="preserve">Autos </w:t>
      </w:r>
      <w:hyperlink w:anchor="AUTO_1985_77" w:history="1">
        <w:r w:rsidRPr="009452A2">
          <w:rPr>
            <w:rStyle w:val="TextoNormalCaracter"/>
          </w:rPr>
          <w:t>77/1985</w:t>
        </w:r>
      </w:hyperlink>
      <w:r>
        <w:t xml:space="preserve">; </w:t>
      </w:r>
      <w:hyperlink w:anchor="AUTO_1985_82" w:history="1">
        <w:r w:rsidRPr="009452A2">
          <w:rPr>
            <w:rStyle w:val="TextoNormalCaracter"/>
          </w:rPr>
          <w:t>82/1985</w:t>
        </w:r>
      </w:hyperlink>
      <w:r>
        <w:t xml:space="preserve">; </w:t>
      </w:r>
      <w:hyperlink w:anchor="AUTO_1985_103" w:history="1">
        <w:r w:rsidRPr="009452A2">
          <w:rPr>
            <w:rStyle w:val="TextoNormalCaracter"/>
          </w:rPr>
          <w:t>103/1985</w:t>
        </w:r>
      </w:hyperlink>
      <w:r>
        <w:t xml:space="preserve">; </w:t>
      </w:r>
      <w:hyperlink w:anchor="AUTO_1985_204" w:history="1">
        <w:r w:rsidRPr="009452A2">
          <w:rPr>
            <w:rStyle w:val="TextoNormalCaracter"/>
          </w:rPr>
          <w:t>204/1985</w:t>
        </w:r>
      </w:hyperlink>
      <w:r>
        <w:t xml:space="preserve">; </w:t>
      </w:r>
      <w:hyperlink w:anchor="AUTO_1985_233" w:history="1">
        <w:r w:rsidRPr="009452A2">
          <w:rPr>
            <w:rStyle w:val="TextoNormalCaracter"/>
          </w:rPr>
          <w:t>233/1985</w:t>
        </w:r>
      </w:hyperlink>
      <w:r>
        <w:t>.</w:t>
      </w:r>
    </w:p>
    <w:p w:rsidR="009452A2" w:rsidRDefault="009452A2" w:rsidP="009452A2">
      <w:pPr>
        <w:pStyle w:val="SangriaFrancesaArticulo"/>
      </w:pPr>
      <w:r w:rsidRPr="009452A2">
        <w:rPr>
          <w:rStyle w:val="TextoNormalNegritaCaracter"/>
        </w:rPr>
        <w:t>Artículo 9.1.</w:t>
      </w:r>
      <w:r w:rsidRPr="009452A2">
        <w:rPr>
          <w:rStyle w:val="TextoNormalCaracter"/>
        </w:rPr>
        <w:t>-</w:t>
      </w:r>
      <w:r>
        <w:t xml:space="preserve"> Sentencias </w:t>
      </w:r>
      <w:hyperlink w:anchor="SENTENCIA_1985_19" w:history="1">
        <w:r w:rsidRPr="009452A2">
          <w:rPr>
            <w:rStyle w:val="TextoNormalCaracter"/>
          </w:rPr>
          <w:t>19/1985</w:t>
        </w:r>
      </w:hyperlink>
      <w:r>
        <w:t xml:space="preserve">, f. 1; </w:t>
      </w:r>
      <w:hyperlink w:anchor="SENTENCIA_1985_32" w:history="1">
        <w:r w:rsidRPr="009452A2">
          <w:rPr>
            <w:rStyle w:val="TextoNormalCaracter"/>
          </w:rPr>
          <w:t>32/1985</w:t>
        </w:r>
      </w:hyperlink>
      <w:r>
        <w:t xml:space="preserve">, f. 2; </w:t>
      </w:r>
      <w:hyperlink w:anchor="SENTENCIA_1985_35" w:history="1">
        <w:r w:rsidRPr="009452A2">
          <w:rPr>
            <w:rStyle w:val="TextoNormalCaracter"/>
          </w:rPr>
          <w:t>35/1985</w:t>
        </w:r>
      </w:hyperlink>
      <w:r>
        <w:t>, f. 1.</w:t>
      </w:r>
    </w:p>
    <w:p w:rsidR="009452A2" w:rsidRDefault="009452A2" w:rsidP="009452A2">
      <w:pPr>
        <w:pStyle w:val="SangriaIzquierdaArticulo"/>
      </w:pPr>
      <w:r>
        <w:t xml:space="preserve">Autos </w:t>
      </w:r>
      <w:hyperlink w:anchor="AUTO_1985_141" w:history="1">
        <w:r w:rsidRPr="009452A2">
          <w:rPr>
            <w:rStyle w:val="TextoNormalCaracter"/>
          </w:rPr>
          <w:t>141/1985</w:t>
        </w:r>
      </w:hyperlink>
      <w:r>
        <w:t xml:space="preserve">; </w:t>
      </w:r>
      <w:hyperlink w:anchor="AUTO_1985_143" w:history="1">
        <w:r w:rsidRPr="009452A2">
          <w:rPr>
            <w:rStyle w:val="TextoNormalCaracter"/>
          </w:rPr>
          <w:t>143/1985</w:t>
        </w:r>
      </w:hyperlink>
      <w:r>
        <w:t xml:space="preserve">; </w:t>
      </w:r>
      <w:hyperlink w:anchor="AUTO_1985_212" w:history="1">
        <w:r w:rsidRPr="009452A2">
          <w:rPr>
            <w:rStyle w:val="TextoNormalCaracter"/>
          </w:rPr>
          <w:t>212/1985</w:t>
        </w:r>
      </w:hyperlink>
      <w:r>
        <w:t>.</w:t>
      </w:r>
    </w:p>
    <w:p w:rsidR="009452A2" w:rsidRDefault="009452A2" w:rsidP="009452A2">
      <w:pPr>
        <w:pStyle w:val="SangriaFrancesaArticulo"/>
      </w:pPr>
      <w:r w:rsidRPr="009452A2">
        <w:rPr>
          <w:rStyle w:val="TextoNormalNegritaCaracter"/>
        </w:rPr>
        <w:t>Artículo 9.2.</w:t>
      </w:r>
      <w:r w:rsidRPr="009452A2">
        <w:rPr>
          <w:rStyle w:val="TextoNormalCaracter"/>
        </w:rPr>
        <w:t>-</w:t>
      </w:r>
      <w:r>
        <w:t xml:space="preserve"> Sentencias </w:t>
      </w:r>
      <w:hyperlink w:anchor="SENTENCIA_1985_20" w:history="1">
        <w:r w:rsidRPr="009452A2">
          <w:rPr>
            <w:rStyle w:val="TextoNormalCaracter"/>
          </w:rPr>
          <w:t>20/1985</w:t>
        </w:r>
      </w:hyperlink>
      <w:r>
        <w:t xml:space="preserve">, VP; </w:t>
      </w:r>
      <w:hyperlink w:anchor="SENTENCIA_1985_53" w:history="1">
        <w:r w:rsidRPr="009452A2">
          <w:rPr>
            <w:rStyle w:val="TextoNormalCaracter"/>
          </w:rPr>
          <w:t>53/1985</w:t>
        </w:r>
      </w:hyperlink>
      <w:r>
        <w:t>, f. 4.</w:t>
      </w:r>
    </w:p>
    <w:p w:rsidR="009452A2" w:rsidRDefault="009452A2" w:rsidP="009452A2">
      <w:pPr>
        <w:pStyle w:val="SangriaFrancesaArticulo"/>
      </w:pPr>
      <w:r w:rsidRPr="009452A2">
        <w:rPr>
          <w:rStyle w:val="TextoNormalNegritaCaracter"/>
        </w:rPr>
        <w:t>Artículo 9.3.</w:t>
      </w:r>
      <w:r w:rsidRPr="009452A2">
        <w:rPr>
          <w:rStyle w:val="TextoNormalCaracter"/>
        </w:rPr>
        <w:t>-</w:t>
      </w:r>
      <w:r>
        <w:t xml:space="preserve"> Sentencias </w:t>
      </w:r>
      <w:hyperlink w:anchor="SENTENCIA_1985_14" w:history="1">
        <w:r w:rsidRPr="009452A2">
          <w:rPr>
            <w:rStyle w:val="TextoNormalCaracter"/>
          </w:rPr>
          <w:t>14/1985</w:t>
        </w:r>
      </w:hyperlink>
      <w:r>
        <w:t xml:space="preserve">, f. 2; </w:t>
      </w:r>
      <w:hyperlink w:anchor="SENTENCIA_1985_51" w:history="1">
        <w:r w:rsidRPr="009452A2">
          <w:rPr>
            <w:rStyle w:val="TextoNormalCaracter"/>
          </w:rPr>
          <w:t>51/1985</w:t>
        </w:r>
      </w:hyperlink>
      <w:r>
        <w:t xml:space="preserve">, f. 7; </w:t>
      </w:r>
      <w:hyperlink w:anchor="SENTENCIA_1985_53" w:history="1">
        <w:r w:rsidRPr="009452A2">
          <w:rPr>
            <w:rStyle w:val="TextoNormalCaracter"/>
          </w:rPr>
          <w:t>53/1985</w:t>
        </w:r>
      </w:hyperlink>
      <w:r>
        <w:t>, f. 2.</w:t>
      </w:r>
    </w:p>
    <w:p w:rsidR="009452A2" w:rsidRDefault="009452A2" w:rsidP="009452A2">
      <w:pPr>
        <w:pStyle w:val="SangriaIzquierdaArticulo"/>
      </w:pPr>
      <w:r>
        <w:t xml:space="preserve">Autos </w:t>
      </w:r>
      <w:hyperlink w:anchor="AUTO_1985_57" w:history="1">
        <w:r w:rsidRPr="009452A2">
          <w:rPr>
            <w:rStyle w:val="TextoNormalCaracter"/>
          </w:rPr>
          <w:t>57/1985</w:t>
        </w:r>
      </w:hyperlink>
      <w:r>
        <w:t xml:space="preserve">; </w:t>
      </w:r>
      <w:hyperlink w:anchor="AUTO_1985_59" w:history="1">
        <w:r w:rsidRPr="009452A2">
          <w:rPr>
            <w:rStyle w:val="TextoNormalCaracter"/>
          </w:rPr>
          <w:t>59/1985</w:t>
        </w:r>
      </w:hyperlink>
      <w:r>
        <w:t xml:space="preserve">; </w:t>
      </w:r>
      <w:hyperlink w:anchor="AUTO_1985_187" w:history="1">
        <w:r w:rsidRPr="009452A2">
          <w:rPr>
            <w:rStyle w:val="TextoNormalCaracter"/>
          </w:rPr>
          <w:t>187/1985</w:t>
        </w:r>
      </w:hyperlink>
      <w:r>
        <w:t xml:space="preserve">; </w:t>
      </w:r>
      <w:hyperlink w:anchor="AUTO_1985_233" w:history="1">
        <w:r w:rsidRPr="009452A2">
          <w:rPr>
            <w:rStyle w:val="TextoNormalCaracter"/>
          </w:rPr>
          <w:t>233/1985</w:t>
        </w:r>
      </w:hyperlink>
      <w:r>
        <w:t xml:space="preserve">; </w:t>
      </w:r>
      <w:hyperlink w:anchor="AUTO_1985_267" w:history="1">
        <w:r w:rsidRPr="009452A2">
          <w:rPr>
            <w:rStyle w:val="TextoNormalCaracter"/>
          </w:rPr>
          <w:t>267/1985</w:t>
        </w:r>
      </w:hyperlink>
      <w:r>
        <w:t xml:space="preserve">; </w:t>
      </w:r>
      <w:hyperlink w:anchor="AUTO_1985_268" w:history="1">
        <w:r w:rsidRPr="009452A2">
          <w:rPr>
            <w:rStyle w:val="TextoNormalCaracter"/>
          </w:rPr>
          <w:t>268/1985</w:t>
        </w:r>
      </w:hyperlink>
      <w:r>
        <w:t>.</w:t>
      </w:r>
    </w:p>
    <w:p w:rsidR="009452A2" w:rsidRDefault="009452A2" w:rsidP="009452A2">
      <w:pPr>
        <w:pStyle w:val="SangriaFrancesaArticulo"/>
      </w:pPr>
      <w:r w:rsidRPr="009452A2">
        <w:rPr>
          <w:rStyle w:val="TextoNormalNegritaCaracter"/>
        </w:rPr>
        <w:t>Artículo 9.3</w:t>
      </w:r>
      <w:r>
        <w:t xml:space="preserve"> </w:t>
      </w:r>
      <w:r w:rsidRPr="009452A2">
        <w:rPr>
          <w:rStyle w:val="TextoNormalCaracter"/>
        </w:rPr>
        <w:t>(interdicción de la arbitrariedad de los poderes públicos)</w:t>
      </w:r>
      <w:r w:rsidRPr="009452A2">
        <w:rPr>
          <w:rStyle w:val="TextoNormalNegritaCaracter"/>
        </w:rPr>
        <w:t>.</w:t>
      </w:r>
      <w:r w:rsidRPr="009452A2">
        <w:rPr>
          <w:rStyle w:val="TextoNormalCaracter"/>
        </w:rPr>
        <w:t>-</w:t>
      </w:r>
      <w:r>
        <w:t xml:space="preserve"> Sentencia </w:t>
      </w:r>
      <w:hyperlink w:anchor="SENTENCIA_1985_13" w:history="1">
        <w:r w:rsidRPr="009452A2">
          <w:rPr>
            <w:rStyle w:val="TextoNormalCaracter"/>
          </w:rPr>
          <w:t>13/1985</w:t>
        </w:r>
      </w:hyperlink>
      <w:r>
        <w:t>, f. 2.</w:t>
      </w:r>
    </w:p>
    <w:p w:rsidR="009452A2" w:rsidRDefault="009452A2" w:rsidP="009452A2">
      <w:pPr>
        <w:pStyle w:val="SangriaFrancesaArticulo"/>
      </w:pPr>
      <w:r w:rsidRPr="009452A2">
        <w:rPr>
          <w:rStyle w:val="TextoNormalNegritaCaracter"/>
        </w:rPr>
        <w:t>Artículo 9.3</w:t>
      </w:r>
      <w:r>
        <w:t xml:space="preserve"> </w:t>
      </w:r>
      <w:r w:rsidRPr="009452A2">
        <w:rPr>
          <w:rStyle w:val="TextoNormalCaracter"/>
        </w:rPr>
        <w:t>(irretroactividad)</w:t>
      </w:r>
      <w:r w:rsidRPr="009452A2">
        <w:rPr>
          <w:rStyle w:val="TextoNormalNegritaCaracter"/>
        </w:rPr>
        <w:t>.</w:t>
      </w:r>
      <w:r w:rsidRPr="009452A2">
        <w:rPr>
          <w:rStyle w:val="TextoNormalCaracter"/>
        </w:rPr>
        <w:t>-</w:t>
      </w:r>
      <w:r>
        <w:t xml:space="preserve"> Sentencia </w:t>
      </w:r>
      <w:hyperlink w:anchor="SENTENCIA_1985_10" w:history="1">
        <w:r w:rsidRPr="009452A2">
          <w:rPr>
            <w:rStyle w:val="TextoNormalCaracter"/>
          </w:rPr>
          <w:t>10/1985</w:t>
        </w:r>
      </w:hyperlink>
      <w:r>
        <w:t>, f. 4.</w:t>
      </w:r>
    </w:p>
    <w:p w:rsidR="009452A2" w:rsidRDefault="009452A2" w:rsidP="009452A2">
      <w:pPr>
        <w:pStyle w:val="SangriaFrancesaArticulo"/>
      </w:pPr>
      <w:r w:rsidRPr="009452A2">
        <w:rPr>
          <w:rStyle w:val="TextoNormalNegritaCaracter"/>
        </w:rPr>
        <w:t>Artículo 9.3</w:t>
      </w:r>
      <w:r>
        <w:t xml:space="preserve"> </w:t>
      </w:r>
      <w:r w:rsidRPr="009452A2">
        <w:rPr>
          <w:rStyle w:val="TextoNormalCaracter"/>
        </w:rPr>
        <w:t>(seguridad jurídica)</w:t>
      </w:r>
      <w:r w:rsidRPr="009452A2">
        <w:rPr>
          <w:rStyle w:val="TextoNormalNegritaCaracter"/>
        </w:rPr>
        <w:t>.</w:t>
      </w:r>
      <w:r w:rsidRPr="009452A2">
        <w:rPr>
          <w:rStyle w:val="TextoNormalCaracter"/>
        </w:rPr>
        <w:t>-</w:t>
      </w:r>
      <w:r>
        <w:t xml:space="preserve"> Sentencias </w:t>
      </w:r>
      <w:hyperlink w:anchor="SENTENCIA_1985_14" w:history="1">
        <w:r w:rsidRPr="009452A2">
          <w:rPr>
            <w:rStyle w:val="TextoNormalCaracter"/>
          </w:rPr>
          <w:t>14/1985</w:t>
        </w:r>
      </w:hyperlink>
      <w:r>
        <w:t xml:space="preserve">, f. 3; </w:t>
      </w:r>
      <w:hyperlink w:anchor="SENTENCIA_1985_19" w:history="1">
        <w:r w:rsidRPr="009452A2">
          <w:rPr>
            <w:rStyle w:val="TextoNormalCaracter"/>
          </w:rPr>
          <w:t>19/1985</w:t>
        </w:r>
      </w:hyperlink>
      <w:r>
        <w:t xml:space="preserve">, f. 1; </w:t>
      </w:r>
      <w:hyperlink w:anchor="SENTENCIA_1985_53" w:history="1">
        <w:r w:rsidRPr="009452A2">
          <w:rPr>
            <w:rStyle w:val="TextoNormalCaracter"/>
          </w:rPr>
          <w:t>53/1985</w:t>
        </w:r>
      </w:hyperlink>
      <w:r>
        <w:t>, f. 10, VP I.</w:t>
      </w:r>
    </w:p>
    <w:p w:rsidR="009452A2" w:rsidRDefault="009452A2" w:rsidP="009452A2">
      <w:pPr>
        <w:pStyle w:val="SangriaIzquierdaArticulo"/>
      </w:pPr>
      <w:r>
        <w:t xml:space="preserve">Autos </w:t>
      </w:r>
      <w:hyperlink w:anchor="AUTO_1985_191" w:history="1">
        <w:r w:rsidRPr="009452A2">
          <w:rPr>
            <w:rStyle w:val="TextoNormalCaracter"/>
          </w:rPr>
          <w:t>191/1985</w:t>
        </w:r>
      </w:hyperlink>
      <w:r>
        <w:t xml:space="preserve">; </w:t>
      </w:r>
      <w:hyperlink w:anchor="AUTO_1985_193" w:history="1">
        <w:r w:rsidRPr="009452A2">
          <w:rPr>
            <w:rStyle w:val="TextoNormalCaracter"/>
          </w:rPr>
          <w:t>193/1985</w:t>
        </w:r>
      </w:hyperlink>
      <w:r>
        <w:t xml:space="preserve">; </w:t>
      </w:r>
      <w:hyperlink w:anchor="AUTO_1985_204" w:history="1">
        <w:r w:rsidRPr="009452A2">
          <w:rPr>
            <w:rStyle w:val="TextoNormalCaracter"/>
          </w:rPr>
          <w:t>204/1985</w:t>
        </w:r>
      </w:hyperlink>
      <w:r>
        <w:t xml:space="preserve">; </w:t>
      </w:r>
      <w:hyperlink w:anchor="AUTO_1985_224" w:history="1">
        <w:r w:rsidRPr="009452A2">
          <w:rPr>
            <w:rStyle w:val="TextoNormalCaracter"/>
          </w:rPr>
          <w:t>224/1985</w:t>
        </w:r>
      </w:hyperlink>
      <w:r>
        <w:t xml:space="preserve">; </w:t>
      </w:r>
      <w:hyperlink w:anchor="AUTO_1985_245" w:history="1">
        <w:r w:rsidRPr="009452A2">
          <w:rPr>
            <w:rStyle w:val="TextoNormalCaracter"/>
          </w:rPr>
          <w:t>245/1985</w:t>
        </w:r>
      </w:hyperlink>
      <w:r>
        <w:t>.</w:t>
      </w:r>
    </w:p>
    <w:p w:rsidR="009452A2" w:rsidRDefault="009452A2" w:rsidP="009452A2">
      <w:pPr>
        <w:pStyle w:val="SangriaFrancesaArticulo"/>
      </w:pPr>
      <w:r w:rsidRPr="009452A2">
        <w:rPr>
          <w:rStyle w:val="TextoNormalNegritaCaracter"/>
        </w:rPr>
        <w:t>Artículo 10.</w:t>
      </w:r>
      <w:r w:rsidRPr="009452A2">
        <w:rPr>
          <w:rStyle w:val="TextoNormalCaracter"/>
        </w:rPr>
        <w:t>-</w:t>
      </w:r>
      <w:r>
        <w:t xml:space="preserve"> Sentencia </w:t>
      </w:r>
      <w:hyperlink w:anchor="SENTENCIA_1985_53" w:history="1">
        <w:r w:rsidRPr="009452A2">
          <w:rPr>
            <w:rStyle w:val="TextoNormalCaracter"/>
          </w:rPr>
          <w:t>53/1985</w:t>
        </w:r>
      </w:hyperlink>
      <w:r>
        <w:t>, ff. 3, 4, 6, 8, VP  V.</w:t>
      </w:r>
    </w:p>
    <w:p w:rsidR="009452A2" w:rsidRDefault="009452A2" w:rsidP="009452A2">
      <w:pPr>
        <w:pStyle w:val="SangriaIzquierdaArticulo"/>
      </w:pPr>
      <w:r>
        <w:t xml:space="preserve">Autos </w:t>
      </w:r>
      <w:hyperlink w:anchor="AUTO_1985_77" w:history="1">
        <w:r w:rsidRPr="009452A2">
          <w:rPr>
            <w:rStyle w:val="TextoNormalCaracter"/>
          </w:rPr>
          <w:t>77/1985</w:t>
        </w:r>
      </w:hyperlink>
      <w:r>
        <w:t xml:space="preserve">; </w:t>
      </w:r>
      <w:hyperlink w:anchor="AUTO_1985_82" w:history="1">
        <w:r w:rsidRPr="009452A2">
          <w:rPr>
            <w:rStyle w:val="TextoNormalCaracter"/>
          </w:rPr>
          <w:t>82/1985</w:t>
        </w:r>
      </w:hyperlink>
      <w:r>
        <w:t xml:space="preserve">; </w:t>
      </w:r>
      <w:hyperlink w:anchor="AUTO_1985_238" w:history="1">
        <w:r w:rsidRPr="009452A2">
          <w:rPr>
            <w:rStyle w:val="TextoNormalCaracter"/>
          </w:rPr>
          <w:t>238/1985</w:t>
        </w:r>
      </w:hyperlink>
      <w:r>
        <w:t xml:space="preserve">; </w:t>
      </w:r>
      <w:hyperlink w:anchor="AUTO_1985_241" w:history="1">
        <w:r w:rsidRPr="009452A2">
          <w:rPr>
            <w:rStyle w:val="TextoNormalCaracter"/>
          </w:rPr>
          <w:t>241/1985</w:t>
        </w:r>
      </w:hyperlink>
      <w:r>
        <w:t xml:space="preserve">; </w:t>
      </w:r>
      <w:hyperlink w:anchor="AUTO_1985_245" w:history="1">
        <w:r w:rsidRPr="009452A2">
          <w:rPr>
            <w:rStyle w:val="TextoNormalCaracter"/>
          </w:rPr>
          <w:t>245/1985</w:t>
        </w:r>
      </w:hyperlink>
      <w:r>
        <w:t>.</w:t>
      </w:r>
    </w:p>
    <w:p w:rsidR="009452A2" w:rsidRDefault="009452A2" w:rsidP="009452A2">
      <w:pPr>
        <w:pStyle w:val="SangriaFrancesaArticulo"/>
      </w:pPr>
      <w:r w:rsidRPr="009452A2">
        <w:rPr>
          <w:rStyle w:val="TextoNormalNegritaCaracter"/>
        </w:rPr>
        <w:t>Artículo 10.2.</w:t>
      </w:r>
      <w:r w:rsidRPr="009452A2">
        <w:rPr>
          <w:rStyle w:val="TextoNormalCaracter"/>
        </w:rPr>
        <w:t>-</w:t>
      </w:r>
      <w:r>
        <w:t xml:space="preserve"> Sentencias </w:t>
      </w:r>
      <w:hyperlink w:anchor="SENTENCIA_1985_5" w:history="1">
        <w:r w:rsidRPr="009452A2">
          <w:rPr>
            <w:rStyle w:val="TextoNormalCaracter"/>
          </w:rPr>
          <w:t>5/1985</w:t>
        </w:r>
      </w:hyperlink>
      <w:r>
        <w:t xml:space="preserve">, ff. 3, 6; </w:t>
      </w:r>
      <w:hyperlink w:anchor="SENTENCIA_1985_13" w:history="1">
        <w:r w:rsidRPr="009452A2">
          <w:rPr>
            <w:rStyle w:val="TextoNormalCaracter"/>
          </w:rPr>
          <w:t>13/1985</w:t>
        </w:r>
      </w:hyperlink>
      <w:r>
        <w:t xml:space="preserve">, f. 3; </w:t>
      </w:r>
      <w:hyperlink w:anchor="SENTENCIA_1985_51" w:history="1">
        <w:r w:rsidRPr="009452A2">
          <w:rPr>
            <w:rStyle w:val="TextoNormalCaracter"/>
          </w:rPr>
          <w:t>51/1985</w:t>
        </w:r>
      </w:hyperlink>
      <w:r>
        <w:t xml:space="preserve">, f. 3; </w:t>
      </w:r>
      <w:hyperlink w:anchor="SENTENCIA_1985_53" w:history="1">
        <w:r w:rsidRPr="009452A2">
          <w:rPr>
            <w:rStyle w:val="TextoNormalCaracter"/>
          </w:rPr>
          <w:t>53/1985</w:t>
        </w:r>
      </w:hyperlink>
      <w:r>
        <w:t>, ff. 2, 6, VP I.</w:t>
      </w:r>
    </w:p>
    <w:p w:rsidR="009452A2" w:rsidRDefault="009452A2" w:rsidP="009452A2">
      <w:pPr>
        <w:pStyle w:val="SangriaIzquierdaArticulo"/>
      </w:pPr>
      <w:r>
        <w:t xml:space="preserve">Autos </w:t>
      </w:r>
      <w:hyperlink w:anchor="AUTO_1985_59" w:history="1">
        <w:r w:rsidRPr="009452A2">
          <w:rPr>
            <w:rStyle w:val="TextoNormalCaracter"/>
          </w:rPr>
          <w:t>59/1985</w:t>
        </w:r>
      </w:hyperlink>
      <w:r>
        <w:t xml:space="preserve">; </w:t>
      </w:r>
      <w:hyperlink w:anchor="AUTO_1985_146" w:history="1">
        <w:r w:rsidRPr="009452A2">
          <w:rPr>
            <w:rStyle w:val="TextoNormalCaracter"/>
          </w:rPr>
          <w:t>146/1985</w:t>
        </w:r>
      </w:hyperlink>
      <w:r>
        <w:t>.</w:t>
      </w:r>
    </w:p>
    <w:p w:rsidR="009452A2" w:rsidRDefault="009452A2" w:rsidP="009452A2">
      <w:pPr>
        <w:pStyle w:val="SangriaFrancesaArticulo"/>
      </w:pPr>
      <w:r w:rsidRPr="009452A2">
        <w:rPr>
          <w:rStyle w:val="TextoNormalNegritaCaracter"/>
        </w:rPr>
        <w:t>Artículo 13.</w:t>
      </w:r>
      <w:r w:rsidRPr="009452A2">
        <w:rPr>
          <w:rStyle w:val="TextoNormalCaracter"/>
        </w:rPr>
        <w:t>-</w:t>
      </w:r>
      <w:r>
        <w:t xml:space="preserve"> Auto </w:t>
      </w:r>
      <w:hyperlink w:anchor="AUTO_1985_182" w:history="1">
        <w:r w:rsidRPr="009452A2">
          <w:rPr>
            <w:rStyle w:val="TextoNormalCaracter"/>
          </w:rPr>
          <w:t>182/1985</w:t>
        </w:r>
      </w:hyperlink>
      <w:r>
        <w:t>.</w:t>
      </w:r>
    </w:p>
    <w:p w:rsidR="009452A2" w:rsidRDefault="009452A2" w:rsidP="009452A2">
      <w:pPr>
        <w:pStyle w:val="SangriaFrancesaArticulo"/>
      </w:pPr>
      <w:r w:rsidRPr="009452A2">
        <w:rPr>
          <w:rStyle w:val="TextoNormalNegritaCaracter"/>
        </w:rPr>
        <w:lastRenderedPageBreak/>
        <w:t>Artículo 13.1.</w:t>
      </w:r>
      <w:r w:rsidRPr="009452A2">
        <w:rPr>
          <w:rStyle w:val="TextoNormalCaracter"/>
        </w:rPr>
        <w:t>-</w:t>
      </w:r>
      <w:r>
        <w:t xml:space="preserve"> Autos </w:t>
      </w:r>
      <w:hyperlink w:anchor="AUTO_1985_130" w:history="1">
        <w:r w:rsidRPr="009452A2">
          <w:rPr>
            <w:rStyle w:val="TextoNormalCaracter"/>
          </w:rPr>
          <w:t>130/1985</w:t>
        </w:r>
      </w:hyperlink>
      <w:r>
        <w:t xml:space="preserve">; </w:t>
      </w:r>
      <w:hyperlink w:anchor="AUTO_1985_146" w:history="1">
        <w:r w:rsidRPr="009452A2">
          <w:rPr>
            <w:rStyle w:val="TextoNormalCaracter"/>
          </w:rPr>
          <w:t>146/1985</w:t>
        </w:r>
      </w:hyperlink>
      <w:r>
        <w:t>.</w:t>
      </w:r>
    </w:p>
    <w:p w:rsidR="009452A2" w:rsidRDefault="009452A2" w:rsidP="009452A2">
      <w:pPr>
        <w:pStyle w:val="SangriaFrancesaArticulo"/>
      </w:pPr>
      <w:r w:rsidRPr="009452A2">
        <w:rPr>
          <w:rStyle w:val="TextoNormalNegritaCaracter"/>
        </w:rPr>
        <w:t>Artículo 13.3.</w:t>
      </w:r>
      <w:r w:rsidRPr="009452A2">
        <w:rPr>
          <w:rStyle w:val="TextoNormalCaracter"/>
        </w:rPr>
        <w:t>-</w:t>
      </w:r>
      <w:r>
        <w:t xml:space="preserve"> Sentencia </w:t>
      </w:r>
      <w:hyperlink w:anchor="SENTENCIA_1985_11" w:history="1">
        <w:r w:rsidRPr="009452A2">
          <w:rPr>
            <w:rStyle w:val="TextoNormalCaracter"/>
          </w:rPr>
          <w:t>11/1985</w:t>
        </w:r>
      </w:hyperlink>
      <w:r>
        <w:t>, f. 1.</w:t>
      </w:r>
    </w:p>
    <w:p w:rsidR="009452A2" w:rsidRDefault="009452A2" w:rsidP="009452A2">
      <w:pPr>
        <w:pStyle w:val="SangriaIzquierdaArticulo"/>
      </w:pPr>
      <w:r>
        <w:t xml:space="preserve">Auto </w:t>
      </w:r>
      <w:hyperlink w:anchor="AUTO_1985_59" w:history="1">
        <w:r w:rsidRPr="009452A2">
          <w:rPr>
            <w:rStyle w:val="TextoNormalCaracter"/>
          </w:rPr>
          <w:t>59/1985</w:t>
        </w:r>
      </w:hyperlink>
      <w:r>
        <w:t>.</w:t>
      </w:r>
    </w:p>
    <w:p w:rsidR="009452A2" w:rsidRDefault="009452A2" w:rsidP="009452A2">
      <w:pPr>
        <w:pStyle w:val="SangriaFrancesaArticulo"/>
      </w:pPr>
      <w:r w:rsidRPr="009452A2">
        <w:rPr>
          <w:rStyle w:val="TextoNormalNegritaCaracter"/>
        </w:rPr>
        <w:t>Artículo 14.</w:t>
      </w:r>
      <w:r w:rsidRPr="009452A2">
        <w:rPr>
          <w:rStyle w:val="TextoNormalCaracter"/>
        </w:rPr>
        <w:t>-</w:t>
      </w:r>
      <w:r>
        <w:t xml:space="preserve"> Sentencias </w:t>
      </w:r>
      <w:hyperlink w:anchor="SENTENCIA_1985_10" w:history="1">
        <w:r w:rsidRPr="009452A2">
          <w:rPr>
            <w:rStyle w:val="TextoNormalCaracter"/>
          </w:rPr>
          <w:t>10/1985</w:t>
        </w:r>
      </w:hyperlink>
      <w:r>
        <w:t xml:space="preserve">, ff. 1 a 4; </w:t>
      </w:r>
      <w:hyperlink w:anchor="SENTENCIA_1985_14" w:history="1">
        <w:r w:rsidRPr="009452A2">
          <w:rPr>
            <w:rStyle w:val="TextoNormalCaracter"/>
          </w:rPr>
          <w:t>14/1985</w:t>
        </w:r>
      </w:hyperlink>
      <w:r>
        <w:t xml:space="preserve">, ff. 2, 3; </w:t>
      </w:r>
      <w:hyperlink w:anchor="SENTENCIA_1985_15" w:history="1">
        <w:r w:rsidRPr="009452A2">
          <w:rPr>
            <w:rStyle w:val="TextoNormalCaracter"/>
          </w:rPr>
          <w:t>15/1985</w:t>
        </w:r>
      </w:hyperlink>
      <w:r>
        <w:t xml:space="preserve">, f. 1; </w:t>
      </w:r>
      <w:hyperlink w:anchor="SENTENCIA_1985_22" w:history="1">
        <w:r w:rsidRPr="009452A2">
          <w:rPr>
            <w:rStyle w:val="TextoNormalCaracter"/>
          </w:rPr>
          <w:t>22/1985</w:t>
        </w:r>
      </w:hyperlink>
      <w:r>
        <w:t xml:space="preserve">, ff. 2, 3; </w:t>
      </w:r>
      <w:hyperlink w:anchor="SENTENCIA_1985_26" w:history="1">
        <w:r w:rsidRPr="009452A2">
          <w:rPr>
            <w:rStyle w:val="TextoNormalCaracter"/>
          </w:rPr>
          <w:t>26/1985</w:t>
        </w:r>
      </w:hyperlink>
      <w:r>
        <w:t xml:space="preserve">, f. 1; </w:t>
      </w:r>
      <w:hyperlink w:anchor="SENTENCIA_1985_27" w:history="1">
        <w:r w:rsidRPr="009452A2">
          <w:rPr>
            <w:rStyle w:val="TextoNormalCaracter"/>
          </w:rPr>
          <w:t>27/1985</w:t>
        </w:r>
      </w:hyperlink>
      <w:r>
        <w:t xml:space="preserve">, f. 3; </w:t>
      </w:r>
      <w:hyperlink w:anchor="SENTENCIA_1985_47" w:history="1">
        <w:r w:rsidRPr="009452A2">
          <w:rPr>
            <w:rStyle w:val="TextoNormalCaracter"/>
          </w:rPr>
          <w:t>47/1985</w:t>
        </w:r>
      </w:hyperlink>
      <w:r>
        <w:t xml:space="preserve">, f. 1; </w:t>
      </w:r>
      <w:hyperlink w:anchor="SENTENCIA_1985_49" w:history="1">
        <w:r w:rsidRPr="009452A2">
          <w:rPr>
            <w:rStyle w:val="TextoNormalCaracter"/>
          </w:rPr>
          <w:t>49/1985</w:t>
        </w:r>
      </w:hyperlink>
      <w:r>
        <w:t xml:space="preserve">, f. 1; </w:t>
      </w:r>
      <w:hyperlink w:anchor="SENTENCIA_1985_53" w:history="1">
        <w:r w:rsidRPr="009452A2">
          <w:rPr>
            <w:rStyle w:val="TextoNormalCaracter"/>
          </w:rPr>
          <w:t>53/1985</w:t>
        </w:r>
      </w:hyperlink>
      <w:r>
        <w:t xml:space="preserve">, f. 6; </w:t>
      </w:r>
      <w:hyperlink w:anchor="SENTENCIA_1985_55" w:history="1">
        <w:r w:rsidRPr="009452A2">
          <w:rPr>
            <w:rStyle w:val="TextoNormalCaracter"/>
          </w:rPr>
          <w:t>55/1985</w:t>
        </w:r>
      </w:hyperlink>
      <w:r>
        <w:t xml:space="preserve">, f. 4; </w:t>
      </w:r>
      <w:hyperlink w:anchor="SENTENCIA_1985_58" w:history="1">
        <w:r w:rsidRPr="009452A2">
          <w:rPr>
            <w:rStyle w:val="TextoNormalCaracter"/>
          </w:rPr>
          <w:t>58/1985</w:t>
        </w:r>
      </w:hyperlink>
      <w:r>
        <w:t>, f. 2.</w:t>
      </w:r>
    </w:p>
    <w:p w:rsidR="009452A2" w:rsidRDefault="009452A2" w:rsidP="009452A2">
      <w:pPr>
        <w:pStyle w:val="SangriaIzquierdaArticulo"/>
      </w:pPr>
      <w:r>
        <w:t xml:space="preserve">Autos </w:t>
      </w:r>
      <w:hyperlink w:anchor="AUTO_1985_23" w:history="1">
        <w:r w:rsidRPr="009452A2">
          <w:rPr>
            <w:rStyle w:val="TextoNormalCaracter"/>
          </w:rPr>
          <w:t>23/1985</w:t>
        </w:r>
      </w:hyperlink>
      <w:r>
        <w:t xml:space="preserve">; </w:t>
      </w:r>
      <w:hyperlink w:anchor="AUTO_1985_26" w:history="1">
        <w:r w:rsidRPr="009452A2">
          <w:rPr>
            <w:rStyle w:val="TextoNormalCaracter"/>
          </w:rPr>
          <w:t>26/1985</w:t>
        </w:r>
      </w:hyperlink>
      <w:r>
        <w:t xml:space="preserve">; </w:t>
      </w:r>
      <w:hyperlink w:anchor="AUTO_1985_27" w:history="1">
        <w:r w:rsidRPr="009452A2">
          <w:rPr>
            <w:rStyle w:val="TextoNormalCaracter"/>
          </w:rPr>
          <w:t>27/1985</w:t>
        </w:r>
      </w:hyperlink>
      <w:r>
        <w:t xml:space="preserve">; </w:t>
      </w:r>
      <w:hyperlink w:anchor="AUTO_1985_43" w:history="1">
        <w:r w:rsidRPr="009452A2">
          <w:rPr>
            <w:rStyle w:val="TextoNormalCaracter"/>
          </w:rPr>
          <w:t>43/1985</w:t>
        </w:r>
      </w:hyperlink>
      <w:r>
        <w:t xml:space="preserve">; </w:t>
      </w:r>
      <w:hyperlink w:anchor="AUTO_1985_56" w:history="1">
        <w:r w:rsidRPr="009452A2">
          <w:rPr>
            <w:rStyle w:val="TextoNormalCaracter"/>
          </w:rPr>
          <w:t>56/1985</w:t>
        </w:r>
      </w:hyperlink>
      <w:r>
        <w:t xml:space="preserve">; </w:t>
      </w:r>
      <w:hyperlink w:anchor="AUTO_1985_60" w:history="1">
        <w:r w:rsidRPr="009452A2">
          <w:rPr>
            <w:rStyle w:val="TextoNormalCaracter"/>
          </w:rPr>
          <w:t>60/1985</w:t>
        </w:r>
      </w:hyperlink>
      <w:r>
        <w:t xml:space="preserve">; </w:t>
      </w:r>
      <w:hyperlink w:anchor="AUTO_1985_70" w:history="1">
        <w:r w:rsidRPr="009452A2">
          <w:rPr>
            <w:rStyle w:val="TextoNormalCaracter"/>
          </w:rPr>
          <w:t>70/1985</w:t>
        </w:r>
      </w:hyperlink>
      <w:r>
        <w:t xml:space="preserve">; </w:t>
      </w:r>
      <w:hyperlink w:anchor="AUTO_1985_76" w:history="1">
        <w:r w:rsidRPr="009452A2">
          <w:rPr>
            <w:rStyle w:val="TextoNormalCaracter"/>
          </w:rPr>
          <w:t>76/1985</w:t>
        </w:r>
      </w:hyperlink>
      <w:r>
        <w:t xml:space="preserve">; </w:t>
      </w:r>
      <w:hyperlink w:anchor="AUTO_1985_77" w:history="1">
        <w:r w:rsidRPr="009452A2">
          <w:rPr>
            <w:rStyle w:val="TextoNormalCaracter"/>
          </w:rPr>
          <w:t>77/1985</w:t>
        </w:r>
      </w:hyperlink>
      <w:r>
        <w:t xml:space="preserve">; </w:t>
      </w:r>
      <w:hyperlink w:anchor="AUTO_1985_79" w:history="1">
        <w:r w:rsidRPr="009452A2">
          <w:rPr>
            <w:rStyle w:val="TextoNormalCaracter"/>
          </w:rPr>
          <w:t>79/1985</w:t>
        </w:r>
      </w:hyperlink>
      <w:r>
        <w:t xml:space="preserve">; </w:t>
      </w:r>
      <w:hyperlink w:anchor="AUTO_1985_81" w:history="1">
        <w:r w:rsidRPr="009452A2">
          <w:rPr>
            <w:rStyle w:val="TextoNormalCaracter"/>
          </w:rPr>
          <w:t>81/1985</w:t>
        </w:r>
      </w:hyperlink>
      <w:r>
        <w:t xml:space="preserve">; </w:t>
      </w:r>
      <w:hyperlink w:anchor="AUTO_1985_82" w:history="1">
        <w:r w:rsidRPr="009452A2">
          <w:rPr>
            <w:rStyle w:val="TextoNormalCaracter"/>
          </w:rPr>
          <w:t>82/1985</w:t>
        </w:r>
      </w:hyperlink>
      <w:r>
        <w:t xml:space="preserve">; </w:t>
      </w:r>
      <w:hyperlink w:anchor="AUTO_1985_83" w:history="1">
        <w:r w:rsidRPr="009452A2">
          <w:rPr>
            <w:rStyle w:val="TextoNormalCaracter"/>
          </w:rPr>
          <w:t>83/1985</w:t>
        </w:r>
      </w:hyperlink>
      <w:r>
        <w:t xml:space="preserve">; </w:t>
      </w:r>
      <w:hyperlink w:anchor="AUTO_1985_84" w:history="1">
        <w:r w:rsidRPr="009452A2">
          <w:rPr>
            <w:rStyle w:val="TextoNormalCaracter"/>
          </w:rPr>
          <w:t>84/1985</w:t>
        </w:r>
      </w:hyperlink>
      <w:r>
        <w:t xml:space="preserve">; </w:t>
      </w:r>
      <w:hyperlink w:anchor="AUTO_1985_85" w:history="1">
        <w:r w:rsidRPr="009452A2">
          <w:rPr>
            <w:rStyle w:val="TextoNormalCaracter"/>
          </w:rPr>
          <w:t>85/1985</w:t>
        </w:r>
      </w:hyperlink>
      <w:r>
        <w:t xml:space="preserve">; </w:t>
      </w:r>
      <w:hyperlink w:anchor="AUTO_1985_87" w:history="1">
        <w:r w:rsidRPr="009452A2">
          <w:rPr>
            <w:rStyle w:val="TextoNormalCaracter"/>
          </w:rPr>
          <w:t>87/1985</w:t>
        </w:r>
      </w:hyperlink>
      <w:r>
        <w:t xml:space="preserve">; </w:t>
      </w:r>
      <w:hyperlink w:anchor="AUTO_1985_90" w:history="1">
        <w:r w:rsidRPr="009452A2">
          <w:rPr>
            <w:rStyle w:val="TextoNormalCaracter"/>
          </w:rPr>
          <w:t>90/1985</w:t>
        </w:r>
      </w:hyperlink>
      <w:r>
        <w:t xml:space="preserve">; </w:t>
      </w:r>
      <w:hyperlink w:anchor="AUTO_1985_95" w:history="1">
        <w:r w:rsidRPr="009452A2">
          <w:rPr>
            <w:rStyle w:val="TextoNormalCaracter"/>
          </w:rPr>
          <w:t>95/1985</w:t>
        </w:r>
      </w:hyperlink>
      <w:r>
        <w:t xml:space="preserve">; </w:t>
      </w:r>
      <w:hyperlink w:anchor="AUTO_1985_103" w:history="1">
        <w:r w:rsidRPr="009452A2">
          <w:rPr>
            <w:rStyle w:val="TextoNormalCaracter"/>
          </w:rPr>
          <w:t>103/1985</w:t>
        </w:r>
      </w:hyperlink>
      <w:r>
        <w:t xml:space="preserve">; </w:t>
      </w:r>
      <w:hyperlink w:anchor="AUTO_1985_106" w:history="1">
        <w:r w:rsidRPr="009452A2">
          <w:rPr>
            <w:rStyle w:val="TextoNormalCaracter"/>
          </w:rPr>
          <w:t>106/1985</w:t>
        </w:r>
      </w:hyperlink>
      <w:r>
        <w:t xml:space="preserve">; </w:t>
      </w:r>
      <w:hyperlink w:anchor="AUTO_1985_116" w:history="1">
        <w:r w:rsidRPr="009452A2">
          <w:rPr>
            <w:rStyle w:val="TextoNormalCaracter"/>
          </w:rPr>
          <w:t>116/1985</w:t>
        </w:r>
      </w:hyperlink>
      <w:r>
        <w:t xml:space="preserve">; </w:t>
      </w:r>
      <w:hyperlink w:anchor="AUTO_1985_120" w:history="1">
        <w:r w:rsidRPr="009452A2">
          <w:rPr>
            <w:rStyle w:val="TextoNormalCaracter"/>
          </w:rPr>
          <w:t>120/1985</w:t>
        </w:r>
      </w:hyperlink>
      <w:r>
        <w:t xml:space="preserve">; </w:t>
      </w:r>
      <w:hyperlink w:anchor="AUTO_1985_131" w:history="1">
        <w:r w:rsidRPr="009452A2">
          <w:rPr>
            <w:rStyle w:val="TextoNormalCaracter"/>
          </w:rPr>
          <w:t>131/1985</w:t>
        </w:r>
      </w:hyperlink>
      <w:r>
        <w:t xml:space="preserve">; </w:t>
      </w:r>
      <w:hyperlink w:anchor="AUTO_1985_135" w:history="1">
        <w:r w:rsidRPr="009452A2">
          <w:rPr>
            <w:rStyle w:val="TextoNormalCaracter"/>
          </w:rPr>
          <w:t>135/1985</w:t>
        </w:r>
      </w:hyperlink>
      <w:r>
        <w:t xml:space="preserve">; </w:t>
      </w:r>
      <w:hyperlink w:anchor="AUTO_1985_143" w:history="1">
        <w:r w:rsidRPr="009452A2">
          <w:rPr>
            <w:rStyle w:val="TextoNormalCaracter"/>
          </w:rPr>
          <w:t>143/1985</w:t>
        </w:r>
      </w:hyperlink>
      <w:r>
        <w:t xml:space="preserve">; </w:t>
      </w:r>
      <w:hyperlink w:anchor="AUTO_1985_144" w:history="1">
        <w:r w:rsidRPr="009452A2">
          <w:rPr>
            <w:rStyle w:val="TextoNormalCaracter"/>
          </w:rPr>
          <w:t>144/1985</w:t>
        </w:r>
      </w:hyperlink>
      <w:r>
        <w:t xml:space="preserve">; </w:t>
      </w:r>
      <w:hyperlink w:anchor="AUTO_1985_152" w:history="1">
        <w:r w:rsidRPr="009452A2">
          <w:rPr>
            <w:rStyle w:val="TextoNormalCaracter"/>
          </w:rPr>
          <w:t>152/1985</w:t>
        </w:r>
      </w:hyperlink>
      <w:r>
        <w:t xml:space="preserve">; </w:t>
      </w:r>
      <w:hyperlink w:anchor="AUTO_1985_156" w:history="1">
        <w:r w:rsidRPr="009452A2">
          <w:rPr>
            <w:rStyle w:val="TextoNormalCaracter"/>
          </w:rPr>
          <w:t>156/1985</w:t>
        </w:r>
      </w:hyperlink>
      <w:r>
        <w:t xml:space="preserve">; </w:t>
      </w:r>
      <w:hyperlink w:anchor="AUTO_1985_164" w:history="1">
        <w:r w:rsidRPr="009452A2">
          <w:rPr>
            <w:rStyle w:val="TextoNormalCaracter"/>
          </w:rPr>
          <w:t>164/1985</w:t>
        </w:r>
      </w:hyperlink>
      <w:r>
        <w:t xml:space="preserve">; </w:t>
      </w:r>
      <w:hyperlink w:anchor="AUTO_1985_178" w:history="1">
        <w:r w:rsidRPr="009452A2">
          <w:rPr>
            <w:rStyle w:val="TextoNormalCaracter"/>
          </w:rPr>
          <w:t>178/1985</w:t>
        </w:r>
      </w:hyperlink>
      <w:r>
        <w:t xml:space="preserve">; </w:t>
      </w:r>
      <w:hyperlink w:anchor="AUTO_1985_179" w:history="1">
        <w:r w:rsidRPr="009452A2">
          <w:rPr>
            <w:rStyle w:val="TextoNormalCaracter"/>
          </w:rPr>
          <w:t>179/1985</w:t>
        </w:r>
      </w:hyperlink>
      <w:r>
        <w:t xml:space="preserve">; </w:t>
      </w:r>
      <w:hyperlink w:anchor="AUTO_1985_184" w:history="1">
        <w:r w:rsidRPr="009452A2">
          <w:rPr>
            <w:rStyle w:val="TextoNormalCaracter"/>
          </w:rPr>
          <w:t>184/1985</w:t>
        </w:r>
      </w:hyperlink>
      <w:r>
        <w:t xml:space="preserve">; </w:t>
      </w:r>
      <w:hyperlink w:anchor="AUTO_1985_203" w:history="1">
        <w:r w:rsidRPr="009452A2">
          <w:rPr>
            <w:rStyle w:val="TextoNormalCaracter"/>
          </w:rPr>
          <w:t>203/1985</w:t>
        </w:r>
      </w:hyperlink>
      <w:r>
        <w:t xml:space="preserve">; </w:t>
      </w:r>
      <w:hyperlink w:anchor="AUTO_1985_204" w:history="1">
        <w:r w:rsidRPr="009452A2">
          <w:rPr>
            <w:rStyle w:val="TextoNormalCaracter"/>
          </w:rPr>
          <w:t>204/1985</w:t>
        </w:r>
      </w:hyperlink>
      <w:r>
        <w:t xml:space="preserve">; </w:t>
      </w:r>
      <w:hyperlink w:anchor="AUTO_1985_208" w:history="1">
        <w:r w:rsidRPr="009452A2">
          <w:rPr>
            <w:rStyle w:val="TextoNormalCaracter"/>
          </w:rPr>
          <w:t>208/1985</w:t>
        </w:r>
      </w:hyperlink>
      <w:r>
        <w:t xml:space="preserve">; </w:t>
      </w:r>
      <w:hyperlink w:anchor="AUTO_1985_209" w:history="1">
        <w:r w:rsidRPr="009452A2">
          <w:rPr>
            <w:rStyle w:val="TextoNormalCaracter"/>
          </w:rPr>
          <w:t>209/1985</w:t>
        </w:r>
      </w:hyperlink>
      <w:r>
        <w:t xml:space="preserve">; </w:t>
      </w:r>
      <w:hyperlink w:anchor="AUTO_1985_212" w:history="1">
        <w:r w:rsidRPr="009452A2">
          <w:rPr>
            <w:rStyle w:val="TextoNormalCaracter"/>
          </w:rPr>
          <w:t>212/1985</w:t>
        </w:r>
      </w:hyperlink>
      <w:r>
        <w:t xml:space="preserve">; </w:t>
      </w:r>
      <w:hyperlink w:anchor="AUTO_1985_214" w:history="1">
        <w:r w:rsidRPr="009452A2">
          <w:rPr>
            <w:rStyle w:val="TextoNormalCaracter"/>
          </w:rPr>
          <w:t>214/1985</w:t>
        </w:r>
      </w:hyperlink>
      <w:r>
        <w:t xml:space="preserve">; </w:t>
      </w:r>
      <w:hyperlink w:anchor="AUTO_1985_223" w:history="1">
        <w:r w:rsidRPr="009452A2">
          <w:rPr>
            <w:rStyle w:val="TextoNormalCaracter"/>
          </w:rPr>
          <w:t>223/1985</w:t>
        </w:r>
      </w:hyperlink>
      <w:r>
        <w:t xml:space="preserve">; </w:t>
      </w:r>
      <w:hyperlink w:anchor="AUTO_1985_233" w:history="1">
        <w:r w:rsidRPr="009452A2">
          <w:rPr>
            <w:rStyle w:val="TextoNormalCaracter"/>
          </w:rPr>
          <w:t>233/1985</w:t>
        </w:r>
      </w:hyperlink>
      <w:r>
        <w:t xml:space="preserve">; </w:t>
      </w:r>
      <w:hyperlink w:anchor="AUTO_1985_240" w:history="1">
        <w:r w:rsidRPr="009452A2">
          <w:rPr>
            <w:rStyle w:val="TextoNormalCaracter"/>
          </w:rPr>
          <w:t>240/1985</w:t>
        </w:r>
      </w:hyperlink>
      <w:r>
        <w:t xml:space="preserve">; </w:t>
      </w:r>
      <w:hyperlink w:anchor="AUTO_1985_243" w:history="1">
        <w:r w:rsidRPr="009452A2">
          <w:rPr>
            <w:rStyle w:val="TextoNormalCaracter"/>
          </w:rPr>
          <w:t>243/1985</w:t>
        </w:r>
      </w:hyperlink>
      <w:r>
        <w:t xml:space="preserve">; </w:t>
      </w:r>
      <w:hyperlink w:anchor="AUTO_1985_250" w:history="1">
        <w:r w:rsidRPr="009452A2">
          <w:rPr>
            <w:rStyle w:val="TextoNormalCaracter"/>
          </w:rPr>
          <w:t>250/1985</w:t>
        </w:r>
      </w:hyperlink>
      <w:r>
        <w:t xml:space="preserve">; </w:t>
      </w:r>
      <w:hyperlink w:anchor="AUTO_1985_252" w:history="1">
        <w:r w:rsidRPr="009452A2">
          <w:rPr>
            <w:rStyle w:val="TextoNormalCaracter"/>
          </w:rPr>
          <w:t>252/1985</w:t>
        </w:r>
      </w:hyperlink>
      <w:r>
        <w:t xml:space="preserve">; </w:t>
      </w:r>
      <w:hyperlink w:anchor="AUTO_1985_254" w:history="1">
        <w:r w:rsidRPr="009452A2">
          <w:rPr>
            <w:rStyle w:val="TextoNormalCaracter"/>
          </w:rPr>
          <w:t>254/1985</w:t>
        </w:r>
      </w:hyperlink>
      <w:r>
        <w:t xml:space="preserve">; </w:t>
      </w:r>
      <w:hyperlink w:anchor="AUTO_1985_267" w:history="1">
        <w:r w:rsidRPr="009452A2">
          <w:rPr>
            <w:rStyle w:val="TextoNormalCaracter"/>
          </w:rPr>
          <w:t>267/1985</w:t>
        </w:r>
      </w:hyperlink>
      <w:r>
        <w:t xml:space="preserve">; </w:t>
      </w:r>
      <w:hyperlink w:anchor="AUTO_1985_268" w:history="1">
        <w:r w:rsidRPr="009452A2">
          <w:rPr>
            <w:rStyle w:val="TextoNormalCaracter"/>
          </w:rPr>
          <w:t>268/1985</w:t>
        </w:r>
      </w:hyperlink>
      <w:r>
        <w:t xml:space="preserve">; </w:t>
      </w:r>
      <w:hyperlink w:anchor="AUTO_1985_270" w:history="1">
        <w:r w:rsidRPr="009452A2">
          <w:rPr>
            <w:rStyle w:val="TextoNormalCaracter"/>
          </w:rPr>
          <w:t>270/1985</w:t>
        </w:r>
      </w:hyperlink>
      <w:r>
        <w:t xml:space="preserve">; </w:t>
      </w:r>
      <w:hyperlink w:anchor="AUTO_1985_273" w:history="1">
        <w:r w:rsidRPr="009452A2">
          <w:rPr>
            <w:rStyle w:val="TextoNormalCaracter"/>
          </w:rPr>
          <w:t>273/1985</w:t>
        </w:r>
      </w:hyperlink>
      <w:r>
        <w:t xml:space="preserve">; </w:t>
      </w:r>
      <w:hyperlink w:anchor="AUTO_1985_275" w:history="1">
        <w:r w:rsidRPr="009452A2">
          <w:rPr>
            <w:rStyle w:val="TextoNormalCaracter"/>
          </w:rPr>
          <w:t>275/1985</w:t>
        </w:r>
      </w:hyperlink>
      <w:r>
        <w:t xml:space="preserve">; </w:t>
      </w:r>
      <w:hyperlink w:anchor="AUTO_1985_278" w:history="1">
        <w:r w:rsidRPr="009452A2">
          <w:rPr>
            <w:rStyle w:val="TextoNormalCaracter"/>
          </w:rPr>
          <w:t>278/1985</w:t>
        </w:r>
      </w:hyperlink>
      <w:r>
        <w:t>.</w:t>
      </w:r>
    </w:p>
    <w:p w:rsidR="009452A2" w:rsidRDefault="009452A2" w:rsidP="009452A2">
      <w:pPr>
        <w:pStyle w:val="SangriaFrancesaArticulo"/>
      </w:pPr>
      <w:r w:rsidRPr="009452A2">
        <w:rPr>
          <w:rStyle w:val="TextoNormalNegritaCaracter"/>
        </w:rPr>
        <w:t>Artículo 14</w:t>
      </w:r>
      <w:r>
        <w:t xml:space="preserve"> </w:t>
      </w:r>
      <w:r w:rsidRPr="009452A2">
        <w:rPr>
          <w:rStyle w:val="TextoNormalCaracter"/>
        </w:rPr>
        <w:t>(discriminación por religión)</w:t>
      </w:r>
      <w:r w:rsidRPr="009452A2">
        <w:rPr>
          <w:rStyle w:val="TextoNormalNegritaCaracter"/>
        </w:rPr>
        <w:t>.</w:t>
      </w:r>
      <w:r w:rsidRPr="009452A2">
        <w:rPr>
          <w:rStyle w:val="TextoNormalCaracter"/>
        </w:rPr>
        <w:t>-</w:t>
      </w:r>
      <w:r>
        <w:t xml:space="preserve"> Sentencia </w:t>
      </w:r>
      <w:hyperlink w:anchor="SENTENCIA_1985_19" w:history="1">
        <w:r w:rsidRPr="009452A2">
          <w:rPr>
            <w:rStyle w:val="TextoNormalCaracter"/>
          </w:rPr>
          <w:t>19/1985</w:t>
        </w:r>
      </w:hyperlink>
      <w:r>
        <w:t>, f. 2.</w:t>
      </w:r>
    </w:p>
    <w:p w:rsidR="009452A2" w:rsidRDefault="009452A2" w:rsidP="009452A2">
      <w:pPr>
        <w:pStyle w:val="SangriaFrancesaArticulo"/>
      </w:pPr>
      <w:r w:rsidRPr="009452A2">
        <w:rPr>
          <w:rStyle w:val="TextoNormalNegritaCaracter"/>
        </w:rPr>
        <w:t>Artículo 14</w:t>
      </w:r>
      <w:r>
        <w:t xml:space="preserve"> </w:t>
      </w:r>
      <w:r w:rsidRPr="009452A2">
        <w:rPr>
          <w:rStyle w:val="TextoNormalCaracter"/>
        </w:rPr>
        <w:t>(discriminación por sexo)</w:t>
      </w:r>
      <w:r w:rsidRPr="009452A2">
        <w:rPr>
          <w:rStyle w:val="TextoNormalNegritaCaracter"/>
        </w:rPr>
        <w:t>.</w:t>
      </w:r>
      <w:r w:rsidRPr="009452A2">
        <w:rPr>
          <w:rStyle w:val="TextoNormalCaracter"/>
        </w:rPr>
        <w:t>-</w:t>
      </w:r>
      <w:r>
        <w:t xml:space="preserve"> Sentencia </w:t>
      </w:r>
      <w:hyperlink w:anchor="SENTENCIA_1985_33" w:history="1">
        <w:r w:rsidRPr="009452A2">
          <w:rPr>
            <w:rStyle w:val="TextoNormalCaracter"/>
          </w:rPr>
          <w:t>33/1985</w:t>
        </w:r>
      </w:hyperlink>
      <w:r>
        <w:t>, f. 1.</w:t>
      </w:r>
    </w:p>
    <w:p w:rsidR="009452A2" w:rsidRDefault="009452A2" w:rsidP="009452A2">
      <w:pPr>
        <w:pStyle w:val="SangriaIzquierdaArticulo"/>
      </w:pPr>
      <w:r>
        <w:t xml:space="preserve">Auto </w:t>
      </w:r>
      <w:hyperlink w:anchor="AUTO_1985_3" w:history="1">
        <w:r w:rsidRPr="009452A2">
          <w:rPr>
            <w:rStyle w:val="TextoNormalCaracter"/>
          </w:rPr>
          <w:t>3/1985</w:t>
        </w:r>
      </w:hyperlink>
      <w:r>
        <w:t>.</w:t>
      </w:r>
    </w:p>
    <w:p w:rsidR="009452A2" w:rsidRDefault="009452A2" w:rsidP="009452A2">
      <w:pPr>
        <w:pStyle w:val="SangriaFrancesaArticulo"/>
      </w:pPr>
      <w:r w:rsidRPr="009452A2">
        <w:rPr>
          <w:rStyle w:val="TextoNormalNegritaCaracter"/>
        </w:rPr>
        <w:t>Artículo 14</w:t>
      </w:r>
      <w:r>
        <w:t xml:space="preserve"> </w:t>
      </w:r>
      <w:r w:rsidRPr="009452A2">
        <w:rPr>
          <w:rStyle w:val="TextoNormalCaracter"/>
        </w:rPr>
        <w:t>(igualdad en la aplicación de la ley)</w:t>
      </w:r>
      <w:r w:rsidRPr="009452A2">
        <w:rPr>
          <w:rStyle w:val="TextoNormalNegritaCaracter"/>
        </w:rPr>
        <w:t>.</w:t>
      </w:r>
      <w:r w:rsidRPr="009452A2">
        <w:rPr>
          <w:rStyle w:val="TextoNormalCaracter"/>
        </w:rPr>
        <w:t>-</w:t>
      </w:r>
      <w:r>
        <w:t xml:space="preserve"> Sentencias </w:t>
      </w:r>
      <w:hyperlink w:anchor="SENTENCIA_1985_16" w:history="1">
        <w:r w:rsidRPr="009452A2">
          <w:rPr>
            <w:rStyle w:val="TextoNormalCaracter"/>
          </w:rPr>
          <w:t>16/1985</w:t>
        </w:r>
      </w:hyperlink>
      <w:r>
        <w:t xml:space="preserve">, ff. 3, 4; </w:t>
      </w:r>
      <w:hyperlink w:anchor="SENTENCIA_1985_22" w:history="1">
        <w:r w:rsidRPr="009452A2">
          <w:rPr>
            <w:rStyle w:val="TextoNormalCaracter"/>
          </w:rPr>
          <w:t>22/1985</w:t>
        </w:r>
      </w:hyperlink>
      <w:r>
        <w:t xml:space="preserve">, f. 1; </w:t>
      </w:r>
      <w:hyperlink w:anchor="SENTENCIA_1985_32" w:history="1">
        <w:r w:rsidRPr="009452A2">
          <w:rPr>
            <w:rStyle w:val="TextoNormalCaracter"/>
          </w:rPr>
          <w:t>32/1985</w:t>
        </w:r>
      </w:hyperlink>
      <w:r>
        <w:t xml:space="preserve">, f. 3; </w:t>
      </w:r>
      <w:hyperlink w:anchor="SENTENCIA_1985_36" w:history="1">
        <w:r w:rsidRPr="009452A2">
          <w:rPr>
            <w:rStyle w:val="TextoNormalCaracter"/>
          </w:rPr>
          <w:t>36/1985</w:t>
        </w:r>
      </w:hyperlink>
      <w:r>
        <w:t xml:space="preserve">, ff. 1, 5; </w:t>
      </w:r>
      <w:hyperlink w:anchor="SENTENCIA_1985_39" w:history="1">
        <w:r w:rsidRPr="009452A2">
          <w:rPr>
            <w:rStyle w:val="TextoNormalCaracter"/>
          </w:rPr>
          <w:t>39/1985</w:t>
        </w:r>
      </w:hyperlink>
      <w:r>
        <w:t>, f. 1.</w:t>
      </w:r>
    </w:p>
    <w:p w:rsidR="009452A2" w:rsidRDefault="009452A2" w:rsidP="009452A2">
      <w:pPr>
        <w:pStyle w:val="SangriaIzquierdaArticulo"/>
      </w:pPr>
      <w:r>
        <w:t xml:space="preserve">Autos </w:t>
      </w:r>
      <w:hyperlink w:anchor="AUTO_1985_4" w:history="1">
        <w:r w:rsidRPr="009452A2">
          <w:rPr>
            <w:rStyle w:val="TextoNormalCaracter"/>
          </w:rPr>
          <w:t>4/1985</w:t>
        </w:r>
      </w:hyperlink>
      <w:r>
        <w:t xml:space="preserve">; </w:t>
      </w:r>
      <w:hyperlink w:anchor="AUTO_1985_9" w:history="1">
        <w:r w:rsidRPr="009452A2">
          <w:rPr>
            <w:rStyle w:val="TextoNormalCaracter"/>
          </w:rPr>
          <w:t>9/1985</w:t>
        </w:r>
      </w:hyperlink>
      <w:r>
        <w:t xml:space="preserve">; </w:t>
      </w:r>
      <w:hyperlink w:anchor="AUTO_1985_34" w:history="1">
        <w:r w:rsidRPr="009452A2">
          <w:rPr>
            <w:rStyle w:val="TextoNormalCaracter"/>
          </w:rPr>
          <w:t>34/1985</w:t>
        </w:r>
      </w:hyperlink>
      <w:r>
        <w:t xml:space="preserve">; </w:t>
      </w:r>
      <w:hyperlink w:anchor="AUTO_1985_53" w:history="1">
        <w:r w:rsidRPr="009452A2">
          <w:rPr>
            <w:rStyle w:val="TextoNormalCaracter"/>
          </w:rPr>
          <w:t>53/1985</w:t>
        </w:r>
      </w:hyperlink>
      <w:r>
        <w:t xml:space="preserve">; </w:t>
      </w:r>
      <w:hyperlink w:anchor="AUTO_1985_104" w:history="1">
        <w:r w:rsidRPr="009452A2">
          <w:rPr>
            <w:rStyle w:val="TextoNormalCaracter"/>
          </w:rPr>
          <w:t>104/1985</w:t>
        </w:r>
      </w:hyperlink>
      <w:r>
        <w:t xml:space="preserve">; </w:t>
      </w:r>
      <w:hyperlink w:anchor="AUTO_1985_123" w:history="1">
        <w:r w:rsidRPr="009452A2">
          <w:rPr>
            <w:rStyle w:val="TextoNormalCaracter"/>
          </w:rPr>
          <w:t>123/1985</w:t>
        </w:r>
      </w:hyperlink>
      <w:r>
        <w:t xml:space="preserve">; </w:t>
      </w:r>
      <w:hyperlink w:anchor="AUTO_1985_139" w:history="1">
        <w:r w:rsidRPr="009452A2">
          <w:rPr>
            <w:rStyle w:val="TextoNormalCaracter"/>
          </w:rPr>
          <w:t>139/1985</w:t>
        </w:r>
      </w:hyperlink>
      <w:r>
        <w:t xml:space="preserve">; </w:t>
      </w:r>
      <w:hyperlink w:anchor="AUTO_1985_141" w:history="1">
        <w:r w:rsidRPr="009452A2">
          <w:rPr>
            <w:rStyle w:val="TextoNormalCaracter"/>
          </w:rPr>
          <w:t>141/1985</w:t>
        </w:r>
      </w:hyperlink>
      <w:r>
        <w:t xml:space="preserve">; </w:t>
      </w:r>
      <w:hyperlink w:anchor="AUTO_1985_150" w:history="1">
        <w:r w:rsidRPr="009452A2">
          <w:rPr>
            <w:rStyle w:val="TextoNormalCaracter"/>
          </w:rPr>
          <w:t>150/1985</w:t>
        </w:r>
      </w:hyperlink>
      <w:r>
        <w:t xml:space="preserve">; </w:t>
      </w:r>
      <w:hyperlink w:anchor="AUTO_1985_160" w:history="1">
        <w:r w:rsidRPr="009452A2">
          <w:rPr>
            <w:rStyle w:val="TextoNormalCaracter"/>
          </w:rPr>
          <w:t>160/1985</w:t>
        </w:r>
      </w:hyperlink>
      <w:r>
        <w:t xml:space="preserve">; </w:t>
      </w:r>
      <w:hyperlink w:anchor="AUTO_1985_162" w:history="1">
        <w:r w:rsidRPr="009452A2">
          <w:rPr>
            <w:rStyle w:val="TextoNormalCaracter"/>
          </w:rPr>
          <w:t>162/1985</w:t>
        </w:r>
      </w:hyperlink>
      <w:r>
        <w:t xml:space="preserve">; </w:t>
      </w:r>
      <w:hyperlink w:anchor="AUTO_1985_191" w:history="1">
        <w:r w:rsidRPr="009452A2">
          <w:rPr>
            <w:rStyle w:val="TextoNormalCaracter"/>
          </w:rPr>
          <w:t>191/1985</w:t>
        </w:r>
      </w:hyperlink>
      <w:r>
        <w:t xml:space="preserve">; </w:t>
      </w:r>
      <w:hyperlink w:anchor="AUTO_1985_195" w:history="1">
        <w:r w:rsidRPr="009452A2">
          <w:rPr>
            <w:rStyle w:val="TextoNormalCaracter"/>
          </w:rPr>
          <w:t>195/1985</w:t>
        </w:r>
      </w:hyperlink>
      <w:r>
        <w:t xml:space="preserve">; </w:t>
      </w:r>
      <w:hyperlink w:anchor="AUTO_1985_205" w:history="1">
        <w:r w:rsidRPr="009452A2">
          <w:rPr>
            <w:rStyle w:val="TextoNormalCaracter"/>
          </w:rPr>
          <w:t>205/1985</w:t>
        </w:r>
      </w:hyperlink>
      <w:r>
        <w:t xml:space="preserve">; </w:t>
      </w:r>
      <w:hyperlink w:anchor="AUTO_1985_219" w:history="1">
        <w:r w:rsidRPr="009452A2">
          <w:rPr>
            <w:rStyle w:val="TextoNormalCaracter"/>
          </w:rPr>
          <w:t>219/1985</w:t>
        </w:r>
      </w:hyperlink>
      <w:r>
        <w:t xml:space="preserve">; </w:t>
      </w:r>
      <w:hyperlink w:anchor="AUTO_1985_237" w:history="1">
        <w:r w:rsidRPr="009452A2">
          <w:rPr>
            <w:rStyle w:val="TextoNormalCaracter"/>
          </w:rPr>
          <w:t>237/1985</w:t>
        </w:r>
      </w:hyperlink>
      <w:r>
        <w:t xml:space="preserve">; </w:t>
      </w:r>
      <w:hyperlink w:anchor="AUTO_1985_238" w:history="1">
        <w:r w:rsidRPr="009452A2">
          <w:rPr>
            <w:rStyle w:val="TextoNormalCaracter"/>
          </w:rPr>
          <w:t>238/1985</w:t>
        </w:r>
      </w:hyperlink>
      <w:r>
        <w:t xml:space="preserve">; </w:t>
      </w:r>
      <w:hyperlink w:anchor="AUTO_1985_256" w:history="1">
        <w:r w:rsidRPr="009452A2">
          <w:rPr>
            <w:rStyle w:val="TextoNormalCaracter"/>
          </w:rPr>
          <w:t>256/1985</w:t>
        </w:r>
      </w:hyperlink>
      <w:r>
        <w:t xml:space="preserve">; </w:t>
      </w:r>
      <w:hyperlink w:anchor="AUTO_1985_261" w:history="1">
        <w:r w:rsidRPr="009452A2">
          <w:rPr>
            <w:rStyle w:val="TextoNormalCaracter"/>
          </w:rPr>
          <w:t>261/1985</w:t>
        </w:r>
      </w:hyperlink>
      <w:r>
        <w:t xml:space="preserve">; </w:t>
      </w:r>
      <w:hyperlink w:anchor="AUTO_1985_280" w:history="1">
        <w:r w:rsidRPr="009452A2">
          <w:rPr>
            <w:rStyle w:val="TextoNormalCaracter"/>
          </w:rPr>
          <w:t>280/1985</w:t>
        </w:r>
      </w:hyperlink>
      <w:r>
        <w:t>.</w:t>
      </w:r>
    </w:p>
    <w:p w:rsidR="009452A2" w:rsidRDefault="009452A2" w:rsidP="009452A2">
      <w:pPr>
        <w:pStyle w:val="SangriaFrancesaArticulo"/>
      </w:pPr>
      <w:r w:rsidRPr="009452A2">
        <w:rPr>
          <w:rStyle w:val="TextoNormalNegritaCaracter"/>
        </w:rPr>
        <w:t>Artículo 14</w:t>
      </w:r>
      <w:r>
        <w:t xml:space="preserve"> </w:t>
      </w:r>
      <w:r w:rsidRPr="009452A2">
        <w:rPr>
          <w:rStyle w:val="TextoNormalCaracter"/>
        </w:rPr>
        <w:t>(igualdad en la ley)</w:t>
      </w:r>
      <w:r w:rsidRPr="009452A2">
        <w:rPr>
          <w:rStyle w:val="TextoNormalNegritaCaracter"/>
        </w:rPr>
        <w:t>.</w:t>
      </w:r>
      <w:r w:rsidRPr="009452A2">
        <w:rPr>
          <w:rStyle w:val="TextoNormalCaracter"/>
        </w:rPr>
        <w:t>-</w:t>
      </w:r>
      <w:r>
        <w:t xml:space="preserve"> Sentencias </w:t>
      </w:r>
      <w:hyperlink w:anchor="SENTENCIA_1985_20" w:history="1">
        <w:r w:rsidRPr="009452A2">
          <w:rPr>
            <w:rStyle w:val="TextoNormalCaracter"/>
          </w:rPr>
          <w:t>20/1985</w:t>
        </w:r>
      </w:hyperlink>
      <w:r>
        <w:t xml:space="preserve">, f. 1; </w:t>
      </w:r>
      <w:hyperlink w:anchor="SENTENCIA_1985_51" w:history="1">
        <w:r w:rsidRPr="009452A2">
          <w:rPr>
            <w:rStyle w:val="TextoNormalCaracter"/>
          </w:rPr>
          <w:t>51/1985</w:t>
        </w:r>
      </w:hyperlink>
      <w:r>
        <w:t>, ff. 2, 5, 9.</w:t>
      </w:r>
    </w:p>
    <w:p w:rsidR="009452A2" w:rsidRDefault="009452A2" w:rsidP="009452A2">
      <w:pPr>
        <w:pStyle w:val="SangriaFrancesaArticulo"/>
      </w:pPr>
      <w:r w:rsidRPr="009452A2">
        <w:rPr>
          <w:rStyle w:val="TextoNormalNegritaCaracter"/>
        </w:rPr>
        <w:t>Artículos 14 a 29 y 30.2.</w:t>
      </w:r>
      <w:r w:rsidRPr="009452A2">
        <w:rPr>
          <w:rStyle w:val="TextoNormalCaracter"/>
        </w:rPr>
        <w:t>-</w:t>
      </w:r>
      <w:r>
        <w:t xml:space="preserve"> Sentencias </w:t>
      </w:r>
      <w:hyperlink w:anchor="SENTENCIA_1985_10" w:history="1">
        <w:r w:rsidRPr="009452A2">
          <w:rPr>
            <w:rStyle w:val="TextoNormalCaracter"/>
          </w:rPr>
          <w:t>10/1985</w:t>
        </w:r>
      </w:hyperlink>
      <w:r>
        <w:t xml:space="preserve">, f. 2; </w:t>
      </w:r>
      <w:hyperlink w:anchor="SENTENCIA_1985_14" w:history="1">
        <w:r w:rsidRPr="009452A2">
          <w:rPr>
            <w:rStyle w:val="TextoNormalCaracter"/>
          </w:rPr>
          <w:t>14/1985</w:t>
        </w:r>
      </w:hyperlink>
      <w:r>
        <w:t xml:space="preserve">, f. 2; </w:t>
      </w:r>
      <w:hyperlink w:anchor="SENTENCIA_1985_47" w:history="1">
        <w:r w:rsidRPr="009452A2">
          <w:rPr>
            <w:rStyle w:val="TextoNormalCaracter"/>
          </w:rPr>
          <w:t>47/1985</w:t>
        </w:r>
      </w:hyperlink>
      <w:r>
        <w:t xml:space="preserve">, f. 5; </w:t>
      </w:r>
      <w:hyperlink w:anchor="SENTENCIA_1985_51" w:history="1">
        <w:r w:rsidRPr="009452A2">
          <w:rPr>
            <w:rStyle w:val="TextoNormalCaracter"/>
          </w:rPr>
          <w:t>51/1985</w:t>
        </w:r>
      </w:hyperlink>
      <w:r>
        <w:t>, f. 1.</w:t>
      </w:r>
    </w:p>
    <w:p w:rsidR="009452A2" w:rsidRDefault="009452A2" w:rsidP="009452A2">
      <w:pPr>
        <w:pStyle w:val="SangriaIzquierdaArticulo"/>
      </w:pPr>
      <w:r>
        <w:t xml:space="preserve">Autos </w:t>
      </w:r>
      <w:hyperlink w:anchor="AUTO_1985_49" w:history="1">
        <w:r w:rsidRPr="009452A2">
          <w:rPr>
            <w:rStyle w:val="TextoNormalCaracter"/>
          </w:rPr>
          <w:t>49/1985</w:t>
        </w:r>
      </w:hyperlink>
      <w:r>
        <w:t xml:space="preserve">; </w:t>
      </w:r>
      <w:hyperlink w:anchor="AUTO_1985_65" w:history="1">
        <w:r w:rsidRPr="009452A2">
          <w:rPr>
            <w:rStyle w:val="TextoNormalCaracter"/>
          </w:rPr>
          <w:t>65/1985</w:t>
        </w:r>
      </w:hyperlink>
      <w:r>
        <w:t xml:space="preserve">; </w:t>
      </w:r>
      <w:hyperlink w:anchor="AUTO_1985_94" w:history="1">
        <w:r w:rsidRPr="009452A2">
          <w:rPr>
            <w:rStyle w:val="TextoNormalCaracter"/>
          </w:rPr>
          <w:t>94/1985</w:t>
        </w:r>
      </w:hyperlink>
      <w:r>
        <w:t xml:space="preserve">; </w:t>
      </w:r>
      <w:hyperlink w:anchor="AUTO_1985_104" w:history="1">
        <w:r w:rsidRPr="009452A2">
          <w:rPr>
            <w:rStyle w:val="TextoNormalCaracter"/>
          </w:rPr>
          <w:t>104/1985</w:t>
        </w:r>
      </w:hyperlink>
      <w:r>
        <w:t xml:space="preserve">; </w:t>
      </w:r>
      <w:hyperlink w:anchor="AUTO_1985_216" w:history="1">
        <w:r w:rsidRPr="009452A2">
          <w:rPr>
            <w:rStyle w:val="TextoNormalCaracter"/>
          </w:rPr>
          <w:t>216/1985</w:t>
        </w:r>
      </w:hyperlink>
      <w:r>
        <w:t xml:space="preserve">; </w:t>
      </w:r>
      <w:hyperlink w:anchor="AUTO_1985_245" w:history="1">
        <w:r w:rsidRPr="009452A2">
          <w:rPr>
            <w:rStyle w:val="TextoNormalCaracter"/>
          </w:rPr>
          <w:t>245/1985</w:t>
        </w:r>
      </w:hyperlink>
      <w:r>
        <w:t xml:space="preserve">; </w:t>
      </w:r>
      <w:hyperlink w:anchor="AUTO_1985_255" w:history="1">
        <w:r w:rsidRPr="009452A2">
          <w:rPr>
            <w:rStyle w:val="TextoNormalCaracter"/>
          </w:rPr>
          <w:t>255/1985</w:t>
        </w:r>
      </w:hyperlink>
      <w:r>
        <w:t>.</w:t>
      </w:r>
    </w:p>
    <w:p w:rsidR="009452A2" w:rsidRDefault="009452A2" w:rsidP="009452A2">
      <w:pPr>
        <w:pStyle w:val="SangriaFrancesaArticulo"/>
      </w:pPr>
      <w:r w:rsidRPr="009452A2">
        <w:rPr>
          <w:rStyle w:val="TextoNormalNegritaCaracter"/>
        </w:rPr>
        <w:t>Artículo 15.</w:t>
      </w:r>
      <w:r w:rsidRPr="009452A2">
        <w:rPr>
          <w:rStyle w:val="TextoNormalCaracter"/>
        </w:rPr>
        <w:t>-</w:t>
      </w:r>
      <w:r>
        <w:t xml:space="preserve"> Sentencias </w:t>
      </w:r>
      <w:hyperlink w:anchor="SENTENCIA_1985_23" w:history="1">
        <w:r w:rsidRPr="009452A2">
          <w:rPr>
            <w:rStyle w:val="TextoNormalCaracter"/>
          </w:rPr>
          <w:t>23/1985</w:t>
        </w:r>
      </w:hyperlink>
      <w:r>
        <w:t xml:space="preserve">, ff. 1, 2; </w:t>
      </w:r>
      <w:hyperlink w:anchor="SENTENCIA_1985_53" w:history="1">
        <w:r w:rsidRPr="009452A2">
          <w:rPr>
            <w:rStyle w:val="TextoNormalCaracter"/>
          </w:rPr>
          <w:t>53/1985</w:t>
        </w:r>
      </w:hyperlink>
      <w:r>
        <w:t>, ff. 2, 3, 5 a 8, 11, 12,VP I,VP III, VP IV, VP V.</w:t>
      </w:r>
    </w:p>
    <w:p w:rsidR="009452A2" w:rsidRDefault="009452A2" w:rsidP="009452A2">
      <w:pPr>
        <w:pStyle w:val="SangriaIzquierdaArticulo"/>
      </w:pPr>
      <w:r>
        <w:t xml:space="preserve">Autos </w:t>
      </w:r>
      <w:hyperlink w:anchor="AUTO_1985_238" w:history="1">
        <w:r w:rsidRPr="009452A2">
          <w:rPr>
            <w:rStyle w:val="TextoNormalCaracter"/>
          </w:rPr>
          <w:t>238/1985</w:t>
        </w:r>
      </w:hyperlink>
      <w:r>
        <w:t xml:space="preserve">; </w:t>
      </w:r>
      <w:hyperlink w:anchor="AUTO_1985_241" w:history="1">
        <w:r w:rsidRPr="009452A2">
          <w:rPr>
            <w:rStyle w:val="TextoNormalCaracter"/>
          </w:rPr>
          <w:t>241/1985</w:t>
        </w:r>
      </w:hyperlink>
      <w:r>
        <w:t>.</w:t>
      </w:r>
    </w:p>
    <w:p w:rsidR="009452A2" w:rsidRDefault="009452A2" w:rsidP="009452A2">
      <w:pPr>
        <w:pStyle w:val="SangriaFrancesaArticulo"/>
      </w:pPr>
      <w:r w:rsidRPr="009452A2">
        <w:rPr>
          <w:rStyle w:val="TextoNormalNegritaCaracter"/>
        </w:rPr>
        <w:t>Artículo 16.</w:t>
      </w:r>
      <w:r w:rsidRPr="009452A2">
        <w:rPr>
          <w:rStyle w:val="TextoNormalCaracter"/>
        </w:rPr>
        <w:t>-</w:t>
      </w:r>
      <w:r>
        <w:t xml:space="preserve"> Sentencias </w:t>
      </w:r>
      <w:hyperlink w:anchor="SENTENCIA_1985_19" w:history="1">
        <w:r w:rsidRPr="009452A2">
          <w:rPr>
            <w:rStyle w:val="TextoNormalCaracter"/>
          </w:rPr>
          <w:t>19/1985</w:t>
        </w:r>
      </w:hyperlink>
      <w:r>
        <w:t xml:space="preserve">, ff. 1, 2, 4; </w:t>
      </w:r>
      <w:hyperlink w:anchor="SENTENCIA_1985_35" w:history="1">
        <w:r w:rsidRPr="009452A2">
          <w:rPr>
            <w:rStyle w:val="TextoNormalCaracter"/>
          </w:rPr>
          <w:t>35/1985</w:t>
        </w:r>
      </w:hyperlink>
      <w:r>
        <w:t xml:space="preserve">, f. 2; </w:t>
      </w:r>
      <w:hyperlink w:anchor="SENTENCIA_1985_47" w:history="1">
        <w:r w:rsidRPr="009452A2">
          <w:rPr>
            <w:rStyle w:val="TextoNormalCaracter"/>
          </w:rPr>
          <w:t>47/1985</w:t>
        </w:r>
      </w:hyperlink>
      <w:r>
        <w:t xml:space="preserve">, ff. 1, 3 a 5; </w:t>
      </w:r>
      <w:hyperlink w:anchor="SENTENCIA_1985_53" w:history="1">
        <w:r w:rsidRPr="009452A2">
          <w:rPr>
            <w:rStyle w:val="TextoNormalCaracter"/>
          </w:rPr>
          <w:t>53/1985</w:t>
        </w:r>
      </w:hyperlink>
      <w:r>
        <w:t>, f. 8, VP V.</w:t>
      </w:r>
    </w:p>
    <w:p w:rsidR="009452A2" w:rsidRDefault="009452A2" w:rsidP="009452A2">
      <w:pPr>
        <w:pStyle w:val="SangriaFrancesaArticulo"/>
      </w:pPr>
      <w:r w:rsidRPr="009452A2">
        <w:rPr>
          <w:rStyle w:val="TextoNormalNegritaCaracter"/>
        </w:rPr>
        <w:t>Artículo 16.1.</w:t>
      </w:r>
      <w:r w:rsidRPr="009452A2">
        <w:rPr>
          <w:rStyle w:val="TextoNormalCaracter"/>
        </w:rPr>
        <w:t>-</w:t>
      </w:r>
      <w:r>
        <w:t xml:space="preserve"> Sentencias </w:t>
      </w:r>
      <w:hyperlink w:anchor="SENTENCIA_1985_47" w:history="1">
        <w:r w:rsidRPr="009452A2">
          <w:rPr>
            <w:rStyle w:val="TextoNormalCaracter"/>
          </w:rPr>
          <w:t>47/1985</w:t>
        </w:r>
      </w:hyperlink>
      <w:r>
        <w:t xml:space="preserve">, ff. 4, 5; </w:t>
      </w:r>
      <w:hyperlink w:anchor="SENTENCIA_1985_53" w:history="1">
        <w:r w:rsidRPr="009452A2">
          <w:rPr>
            <w:rStyle w:val="TextoNormalCaracter"/>
          </w:rPr>
          <w:t>53/1985</w:t>
        </w:r>
      </w:hyperlink>
      <w:r>
        <w:t>, f. 14, VP IV.</w:t>
      </w:r>
    </w:p>
    <w:p w:rsidR="009452A2" w:rsidRDefault="009452A2" w:rsidP="009452A2">
      <w:pPr>
        <w:pStyle w:val="SangriaFrancesaArticulo"/>
      </w:pPr>
      <w:r w:rsidRPr="009452A2">
        <w:rPr>
          <w:rStyle w:val="TextoNormalNegritaCaracter"/>
        </w:rPr>
        <w:t>Artículo 16.2.</w:t>
      </w:r>
      <w:r w:rsidRPr="009452A2">
        <w:rPr>
          <w:rStyle w:val="TextoNormalCaracter"/>
        </w:rPr>
        <w:t>-</w:t>
      </w:r>
      <w:r>
        <w:t xml:space="preserve"> Sentencia </w:t>
      </w:r>
      <w:hyperlink w:anchor="SENTENCIA_1985_19" w:history="1">
        <w:r w:rsidRPr="009452A2">
          <w:rPr>
            <w:rStyle w:val="TextoNormalCaracter"/>
          </w:rPr>
          <w:t>19/1985</w:t>
        </w:r>
      </w:hyperlink>
      <w:r>
        <w:t>, f. 2.</w:t>
      </w:r>
    </w:p>
    <w:p w:rsidR="009452A2" w:rsidRDefault="009452A2" w:rsidP="009452A2">
      <w:pPr>
        <w:pStyle w:val="SangriaFrancesaArticulo"/>
      </w:pPr>
      <w:r w:rsidRPr="009452A2">
        <w:rPr>
          <w:rStyle w:val="TextoNormalNegritaCaracter"/>
        </w:rPr>
        <w:t>Artículo 17.</w:t>
      </w:r>
      <w:r w:rsidRPr="009452A2">
        <w:rPr>
          <w:rStyle w:val="TextoNormalCaracter"/>
        </w:rPr>
        <w:t>-</w:t>
      </w:r>
      <w:r>
        <w:t xml:space="preserve"> Sentencias </w:t>
      </w:r>
      <w:hyperlink w:anchor="SENTENCIA_1985_11" w:history="1">
        <w:r w:rsidRPr="009452A2">
          <w:rPr>
            <w:rStyle w:val="TextoNormalCaracter"/>
          </w:rPr>
          <w:t>11/1985</w:t>
        </w:r>
      </w:hyperlink>
      <w:r>
        <w:t xml:space="preserve">, f. 1; </w:t>
      </w:r>
      <w:hyperlink w:anchor="SENTENCIA_1985_23" w:history="1">
        <w:r w:rsidRPr="009452A2">
          <w:rPr>
            <w:rStyle w:val="TextoNormalCaracter"/>
          </w:rPr>
          <w:t>23/1985</w:t>
        </w:r>
      </w:hyperlink>
      <w:r>
        <w:t xml:space="preserve">, ff. 1, 2; </w:t>
      </w:r>
      <w:hyperlink w:anchor="SENTENCIA_1985_28" w:history="1">
        <w:r w:rsidRPr="009452A2">
          <w:rPr>
            <w:rStyle w:val="TextoNormalCaracter"/>
          </w:rPr>
          <w:t>28/1985</w:t>
        </w:r>
      </w:hyperlink>
      <w:r>
        <w:t xml:space="preserve">, ff. 1 a 4; </w:t>
      </w:r>
      <w:hyperlink w:anchor="SENTENCIA_1985_31" w:history="1">
        <w:r w:rsidRPr="009452A2">
          <w:rPr>
            <w:rStyle w:val="TextoNormalCaracter"/>
          </w:rPr>
          <w:t>31/1985</w:t>
        </w:r>
      </w:hyperlink>
      <w:r>
        <w:t xml:space="preserve">, f. 1; </w:t>
      </w:r>
      <w:hyperlink w:anchor="SENTENCIA_1985_51" w:history="1">
        <w:r w:rsidRPr="009452A2">
          <w:rPr>
            <w:rStyle w:val="TextoNormalCaracter"/>
          </w:rPr>
          <w:t>51/1985</w:t>
        </w:r>
      </w:hyperlink>
      <w:r>
        <w:t>, f. 2.</w:t>
      </w:r>
    </w:p>
    <w:p w:rsidR="009452A2" w:rsidRDefault="009452A2" w:rsidP="009452A2">
      <w:pPr>
        <w:pStyle w:val="SangriaIzquierdaArticulo"/>
      </w:pPr>
      <w:r>
        <w:t xml:space="preserve">Autos </w:t>
      </w:r>
      <w:hyperlink w:anchor="AUTO_1985_106" w:history="1">
        <w:r w:rsidRPr="009452A2">
          <w:rPr>
            <w:rStyle w:val="TextoNormalCaracter"/>
          </w:rPr>
          <w:t>106/1985</w:t>
        </w:r>
      </w:hyperlink>
      <w:r>
        <w:t xml:space="preserve">; </w:t>
      </w:r>
      <w:hyperlink w:anchor="AUTO_1985_196" w:history="1">
        <w:r w:rsidRPr="009452A2">
          <w:rPr>
            <w:rStyle w:val="TextoNormalCaracter"/>
          </w:rPr>
          <w:t>196/1985</w:t>
        </w:r>
      </w:hyperlink>
      <w:r>
        <w:t xml:space="preserve">; </w:t>
      </w:r>
      <w:hyperlink w:anchor="AUTO_1985_204" w:history="1">
        <w:r w:rsidRPr="009452A2">
          <w:rPr>
            <w:rStyle w:val="TextoNormalCaracter"/>
          </w:rPr>
          <w:t>204/1985</w:t>
        </w:r>
      </w:hyperlink>
      <w:r>
        <w:t xml:space="preserve">; </w:t>
      </w:r>
      <w:hyperlink w:anchor="AUTO_1985_233" w:history="1">
        <w:r w:rsidRPr="009452A2">
          <w:rPr>
            <w:rStyle w:val="TextoNormalCaracter"/>
          </w:rPr>
          <w:t>233/1985</w:t>
        </w:r>
      </w:hyperlink>
      <w:r>
        <w:t xml:space="preserve">; </w:t>
      </w:r>
      <w:hyperlink w:anchor="AUTO_1985_242" w:history="1">
        <w:r w:rsidRPr="009452A2">
          <w:rPr>
            <w:rStyle w:val="TextoNormalCaracter"/>
          </w:rPr>
          <w:t>242/1985</w:t>
        </w:r>
      </w:hyperlink>
      <w:r>
        <w:t xml:space="preserve">; </w:t>
      </w:r>
      <w:hyperlink w:anchor="AUTO_1985_245" w:history="1">
        <w:r w:rsidRPr="009452A2">
          <w:rPr>
            <w:rStyle w:val="TextoNormalCaracter"/>
          </w:rPr>
          <w:t>245/1985</w:t>
        </w:r>
      </w:hyperlink>
      <w:r>
        <w:t xml:space="preserve">; </w:t>
      </w:r>
      <w:hyperlink w:anchor="AUTO_1985_268" w:history="1">
        <w:r w:rsidRPr="009452A2">
          <w:rPr>
            <w:rStyle w:val="TextoNormalCaracter"/>
          </w:rPr>
          <w:t>268/1985</w:t>
        </w:r>
      </w:hyperlink>
      <w:r>
        <w:t>.</w:t>
      </w:r>
    </w:p>
    <w:p w:rsidR="009452A2" w:rsidRDefault="009452A2" w:rsidP="009452A2">
      <w:pPr>
        <w:pStyle w:val="SangriaFrancesaArticulo"/>
      </w:pPr>
      <w:r w:rsidRPr="009452A2">
        <w:rPr>
          <w:rStyle w:val="TextoNormalNegritaCaracter"/>
        </w:rPr>
        <w:t>Artículo 17.1.</w:t>
      </w:r>
      <w:r w:rsidRPr="009452A2">
        <w:rPr>
          <w:rStyle w:val="TextoNormalCaracter"/>
        </w:rPr>
        <w:t>-</w:t>
      </w:r>
      <w:r>
        <w:t xml:space="preserve"> Sentencias </w:t>
      </w:r>
      <w:hyperlink w:anchor="SENTENCIA_1985_11" w:history="1">
        <w:r w:rsidRPr="009452A2">
          <w:rPr>
            <w:rStyle w:val="TextoNormalCaracter"/>
          </w:rPr>
          <w:t>11/1985</w:t>
        </w:r>
      </w:hyperlink>
      <w:r>
        <w:t xml:space="preserve">, ff. 2, 3; </w:t>
      </w:r>
      <w:hyperlink w:anchor="SENTENCIA_1985_31" w:history="1">
        <w:r w:rsidRPr="009452A2">
          <w:rPr>
            <w:rStyle w:val="TextoNormalCaracter"/>
          </w:rPr>
          <w:t>31/1985</w:t>
        </w:r>
      </w:hyperlink>
      <w:r>
        <w:t xml:space="preserve">, ff. 2, 3; </w:t>
      </w:r>
      <w:hyperlink w:anchor="SENTENCIA_1985_51" w:history="1">
        <w:r w:rsidRPr="009452A2">
          <w:rPr>
            <w:rStyle w:val="TextoNormalCaracter"/>
          </w:rPr>
          <w:t>51/1985</w:t>
        </w:r>
      </w:hyperlink>
      <w:r>
        <w:t>, f. 7.</w:t>
      </w:r>
    </w:p>
    <w:p w:rsidR="009452A2" w:rsidRDefault="009452A2" w:rsidP="009452A2">
      <w:pPr>
        <w:pStyle w:val="SangriaIzquierdaArticulo"/>
      </w:pPr>
      <w:r>
        <w:t xml:space="preserve">Autos </w:t>
      </w:r>
      <w:hyperlink w:anchor="AUTO_1985_77" w:history="1">
        <w:r w:rsidRPr="009452A2">
          <w:rPr>
            <w:rStyle w:val="TextoNormalCaracter"/>
          </w:rPr>
          <w:t>77/1985</w:t>
        </w:r>
      </w:hyperlink>
      <w:r>
        <w:t xml:space="preserve">; </w:t>
      </w:r>
      <w:hyperlink w:anchor="AUTO_1985_82" w:history="1">
        <w:r w:rsidRPr="009452A2">
          <w:rPr>
            <w:rStyle w:val="TextoNormalCaracter"/>
          </w:rPr>
          <w:t>82/1985</w:t>
        </w:r>
      </w:hyperlink>
      <w:r>
        <w:t xml:space="preserve">; </w:t>
      </w:r>
      <w:hyperlink w:anchor="AUTO_1985_130" w:history="1">
        <w:r w:rsidRPr="009452A2">
          <w:rPr>
            <w:rStyle w:val="TextoNormalCaracter"/>
          </w:rPr>
          <w:t>130/1985</w:t>
        </w:r>
      </w:hyperlink>
      <w:r>
        <w:t>.</w:t>
      </w:r>
    </w:p>
    <w:p w:rsidR="009452A2" w:rsidRDefault="009452A2" w:rsidP="009452A2">
      <w:pPr>
        <w:pStyle w:val="SangriaFrancesaArticulo"/>
      </w:pPr>
      <w:r w:rsidRPr="009452A2">
        <w:rPr>
          <w:rStyle w:val="TextoNormalNegritaCaracter"/>
        </w:rPr>
        <w:t>Artículo 17.2.</w:t>
      </w:r>
      <w:r w:rsidRPr="009452A2">
        <w:rPr>
          <w:rStyle w:val="TextoNormalCaracter"/>
        </w:rPr>
        <w:t>-</w:t>
      </w:r>
      <w:r>
        <w:t xml:space="preserve"> Sentencia </w:t>
      </w:r>
      <w:hyperlink w:anchor="SENTENCIA_1985_11" w:history="1">
        <w:r w:rsidRPr="009452A2">
          <w:rPr>
            <w:rStyle w:val="TextoNormalCaracter"/>
          </w:rPr>
          <w:t>11/1985</w:t>
        </w:r>
      </w:hyperlink>
      <w:r>
        <w:t>, ff. 3, 5.</w:t>
      </w:r>
    </w:p>
    <w:p w:rsidR="009452A2" w:rsidRDefault="009452A2" w:rsidP="009452A2">
      <w:pPr>
        <w:pStyle w:val="SangriaIzquierdaArticulo"/>
      </w:pPr>
      <w:r>
        <w:t xml:space="preserve">Auto </w:t>
      </w:r>
      <w:hyperlink w:anchor="AUTO_1985_51" w:history="1">
        <w:r w:rsidRPr="009452A2">
          <w:rPr>
            <w:rStyle w:val="TextoNormalCaracter"/>
          </w:rPr>
          <w:t>51/1985</w:t>
        </w:r>
      </w:hyperlink>
      <w:r>
        <w:t>.</w:t>
      </w:r>
    </w:p>
    <w:p w:rsidR="009452A2" w:rsidRDefault="009452A2" w:rsidP="009452A2">
      <w:pPr>
        <w:pStyle w:val="SangriaFrancesaArticulo"/>
      </w:pPr>
      <w:r w:rsidRPr="009452A2">
        <w:rPr>
          <w:rStyle w:val="TextoNormalNegritaCaracter"/>
        </w:rPr>
        <w:t>Artículo 17.3.</w:t>
      </w:r>
      <w:r w:rsidRPr="009452A2">
        <w:rPr>
          <w:rStyle w:val="TextoNormalCaracter"/>
        </w:rPr>
        <w:t>-</w:t>
      </w:r>
      <w:r>
        <w:t xml:space="preserve"> Auto </w:t>
      </w:r>
      <w:hyperlink w:anchor="AUTO_1985_51" w:history="1">
        <w:r w:rsidRPr="009452A2">
          <w:rPr>
            <w:rStyle w:val="TextoNormalCaracter"/>
          </w:rPr>
          <w:t>51/1985</w:t>
        </w:r>
      </w:hyperlink>
      <w:r>
        <w:t>.</w:t>
      </w:r>
    </w:p>
    <w:p w:rsidR="009452A2" w:rsidRDefault="009452A2" w:rsidP="009452A2">
      <w:pPr>
        <w:pStyle w:val="SangriaFrancesaArticulo"/>
      </w:pPr>
      <w:r w:rsidRPr="009452A2">
        <w:rPr>
          <w:rStyle w:val="TextoNormalNegritaCaracter"/>
        </w:rPr>
        <w:t>Artículo 17.4.</w:t>
      </w:r>
      <w:r w:rsidRPr="009452A2">
        <w:rPr>
          <w:rStyle w:val="TextoNormalCaracter"/>
        </w:rPr>
        <w:t>-</w:t>
      </w:r>
      <w:r>
        <w:t xml:space="preserve"> Sentencias </w:t>
      </w:r>
      <w:hyperlink w:anchor="SENTENCIA_1985_11" w:history="1">
        <w:r w:rsidRPr="009452A2">
          <w:rPr>
            <w:rStyle w:val="TextoNormalCaracter"/>
          </w:rPr>
          <w:t>11/1985</w:t>
        </w:r>
      </w:hyperlink>
      <w:r>
        <w:t xml:space="preserve">, f. 2; </w:t>
      </w:r>
      <w:hyperlink w:anchor="SENTENCIA_1985_28" w:history="1">
        <w:r w:rsidRPr="009452A2">
          <w:rPr>
            <w:rStyle w:val="TextoNormalCaracter"/>
          </w:rPr>
          <w:t>28/1985</w:t>
        </w:r>
      </w:hyperlink>
      <w:r>
        <w:t xml:space="preserve">, ff. 2, 4; </w:t>
      </w:r>
      <w:hyperlink w:anchor="SENTENCIA_1985_31" w:history="1">
        <w:r w:rsidRPr="009452A2">
          <w:rPr>
            <w:rStyle w:val="TextoNormalCaracter"/>
          </w:rPr>
          <w:t>31/1985</w:t>
        </w:r>
      </w:hyperlink>
      <w:r>
        <w:t xml:space="preserve">, ff. 2 a 4; </w:t>
      </w:r>
      <w:hyperlink w:anchor="SENTENCIA_1985_53" w:history="1">
        <w:r w:rsidRPr="009452A2">
          <w:rPr>
            <w:rStyle w:val="TextoNormalCaracter"/>
          </w:rPr>
          <w:t>53/1985</w:t>
        </w:r>
      </w:hyperlink>
      <w:r>
        <w:t>, f. 4.</w:t>
      </w:r>
    </w:p>
    <w:p w:rsidR="009452A2" w:rsidRDefault="009452A2" w:rsidP="009452A2">
      <w:pPr>
        <w:pStyle w:val="SangriaIzquierdaArticulo"/>
      </w:pPr>
      <w:r>
        <w:t xml:space="preserve">Autos </w:t>
      </w:r>
      <w:hyperlink w:anchor="AUTO_1985_20" w:history="1">
        <w:r w:rsidRPr="009452A2">
          <w:rPr>
            <w:rStyle w:val="TextoNormalCaracter"/>
          </w:rPr>
          <w:t>20/1985</w:t>
        </w:r>
      </w:hyperlink>
      <w:r>
        <w:t xml:space="preserve">; </w:t>
      </w:r>
      <w:hyperlink w:anchor="AUTO_1985_51" w:history="1">
        <w:r w:rsidRPr="009452A2">
          <w:rPr>
            <w:rStyle w:val="TextoNormalCaracter"/>
          </w:rPr>
          <w:t>51/1985</w:t>
        </w:r>
      </w:hyperlink>
      <w:r>
        <w:t>.</w:t>
      </w:r>
    </w:p>
    <w:p w:rsidR="009452A2" w:rsidRDefault="009452A2" w:rsidP="009452A2">
      <w:pPr>
        <w:pStyle w:val="SangriaFrancesaArticulo"/>
      </w:pPr>
      <w:r w:rsidRPr="009452A2">
        <w:rPr>
          <w:rStyle w:val="TextoNormalNegritaCaracter"/>
        </w:rPr>
        <w:t>Artículo 18.</w:t>
      </w:r>
      <w:r w:rsidRPr="009452A2">
        <w:rPr>
          <w:rStyle w:val="TextoNormalCaracter"/>
        </w:rPr>
        <w:t>-</w:t>
      </w:r>
      <w:r>
        <w:t xml:space="preserve"> Sentencias </w:t>
      </w:r>
      <w:hyperlink w:anchor="SENTENCIA_1985_1" w:history="1">
        <w:r w:rsidRPr="009452A2">
          <w:rPr>
            <w:rStyle w:val="TextoNormalCaracter"/>
          </w:rPr>
          <w:t>1/1985</w:t>
        </w:r>
      </w:hyperlink>
      <w:r>
        <w:t xml:space="preserve">, f. 1; </w:t>
      </w:r>
      <w:hyperlink w:anchor="SENTENCIA_1985_53" w:history="1">
        <w:r w:rsidRPr="009452A2">
          <w:rPr>
            <w:rStyle w:val="TextoNormalCaracter"/>
          </w:rPr>
          <w:t>53/1985</w:t>
        </w:r>
      </w:hyperlink>
      <w:r>
        <w:t>, VP V.</w:t>
      </w:r>
    </w:p>
    <w:p w:rsidR="009452A2" w:rsidRDefault="009452A2" w:rsidP="009452A2">
      <w:pPr>
        <w:pStyle w:val="SangriaIzquierdaArticulo"/>
      </w:pPr>
      <w:r>
        <w:t xml:space="preserve">Auto </w:t>
      </w:r>
      <w:hyperlink w:anchor="AUTO_1985_106" w:history="1">
        <w:r w:rsidRPr="009452A2">
          <w:rPr>
            <w:rStyle w:val="TextoNormalCaracter"/>
          </w:rPr>
          <w:t>106/1985</w:t>
        </w:r>
      </w:hyperlink>
      <w:r>
        <w:t>.</w:t>
      </w:r>
    </w:p>
    <w:p w:rsidR="009452A2" w:rsidRDefault="009452A2" w:rsidP="009452A2">
      <w:pPr>
        <w:pStyle w:val="SangriaFrancesaArticulo"/>
      </w:pPr>
      <w:r w:rsidRPr="009452A2">
        <w:rPr>
          <w:rStyle w:val="TextoNormalNegritaCaracter"/>
        </w:rPr>
        <w:t>Artículo 18.1.</w:t>
      </w:r>
      <w:r w:rsidRPr="009452A2">
        <w:rPr>
          <w:rStyle w:val="TextoNormalCaracter"/>
        </w:rPr>
        <w:t>-</w:t>
      </w:r>
      <w:r>
        <w:t xml:space="preserve"> Sentencias </w:t>
      </w:r>
      <w:hyperlink w:anchor="SENTENCIA_1985_1" w:history="1">
        <w:r w:rsidRPr="009452A2">
          <w:rPr>
            <w:rStyle w:val="TextoNormalCaracter"/>
          </w:rPr>
          <w:t>1/1985</w:t>
        </w:r>
      </w:hyperlink>
      <w:r>
        <w:t xml:space="preserve">, f. 1; </w:t>
      </w:r>
      <w:hyperlink w:anchor="SENTENCIA_1985_53" w:history="1">
        <w:r w:rsidRPr="009452A2">
          <w:rPr>
            <w:rStyle w:val="TextoNormalCaracter"/>
          </w:rPr>
          <w:t>53/1985</w:t>
        </w:r>
      </w:hyperlink>
      <w:r>
        <w:t>, ff. 4, 8.</w:t>
      </w:r>
    </w:p>
    <w:p w:rsidR="009452A2" w:rsidRDefault="009452A2" w:rsidP="009452A2">
      <w:pPr>
        <w:pStyle w:val="SangriaIzquierdaArticulo"/>
      </w:pPr>
      <w:r>
        <w:t xml:space="preserve">Auto </w:t>
      </w:r>
      <w:hyperlink w:anchor="AUTO_1985_257" w:history="1">
        <w:r w:rsidRPr="009452A2">
          <w:rPr>
            <w:rStyle w:val="TextoNormalCaracter"/>
          </w:rPr>
          <w:t>257/1985</w:t>
        </w:r>
      </w:hyperlink>
      <w:r>
        <w:t>.</w:t>
      </w:r>
    </w:p>
    <w:p w:rsidR="009452A2" w:rsidRDefault="009452A2" w:rsidP="009452A2">
      <w:pPr>
        <w:pStyle w:val="SangriaFrancesaArticulo"/>
      </w:pPr>
      <w:r w:rsidRPr="009452A2">
        <w:rPr>
          <w:rStyle w:val="TextoNormalNegritaCaracter"/>
        </w:rPr>
        <w:t>Artículo 18.2.</w:t>
      </w:r>
      <w:r w:rsidRPr="009452A2">
        <w:rPr>
          <w:rStyle w:val="TextoNormalCaracter"/>
        </w:rPr>
        <w:t>-</w:t>
      </w:r>
      <w:r>
        <w:t xml:space="preserve"> Sentencia </w:t>
      </w:r>
      <w:hyperlink w:anchor="SENTENCIA_1985_1" w:history="1">
        <w:r w:rsidRPr="009452A2">
          <w:rPr>
            <w:rStyle w:val="TextoNormalCaracter"/>
          </w:rPr>
          <w:t>1/1985</w:t>
        </w:r>
      </w:hyperlink>
      <w:r>
        <w:t>, ff. 1, 4.</w:t>
      </w:r>
    </w:p>
    <w:p w:rsidR="009452A2" w:rsidRDefault="009452A2" w:rsidP="009452A2">
      <w:pPr>
        <w:pStyle w:val="SangriaIzquierdaArticulo"/>
      </w:pPr>
      <w:r>
        <w:lastRenderedPageBreak/>
        <w:t xml:space="preserve">Autos </w:t>
      </w:r>
      <w:hyperlink w:anchor="AUTO_1985_51" w:history="1">
        <w:r w:rsidRPr="009452A2">
          <w:rPr>
            <w:rStyle w:val="TextoNormalCaracter"/>
          </w:rPr>
          <w:t>51/1985</w:t>
        </w:r>
      </w:hyperlink>
      <w:r>
        <w:t xml:space="preserve">; </w:t>
      </w:r>
      <w:hyperlink w:anchor="AUTO_1985_272" w:history="1">
        <w:r w:rsidRPr="009452A2">
          <w:rPr>
            <w:rStyle w:val="TextoNormalCaracter"/>
          </w:rPr>
          <w:t>272/1985</w:t>
        </w:r>
      </w:hyperlink>
      <w:r>
        <w:t>.</w:t>
      </w:r>
    </w:p>
    <w:p w:rsidR="009452A2" w:rsidRDefault="009452A2" w:rsidP="009452A2">
      <w:pPr>
        <w:pStyle w:val="SangriaFrancesaArticulo"/>
      </w:pPr>
      <w:r w:rsidRPr="009452A2">
        <w:rPr>
          <w:rStyle w:val="TextoNormalNegritaCaracter"/>
        </w:rPr>
        <w:t>Artículo 18.3.</w:t>
      </w:r>
      <w:r w:rsidRPr="009452A2">
        <w:rPr>
          <w:rStyle w:val="TextoNormalCaracter"/>
        </w:rPr>
        <w:t>-</w:t>
      </w:r>
      <w:r>
        <w:t xml:space="preserve"> Auto </w:t>
      </w:r>
      <w:hyperlink w:anchor="AUTO_1985_272" w:history="1">
        <w:r w:rsidRPr="009452A2">
          <w:rPr>
            <w:rStyle w:val="TextoNormalCaracter"/>
          </w:rPr>
          <w:t>272/1985</w:t>
        </w:r>
      </w:hyperlink>
      <w:r>
        <w:t>.</w:t>
      </w:r>
    </w:p>
    <w:p w:rsidR="009452A2" w:rsidRDefault="009452A2" w:rsidP="009452A2">
      <w:pPr>
        <w:pStyle w:val="SangriaFrancesaArticulo"/>
      </w:pPr>
      <w:r w:rsidRPr="009452A2">
        <w:rPr>
          <w:rStyle w:val="TextoNormalNegritaCaracter"/>
        </w:rPr>
        <w:t>Artículo 18.4.</w:t>
      </w:r>
      <w:r w:rsidRPr="009452A2">
        <w:rPr>
          <w:rStyle w:val="TextoNormalCaracter"/>
        </w:rPr>
        <w:t>-</w:t>
      </w:r>
      <w:r>
        <w:t xml:space="preserve"> Sentencia </w:t>
      </w:r>
      <w:hyperlink w:anchor="SENTENCIA_1985_53" w:history="1">
        <w:r w:rsidRPr="009452A2">
          <w:rPr>
            <w:rStyle w:val="TextoNormalCaracter"/>
          </w:rPr>
          <w:t>53/1985</w:t>
        </w:r>
      </w:hyperlink>
      <w:r>
        <w:t>, f. 4.</w:t>
      </w:r>
    </w:p>
    <w:p w:rsidR="009452A2" w:rsidRDefault="009452A2" w:rsidP="009452A2">
      <w:pPr>
        <w:pStyle w:val="SangriaFrancesaArticulo"/>
      </w:pPr>
      <w:r w:rsidRPr="009452A2">
        <w:rPr>
          <w:rStyle w:val="TextoNormalNegritaCaracter"/>
        </w:rPr>
        <w:t>Artículo 19.</w:t>
      </w:r>
      <w:r w:rsidRPr="009452A2">
        <w:rPr>
          <w:rStyle w:val="TextoNormalCaracter"/>
        </w:rPr>
        <w:t>-</w:t>
      </w:r>
      <w:r>
        <w:t xml:space="preserve"> Autos </w:t>
      </w:r>
      <w:hyperlink w:anchor="AUTO_1985_106" w:history="1">
        <w:r w:rsidRPr="009452A2">
          <w:rPr>
            <w:rStyle w:val="TextoNormalCaracter"/>
          </w:rPr>
          <w:t>106/1985</w:t>
        </w:r>
      </w:hyperlink>
      <w:r>
        <w:t xml:space="preserve">; </w:t>
      </w:r>
      <w:hyperlink w:anchor="AUTO_1985_182" w:history="1">
        <w:r w:rsidRPr="009452A2">
          <w:rPr>
            <w:rStyle w:val="TextoNormalCaracter"/>
          </w:rPr>
          <w:t>182/1985</w:t>
        </w:r>
      </w:hyperlink>
      <w:r>
        <w:t xml:space="preserve">; </w:t>
      </w:r>
      <w:hyperlink w:anchor="AUTO_1985_236" w:history="1">
        <w:r w:rsidRPr="009452A2">
          <w:rPr>
            <w:rStyle w:val="TextoNormalCaracter"/>
          </w:rPr>
          <w:t>236/1985</w:t>
        </w:r>
      </w:hyperlink>
      <w:r>
        <w:t>.</w:t>
      </w:r>
    </w:p>
    <w:p w:rsidR="009452A2" w:rsidRDefault="009452A2" w:rsidP="009452A2">
      <w:pPr>
        <w:pStyle w:val="SangriaFrancesaArticulo"/>
      </w:pPr>
      <w:r w:rsidRPr="009452A2">
        <w:rPr>
          <w:rStyle w:val="TextoNormalNegritaCaracter"/>
        </w:rPr>
        <w:t>Artículo 20.</w:t>
      </w:r>
      <w:r w:rsidRPr="009452A2">
        <w:rPr>
          <w:rStyle w:val="TextoNormalCaracter"/>
        </w:rPr>
        <w:t>-</w:t>
      </w:r>
      <w:r>
        <w:t xml:space="preserve"> Sentencia </w:t>
      </w:r>
      <w:hyperlink w:anchor="SENTENCIA_1985_51" w:history="1">
        <w:r w:rsidRPr="009452A2">
          <w:rPr>
            <w:rStyle w:val="TextoNormalCaracter"/>
          </w:rPr>
          <w:t>51/1985</w:t>
        </w:r>
      </w:hyperlink>
      <w:r>
        <w:t>, ff. 6, 10.</w:t>
      </w:r>
    </w:p>
    <w:p w:rsidR="009452A2" w:rsidRDefault="009452A2" w:rsidP="009452A2">
      <w:pPr>
        <w:pStyle w:val="SangriaIzquierdaArticulo"/>
      </w:pPr>
      <w:r>
        <w:t xml:space="preserve">Autos </w:t>
      </w:r>
      <w:hyperlink w:anchor="AUTO_1985_130" w:history="1">
        <w:r w:rsidRPr="009452A2">
          <w:rPr>
            <w:rStyle w:val="TextoNormalCaracter"/>
          </w:rPr>
          <w:t>130/1985</w:t>
        </w:r>
      </w:hyperlink>
      <w:r>
        <w:t xml:space="preserve">; </w:t>
      </w:r>
      <w:hyperlink w:anchor="AUTO_1985_237" w:history="1">
        <w:r w:rsidRPr="009452A2">
          <w:rPr>
            <w:rStyle w:val="TextoNormalCaracter"/>
          </w:rPr>
          <w:t>237/1985</w:t>
        </w:r>
      </w:hyperlink>
      <w:r>
        <w:t>.</w:t>
      </w:r>
    </w:p>
    <w:p w:rsidR="009452A2" w:rsidRDefault="009452A2" w:rsidP="009452A2">
      <w:pPr>
        <w:pStyle w:val="SangriaFrancesaArticulo"/>
      </w:pPr>
      <w:r w:rsidRPr="009452A2">
        <w:rPr>
          <w:rStyle w:val="TextoNormalNegritaCaracter"/>
        </w:rPr>
        <w:t>Artículo 20.1.</w:t>
      </w:r>
      <w:r w:rsidRPr="009452A2">
        <w:rPr>
          <w:rStyle w:val="TextoNormalCaracter"/>
        </w:rPr>
        <w:t>-</w:t>
      </w:r>
      <w:r>
        <w:t xml:space="preserve"> Sentencia </w:t>
      </w:r>
      <w:hyperlink w:anchor="SENTENCIA_1985_13" w:history="1">
        <w:r w:rsidRPr="009452A2">
          <w:rPr>
            <w:rStyle w:val="TextoNormalCaracter"/>
          </w:rPr>
          <w:t>13/1985</w:t>
        </w:r>
      </w:hyperlink>
      <w:r>
        <w:t>, f. 1.</w:t>
      </w:r>
    </w:p>
    <w:p w:rsidR="009452A2" w:rsidRDefault="009452A2" w:rsidP="009452A2">
      <w:pPr>
        <w:pStyle w:val="SangriaFrancesaArticulo"/>
      </w:pPr>
      <w:r w:rsidRPr="009452A2">
        <w:rPr>
          <w:rStyle w:val="TextoNormalNegritaCaracter"/>
        </w:rPr>
        <w:t>Artículo 20.1 a).</w:t>
      </w:r>
      <w:r w:rsidRPr="009452A2">
        <w:rPr>
          <w:rStyle w:val="TextoNormalCaracter"/>
        </w:rPr>
        <w:t>-</w:t>
      </w:r>
      <w:r>
        <w:t xml:space="preserve"> Sentencia </w:t>
      </w:r>
      <w:hyperlink w:anchor="SENTENCIA_1985_38" w:history="1">
        <w:r w:rsidRPr="009452A2">
          <w:rPr>
            <w:rStyle w:val="TextoNormalCaracter"/>
          </w:rPr>
          <w:t>38/1985</w:t>
        </w:r>
      </w:hyperlink>
      <w:r>
        <w:t>, f. 1.</w:t>
      </w:r>
    </w:p>
    <w:p w:rsidR="009452A2" w:rsidRDefault="009452A2" w:rsidP="009452A2">
      <w:pPr>
        <w:pStyle w:val="SangriaIzquierdaArticulo"/>
      </w:pPr>
      <w:r>
        <w:t xml:space="preserve">Autos </w:t>
      </w:r>
      <w:hyperlink w:anchor="AUTO_1985_122" w:history="1">
        <w:r w:rsidRPr="009452A2">
          <w:rPr>
            <w:rStyle w:val="TextoNormalCaracter"/>
          </w:rPr>
          <w:t>122/1985</w:t>
        </w:r>
      </w:hyperlink>
      <w:r>
        <w:t xml:space="preserve">; </w:t>
      </w:r>
      <w:hyperlink w:anchor="AUTO_1985_171" w:history="1">
        <w:r w:rsidRPr="009452A2">
          <w:rPr>
            <w:rStyle w:val="TextoNormalCaracter"/>
          </w:rPr>
          <w:t>171/1985</w:t>
        </w:r>
      </w:hyperlink>
      <w:r>
        <w:t xml:space="preserve">; </w:t>
      </w:r>
      <w:hyperlink w:anchor="AUTO_1985_237" w:history="1">
        <w:r w:rsidRPr="009452A2">
          <w:rPr>
            <w:rStyle w:val="TextoNormalCaracter"/>
          </w:rPr>
          <w:t>237/1985</w:t>
        </w:r>
      </w:hyperlink>
      <w:r>
        <w:t>.</w:t>
      </w:r>
    </w:p>
    <w:p w:rsidR="009452A2" w:rsidRDefault="009452A2" w:rsidP="009452A2">
      <w:pPr>
        <w:pStyle w:val="SangriaFrancesaArticulo"/>
      </w:pPr>
      <w:r w:rsidRPr="009452A2">
        <w:rPr>
          <w:rStyle w:val="TextoNormalNegritaCaracter"/>
        </w:rPr>
        <w:t>Artículo 20.1 b).</w:t>
      </w:r>
      <w:r w:rsidRPr="009452A2">
        <w:rPr>
          <w:rStyle w:val="TextoNormalCaracter"/>
        </w:rPr>
        <w:t>-</w:t>
      </w:r>
      <w:r>
        <w:t xml:space="preserve"> Auto </w:t>
      </w:r>
      <w:hyperlink w:anchor="AUTO_1985_130" w:history="1">
        <w:r w:rsidRPr="009452A2">
          <w:rPr>
            <w:rStyle w:val="TextoNormalCaracter"/>
          </w:rPr>
          <w:t>130/1985</w:t>
        </w:r>
      </w:hyperlink>
      <w:r>
        <w:t>.</w:t>
      </w:r>
    </w:p>
    <w:p w:rsidR="009452A2" w:rsidRDefault="009452A2" w:rsidP="009452A2">
      <w:pPr>
        <w:pStyle w:val="SangriaFrancesaArticulo"/>
      </w:pPr>
      <w:r w:rsidRPr="009452A2">
        <w:rPr>
          <w:rStyle w:val="TextoNormalNegritaCaracter"/>
        </w:rPr>
        <w:t>Artículo 20.1 d).</w:t>
      </w:r>
      <w:r w:rsidRPr="009452A2">
        <w:rPr>
          <w:rStyle w:val="TextoNormalCaracter"/>
        </w:rPr>
        <w:t>-</w:t>
      </w:r>
      <w:r>
        <w:t xml:space="preserve"> Sentencia </w:t>
      </w:r>
      <w:hyperlink w:anchor="SENTENCIA_1985_13" w:history="1">
        <w:r w:rsidRPr="009452A2">
          <w:rPr>
            <w:rStyle w:val="TextoNormalCaracter"/>
          </w:rPr>
          <w:t>13/1985</w:t>
        </w:r>
      </w:hyperlink>
      <w:r>
        <w:t>, ff. 1 a 3.</w:t>
      </w:r>
    </w:p>
    <w:p w:rsidR="009452A2" w:rsidRDefault="009452A2" w:rsidP="009452A2">
      <w:pPr>
        <w:pStyle w:val="SangriaIzquierdaArticulo"/>
      </w:pPr>
      <w:r>
        <w:t xml:space="preserve">Auto </w:t>
      </w:r>
      <w:hyperlink w:anchor="AUTO_1985_237" w:history="1">
        <w:r w:rsidRPr="009452A2">
          <w:rPr>
            <w:rStyle w:val="TextoNormalCaracter"/>
          </w:rPr>
          <w:t>237/1985</w:t>
        </w:r>
      </w:hyperlink>
      <w:r>
        <w:t>.</w:t>
      </w:r>
    </w:p>
    <w:p w:rsidR="009452A2" w:rsidRDefault="009452A2" w:rsidP="009452A2">
      <w:pPr>
        <w:pStyle w:val="SangriaFrancesaArticulo"/>
      </w:pPr>
      <w:r w:rsidRPr="009452A2">
        <w:rPr>
          <w:rStyle w:val="TextoNormalNegritaCaracter"/>
        </w:rPr>
        <w:t>Artículo 20.2.</w:t>
      </w:r>
      <w:r w:rsidRPr="009452A2">
        <w:rPr>
          <w:rStyle w:val="TextoNormalCaracter"/>
        </w:rPr>
        <w:t>-</w:t>
      </w:r>
      <w:r>
        <w:t xml:space="preserve"> Sentencia </w:t>
      </w:r>
      <w:hyperlink w:anchor="SENTENCIA_1985_13" w:history="1">
        <w:r w:rsidRPr="009452A2">
          <w:rPr>
            <w:rStyle w:val="TextoNormalCaracter"/>
          </w:rPr>
          <w:t>13/1985</w:t>
        </w:r>
      </w:hyperlink>
      <w:r>
        <w:t>, f. 1.</w:t>
      </w:r>
    </w:p>
    <w:p w:rsidR="009452A2" w:rsidRDefault="009452A2" w:rsidP="009452A2">
      <w:pPr>
        <w:pStyle w:val="SangriaFrancesaArticulo"/>
      </w:pPr>
      <w:r w:rsidRPr="009452A2">
        <w:rPr>
          <w:rStyle w:val="TextoNormalNegritaCaracter"/>
        </w:rPr>
        <w:t>Artículo 20.3.</w:t>
      </w:r>
      <w:r w:rsidRPr="009452A2">
        <w:rPr>
          <w:rStyle w:val="TextoNormalCaracter"/>
        </w:rPr>
        <w:t>-</w:t>
      </w:r>
      <w:r>
        <w:t xml:space="preserve"> Sentencia </w:t>
      </w:r>
      <w:hyperlink w:anchor="SENTENCIA_1985_53" w:history="1">
        <w:r w:rsidRPr="009452A2">
          <w:rPr>
            <w:rStyle w:val="TextoNormalCaracter"/>
          </w:rPr>
          <w:t>53/1985</w:t>
        </w:r>
      </w:hyperlink>
      <w:r>
        <w:t>, f. 4.</w:t>
      </w:r>
    </w:p>
    <w:p w:rsidR="009452A2" w:rsidRDefault="009452A2" w:rsidP="009452A2">
      <w:pPr>
        <w:pStyle w:val="SangriaFrancesaArticulo"/>
      </w:pPr>
      <w:r w:rsidRPr="009452A2">
        <w:rPr>
          <w:rStyle w:val="TextoNormalNegritaCaracter"/>
        </w:rPr>
        <w:t>Artículo 20.4.</w:t>
      </w:r>
      <w:r w:rsidRPr="009452A2">
        <w:rPr>
          <w:rStyle w:val="TextoNormalCaracter"/>
        </w:rPr>
        <w:t>-</w:t>
      </w:r>
      <w:r>
        <w:t xml:space="preserve"> Sentencia </w:t>
      </w:r>
      <w:hyperlink w:anchor="SENTENCIA_1985_13" w:history="1">
        <w:r w:rsidRPr="009452A2">
          <w:rPr>
            <w:rStyle w:val="TextoNormalCaracter"/>
          </w:rPr>
          <w:t>13/1985</w:t>
        </w:r>
      </w:hyperlink>
      <w:r>
        <w:t>, f. 3.</w:t>
      </w:r>
    </w:p>
    <w:p w:rsidR="009452A2" w:rsidRDefault="009452A2" w:rsidP="009452A2">
      <w:pPr>
        <w:pStyle w:val="SangriaIzquierdaArticulo"/>
      </w:pPr>
      <w:r>
        <w:t xml:space="preserve">Autos </w:t>
      </w:r>
      <w:hyperlink w:anchor="AUTO_1985_122" w:history="1">
        <w:r w:rsidRPr="009452A2">
          <w:rPr>
            <w:rStyle w:val="TextoNormalCaracter"/>
          </w:rPr>
          <w:t>122/1985</w:t>
        </w:r>
      </w:hyperlink>
      <w:r>
        <w:t xml:space="preserve">; </w:t>
      </w:r>
      <w:hyperlink w:anchor="AUTO_1985_171" w:history="1">
        <w:r w:rsidRPr="009452A2">
          <w:rPr>
            <w:rStyle w:val="TextoNormalCaracter"/>
          </w:rPr>
          <w:t>171/1985</w:t>
        </w:r>
      </w:hyperlink>
      <w:r>
        <w:t>.</w:t>
      </w:r>
    </w:p>
    <w:p w:rsidR="009452A2" w:rsidRDefault="009452A2" w:rsidP="009452A2">
      <w:pPr>
        <w:pStyle w:val="SangriaFrancesaArticulo"/>
      </w:pPr>
      <w:r w:rsidRPr="009452A2">
        <w:rPr>
          <w:rStyle w:val="TextoNormalNegritaCaracter"/>
        </w:rPr>
        <w:t>Artículo 23.</w:t>
      </w:r>
      <w:r w:rsidRPr="009452A2">
        <w:rPr>
          <w:rStyle w:val="TextoNormalCaracter"/>
        </w:rPr>
        <w:t>-</w:t>
      </w:r>
      <w:r>
        <w:t xml:space="preserve"> Sentencias </w:t>
      </w:r>
      <w:hyperlink w:anchor="SENTENCIA_1985_8" w:history="1">
        <w:r w:rsidRPr="009452A2">
          <w:rPr>
            <w:rStyle w:val="TextoNormalCaracter"/>
          </w:rPr>
          <w:t>8/1985</w:t>
        </w:r>
      </w:hyperlink>
      <w:r>
        <w:t xml:space="preserve">, f. 4; </w:t>
      </w:r>
      <w:hyperlink w:anchor="SENTENCIA_1985_32" w:history="1">
        <w:r w:rsidRPr="009452A2">
          <w:rPr>
            <w:rStyle w:val="TextoNormalCaracter"/>
          </w:rPr>
          <w:t>32/1985</w:t>
        </w:r>
      </w:hyperlink>
      <w:r>
        <w:t xml:space="preserve">, f. 3; </w:t>
      </w:r>
      <w:hyperlink w:anchor="SENTENCIA_1985_51" w:history="1">
        <w:r w:rsidRPr="009452A2">
          <w:rPr>
            <w:rStyle w:val="TextoNormalCaracter"/>
          </w:rPr>
          <w:t>51/1985</w:t>
        </w:r>
      </w:hyperlink>
      <w:r>
        <w:t>, ff. 2, 6.</w:t>
      </w:r>
    </w:p>
    <w:p w:rsidR="009452A2" w:rsidRDefault="009452A2" w:rsidP="009452A2">
      <w:pPr>
        <w:pStyle w:val="SangriaFrancesaArticulo"/>
      </w:pPr>
      <w:r w:rsidRPr="009452A2">
        <w:rPr>
          <w:rStyle w:val="TextoNormalNegritaCaracter"/>
        </w:rPr>
        <w:t>Artículo 23.1.</w:t>
      </w:r>
      <w:r w:rsidRPr="009452A2">
        <w:rPr>
          <w:rStyle w:val="TextoNormalCaracter"/>
        </w:rPr>
        <w:t>-</w:t>
      </w:r>
      <w:r>
        <w:t xml:space="preserve"> Sentencias </w:t>
      </w:r>
      <w:hyperlink w:anchor="SENTENCIA_1985_8" w:history="1">
        <w:r w:rsidRPr="009452A2">
          <w:rPr>
            <w:rStyle w:val="TextoNormalCaracter"/>
          </w:rPr>
          <w:t>8/1985</w:t>
        </w:r>
      </w:hyperlink>
      <w:r>
        <w:t xml:space="preserve">, f. 2; </w:t>
      </w:r>
      <w:hyperlink w:anchor="SENTENCIA_1985_32" w:history="1">
        <w:r w:rsidRPr="009452A2">
          <w:rPr>
            <w:rStyle w:val="TextoNormalCaracter"/>
          </w:rPr>
          <w:t>32/1985</w:t>
        </w:r>
      </w:hyperlink>
      <w:r>
        <w:t>, f. 3.</w:t>
      </w:r>
    </w:p>
    <w:p w:rsidR="009452A2" w:rsidRDefault="009452A2" w:rsidP="009452A2">
      <w:pPr>
        <w:pStyle w:val="SangriaIzquierdaArticulo"/>
      </w:pPr>
      <w:r>
        <w:t xml:space="preserve">Auto </w:t>
      </w:r>
      <w:hyperlink w:anchor="AUTO_1985_26" w:history="1">
        <w:r w:rsidRPr="009452A2">
          <w:rPr>
            <w:rStyle w:val="TextoNormalCaracter"/>
          </w:rPr>
          <w:t>26/1985</w:t>
        </w:r>
      </w:hyperlink>
      <w:r>
        <w:t>.</w:t>
      </w:r>
    </w:p>
    <w:p w:rsidR="009452A2" w:rsidRDefault="009452A2" w:rsidP="009452A2">
      <w:pPr>
        <w:pStyle w:val="SangriaFrancesaArticulo"/>
      </w:pPr>
      <w:r w:rsidRPr="009452A2">
        <w:rPr>
          <w:rStyle w:val="TextoNormalNegritaCaracter"/>
        </w:rPr>
        <w:t>Artículo 23.2.</w:t>
      </w:r>
      <w:r w:rsidRPr="009452A2">
        <w:rPr>
          <w:rStyle w:val="TextoNormalCaracter"/>
        </w:rPr>
        <w:t>-</w:t>
      </w:r>
      <w:r>
        <w:t xml:space="preserve"> Sentencias </w:t>
      </w:r>
      <w:hyperlink w:anchor="SENTENCIA_1985_8" w:history="1">
        <w:r w:rsidRPr="009452A2">
          <w:rPr>
            <w:rStyle w:val="TextoNormalCaracter"/>
          </w:rPr>
          <w:t>8/1985</w:t>
        </w:r>
      </w:hyperlink>
      <w:r>
        <w:t xml:space="preserve">, ff. 2, 4; </w:t>
      </w:r>
      <w:hyperlink w:anchor="SENTENCIA_1985_32" w:history="1">
        <w:r w:rsidRPr="009452A2">
          <w:rPr>
            <w:rStyle w:val="TextoNormalCaracter"/>
          </w:rPr>
          <w:t>32/1985</w:t>
        </w:r>
      </w:hyperlink>
      <w:r>
        <w:t xml:space="preserve">, f. 3; </w:t>
      </w:r>
      <w:hyperlink w:anchor="SENTENCIA_1985_48" w:history="1">
        <w:r w:rsidRPr="009452A2">
          <w:rPr>
            <w:rStyle w:val="TextoNormalCaracter"/>
          </w:rPr>
          <w:t>48/1985</w:t>
        </w:r>
      </w:hyperlink>
      <w:r>
        <w:t>, f. 2.</w:t>
      </w:r>
    </w:p>
    <w:p w:rsidR="009452A2" w:rsidRDefault="009452A2" w:rsidP="009452A2">
      <w:pPr>
        <w:pStyle w:val="SangriaIzquierdaArticulo"/>
      </w:pPr>
      <w:r>
        <w:t xml:space="preserve">Autos </w:t>
      </w:r>
      <w:hyperlink w:anchor="AUTO_1985_181" w:history="1">
        <w:r w:rsidRPr="009452A2">
          <w:rPr>
            <w:rStyle w:val="TextoNormalCaracter"/>
          </w:rPr>
          <w:t>181/1985</w:t>
        </w:r>
      </w:hyperlink>
      <w:r>
        <w:t xml:space="preserve">; </w:t>
      </w:r>
      <w:hyperlink w:anchor="AUTO_1985_208" w:history="1">
        <w:r w:rsidRPr="009452A2">
          <w:rPr>
            <w:rStyle w:val="TextoNormalCaracter"/>
          </w:rPr>
          <w:t>208/1985</w:t>
        </w:r>
      </w:hyperlink>
      <w:r>
        <w:t>.</w:t>
      </w:r>
    </w:p>
    <w:p w:rsidR="009452A2" w:rsidRDefault="009452A2" w:rsidP="009452A2">
      <w:pPr>
        <w:pStyle w:val="SangriaFrancesaArticulo"/>
      </w:pPr>
      <w:r w:rsidRPr="009452A2">
        <w:rPr>
          <w:rStyle w:val="TextoNormalNegritaCaracter"/>
        </w:rPr>
        <w:t>Artículo 24.</w:t>
      </w:r>
      <w:r w:rsidRPr="009452A2">
        <w:rPr>
          <w:rStyle w:val="TextoNormalCaracter"/>
        </w:rPr>
        <w:t>-</w:t>
      </w:r>
      <w:r>
        <w:t xml:space="preserve"> Sentencias </w:t>
      </w:r>
      <w:hyperlink w:anchor="SENTENCIA_1985_5" w:history="1">
        <w:r w:rsidRPr="009452A2">
          <w:rPr>
            <w:rStyle w:val="TextoNormalCaracter"/>
          </w:rPr>
          <w:t>5/1985</w:t>
        </w:r>
      </w:hyperlink>
      <w:r>
        <w:t xml:space="preserve">, ff. 2, 8, VP; </w:t>
      </w:r>
      <w:hyperlink w:anchor="SENTENCIA_1985_14" w:history="1">
        <w:r w:rsidRPr="009452A2">
          <w:rPr>
            <w:rStyle w:val="TextoNormalCaracter"/>
          </w:rPr>
          <w:t>14/1985</w:t>
        </w:r>
      </w:hyperlink>
      <w:r>
        <w:t xml:space="preserve">, f. 3; </w:t>
      </w:r>
      <w:hyperlink w:anchor="SENTENCIA_1985_17" w:history="1">
        <w:r w:rsidRPr="009452A2">
          <w:rPr>
            <w:rStyle w:val="TextoNormalCaracter"/>
          </w:rPr>
          <w:t>17/1985</w:t>
        </w:r>
      </w:hyperlink>
      <w:r>
        <w:t xml:space="preserve">, ff. 1, 3; </w:t>
      </w:r>
      <w:hyperlink w:anchor="SENTENCIA_1985_21" w:history="1">
        <w:r w:rsidRPr="009452A2">
          <w:rPr>
            <w:rStyle w:val="TextoNormalCaracter"/>
          </w:rPr>
          <w:t>21/1985</w:t>
        </w:r>
      </w:hyperlink>
      <w:r>
        <w:t xml:space="preserve">, f. 3; </w:t>
      </w:r>
      <w:hyperlink w:anchor="SENTENCIA_1985_22" w:history="1">
        <w:r w:rsidRPr="009452A2">
          <w:rPr>
            <w:rStyle w:val="TextoNormalCaracter"/>
          </w:rPr>
          <w:t>22/1985</w:t>
        </w:r>
      </w:hyperlink>
      <w:r>
        <w:t xml:space="preserve">, f. 1, VP; </w:t>
      </w:r>
      <w:hyperlink w:anchor="SENTENCIA_1985_23" w:history="1">
        <w:r w:rsidRPr="009452A2">
          <w:rPr>
            <w:rStyle w:val="TextoNormalCaracter"/>
          </w:rPr>
          <w:t>23/1985</w:t>
        </w:r>
      </w:hyperlink>
      <w:r>
        <w:t xml:space="preserve">, ff. 1, 2; </w:t>
      </w:r>
      <w:hyperlink w:anchor="SENTENCIA_1985_27" w:history="1">
        <w:r w:rsidRPr="009452A2">
          <w:rPr>
            <w:rStyle w:val="TextoNormalCaracter"/>
          </w:rPr>
          <w:t>27/1985</w:t>
        </w:r>
      </w:hyperlink>
      <w:r>
        <w:t xml:space="preserve">, f. 3; </w:t>
      </w:r>
      <w:hyperlink w:anchor="SENTENCIA_1985_29" w:history="1">
        <w:r w:rsidRPr="009452A2">
          <w:rPr>
            <w:rStyle w:val="TextoNormalCaracter"/>
          </w:rPr>
          <w:t>29/1985</w:t>
        </w:r>
      </w:hyperlink>
      <w:r>
        <w:t xml:space="preserve">, f. 3, VP; </w:t>
      </w:r>
      <w:hyperlink w:anchor="SENTENCIA_1985_30" w:history="1">
        <w:r w:rsidRPr="009452A2">
          <w:rPr>
            <w:rStyle w:val="TextoNormalCaracter"/>
          </w:rPr>
          <w:t>30/1985</w:t>
        </w:r>
      </w:hyperlink>
      <w:r>
        <w:t xml:space="preserve">, f. 2; </w:t>
      </w:r>
      <w:hyperlink w:anchor="SENTENCIA_1985_31" w:history="1">
        <w:r w:rsidRPr="009452A2">
          <w:rPr>
            <w:rStyle w:val="TextoNormalCaracter"/>
          </w:rPr>
          <w:t>31/1985</w:t>
        </w:r>
      </w:hyperlink>
      <w:r>
        <w:t xml:space="preserve">, f. 1; </w:t>
      </w:r>
      <w:hyperlink w:anchor="SENTENCIA_1985_33" w:history="1">
        <w:r w:rsidRPr="009452A2">
          <w:rPr>
            <w:rStyle w:val="TextoNormalCaracter"/>
          </w:rPr>
          <w:t>33/1985</w:t>
        </w:r>
      </w:hyperlink>
      <w:r>
        <w:t xml:space="preserve">, ff. 1, 2; </w:t>
      </w:r>
      <w:hyperlink w:anchor="SENTENCIA_1985_34" w:history="1">
        <w:r w:rsidRPr="009452A2">
          <w:rPr>
            <w:rStyle w:val="TextoNormalCaracter"/>
          </w:rPr>
          <w:t>34/1985</w:t>
        </w:r>
      </w:hyperlink>
      <w:r>
        <w:t xml:space="preserve">, f. 4; </w:t>
      </w:r>
      <w:hyperlink w:anchor="SENTENCIA_1985_37" w:history="1">
        <w:r w:rsidRPr="009452A2">
          <w:rPr>
            <w:rStyle w:val="TextoNormalCaracter"/>
          </w:rPr>
          <w:t>37/1985</w:t>
        </w:r>
      </w:hyperlink>
      <w:r>
        <w:t xml:space="preserve">, f. 2; </w:t>
      </w:r>
      <w:hyperlink w:anchor="SENTENCIA_1985_39" w:history="1">
        <w:r w:rsidRPr="009452A2">
          <w:rPr>
            <w:rStyle w:val="TextoNormalCaracter"/>
          </w:rPr>
          <w:t>39/1985</w:t>
        </w:r>
      </w:hyperlink>
      <w:r>
        <w:t xml:space="preserve">, f. 4, VP; </w:t>
      </w:r>
      <w:hyperlink w:anchor="SENTENCIA_1985_43" w:history="1">
        <w:r w:rsidRPr="009452A2">
          <w:rPr>
            <w:rStyle w:val="TextoNormalCaracter"/>
          </w:rPr>
          <w:t>43/1985</w:t>
        </w:r>
      </w:hyperlink>
      <w:r>
        <w:t xml:space="preserve">, f. 1; </w:t>
      </w:r>
      <w:hyperlink w:anchor="SENTENCIA_1985_44" w:history="1">
        <w:r w:rsidRPr="009452A2">
          <w:rPr>
            <w:rStyle w:val="TextoNormalCaracter"/>
          </w:rPr>
          <w:t>44/1985</w:t>
        </w:r>
      </w:hyperlink>
      <w:r>
        <w:t xml:space="preserve">, ff. 1 a 3; </w:t>
      </w:r>
      <w:hyperlink w:anchor="SENTENCIA_1985_45" w:history="1">
        <w:r w:rsidRPr="009452A2">
          <w:rPr>
            <w:rStyle w:val="TextoNormalCaracter"/>
          </w:rPr>
          <w:t>45/1985</w:t>
        </w:r>
      </w:hyperlink>
      <w:r>
        <w:t xml:space="preserve">, f. 1; </w:t>
      </w:r>
      <w:hyperlink w:anchor="SENTENCIA_1985_47" w:history="1">
        <w:r w:rsidRPr="009452A2">
          <w:rPr>
            <w:rStyle w:val="TextoNormalCaracter"/>
          </w:rPr>
          <w:t>47/1985</w:t>
        </w:r>
      </w:hyperlink>
      <w:r>
        <w:t xml:space="preserve">, f. 1; </w:t>
      </w:r>
      <w:hyperlink w:anchor="SENTENCIA_1985_51" w:history="1">
        <w:r w:rsidRPr="009452A2">
          <w:rPr>
            <w:rStyle w:val="TextoNormalCaracter"/>
          </w:rPr>
          <w:t>51/1985</w:t>
        </w:r>
      </w:hyperlink>
      <w:r>
        <w:t xml:space="preserve">, ff. 3, 9; </w:t>
      </w:r>
      <w:hyperlink w:anchor="SENTENCIA_1985_52" w:history="1">
        <w:r w:rsidRPr="009452A2">
          <w:rPr>
            <w:rStyle w:val="TextoNormalCaracter"/>
          </w:rPr>
          <w:t>52/1985</w:t>
        </w:r>
      </w:hyperlink>
      <w:r>
        <w:t xml:space="preserve">, f. 2; </w:t>
      </w:r>
      <w:hyperlink w:anchor="SENTENCIA_1985_54" w:history="1">
        <w:r w:rsidRPr="009452A2">
          <w:rPr>
            <w:rStyle w:val="TextoNormalCaracter"/>
          </w:rPr>
          <w:t>54/1985</w:t>
        </w:r>
      </w:hyperlink>
      <w:r>
        <w:t xml:space="preserve">, ff. 6 a 8; </w:t>
      </w:r>
      <w:hyperlink w:anchor="SENTENCIA_1985_55" w:history="1">
        <w:r w:rsidRPr="009452A2">
          <w:rPr>
            <w:rStyle w:val="TextoNormalCaracter"/>
          </w:rPr>
          <w:t>55/1985</w:t>
        </w:r>
      </w:hyperlink>
      <w:r>
        <w:t xml:space="preserve">, ff. 2, 3; </w:t>
      </w:r>
      <w:hyperlink w:anchor="SENTENCIA_1985_57" w:history="1">
        <w:r w:rsidRPr="009452A2">
          <w:rPr>
            <w:rStyle w:val="TextoNormalCaracter"/>
          </w:rPr>
          <w:t>57/1985</w:t>
        </w:r>
      </w:hyperlink>
      <w:r>
        <w:t>, f. 2.</w:t>
      </w:r>
    </w:p>
    <w:p w:rsidR="009452A2" w:rsidRDefault="009452A2" w:rsidP="009452A2">
      <w:pPr>
        <w:pStyle w:val="SangriaIzquierdaArticulo"/>
      </w:pPr>
      <w:r>
        <w:t xml:space="preserve">Autos </w:t>
      </w:r>
      <w:hyperlink w:anchor="AUTO_1985_6" w:history="1">
        <w:r w:rsidRPr="009452A2">
          <w:rPr>
            <w:rStyle w:val="TextoNormalCaracter"/>
          </w:rPr>
          <w:t>6/1985</w:t>
        </w:r>
      </w:hyperlink>
      <w:r>
        <w:t xml:space="preserve">; </w:t>
      </w:r>
      <w:hyperlink w:anchor="AUTO_1985_8" w:history="1">
        <w:r w:rsidRPr="009452A2">
          <w:rPr>
            <w:rStyle w:val="TextoNormalCaracter"/>
          </w:rPr>
          <w:t>8/1985</w:t>
        </w:r>
      </w:hyperlink>
      <w:r>
        <w:t xml:space="preserve">; </w:t>
      </w:r>
      <w:hyperlink w:anchor="AUTO_1985_15" w:history="1">
        <w:r w:rsidRPr="009452A2">
          <w:rPr>
            <w:rStyle w:val="TextoNormalCaracter"/>
          </w:rPr>
          <w:t>15/1985</w:t>
        </w:r>
      </w:hyperlink>
      <w:r>
        <w:t xml:space="preserve">; </w:t>
      </w:r>
      <w:hyperlink w:anchor="AUTO_1985_16" w:history="1">
        <w:r w:rsidRPr="009452A2">
          <w:rPr>
            <w:rStyle w:val="TextoNormalCaracter"/>
          </w:rPr>
          <w:t>16/1985</w:t>
        </w:r>
      </w:hyperlink>
      <w:r>
        <w:t xml:space="preserve">; </w:t>
      </w:r>
      <w:hyperlink w:anchor="AUTO_1985_30" w:history="1">
        <w:r w:rsidRPr="009452A2">
          <w:rPr>
            <w:rStyle w:val="TextoNormalCaracter"/>
          </w:rPr>
          <w:t>30/1985</w:t>
        </w:r>
      </w:hyperlink>
      <w:r>
        <w:t xml:space="preserve">; </w:t>
      </w:r>
      <w:hyperlink w:anchor="AUTO_1985_31" w:history="1">
        <w:r w:rsidRPr="009452A2">
          <w:rPr>
            <w:rStyle w:val="TextoNormalCaracter"/>
          </w:rPr>
          <w:t>31/1985</w:t>
        </w:r>
      </w:hyperlink>
      <w:r>
        <w:t xml:space="preserve">; </w:t>
      </w:r>
      <w:hyperlink w:anchor="AUTO_1985_34" w:history="1">
        <w:r w:rsidRPr="009452A2">
          <w:rPr>
            <w:rStyle w:val="TextoNormalCaracter"/>
          </w:rPr>
          <w:t>34/1985</w:t>
        </w:r>
      </w:hyperlink>
      <w:r>
        <w:t xml:space="preserve">; </w:t>
      </w:r>
      <w:hyperlink w:anchor="AUTO_1985_52" w:history="1">
        <w:r w:rsidRPr="009452A2">
          <w:rPr>
            <w:rStyle w:val="TextoNormalCaracter"/>
          </w:rPr>
          <w:t>52/1985</w:t>
        </w:r>
      </w:hyperlink>
      <w:r>
        <w:t xml:space="preserve">; </w:t>
      </w:r>
      <w:hyperlink w:anchor="AUTO_1985_58" w:history="1">
        <w:r w:rsidRPr="009452A2">
          <w:rPr>
            <w:rStyle w:val="TextoNormalCaracter"/>
          </w:rPr>
          <w:t>58/1985</w:t>
        </w:r>
      </w:hyperlink>
      <w:r>
        <w:t xml:space="preserve">; </w:t>
      </w:r>
      <w:hyperlink w:anchor="AUTO_1985_59" w:history="1">
        <w:r w:rsidRPr="009452A2">
          <w:rPr>
            <w:rStyle w:val="TextoNormalCaracter"/>
          </w:rPr>
          <w:t>59/1985</w:t>
        </w:r>
      </w:hyperlink>
      <w:r>
        <w:t xml:space="preserve">; </w:t>
      </w:r>
      <w:hyperlink w:anchor="AUTO_1985_60" w:history="1">
        <w:r w:rsidRPr="009452A2">
          <w:rPr>
            <w:rStyle w:val="TextoNormalCaracter"/>
          </w:rPr>
          <w:t>60/1985</w:t>
        </w:r>
      </w:hyperlink>
      <w:r>
        <w:t xml:space="preserve">; </w:t>
      </w:r>
      <w:hyperlink w:anchor="AUTO_1985_64" w:history="1">
        <w:r w:rsidRPr="009452A2">
          <w:rPr>
            <w:rStyle w:val="TextoNormalCaracter"/>
          </w:rPr>
          <w:t>64/1985</w:t>
        </w:r>
      </w:hyperlink>
      <w:r>
        <w:t xml:space="preserve">; </w:t>
      </w:r>
      <w:hyperlink w:anchor="AUTO_1985_69" w:history="1">
        <w:r w:rsidRPr="009452A2">
          <w:rPr>
            <w:rStyle w:val="TextoNormalCaracter"/>
          </w:rPr>
          <w:t>69/1985</w:t>
        </w:r>
      </w:hyperlink>
      <w:r>
        <w:t xml:space="preserve">; </w:t>
      </w:r>
      <w:hyperlink w:anchor="AUTO_1985_70" w:history="1">
        <w:r w:rsidRPr="009452A2">
          <w:rPr>
            <w:rStyle w:val="TextoNormalCaracter"/>
          </w:rPr>
          <w:t>70/1985</w:t>
        </w:r>
      </w:hyperlink>
      <w:r>
        <w:t xml:space="preserve">; </w:t>
      </w:r>
      <w:hyperlink w:anchor="AUTO_1985_73" w:history="1">
        <w:r w:rsidRPr="009452A2">
          <w:rPr>
            <w:rStyle w:val="TextoNormalCaracter"/>
          </w:rPr>
          <w:t>73/1985</w:t>
        </w:r>
      </w:hyperlink>
      <w:r>
        <w:t xml:space="preserve">; </w:t>
      </w:r>
      <w:hyperlink w:anchor="AUTO_1985_83" w:history="1">
        <w:r w:rsidRPr="009452A2">
          <w:rPr>
            <w:rStyle w:val="TextoNormalCaracter"/>
          </w:rPr>
          <w:t>83/1985</w:t>
        </w:r>
      </w:hyperlink>
      <w:r>
        <w:t xml:space="preserve">; </w:t>
      </w:r>
      <w:hyperlink w:anchor="AUTO_1985_85" w:history="1">
        <w:r w:rsidRPr="009452A2">
          <w:rPr>
            <w:rStyle w:val="TextoNormalCaracter"/>
          </w:rPr>
          <w:t>85/1985</w:t>
        </w:r>
      </w:hyperlink>
      <w:r>
        <w:t xml:space="preserve">; </w:t>
      </w:r>
      <w:hyperlink w:anchor="AUTO_1985_88" w:history="1">
        <w:r w:rsidRPr="009452A2">
          <w:rPr>
            <w:rStyle w:val="TextoNormalCaracter"/>
          </w:rPr>
          <w:t>88/1985</w:t>
        </w:r>
      </w:hyperlink>
      <w:r>
        <w:t xml:space="preserve">; </w:t>
      </w:r>
      <w:hyperlink w:anchor="AUTO_1985_97" w:history="1">
        <w:r w:rsidRPr="009452A2">
          <w:rPr>
            <w:rStyle w:val="TextoNormalCaracter"/>
          </w:rPr>
          <w:t>97/1985</w:t>
        </w:r>
      </w:hyperlink>
      <w:r>
        <w:t xml:space="preserve">; </w:t>
      </w:r>
      <w:hyperlink w:anchor="AUTO_1985_98" w:history="1">
        <w:r w:rsidRPr="009452A2">
          <w:rPr>
            <w:rStyle w:val="TextoNormalCaracter"/>
          </w:rPr>
          <w:t>98/1985</w:t>
        </w:r>
      </w:hyperlink>
      <w:r>
        <w:t xml:space="preserve">; </w:t>
      </w:r>
      <w:hyperlink w:anchor="AUTO_1985_100" w:history="1">
        <w:r w:rsidRPr="009452A2">
          <w:rPr>
            <w:rStyle w:val="TextoNormalCaracter"/>
          </w:rPr>
          <w:t>100/1985</w:t>
        </w:r>
      </w:hyperlink>
      <w:r>
        <w:t xml:space="preserve">; </w:t>
      </w:r>
      <w:hyperlink w:anchor="AUTO_1985_104" w:history="1">
        <w:r w:rsidRPr="009452A2">
          <w:rPr>
            <w:rStyle w:val="TextoNormalCaracter"/>
          </w:rPr>
          <w:t>104/1985</w:t>
        </w:r>
      </w:hyperlink>
      <w:r>
        <w:t xml:space="preserve">; </w:t>
      </w:r>
      <w:hyperlink w:anchor="AUTO_1985_117" w:history="1">
        <w:r w:rsidRPr="009452A2">
          <w:rPr>
            <w:rStyle w:val="TextoNormalCaracter"/>
          </w:rPr>
          <w:t>117/1985</w:t>
        </w:r>
      </w:hyperlink>
      <w:r>
        <w:t xml:space="preserve">; </w:t>
      </w:r>
      <w:hyperlink w:anchor="AUTO_1985_118" w:history="1">
        <w:r w:rsidRPr="009452A2">
          <w:rPr>
            <w:rStyle w:val="TextoNormalCaracter"/>
          </w:rPr>
          <w:t>118/1985</w:t>
        </w:r>
      </w:hyperlink>
      <w:r>
        <w:t xml:space="preserve">; </w:t>
      </w:r>
      <w:hyperlink w:anchor="AUTO_1985_120" w:history="1">
        <w:r w:rsidRPr="009452A2">
          <w:rPr>
            <w:rStyle w:val="TextoNormalCaracter"/>
          </w:rPr>
          <w:t>120/1985</w:t>
        </w:r>
      </w:hyperlink>
      <w:r>
        <w:t xml:space="preserve">; </w:t>
      </w:r>
      <w:hyperlink w:anchor="AUTO_1985_121" w:history="1">
        <w:r w:rsidRPr="009452A2">
          <w:rPr>
            <w:rStyle w:val="TextoNormalCaracter"/>
          </w:rPr>
          <w:t>121/1985</w:t>
        </w:r>
      </w:hyperlink>
      <w:r>
        <w:t xml:space="preserve">; </w:t>
      </w:r>
      <w:hyperlink w:anchor="AUTO_1985_122" w:history="1">
        <w:r w:rsidRPr="009452A2">
          <w:rPr>
            <w:rStyle w:val="TextoNormalCaracter"/>
          </w:rPr>
          <w:t>122/1985</w:t>
        </w:r>
      </w:hyperlink>
      <w:r>
        <w:t xml:space="preserve">; </w:t>
      </w:r>
      <w:hyperlink w:anchor="AUTO_1985_124" w:history="1">
        <w:r w:rsidRPr="009452A2">
          <w:rPr>
            <w:rStyle w:val="TextoNormalCaracter"/>
          </w:rPr>
          <w:t>124/1985</w:t>
        </w:r>
      </w:hyperlink>
      <w:r>
        <w:t xml:space="preserve">; </w:t>
      </w:r>
      <w:hyperlink w:anchor="AUTO_1985_131" w:history="1">
        <w:r w:rsidRPr="009452A2">
          <w:rPr>
            <w:rStyle w:val="TextoNormalCaracter"/>
          </w:rPr>
          <w:t>131/1985</w:t>
        </w:r>
      </w:hyperlink>
      <w:r>
        <w:t xml:space="preserve">; </w:t>
      </w:r>
      <w:hyperlink w:anchor="AUTO_1985_136" w:history="1">
        <w:r w:rsidRPr="009452A2">
          <w:rPr>
            <w:rStyle w:val="TextoNormalCaracter"/>
          </w:rPr>
          <w:t>136/1985</w:t>
        </w:r>
      </w:hyperlink>
      <w:r>
        <w:t xml:space="preserve">; </w:t>
      </w:r>
      <w:hyperlink w:anchor="AUTO_1985_149" w:history="1">
        <w:r w:rsidRPr="009452A2">
          <w:rPr>
            <w:rStyle w:val="TextoNormalCaracter"/>
          </w:rPr>
          <w:t>149/1985</w:t>
        </w:r>
      </w:hyperlink>
      <w:r>
        <w:t xml:space="preserve">; </w:t>
      </w:r>
      <w:hyperlink w:anchor="AUTO_1985_160" w:history="1">
        <w:r w:rsidRPr="009452A2">
          <w:rPr>
            <w:rStyle w:val="TextoNormalCaracter"/>
          </w:rPr>
          <w:t>160/1985</w:t>
        </w:r>
      </w:hyperlink>
      <w:r>
        <w:t xml:space="preserve">; </w:t>
      </w:r>
      <w:hyperlink w:anchor="AUTO_1985_161" w:history="1">
        <w:r w:rsidRPr="009452A2">
          <w:rPr>
            <w:rStyle w:val="TextoNormalCaracter"/>
          </w:rPr>
          <w:t>161/1985</w:t>
        </w:r>
      </w:hyperlink>
      <w:r>
        <w:t xml:space="preserve">; </w:t>
      </w:r>
      <w:hyperlink w:anchor="AUTO_1985_164" w:history="1">
        <w:r w:rsidRPr="009452A2">
          <w:rPr>
            <w:rStyle w:val="TextoNormalCaracter"/>
          </w:rPr>
          <w:t>164/1985</w:t>
        </w:r>
      </w:hyperlink>
      <w:r>
        <w:t xml:space="preserve">; </w:t>
      </w:r>
      <w:hyperlink w:anchor="AUTO_1985_168" w:history="1">
        <w:r w:rsidRPr="009452A2">
          <w:rPr>
            <w:rStyle w:val="TextoNormalCaracter"/>
          </w:rPr>
          <w:t>168/1985</w:t>
        </w:r>
      </w:hyperlink>
      <w:r>
        <w:t xml:space="preserve">; </w:t>
      </w:r>
      <w:hyperlink w:anchor="AUTO_1985_179" w:history="1">
        <w:r w:rsidRPr="009452A2">
          <w:rPr>
            <w:rStyle w:val="TextoNormalCaracter"/>
          </w:rPr>
          <w:t>179/1985</w:t>
        </w:r>
      </w:hyperlink>
      <w:r>
        <w:t xml:space="preserve">; </w:t>
      </w:r>
      <w:hyperlink w:anchor="AUTO_1985_184" w:history="1">
        <w:r w:rsidRPr="009452A2">
          <w:rPr>
            <w:rStyle w:val="TextoNormalCaracter"/>
          </w:rPr>
          <w:t>184/1985</w:t>
        </w:r>
      </w:hyperlink>
      <w:r>
        <w:t xml:space="preserve">; </w:t>
      </w:r>
      <w:hyperlink w:anchor="AUTO_1985_185" w:history="1">
        <w:r w:rsidRPr="009452A2">
          <w:rPr>
            <w:rStyle w:val="TextoNormalCaracter"/>
          </w:rPr>
          <w:t>185/1985</w:t>
        </w:r>
      </w:hyperlink>
      <w:r>
        <w:t xml:space="preserve">; </w:t>
      </w:r>
      <w:hyperlink w:anchor="AUTO_1985_187" w:history="1">
        <w:r w:rsidRPr="009452A2">
          <w:rPr>
            <w:rStyle w:val="TextoNormalCaracter"/>
          </w:rPr>
          <w:t>187/1985</w:t>
        </w:r>
      </w:hyperlink>
      <w:r>
        <w:t xml:space="preserve">; </w:t>
      </w:r>
      <w:hyperlink w:anchor="AUTO_1985_188" w:history="1">
        <w:r w:rsidRPr="009452A2">
          <w:rPr>
            <w:rStyle w:val="TextoNormalCaracter"/>
          </w:rPr>
          <w:t>188/1985</w:t>
        </w:r>
      </w:hyperlink>
      <w:r>
        <w:t xml:space="preserve">; </w:t>
      </w:r>
      <w:hyperlink w:anchor="AUTO_1985_190" w:history="1">
        <w:r w:rsidRPr="009452A2">
          <w:rPr>
            <w:rStyle w:val="TextoNormalCaracter"/>
          </w:rPr>
          <w:t>190/1985</w:t>
        </w:r>
      </w:hyperlink>
      <w:r>
        <w:t xml:space="preserve">; </w:t>
      </w:r>
      <w:hyperlink w:anchor="AUTO_1985_191" w:history="1">
        <w:r w:rsidRPr="009452A2">
          <w:rPr>
            <w:rStyle w:val="TextoNormalCaracter"/>
          </w:rPr>
          <w:t>191/1985</w:t>
        </w:r>
      </w:hyperlink>
      <w:r>
        <w:t xml:space="preserve">; </w:t>
      </w:r>
      <w:hyperlink w:anchor="AUTO_1985_196" w:history="1">
        <w:r w:rsidRPr="009452A2">
          <w:rPr>
            <w:rStyle w:val="TextoNormalCaracter"/>
          </w:rPr>
          <w:t>196/1985</w:t>
        </w:r>
      </w:hyperlink>
      <w:r>
        <w:t xml:space="preserve">; </w:t>
      </w:r>
      <w:hyperlink w:anchor="AUTO_1985_203" w:history="1">
        <w:r w:rsidRPr="009452A2">
          <w:rPr>
            <w:rStyle w:val="TextoNormalCaracter"/>
          </w:rPr>
          <w:t>203/1985</w:t>
        </w:r>
      </w:hyperlink>
      <w:r>
        <w:t xml:space="preserve">; </w:t>
      </w:r>
      <w:hyperlink w:anchor="AUTO_1985_205" w:history="1">
        <w:r w:rsidRPr="009452A2">
          <w:rPr>
            <w:rStyle w:val="TextoNormalCaracter"/>
          </w:rPr>
          <w:t>205/1985</w:t>
        </w:r>
      </w:hyperlink>
      <w:r>
        <w:t xml:space="preserve">; </w:t>
      </w:r>
      <w:hyperlink w:anchor="AUTO_1985_208" w:history="1">
        <w:r w:rsidRPr="009452A2">
          <w:rPr>
            <w:rStyle w:val="TextoNormalCaracter"/>
          </w:rPr>
          <w:t>208/1985</w:t>
        </w:r>
      </w:hyperlink>
      <w:r>
        <w:t xml:space="preserve">; </w:t>
      </w:r>
      <w:hyperlink w:anchor="AUTO_1985_209" w:history="1">
        <w:r w:rsidRPr="009452A2">
          <w:rPr>
            <w:rStyle w:val="TextoNormalCaracter"/>
          </w:rPr>
          <w:t>209/1985</w:t>
        </w:r>
      </w:hyperlink>
      <w:r>
        <w:t xml:space="preserve">; </w:t>
      </w:r>
      <w:hyperlink w:anchor="AUTO_1985_217" w:history="1">
        <w:r w:rsidRPr="009452A2">
          <w:rPr>
            <w:rStyle w:val="TextoNormalCaracter"/>
          </w:rPr>
          <w:t>217/1985</w:t>
        </w:r>
      </w:hyperlink>
      <w:r>
        <w:t xml:space="preserve">; </w:t>
      </w:r>
      <w:hyperlink w:anchor="AUTO_1985_223" w:history="1">
        <w:r w:rsidRPr="009452A2">
          <w:rPr>
            <w:rStyle w:val="TextoNormalCaracter"/>
          </w:rPr>
          <w:t>223/1985</w:t>
        </w:r>
      </w:hyperlink>
      <w:r>
        <w:t xml:space="preserve">; </w:t>
      </w:r>
      <w:hyperlink w:anchor="AUTO_1985_228" w:history="1">
        <w:r w:rsidRPr="009452A2">
          <w:rPr>
            <w:rStyle w:val="TextoNormalCaracter"/>
          </w:rPr>
          <w:t>228/1985</w:t>
        </w:r>
      </w:hyperlink>
      <w:r>
        <w:t xml:space="preserve">; </w:t>
      </w:r>
      <w:hyperlink w:anchor="AUTO_1985_237" w:history="1">
        <w:r w:rsidRPr="009452A2">
          <w:rPr>
            <w:rStyle w:val="TextoNormalCaracter"/>
          </w:rPr>
          <w:t>237/1985</w:t>
        </w:r>
      </w:hyperlink>
      <w:r>
        <w:t xml:space="preserve">; </w:t>
      </w:r>
      <w:hyperlink w:anchor="AUTO_1985_241" w:history="1">
        <w:r w:rsidRPr="009452A2">
          <w:rPr>
            <w:rStyle w:val="TextoNormalCaracter"/>
          </w:rPr>
          <w:t>241/1985</w:t>
        </w:r>
      </w:hyperlink>
      <w:r>
        <w:t xml:space="preserve">; </w:t>
      </w:r>
      <w:hyperlink w:anchor="AUTO_1985_248" w:history="1">
        <w:r w:rsidRPr="009452A2">
          <w:rPr>
            <w:rStyle w:val="TextoNormalCaracter"/>
          </w:rPr>
          <w:t>248/1985</w:t>
        </w:r>
      </w:hyperlink>
      <w:r>
        <w:t xml:space="preserve">; </w:t>
      </w:r>
      <w:hyperlink w:anchor="AUTO_1985_252" w:history="1">
        <w:r w:rsidRPr="009452A2">
          <w:rPr>
            <w:rStyle w:val="TextoNormalCaracter"/>
          </w:rPr>
          <w:t>252/1985</w:t>
        </w:r>
      </w:hyperlink>
      <w:r>
        <w:t xml:space="preserve">; </w:t>
      </w:r>
      <w:hyperlink w:anchor="AUTO_1985_256" w:history="1">
        <w:r w:rsidRPr="009452A2">
          <w:rPr>
            <w:rStyle w:val="TextoNormalCaracter"/>
          </w:rPr>
          <w:t>256/1985</w:t>
        </w:r>
      </w:hyperlink>
      <w:r>
        <w:t xml:space="preserve">; </w:t>
      </w:r>
      <w:hyperlink w:anchor="AUTO_1985_267" w:history="1">
        <w:r w:rsidRPr="009452A2">
          <w:rPr>
            <w:rStyle w:val="TextoNormalCaracter"/>
          </w:rPr>
          <w:t>267/1985</w:t>
        </w:r>
      </w:hyperlink>
      <w:r>
        <w:t xml:space="preserve">; </w:t>
      </w:r>
      <w:hyperlink w:anchor="AUTO_1985_270" w:history="1">
        <w:r w:rsidRPr="009452A2">
          <w:rPr>
            <w:rStyle w:val="TextoNormalCaracter"/>
          </w:rPr>
          <w:t>270/1985</w:t>
        </w:r>
      </w:hyperlink>
      <w:r>
        <w:t xml:space="preserve">; </w:t>
      </w:r>
      <w:hyperlink w:anchor="AUTO_1985_280" w:history="1">
        <w:r w:rsidRPr="009452A2">
          <w:rPr>
            <w:rStyle w:val="TextoNormalCaracter"/>
          </w:rPr>
          <w:t>280/1985</w:t>
        </w:r>
      </w:hyperlink>
      <w:r>
        <w:t>.</w:t>
      </w:r>
    </w:p>
    <w:p w:rsidR="009452A2" w:rsidRDefault="009452A2" w:rsidP="009452A2">
      <w:pPr>
        <w:pStyle w:val="SangriaFrancesaArticulo"/>
      </w:pPr>
      <w:r w:rsidRPr="009452A2">
        <w:rPr>
          <w:rStyle w:val="TextoNormalNegritaCaracter"/>
        </w:rPr>
        <w:t>Artículo 24.1.</w:t>
      </w:r>
      <w:r w:rsidRPr="009452A2">
        <w:rPr>
          <w:rStyle w:val="TextoNormalCaracter"/>
        </w:rPr>
        <w:t>-</w:t>
      </w:r>
      <w:r>
        <w:t xml:space="preserve"> Sentencias </w:t>
      </w:r>
      <w:hyperlink w:anchor="SENTENCIA_1985_1" w:history="1">
        <w:r w:rsidRPr="009452A2">
          <w:rPr>
            <w:rStyle w:val="TextoNormalCaracter"/>
          </w:rPr>
          <w:t>1/1985</w:t>
        </w:r>
      </w:hyperlink>
      <w:r>
        <w:t xml:space="preserve">, ff. 1, 4; </w:t>
      </w:r>
      <w:hyperlink w:anchor="SENTENCIA_1985_2" w:history="1">
        <w:r w:rsidRPr="009452A2">
          <w:rPr>
            <w:rStyle w:val="TextoNormalCaracter"/>
          </w:rPr>
          <w:t>2/1985</w:t>
        </w:r>
      </w:hyperlink>
      <w:r>
        <w:t xml:space="preserve">, f. 1; </w:t>
      </w:r>
      <w:hyperlink w:anchor="SENTENCIA_1985_3" w:history="1">
        <w:r w:rsidRPr="009452A2">
          <w:rPr>
            <w:rStyle w:val="TextoNormalCaracter"/>
          </w:rPr>
          <w:t>3/1985</w:t>
        </w:r>
      </w:hyperlink>
      <w:r>
        <w:t xml:space="preserve">, f. 1; </w:t>
      </w:r>
      <w:hyperlink w:anchor="SENTENCIA_1985_4" w:history="1">
        <w:r w:rsidRPr="009452A2">
          <w:rPr>
            <w:rStyle w:val="TextoNormalCaracter"/>
          </w:rPr>
          <w:t>4/1985</w:t>
        </w:r>
      </w:hyperlink>
      <w:r>
        <w:t xml:space="preserve">, ff. 2, 3; </w:t>
      </w:r>
      <w:hyperlink w:anchor="SENTENCIA_1985_5" w:history="1">
        <w:r w:rsidRPr="009452A2">
          <w:rPr>
            <w:rStyle w:val="TextoNormalCaracter"/>
          </w:rPr>
          <w:t>5/1985</w:t>
        </w:r>
      </w:hyperlink>
      <w:r>
        <w:t xml:space="preserve">, f. 3; </w:t>
      </w:r>
      <w:hyperlink w:anchor="SENTENCIA_1985_6" w:history="1">
        <w:r w:rsidRPr="009452A2">
          <w:rPr>
            <w:rStyle w:val="TextoNormalCaracter"/>
          </w:rPr>
          <w:t>6/1985</w:t>
        </w:r>
      </w:hyperlink>
      <w:r>
        <w:t xml:space="preserve">, f. 1; </w:t>
      </w:r>
      <w:hyperlink w:anchor="SENTENCIA_1985_11" w:history="1">
        <w:r w:rsidRPr="009452A2">
          <w:rPr>
            <w:rStyle w:val="TextoNormalCaracter"/>
          </w:rPr>
          <w:t>11/1985</w:t>
        </w:r>
      </w:hyperlink>
      <w:r>
        <w:t xml:space="preserve">, f. 2; </w:t>
      </w:r>
      <w:hyperlink w:anchor="SENTENCIA_1985_14" w:history="1">
        <w:r w:rsidRPr="009452A2">
          <w:rPr>
            <w:rStyle w:val="TextoNormalCaracter"/>
          </w:rPr>
          <w:t>14/1985</w:t>
        </w:r>
      </w:hyperlink>
      <w:r>
        <w:t xml:space="preserve">, f. 2; </w:t>
      </w:r>
      <w:hyperlink w:anchor="SENTENCIA_1985_15" w:history="1">
        <w:r w:rsidRPr="009452A2">
          <w:rPr>
            <w:rStyle w:val="TextoNormalCaracter"/>
          </w:rPr>
          <w:t>15/1985</w:t>
        </w:r>
      </w:hyperlink>
      <w:r>
        <w:t xml:space="preserve">, f. 2; </w:t>
      </w:r>
      <w:hyperlink w:anchor="SENTENCIA_1985_16" w:history="1">
        <w:r w:rsidRPr="009452A2">
          <w:rPr>
            <w:rStyle w:val="TextoNormalCaracter"/>
          </w:rPr>
          <w:t>16/1985</w:t>
        </w:r>
      </w:hyperlink>
      <w:r>
        <w:t xml:space="preserve">, f. 5; </w:t>
      </w:r>
      <w:hyperlink w:anchor="SENTENCIA_1985_17" w:history="1">
        <w:r w:rsidRPr="009452A2">
          <w:rPr>
            <w:rStyle w:val="TextoNormalCaracter"/>
          </w:rPr>
          <w:t>17/1985</w:t>
        </w:r>
      </w:hyperlink>
      <w:r>
        <w:t xml:space="preserve">, ff. 1, 5; </w:t>
      </w:r>
      <w:hyperlink w:anchor="SENTENCIA_1985_21" w:history="1">
        <w:r w:rsidRPr="009452A2">
          <w:rPr>
            <w:rStyle w:val="TextoNormalCaracter"/>
          </w:rPr>
          <w:t>21/1985</w:t>
        </w:r>
      </w:hyperlink>
      <w:r>
        <w:t xml:space="preserve">, f. 3; </w:t>
      </w:r>
      <w:hyperlink w:anchor="SENTENCIA_1985_22" w:history="1">
        <w:r w:rsidRPr="009452A2">
          <w:rPr>
            <w:rStyle w:val="TextoNormalCaracter"/>
          </w:rPr>
          <w:t>22/1985</w:t>
        </w:r>
      </w:hyperlink>
      <w:r>
        <w:t xml:space="preserve">, ff. 1, 4, 5; </w:t>
      </w:r>
      <w:hyperlink w:anchor="SENTENCIA_1985_23" w:history="1">
        <w:r w:rsidRPr="009452A2">
          <w:rPr>
            <w:rStyle w:val="TextoNormalCaracter"/>
          </w:rPr>
          <w:t>23/1985</w:t>
        </w:r>
      </w:hyperlink>
      <w:r>
        <w:t xml:space="preserve">, f. 1; </w:t>
      </w:r>
      <w:hyperlink w:anchor="SENTENCIA_1985_29" w:history="1">
        <w:r w:rsidRPr="009452A2">
          <w:rPr>
            <w:rStyle w:val="TextoNormalCaracter"/>
          </w:rPr>
          <w:t>29/1985</w:t>
        </w:r>
      </w:hyperlink>
      <w:r>
        <w:t xml:space="preserve">, ff. 1 a 3; </w:t>
      </w:r>
      <w:hyperlink w:anchor="SENTENCIA_1985_30" w:history="1">
        <w:r w:rsidRPr="009452A2">
          <w:rPr>
            <w:rStyle w:val="TextoNormalCaracter"/>
          </w:rPr>
          <w:t>30/1985</w:t>
        </w:r>
      </w:hyperlink>
      <w:r>
        <w:t xml:space="preserve">, ff. 1, 2; </w:t>
      </w:r>
      <w:hyperlink w:anchor="SENTENCIA_1985_31" w:history="1">
        <w:r w:rsidRPr="009452A2">
          <w:rPr>
            <w:rStyle w:val="TextoNormalCaracter"/>
          </w:rPr>
          <w:t>31/1985</w:t>
        </w:r>
      </w:hyperlink>
      <w:r>
        <w:t xml:space="preserve">, f. 2; </w:t>
      </w:r>
      <w:hyperlink w:anchor="SENTENCIA_1985_34" w:history="1">
        <w:r w:rsidRPr="009452A2">
          <w:rPr>
            <w:rStyle w:val="TextoNormalCaracter"/>
          </w:rPr>
          <w:t>34/1985</w:t>
        </w:r>
      </w:hyperlink>
      <w:r>
        <w:t xml:space="preserve">, ff. 1, 4; </w:t>
      </w:r>
      <w:hyperlink w:anchor="SENTENCIA_1985_39" w:history="1">
        <w:r w:rsidRPr="009452A2">
          <w:rPr>
            <w:rStyle w:val="TextoNormalCaracter"/>
          </w:rPr>
          <w:t>39/1985</w:t>
        </w:r>
      </w:hyperlink>
      <w:r>
        <w:t xml:space="preserve">, passim; </w:t>
      </w:r>
      <w:hyperlink w:anchor="SENTENCIA_1985_41" w:history="1">
        <w:r w:rsidRPr="009452A2">
          <w:rPr>
            <w:rStyle w:val="TextoNormalCaracter"/>
          </w:rPr>
          <w:t>41/1985</w:t>
        </w:r>
      </w:hyperlink>
      <w:r>
        <w:t xml:space="preserve">, f. 1; </w:t>
      </w:r>
      <w:hyperlink w:anchor="SENTENCIA_1985_43" w:history="1">
        <w:r w:rsidRPr="009452A2">
          <w:rPr>
            <w:rStyle w:val="TextoNormalCaracter"/>
          </w:rPr>
          <w:t>43/1985</w:t>
        </w:r>
      </w:hyperlink>
      <w:r>
        <w:t xml:space="preserve">, f. 2; </w:t>
      </w:r>
      <w:hyperlink w:anchor="SENTENCIA_1985_44" w:history="1">
        <w:r w:rsidRPr="009452A2">
          <w:rPr>
            <w:rStyle w:val="TextoNormalCaracter"/>
          </w:rPr>
          <w:t>44/1985</w:t>
        </w:r>
      </w:hyperlink>
      <w:r>
        <w:t xml:space="preserve">, ff. 1, 3; </w:t>
      </w:r>
      <w:hyperlink w:anchor="SENTENCIA_1985_45" w:history="1">
        <w:r w:rsidRPr="009452A2">
          <w:rPr>
            <w:rStyle w:val="TextoNormalCaracter"/>
          </w:rPr>
          <w:t>45/1985</w:t>
        </w:r>
      </w:hyperlink>
      <w:r>
        <w:t xml:space="preserve">, f. 2; </w:t>
      </w:r>
      <w:hyperlink w:anchor="SENTENCIA_1985_47" w:history="1">
        <w:r w:rsidRPr="009452A2">
          <w:rPr>
            <w:rStyle w:val="TextoNormalCaracter"/>
          </w:rPr>
          <w:t>47/1985</w:t>
        </w:r>
      </w:hyperlink>
      <w:r>
        <w:t xml:space="preserve">, f. 1; </w:t>
      </w:r>
      <w:hyperlink w:anchor="SENTENCIA_1985_50" w:history="1">
        <w:r w:rsidRPr="009452A2">
          <w:rPr>
            <w:rStyle w:val="TextoNormalCaracter"/>
          </w:rPr>
          <w:t>50/1985</w:t>
        </w:r>
      </w:hyperlink>
      <w:r>
        <w:t xml:space="preserve">, ff. 1, 2; </w:t>
      </w:r>
      <w:hyperlink w:anchor="SENTENCIA_1985_51" w:history="1">
        <w:r w:rsidRPr="009452A2">
          <w:rPr>
            <w:rStyle w:val="TextoNormalCaracter"/>
          </w:rPr>
          <w:t>51/1985</w:t>
        </w:r>
      </w:hyperlink>
      <w:r>
        <w:t xml:space="preserve">, ff. 2, 6; </w:t>
      </w:r>
      <w:hyperlink w:anchor="SENTENCIA_1985_52" w:history="1">
        <w:r w:rsidRPr="009452A2">
          <w:rPr>
            <w:rStyle w:val="TextoNormalCaracter"/>
          </w:rPr>
          <w:t>52/1985</w:t>
        </w:r>
      </w:hyperlink>
      <w:r>
        <w:t xml:space="preserve">, f. 2; </w:t>
      </w:r>
      <w:hyperlink w:anchor="SENTENCIA_1985_54" w:history="1">
        <w:r w:rsidRPr="009452A2">
          <w:rPr>
            <w:rStyle w:val="TextoNormalCaracter"/>
          </w:rPr>
          <w:t>54/1985</w:t>
        </w:r>
      </w:hyperlink>
      <w:r>
        <w:t xml:space="preserve">, f. 1; </w:t>
      </w:r>
      <w:hyperlink w:anchor="SENTENCIA_1985_55" w:history="1">
        <w:r w:rsidRPr="009452A2">
          <w:rPr>
            <w:rStyle w:val="TextoNormalCaracter"/>
          </w:rPr>
          <w:t>55/1985</w:t>
        </w:r>
      </w:hyperlink>
      <w:r>
        <w:t xml:space="preserve">, f. 2; </w:t>
      </w:r>
      <w:hyperlink w:anchor="SENTENCIA_1985_56" w:history="1">
        <w:r w:rsidRPr="009452A2">
          <w:rPr>
            <w:rStyle w:val="TextoNormalCaracter"/>
          </w:rPr>
          <w:t>56/1985</w:t>
        </w:r>
      </w:hyperlink>
      <w:r>
        <w:t xml:space="preserve">, ff. 1, 2; </w:t>
      </w:r>
      <w:hyperlink w:anchor="SENTENCIA_1985_57" w:history="1">
        <w:r w:rsidRPr="009452A2">
          <w:rPr>
            <w:rStyle w:val="TextoNormalCaracter"/>
          </w:rPr>
          <w:t>57/1985</w:t>
        </w:r>
      </w:hyperlink>
      <w:r>
        <w:t>, ff. 1, 3, 4.</w:t>
      </w:r>
    </w:p>
    <w:p w:rsidR="009452A2" w:rsidRDefault="009452A2" w:rsidP="009452A2">
      <w:pPr>
        <w:pStyle w:val="SangriaIzquierdaArticulo"/>
      </w:pPr>
      <w:r>
        <w:t xml:space="preserve">Autos </w:t>
      </w:r>
      <w:hyperlink w:anchor="AUTO_1985_3" w:history="1">
        <w:r w:rsidRPr="009452A2">
          <w:rPr>
            <w:rStyle w:val="TextoNormalCaracter"/>
          </w:rPr>
          <w:t>3/1985</w:t>
        </w:r>
      </w:hyperlink>
      <w:r>
        <w:t xml:space="preserve">; </w:t>
      </w:r>
      <w:hyperlink w:anchor="AUTO_1985_7" w:history="1">
        <w:r w:rsidRPr="009452A2">
          <w:rPr>
            <w:rStyle w:val="TextoNormalCaracter"/>
          </w:rPr>
          <w:t>7/1985</w:t>
        </w:r>
      </w:hyperlink>
      <w:r>
        <w:t xml:space="preserve">; </w:t>
      </w:r>
      <w:hyperlink w:anchor="AUTO_1985_8" w:history="1">
        <w:r w:rsidRPr="009452A2">
          <w:rPr>
            <w:rStyle w:val="TextoNormalCaracter"/>
          </w:rPr>
          <w:t>8/1985</w:t>
        </w:r>
      </w:hyperlink>
      <w:r>
        <w:t xml:space="preserve">; </w:t>
      </w:r>
      <w:hyperlink w:anchor="AUTO_1985_16" w:history="1">
        <w:r w:rsidRPr="009452A2">
          <w:rPr>
            <w:rStyle w:val="TextoNormalCaracter"/>
          </w:rPr>
          <w:t>16/1985</w:t>
        </w:r>
      </w:hyperlink>
      <w:r>
        <w:t xml:space="preserve">; </w:t>
      </w:r>
      <w:hyperlink w:anchor="AUTO_1985_30" w:history="1">
        <w:r w:rsidRPr="009452A2">
          <w:rPr>
            <w:rStyle w:val="TextoNormalCaracter"/>
          </w:rPr>
          <w:t>30/1985</w:t>
        </w:r>
      </w:hyperlink>
      <w:r>
        <w:t xml:space="preserve">; </w:t>
      </w:r>
      <w:hyperlink w:anchor="AUTO_1985_31" w:history="1">
        <w:r w:rsidRPr="009452A2">
          <w:rPr>
            <w:rStyle w:val="TextoNormalCaracter"/>
          </w:rPr>
          <w:t>31/1985</w:t>
        </w:r>
      </w:hyperlink>
      <w:r>
        <w:t xml:space="preserve">; </w:t>
      </w:r>
      <w:hyperlink w:anchor="AUTO_1985_41" w:history="1">
        <w:r w:rsidRPr="009452A2">
          <w:rPr>
            <w:rStyle w:val="TextoNormalCaracter"/>
          </w:rPr>
          <w:t>41/1985</w:t>
        </w:r>
      </w:hyperlink>
      <w:r>
        <w:t xml:space="preserve">; </w:t>
      </w:r>
      <w:hyperlink w:anchor="AUTO_1985_42" w:history="1">
        <w:r w:rsidRPr="009452A2">
          <w:rPr>
            <w:rStyle w:val="TextoNormalCaracter"/>
          </w:rPr>
          <w:t>42/1985</w:t>
        </w:r>
      </w:hyperlink>
      <w:r>
        <w:t xml:space="preserve">; </w:t>
      </w:r>
      <w:hyperlink w:anchor="AUTO_1985_45" w:history="1">
        <w:r w:rsidRPr="009452A2">
          <w:rPr>
            <w:rStyle w:val="TextoNormalCaracter"/>
          </w:rPr>
          <w:t>45/1985</w:t>
        </w:r>
      </w:hyperlink>
      <w:r>
        <w:t xml:space="preserve">; </w:t>
      </w:r>
      <w:hyperlink w:anchor="AUTO_1985_50" w:history="1">
        <w:r w:rsidRPr="009452A2">
          <w:rPr>
            <w:rStyle w:val="TextoNormalCaracter"/>
          </w:rPr>
          <w:t>50/1985</w:t>
        </w:r>
      </w:hyperlink>
      <w:r>
        <w:t xml:space="preserve">; </w:t>
      </w:r>
      <w:hyperlink w:anchor="AUTO_1985_52" w:history="1">
        <w:r w:rsidRPr="009452A2">
          <w:rPr>
            <w:rStyle w:val="TextoNormalCaracter"/>
          </w:rPr>
          <w:t>52/1985</w:t>
        </w:r>
      </w:hyperlink>
      <w:r>
        <w:t xml:space="preserve">; </w:t>
      </w:r>
      <w:hyperlink w:anchor="AUTO_1985_59" w:history="1">
        <w:r w:rsidRPr="009452A2">
          <w:rPr>
            <w:rStyle w:val="TextoNormalCaracter"/>
          </w:rPr>
          <w:t>59/1985</w:t>
        </w:r>
      </w:hyperlink>
      <w:r>
        <w:t xml:space="preserve">; </w:t>
      </w:r>
      <w:hyperlink w:anchor="AUTO_1985_63" w:history="1">
        <w:r w:rsidRPr="009452A2">
          <w:rPr>
            <w:rStyle w:val="TextoNormalCaracter"/>
          </w:rPr>
          <w:t>63/1985</w:t>
        </w:r>
      </w:hyperlink>
      <w:r>
        <w:t xml:space="preserve">; </w:t>
      </w:r>
      <w:hyperlink w:anchor="AUTO_1985_66" w:history="1">
        <w:r w:rsidRPr="009452A2">
          <w:rPr>
            <w:rStyle w:val="TextoNormalCaracter"/>
          </w:rPr>
          <w:t>66/1985</w:t>
        </w:r>
      </w:hyperlink>
      <w:r>
        <w:t xml:space="preserve">; </w:t>
      </w:r>
      <w:hyperlink w:anchor="AUTO_1985_67" w:history="1">
        <w:r w:rsidRPr="009452A2">
          <w:rPr>
            <w:rStyle w:val="TextoNormalCaracter"/>
          </w:rPr>
          <w:t>67/1985</w:t>
        </w:r>
      </w:hyperlink>
      <w:r>
        <w:t xml:space="preserve">; </w:t>
      </w:r>
      <w:hyperlink w:anchor="AUTO_1985_69" w:history="1">
        <w:r w:rsidRPr="009452A2">
          <w:rPr>
            <w:rStyle w:val="TextoNormalCaracter"/>
          </w:rPr>
          <w:t>69/1985</w:t>
        </w:r>
      </w:hyperlink>
      <w:r>
        <w:t xml:space="preserve">; </w:t>
      </w:r>
      <w:hyperlink w:anchor="AUTO_1985_70" w:history="1">
        <w:r w:rsidRPr="009452A2">
          <w:rPr>
            <w:rStyle w:val="TextoNormalCaracter"/>
          </w:rPr>
          <w:t>70/1985</w:t>
        </w:r>
      </w:hyperlink>
      <w:r>
        <w:t xml:space="preserve">; </w:t>
      </w:r>
      <w:hyperlink w:anchor="AUTO_1985_76" w:history="1">
        <w:r w:rsidRPr="009452A2">
          <w:rPr>
            <w:rStyle w:val="TextoNormalCaracter"/>
          </w:rPr>
          <w:t>76/1985</w:t>
        </w:r>
      </w:hyperlink>
      <w:r>
        <w:t xml:space="preserve">; </w:t>
      </w:r>
      <w:hyperlink w:anchor="AUTO_1985_78" w:history="1">
        <w:r w:rsidRPr="009452A2">
          <w:rPr>
            <w:rStyle w:val="TextoNormalCaracter"/>
          </w:rPr>
          <w:t>78/1985</w:t>
        </w:r>
      </w:hyperlink>
      <w:r>
        <w:t xml:space="preserve">; </w:t>
      </w:r>
      <w:hyperlink w:anchor="AUTO_1985_79" w:history="1">
        <w:r w:rsidRPr="009452A2">
          <w:rPr>
            <w:rStyle w:val="TextoNormalCaracter"/>
          </w:rPr>
          <w:t>79/1985</w:t>
        </w:r>
      </w:hyperlink>
      <w:r>
        <w:t xml:space="preserve">; </w:t>
      </w:r>
      <w:hyperlink w:anchor="AUTO_1985_81" w:history="1">
        <w:r w:rsidRPr="009452A2">
          <w:rPr>
            <w:rStyle w:val="TextoNormalCaracter"/>
          </w:rPr>
          <w:t>81/1985</w:t>
        </w:r>
      </w:hyperlink>
      <w:r>
        <w:t xml:space="preserve">; </w:t>
      </w:r>
      <w:hyperlink w:anchor="AUTO_1985_82" w:history="1">
        <w:r w:rsidRPr="009452A2">
          <w:rPr>
            <w:rStyle w:val="TextoNormalCaracter"/>
          </w:rPr>
          <w:t>82/1985</w:t>
        </w:r>
      </w:hyperlink>
      <w:r>
        <w:t xml:space="preserve">; </w:t>
      </w:r>
      <w:hyperlink w:anchor="AUTO_1985_84" w:history="1">
        <w:r w:rsidRPr="009452A2">
          <w:rPr>
            <w:rStyle w:val="TextoNormalCaracter"/>
          </w:rPr>
          <w:t>84/1985</w:t>
        </w:r>
      </w:hyperlink>
      <w:r>
        <w:t xml:space="preserve">; </w:t>
      </w:r>
      <w:hyperlink w:anchor="AUTO_1985_89" w:history="1">
        <w:r w:rsidRPr="009452A2">
          <w:rPr>
            <w:rStyle w:val="TextoNormalCaracter"/>
          </w:rPr>
          <w:t>89/1985</w:t>
        </w:r>
      </w:hyperlink>
      <w:r>
        <w:t xml:space="preserve">; </w:t>
      </w:r>
      <w:hyperlink w:anchor="AUTO_1985_93" w:history="1">
        <w:r w:rsidRPr="009452A2">
          <w:rPr>
            <w:rStyle w:val="TextoNormalCaracter"/>
          </w:rPr>
          <w:t>93/1985</w:t>
        </w:r>
      </w:hyperlink>
      <w:r>
        <w:t xml:space="preserve">; </w:t>
      </w:r>
      <w:hyperlink w:anchor="AUTO_1985_95" w:history="1">
        <w:r w:rsidRPr="009452A2">
          <w:rPr>
            <w:rStyle w:val="TextoNormalCaracter"/>
          </w:rPr>
          <w:t>95/1985</w:t>
        </w:r>
      </w:hyperlink>
      <w:r>
        <w:t xml:space="preserve">; </w:t>
      </w:r>
      <w:hyperlink w:anchor="AUTO_1985_103" w:history="1">
        <w:r w:rsidRPr="009452A2">
          <w:rPr>
            <w:rStyle w:val="TextoNormalCaracter"/>
          </w:rPr>
          <w:t>103/1985</w:t>
        </w:r>
      </w:hyperlink>
      <w:r>
        <w:t xml:space="preserve">; </w:t>
      </w:r>
      <w:hyperlink w:anchor="AUTO_1985_104" w:history="1">
        <w:r w:rsidRPr="009452A2">
          <w:rPr>
            <w:rStyle w:val="TextoNormalCaracter"/>
          </w:rPr>
          <w:t>104/1985</w:t>
        </w:r>
      </w:hyperlink>
      <w:r>
        <w:t xml:space="preserve">; </w:t>
      </w:r>
      <w:hyperlink w:anchor="AUTO_1985_109" w:history="1">
        <w:r w:rsidRPr="009452A2">
          <w:rPr>
            <w:rStyle w:val="TextoNormalCaracter"/>
          </w:rPr>
          <w:t>109/1985</w:t>
        </w:r>
      </w:hyperlink>
      <w:r>
        <w:t xml:space="preserve">; </w:t>
      </w:r>
      <w:hyperlink w:anchor="AUTO_1985_117" w:history="1">
        <w:r w:rsidRPr="009452A2">
          <w:rPr>
            <w:rStyle w:val="TextoNormalCaracter"/>
          </w:rPr>
          <w:t>117/1985</w:t>
        </w:r>
      </w:hyperlink>
      <w:r>
        <w:t xml:space="preserve">; </w:t>
      </w:r>
      <w:hyperlink w:anchor="AUTO_1985_118" w:history="1">
        <w:r w:rsidRPr="009452A2">
          <w:rPr>
            <w:rStyle w:val="TextoNormalCaracter"/>
          </w:rPr>
          <w:t>118/1985</w:t>
        </w:r>
      </w:hyperlink>
      <w:r>
        <w:t xml:space="preserve">; </w:t>
      </w:r>
      <w:hyperlink w:anchor="AUTO_1985_119" w:history="1">
        <w:r w:rsidRPr="009452A2">
          <w:rPr>
            <w:rStyle w:val="TextoNormalCaracter"/>
          </w:rPr>
          <w:t>119/1985</w:t>
        </w:r>
      </w:hyperlink>
      <w:r>
        <w:t xml:space="preserve">; </w:t>
      </w:r>
      <w:hyperlink w:anchor="AUTO_1985_121" w:history="1">
        <w:r w:rsidRPr="009452A2">
          <w:rPr>
            <w:rStyle w:val="TextoNormalCaracter"/>
          </w:rPr>
          <w:t>121/1985</w:t>
        </w:r>
      </w:hyperlink>
      <w:r>
        <w:t xml:space="preserve">; </w:t>
      </w:r>
      <w:hyperlink w:anchor="AUTO_1985_123" w:history="1">
        <w:r w:rsidRPr="009452A2">
          <w:rPr>
            <w:rStyle w:val="TextoNormalCaracter"/>
          </w:rPr>
          <w:t>123/1985</w:t>
        </w:r>
      </w:hyperlink>
      <w:r>
        <w:t xml:space="preserve">; </w:t>
      </w:r>
      <w:hyperlink w:anchor="AUTO_1985_134" w:history="1">
        <w:r w:rsidRPr="009452A2">
          <w:rPr>
            <w:rStyle w:val="TextoNormalCaracter"/>
          </w:rPr>
          <w:t>134/1985</w:t>
        </w:r>
      </w:hyperlink>
      <w:r>
        <w:t xml:space="preserve">; </w:t>
      </w:r>
      <w:hyperlink w:anchor="AUTO_1985_136" w:history="1">
        <w:r w:rsidRPr="009452A2">
          <w:rPr>
            <w:rStyle w:val="TextoNormalCaracter"/>
          </w:rPr>
          <w:t>136/1985</w:t>
        </w:r>
      </w:hyperlink>
      <w:r>
        <w:t xml:space="preserve">; </w:t>
      </w:r>
      <w:hyperlink w:anchor="AUTO_1985_141" w:history="1">
        <w:r w:rsidRPr="009452A2">
          <w:rPr>
            <w:rStyle w:val="TextoNormalCaracter"/>
          </w:rPr>
          <w:t>141/1985</w:t>
        </w:r>
      </w:hyperlink>
      <w:r>
        <w:t xml:space="preserve">; </w:t>
      </w:r>
      <w:hyperlink w:anchor="AUTO_1985_143" w:history="1">
        <w:r w:rsidRPr="009452A2">
          <w:rPr>
            <w:rStyle w:val="TextoNormalCaracter"/>
          </w:rPr>
          <w:t>143/1985</w:t>
        </w:r>
      </w:hyperlink>
      <w:r>
        <w:t xml:space="preserve">; </w:t>
      </w:r>
      <w:hyperlink w:anchor="AUTO_1985_144" w:history="1">
        <w:r w:rsidRPr="009452A2">
          <w:rPr>
            <w:rStyle w:val="TextoNormalCaracter"/>
          </w:rPr>
          <w:t>144/1985</w:t>
        </w:r>
      </w:hyperlink>
      <w:r>
        <w:t xml:space="preserve">; </w:t>
      </w:r>
      <w:hyperlink w:anchor="AUTO_1985_146" w:history="1">
        <w:r w:rsidRPr="009452A2">
          <w:rPr>
            <w:rStyle w:val="TextoNormalCaracter"/>
          </w:rPr>
          <w:t>146/1985</w:t>
        </w:r>
      </w:hyperlink>
      <w:r>
        <w:t xml:space="preserve">; </w:t>
      </w:r>
      <w:hyperlink w:anchor="AUTO_1985_150" w:history="1">
        <w:r w:rsidRPr="009452A2">
          <w:rPr>
            <w:rStyle w:val="TextoNormalCaracter"/>
          </w:rPr>
          <w:t>150/1985</w:t>
        </w:r>
      </w:hyperlink>
      <w:r>
        <w:t xml:space="preserve">; </w:t>
      </w:r>
      <w:hyperlink w:anchor="AUTO_1985_153" w:history="1">
        <w:r w:rsidRPr="009452A2">
          <w:rPr>
            <w:rStyle w:val="TextoNormalCaracter"/>
          </w:rPr>
          <w:t>153/1985</w:t>
        </w:r>
      </w:hyperlink>
      <w:r>
        <w:t xml:space="preserve">; </w:t>
      </w:r>
      <w:hyperlink w:anchor="AUTO_1985_159" w:history="1">
        <w:r w:rsidRPr="009452A2">
          <w:rPr>
            <w:rStyle w:val="TextoNormalCaracter"/>
          </w:rPr>
          <w:t>159/1985</w:t>
        </w:r>
      </w:hyperlink>
      <w:r>
        <w:t xml:space="preserve">; </w:t>
      </w:r>
      <w:hyperlink w:anchor="AUTO_1985_169" w:history="1">
        <w:r w:rsidRPr="009452A2">
          <w:rPr>
            <w:rStyle w:val="TextoNormalCaracter"/>
          </w:rPr>
          <w:t>169/1985</w:t>
        </w:r>
      </w:hyperlink>
      <w:r>
        <w:t xml:space="preserve">; </w:t>
      </w:r>
      <w:hyperlink w:anchor="AUTO_1985_177" w:history="1">
        <w:r w:rsidRPr="009452A2">
          <w:rPr>
            <w:rStyle w:val="TextoNormalCaracter"/>
          </w:rPr>
          <w:t>177/1985</w:t>
        </w:r>
      </w:hyperlink>
      <w:r>
        <w:t xml:space="preserve">; </w:t>
      </w:r>
      <w:hyperlink w:anchor="AUTO_1985_178" w:history="1">
        <w:r w:rsidRPr="009452A2">
          <w:rPr>
            <w:rStyle w:val="TextoNormalCaracter"/>
          </w:rPr>
          <w:t>178/1985</w:t>
        </w:r>
      </w:hyperlink>
      <w:r>
        <w:t xml:space="preserve">; </w:t>
      </w:r>
      <w:hyperlink w:anchor="AUTO_1985_182" w:history="1">
        <w:r w:rsidRPr="009452A2">
          <w:rPr>
            <w:rStyle w:val="TextoNormalCaracter"/>
          </w:rPr>
          <w:t>182/1985</w:t>
        </w:r>
      </w:hyperlink>
      <w:r>
        <w:t xml:space="preserve">; </w:t>
      </w:r>
      <w:hyperlink w:anchor="AUTO_1985_187" w:history="1">
        <w:r w:rsidRPr="009452A2">
          <w:rPr>
            <w:rStyle w:val="TextoNormalCaracter"/>
          </w:rPr>
          <w:t>187/1985</w:t>
        </w:r>
      </w:hyperlink>
      <w:r>
        <w:t xml:space="preserve">; </w:t>
      </w:r>
      <w:hyperlink w:anchor="AUTO_1985_191" w:history="1">
        <w:r w:rsidRPr="009452A2">
          <w:rPr>
            <w:rStyle w:val="TextoNormalCaracter"/>
          </w:rPr>
          <w:t>191/1985</w:t>
        </w:r>
      </w:hyperlink>
      <w:r>
        <w:t xml:space="preserve">; </w:t>
      </w:r>
      <w:hyperlink w:anchor="AUTO_1985_192" w:history="1">
        <w:r w:rsidRPr="009452A2">
          <w:rPr>
            <w:rStyle w:val="TextoNormalCaracter"/>
          </w:rPr>
          <w:t>192/1985</w:t>
        </w:r>
      </w:hyperlink>
      <w:r>
        <w:t xml:space="preserve">; </w:t>
      </w:r>
      <w:hyperlink w:anchor="AUTO_1985_194" w:history="1">
        <w:r w:rsidRPr="009452A2">
          <w:rPr>
            <w:rStyle w:val="TextoNormalCaracter"/>
          </w:rPr>
          <w:t>194/1985</w:t>
        </w:r>
      </w:hyperlink>
      <w:r>
        <w:t xml:space="preserve">; </w:t>
      </w:r>
      <w:hyperlink w:anchor="AUTO_1985_196" w:history="1">
        <w:r w:rsidRPr="009452A2">
          <w:rPr>
            <w:rStyle w:val="TextoNormalCaracter"/>
          </w:rPr>
          <w:t>196/1985</w:t>
        </w:r>
      </w:hyperlink>
      <w:r>
        <w:t xml:space="preserve">; </w:t>
      </w:r>
      <w:hyperlink w:anchor="AUTO_1985_203" w:history="1">
        <w:r w:rsidRPr="009452A2">
          <w:rPr>
            <w:rStyle w:val="TextoNormalCaracter"/>
          </w:rPr>
          <w:t>203/1985</w:t>
        </w:r>
      </w:hyperlink>
      <w:r>
        <w:t xml:space="preserve">; </w:t>
      </w:r>
      <w:hyperlink w:anchor="AUTO_1985_206" w:history="1">
        <w:r w:rsidRPr="009452A2">
          <w:rPr>
            <w:rStyle w:val="TextoNormalCaracter"/>
          </w:rPr>
          <w:t>206/1985</w:t>
        </w:r>
      </w:hyperlink>
      <w:r>
        <w:t xml:space="preserve">; </w:t>
      </w:r>
      <w:hyperlink w:anchor="AUTO_1985_207" w:history="1">
        <w:r w:rsidRPr="009452A2">
          <w:rPr>
            <w:rStyle w:val="TextoNormalCaracter"/>
          </w:rPr>
          <w:t>207/1985</w:t>
        </w:r>
      </w:hyperlink>
      <w:r>
        <w:t xml:space="preserve">; </w:t>
      </w:r>
      <w:hyperlink w:anchor="AUTO_1985_210" w:history="1">
        <w:r w:rsidRPr="009452A2">
          <w:rPr>
            <w:rStyle w:val="TextoNormalCaracter"/>
          </w:rPr>
          <w:t>210/1985</w:t>
        </w:r>
      </w:hyperlink>
      <w:r>
        <w:t xml:space="preserve">; </w:t>
      </w:r>
      <w:hyperlink w:anchor="AUTO_1985_218" w:history="1">
        <w:r w:rsidRPr="009452A2">
          <w:rPr>
            <w:rStyle w:val="TextoNormalCaracter"/>
          </w:rPr>
          <w:t>218/1985</w:t>
        </w:r>
      </w:hyperlink>
      <w:r>
        <w:t xml:space="preserve">; </w:t>
      </w:r>
      <w:hyperlink w:anchor="AUTO_1985_219" w:history="1">
        <w:r w:rsidRPr="009452A2">
          <w:rPr>
            <w:rStyle w:val="TextoNormalCaracter"/>
          </w:rPr>
          <w:t>219/1985</w:t>
        </w:r>
      </w:hyperlink>
      <w:r>
        <w:t xml:space="preserve">; </w:t>
      </w:r>
      <w:hyperlink w:anchor="AUTO_1985_222" w:history="1">
        <w:r w:rsidRPr="009452A2">
          <w:rPr>
            <w:rStyle w:val="TextoNormalCaracter"/>
          </w:rPr>
          <w:t>222/1985</w:t>
        </w:r>
      </w:hyperlink>
      <w:r>
        <w:t xml:space="preserve">; </w:t>
      </w:r>
      <w:hyperlink w:anchor="AUTO_1985_233" w:history="1">
        <w:r w:rsidRPr="009452A2">
          <w:rPr>
            <w:rStyle w:val="TextoNormalCaracter"/>
          </w:rPr>
          <w:t>233/1985</w:t>
        </w:r>
      </w:hyperlink>
      <w:r>
        <w:t xml:space="preserve">; </w:t>
      </w:r>
      <w:hyperlink w:anchor="AUTO_1985_245" w:history="1">
        <w:r w:rsidRPr="009452A2">
          <w:rPr>
            <w:rStyle w:val="TextoNormalCaracter"/>
          </w:rPr>
          <w:t>245/1985</w:t>
        </w:r>
      </w:hyperlink>
      <w:r>
        <w:t xml:space="preserve">; </w:t>
      </w:r>
      <w:hyperlink w:anchor="AUTO_1985_246" w:history="1">
        <w:r w:rsidRPr="009452A2">
          <w:rPr>
            <w:rStyle w:val="TextoNormalCaracter"/>
          </w:rPr>
          <w:t>246/1985</w:t>
        </w:r>
      </w:hyperlink>
      <w:r>
        <w:t xml:space="preserve">; </w:t>
      </w:r>
      <w:hyperlink w:anchor="AUTO_1985_249" w:history="1">
        <w:r w:rsidRPr="009452A2">
          <w:rPr>
            <w:rStyle w:val="TextoNormalCaracter"/>
          </w:rPr>
          <w:t>249/1985</w:t>
        </w:r>
      </w:hyperlink>
      <w:r>
        <w:t xml:space="preserve">; </w:t>
      </w:r>
      <w:hyperlink w:anchor="AUTO_1985_250" w:history="1">
        <w:r w:rsidRPr="009452A2">
          <w:rPr>
            <w:rStyle w:val="TextoNormalCaracter"/>
          </w:rPr>
          <w:t>250/1985</w:t>
        </w:r>
      </w:hyperlink>
      <w:r>
        <w:t xml:space="preserve">; </w:t>
      </w:r>
      <w:hyperlink w:anchor="AUTO_1985_251" w:history="1">
        <w:r w:rsidRPr="009452A2">
          <w:rPr>
            <w:rStyle w:val="TextoNormalCaracter"/>
          </w:rPr>
          <w:t>251/1985</w:t>
        </w:r>
      </w:hyperlink>
      <w:r>
        <w:t xml:space="preserve">; </w:t>
      </w:r>
      <w:hyperlink w:anchor="AUTO_1985_257" w:history="1">
        <w:r w:rsidRPr="009452A2">
          <w:rPr>
            <w:rStyle w:val="TextoNormalCaracter"/>
          </w:rPr>
          <w:t>257/1985</w:t>
        </w:r>
      </w:hyperlink>
      <w:r>
        <w:t xml:space="preserve">; </w:t>
      </w:r>
      <w:hyperlink w:anchor="AUTO_1985_259" w:history="1">
        <w:r w:rsidRPr="009452A2">
          <w:rPr>
            <w:rStyle w:val="TextoNormalCaracter"/>
          </w:rPr>
          <w:t>259/1985</w:t>
        </w:r>
      </w:hyperlink>
      <w:r>
        <w:t xml:space="preserve">; </w:t>
      </w:r>
      <w:hyperlink w:anchor="AUTO_1985_264" w:history="1">
        <w:r w:rsidRPr="009452A2">
          <w:rPr>
            <w:rStyle w:val="TextoNormalCaracter"/>
          </w:rPr>
          <w:t>264/1985</w:t>
        </w:r>
      </w:hyperlink>
      <w:r>
        <w:t xml:space="preserve">; </w:t>
      </w:r>
      <w:hyperlink w:anchor="AUTO_1985_265" w:history="1">
        <w:r w:rsidRPr="009452A2">
          <w:rPr>
            <w:rStyle w:val="TextoNormalCaracter"/>
          </w:rPr>
          <w:t>265/1985</w:t>
        </w:r>
      </w:hyperlink>
      <w:r>
        <w:t xml:space="preserve">; </w:t>
      </w:r>
      <w:hyperlink w:anchor="AUTO_1985_267" w:history="1">
        <w:r w:rsidRPr="009452A2">
          <w:rPr>
            <w:rStyle w:val="TextoNormalCaracter"/>
          </w:rPr>
          <w:t>267/1985</w:t>
        </w:r>
      </w:hyperlink>
      <w:r>
        <w:t xml:space="preserve">; </w:t>
      </w:r>
      <w:hyperlink w:anchor="AUTO_1985_270" w:history="1">
        <w:r w:rsidRPr="009452A2">
          <w:rPr>
            <w:rStyle w:val="TextoNormalCaracter"/>
          </w:rPr>
          <w:t>270/1985</w:t>
        </w:r>
      </w:hyperlink>
      <w:r>
        <w:t xml:space="preserve">; </w:t>
      </w:r>
      <w:hyperlink w:anchor="AUTO_1985_272" w:history="1">
        <w:r w:rsidRPr="009452A2">
          <w:rPr>
            <w:rStyle w:val="TextoNormalCaracter"/>
          </w:rPr>
          <w:t>272/1985</w:t>
        </w:r>
      </w:hyperlink>
      <w:r>
        <w:t xml:space="preserve">; </w:t>
      </w:r>
      <w:hyperlink w:anchor="AUTO_1985_273" w:history="1">
        <w:r w:rsidRPr="009452A2">
          <w:rPr>
            <w:rStyle w:val="TextoNormalCaracter"/>
          </w:rPr>
          <w:t>273/1985</w:t>
        </w:r>
      </w:hyperlink>
      <w:r>
        <w:t xml:space="preserve">; </w:t>
      </w:r>
      <w:hyperlink w:anchor="AUTO_1985_275" w:history="1">
        <w:r w:rsidRPr="009452A2">
          <w:rPr>
            <w:rStyle w:val="TextoNormalCaracter"/>
          </w:rPr>
          <w:t>275/1985</w:t>
        </w:r>
      </w:hyperlink>
      <w:r>
        <w:t xml:space="preserve">; </w:t>
      </w:r>
      <w:hyperlink w:anchor="AUTO_1985_279" w:history="1">
        <w:r w:rsidRPr="009452A2">
          <w:rPr>
            <w:rStyle w:val="TextoNormalCaracter"/>
          </w:rPr>
          <w:t>279/1985</w:t>
        </w:r>
      </w:hyperlink>
      <w:r>
        <w:t>.</w:t>
      </w:r>
    </w:p>
    <w:p w:rsidR="009452A2" w:rsidRDefault="009452A2" w:rsidP="009452A2">
      <w:pPr>
        <w:pStyle w:val="SangriaFrancesaArticulo"/>
      </w:pPr>
      <w:r w:rsidRPr="009452A2">
        <w:rPr>
          <w:rStyle w:val="TextoNormalNegritaCaracter"/>
        </w:rPr>
        <w:t>Artículo 24.2.</w:t>
      </w:r>
      <w:r w:rsidRPr="009452A2">
        <w:rPr>
          <w:rStyle w:val="TextoNormalCaracter"/>
        </w:rPr>
        <w:t>-</w:t>
      </w:r>
      <w:r>
        <w:t xml:space="preserve"> Sentencias </w:t>
      </w:r>
      <w:hyperlink w:anchor="SENTENCIA_1985_5" w:history="1">
        <w:r w:rsidRPr="009452A2">
          <w:rPr>
            <w:rStyle w:val="TextoNormalCaracter"/>
          </w:rPr>
          <w:t>5/1985</w:t>
        </w:r>
      </w:hyperlink>
      <w:r>
        <w:t xml:space="preserve">, ff. 2, 3, 5, 8, 9, VP; </w:t>
      </w:r>
      <w:hyperlink w:anchor="SENTENCIA_1985_11" w:history="1">
        <w:r w:rsidRPr="009452A2">
          <w:rPr>
            <w:rStyle w:val="TextoNormalCaracter"/>
          </w:rPr>
          <w:t>11/1985</w:t>
        </w:r>
      </w:hyperlink>
      <w:r>
        <w:t xml:space="preserve">, f. 2; </w:t>
      </w:r>
      <w:hyperlink w:anchor="SENTENCIA_1985_13" w:history="1">
        <w:r w:rsidRPr="009452A2">
          <w:rPr>
            <w:rStyle w:val="TextoNormalCaracter"/>
          </w:rPr>
          <w:t>13/1985</w:t>
        </w:r>
      </w:hyperlink>
      <w:r>
        <w:t xml:space="preserve">, f. 3; </w:t>
      </w:r>
      <w:hyperlink w:anchor="SENTENCIA_1985_18" w:history="1">
        <w:r w:rsidRPr="009452A2">
          <w:rPr>
            <w:rStyle w:val="TextoNormalCaracter"/>
          </w:rPr>
          <w:t>18/1985</w:t>
        </w:r>
      </w:hyperlink>
      <w:r>
        <w:t xml:space="preserve">, f. 2; </w:t>
      </w:r>
      <w:hyperlink w:anchor="SENTENCIA_1985_31" w:history="1">
        <w:r w:rsidRPr="009452A2">
          <w:rPr>
            <w:rStyle w:val="TextoNormalCaracter"/>
          </w:rPr>
          <w:t>31/1985</w:t>
        </w:r>
      </w:hyperlink>
      <w:r>
        <w:t xml:space="preserve">, f. 2; </w:t>
      </w:r>
      <w:hyperlink w:anchor="SENTENCIA_1985_34" w:history="1">
        <w:r w:rsidRPr="009452A2">
          <w:rPr>
            <w:rStyle w:val="TextoNormalCaracter"/>
          </w:rPr>
          <w:t>34/1985</w:t>
        </w:r>
      </w:hyperlink>
      <w:r>
        <w:t xml:space="preserve">, ff. 1, 2; </w:t>
      </w:r>
      <w:hyperlink w:anchor="SENTENCIA_1985_54" w:history="1">
        <w:r w:rsidRPr="009452A2">
          <w:rPr>
            <w:rStyle w:val="TextoNormalCaracter"/>
          </w:rPr>
          <w:t>54/1985</w:t>
        </w:r>
      </w:hyperlink>
      <w:r>
        <w:t>, ff. 1, 6.</w:t>
      </w:r>
    </w:p>
    <w:p w:rsidR="009452A2" w:rsidRDefault="009452A2" w:rsidP="009452A2">
      <w:pPr>
        <w:pStyle w:val="SangriaIzquierdaArticulo"/>
      </w:pPr>
      <w:r>
        <w:t xml:space="preserve">Autos </w:t>
      </w:r>
      <w:hyperlink w:anchor="AUTO_1985_15" w:history="1">
        <w:r w:rsidRPr="009452A2">
          <w:rPr>
            <w:rStyle w:val="TextoNormalCaracter"/>
          </w:rPr>
          <w:t>15/1985</w:t>
        </w:r>
      </w:hyperlink>
      <w:r>
        <w:t xml:space="preserve">; </w:t>
      </w:r>
      <w:hyperlink w:anchor="AUTO_1985_21" w:history="1">
        <w:r w:rsidRPr="009452A2">
          <w:rPr>
            <w:rStyle w:val="TextoNormalCaracter"/>
          </w:rPr>
          <w:t>21/1985</w:t>
        </w:r>
      </w:hyperlink>
      <w:r>
        <w:t xml:space="preserve">; </w:t>
      </w:r>
      <w:hyperlink w:anchor="AUTO_1985_59" w:history="1">
        <w:r w:rsidRPr="009452A2">
          <w:rPr>
            <w:rStyle w:val="TextoNormalCaracter"/>
          </w:rPr>
          <w:t>59/1985</w:t>
        </w:r>
      </w:hyperlink>
      <w:r>
        <w:t xml:space="preserve">; </w:t>
      </w:r>
      <w:hyperlink w:anchor="AUTO_1985_77" w:history="1">
        <w:r w:rsidRPr="009452A2">
          <w:rPr>
            <w:rStyle w:val="TextoNormalCaracter"/>
          </w:rPr>
          <w:t>77/1985</w:t>
        </w:r>
      </w:hyperlink>
      <w:r>
        <w:t xml:space="preserve">; </w:t>
      </w:r>
      <w:hyperlink w:anchor="AUTO_1985_90" w:history="1">
        <w:r w:rsidRPr="009452A2">
          <w:rPr>
            <w:rStyle w:val="TextoNormalCaracter"/>
          </w:rPr>
          <w:t>90/1985</w:t>
        </w:r>
      </w:hyperlink>
      <w:r>
        <w:t xml:space="preserve">; </w:t>
      </w:r>
      <w:hyperlink w:anchor="AUTO_1985_107" w:history="1">
        <w:r w:rsidRPr="009452A2">
          <w:rPr>
            <w:rStyle w:val="TextoNormalCaracter"/>
          </w:rPr>
          <w:t>107/1985</w:t>
        </w:r>
      </w:hyperlink>
      <w:r>
        <w:t xml:space="preserve">; </w:t>
      </w:r>
      <w:hyperlink w:anchor="AUTO_1985_134" w:history="1">
        <w:r w:rsidRPr="009452A2">
          <w:rPr>
            <w:rStyle w:val="TextoNormalCaracter"/>
          </w:rPr>
          <w:t>134/1985</w:t>
        </w:r>
      </w:hyperlink>
      <w:r>
        <w:t xml:space="preserve">; </w:t>
      </w:r>
      <w:hyperlink w:anchor="AUTO_1985_160" w:history="1">
        <w:r w:rsidRPr="009452A2">
          <w:rPr>
            <w:rStyle w:val="TextoNormalCaracter"/>
          </w:rPr>
          <w:t>160/1985</w:t>
        </w:r>
      </w:hyperlink>
      <w:r>
        <w:t xml:space="preserve">; </w:t>
      </w:r>
      <w:hyperlink w:anchor="AUTO_1985_166" w:history="1">
        <w:r w:rsidRPr="009452A2">
          <w:rPr>
            <w:rStyle w:val="TextoNormalCaracter"/>
          </w:rPr>
          <w:t>166/1985</w:t>
        </w:r>
      </w:hyperlink>
      <w:r>
        <w:t xml:space="preserve">; </w:t>
      </w:r>
      <w:hyperlink w:anchor="AUTO_1985_207" w:history="1">
        <w:r w:rsidRPr="009452A2">
          <w:rPr>
            <w:rStyle w:val="TextoNormalCaracter"/>
          </w:rPr>
          <w:t>207/1985</w:t>
        </w:r>
      </w:hyperlink>
      <w:r>
        <w:t xml:space="preserve">; </w:t>
      </w:r>
      <w:hyperlink w:anchor="AUTO_1985_237" w:history="1">
        <w:r w:rsidRPr="009452A2">
          <w:rPr>
            <w:rStyle w:val="TextoNormalCaracter"/>
          </w:rPr>
          <w:t>237/1985</w:t>
        </w:r>
      </w:hyperlink>
      <w:r>
        <w:t xml:space="preserve">; </w:t>
      </w:r>
      <w:hyperlink w:anchor="AUTO_1985_267" w:history="1">
        <w:r w:rsidRPr="009452A2">
          <w:rPr>
            <w:rStyle w:val="TextoNormalCaracter"/>
          </w:rPr>
          <w:t>267/1985</w:t>
        </w:r>
      </w:hyperlink>
      <w:r>
        <w:t xml:space="preserve">; </w:t>
      </w:r>
      <w:hyperlink w:anchor="AUTO_1985_268" w:history="1">
        <w:r w:rsidRPr="009452A2">
          <w:rPr>
            <w:rStyle w:val="TextoNormalCaracter"/>
          </w:rPr>
          <w:t>268/1985</w:t>
        </w:r>
      </w:hyperlink>
      <w:r>
        <w:t xml:space="preserve">; </w:t>
      </w:r>
      <w:hyperlink w:anchor="AUTO_1985_270" w:history="1">
        <w:r w:rsidRPr="009452A2">
          <w:rPr>
            <w:rStyle w:val="TextoNormalCaracter"/>
          </w:rPr>
          <w:t>270/1985</w:t>
        </w:r>
      </w:hyperlink>
      <w:r>
        <w:t>.</w:t>
      </w:r>
    </w:p>
    <w:p w:rsidR="009452A2" w:rsidRDefault="009452A2" w:rsidP="009452A2">
      <w:pPr>
        <w:pStyle w:val="SangriaFrancesaArticulo"/>
      </w:pPr>
      <w:r w:rsidRPr="009452A2">
        <w:rPr>
          <w:rStyle w:val="TextoNormalNegritaCaracter"/>
        </w:rPr>
        <w:t>Artículo 24.2</w:t>
      </w:r>
      <w:r>
        <w:t xml:space="preserve"> </w:t>
      </w:r>
      <w:r w:rsidRPr="009452A2">
        <w:rPr>
          <w:rStyle w:val="TextoNormalCaracter"/>
        </w:rPr>
        <w:t>(derecho a la asistencia de letrado)</w:t>
      </w:r>
      <w:r w:rsidRPr="009452A2">
        <w:rPr>
          <w:rStyle w:val="TextoNormalNegritaCaracter"/>
        </w:rPr>
        <w:t>.</w:t>
      </w:r>
      <w:r w:rsidRPr="009452A2">
        <w:rPr>
          <w:rStyle w:val="TextoNormalCaracter"/>
        </w:rPr>
        <w:t>-</w:t>
      </w:r>
      <w:r>
        <w:t xml:space="preserve"> Auto </w:t>
      </w:r>
      <w:hyperlink w:anchor="AUTO_1985_51" w:history="1">
        <w:r w:rsidRPr="009452A2">
          <w:rPr>
            <w:rStyle w:val="TextoNormalCaracter"/>
          </w:rPr>
          <w:t>51/1985</w:t>
        </w:r>
      </w:hyperlink>
      <w:r>
        <w:t>.</w:t>
      </w:r>
    </w:p>
    <w:p w:rsidR="009452A2" w:rsidRDefault="009452A2" w:rsidP="009452A2">
      <w:pPr>
        <w:pStyle w:val="SangriaFrancesaArticulo"/>
      </w:pPr>
      <w:r w:rsidRPr="009452A2">
        <w:rPr>
          <w:rStyle w:val="TextoNormalNegritaCaracter"/>
        </w:rPr>
        <w:t>Artículo 24.2</w:t>
      </w:r>
      <w:r>
        <w:t xml:space="preserve"> </w:t>
      </w:r>
      <w:r w:rsidRPr="009452A2">
        <w:rPr>
          <w:rStyle w:val="TextoNormalCaracter"/>
        </w:rPr>
        <w:t>(derecho a la defensa)</w:t>
      </w:r>
      <w:r w:rsidRPr="009452A2">
        <w:rPr>
          <w:rStyle w:val="TextoNormalNegritaCaracter"/>
        </w:rPr>
        <w:t>.</w:t>
      </w:r>
      <w:r w:rsidRPr="009452A2">
        <w:rPr>
          <w:rStyle w:val="TextoNormalCaracter"/>
        </w:rPr>
        <w:t>-</w:t>
      </w:r>
      <w:r>
        <w:t xml:space="preserve"> Sentencia </w:t>
      </w:r>
      <w:hyperlink w:anchor="SENTENCIA_1985_34" w:history="1">
        <w:r w:rsidRPr="009452A2">
          <w:rPr>
            <w:rStyle w:val="TextoNormalCaracter"/>
          </w:rPr>
          <w:t>34/1985</w:t>
        </w:r>
      </w:hyperlink>
      <w:r>
        <w:t>, f. 3.</w:t>
      </w:r>
    </w:p>
    <w:p w:rsidR="009452A2" w:rsidRDefault="009452A2" w:rsidP="009452A2">
      <w:pPr>
        <w:pStyle w:val="SangriaIzquierdaArticulo"/>
      </w:pPr>
      <w:r>
        <w:t xml:space="preserve">Auto </w:t>
      </w:r>
      <w:hyperlink w:anchor="AUTO_1985_198" w:history="1">
        <w:r w:rsidRPr="009452A2">
          <w:rPr>
            <w:rStyle w:val="TextoNormalCaracter"/>
          </w:rPr>
          <w:t>198/1985</w:t>
        </w:r>
      </w:hyperlink>
      <w:r>
        <w:t>.</w:t>
      </w:r>
    </w:p>
    <w:p w:rsidR="009452A2" w:rsidRDefault="009452A2" w:rsidP="009452A2">
      <w:pPr>
        <w:pStyle w:val="SangriaFrancesaArticulo"/>
      </w:pPr>
      <w:r w:rsidRPr="009452A2">
        <w:rPr>
          <w:rStyle w:val="TextoNormalNegritaCaracter"/>
        </w:rPr>
        <w:t>Artículo 24.2</w:t>
      </w:r>
      <w:r>
        <w:t xml:space="preserve"> </w:t>
      </w:r>
      <w:r w:rsidRPr="009452A2">
        <w:rPr>
          <w:rStyle w:val="TextoNormalCaracter"/>
        </w:rPr>
        <w:t>(derecho a la presunción de inocencia)</w:t>
      </w:r>
      <w:r w:rsidRPr="009452A2">
        <w:rPr>
          <w:rStyle w:val="TextoNormalNegritaCaracter"/>
        </w:rPr>
        <w:t>.</w:t>
      </w:r>
      <w:r w:rsidRPr="009452A2">
        <w:rPr>
          <w:rStyle w:val="TextoNormalCaracter"/>
        </w:rPr>
        <w:t>-</w:t>
      </w:r>
      <w:r>
        <w:t xml:space="preserve"> Sentencias </w:t>
      </w:r>
      <w:hyperlink w:anchor="SENTENCIA_1985_23" w:history="1">
        <w:r w:rsidRPr="009452A2">
          <w:rPr>
            <w:rStyle w:val="TextoNormalCaracter"/>
          </w:rPr>
          <w:t>23/1985</w:t>
        </w:r>
      </w:hyperlink>
      <w:r>
        <w:t xml:space="preserve">, f. 1; </w:t>
      </w:r>
      <w:hyperlink w:anchor="SENTENCIA_1985_25" w:history="1">
        <w:r w:rsidRPr="009452A2">
          <w:rPr>
            <w:rStyle w:val="TextoNormalCaracter"/>
          </w:rPr>
          <w:t>25/1985</w:t>
        </w:r>
      </w:hyperlink>
      <w:r>
        <w:t xml:space="preserve">, ff. 1, 2; </w:t>
      </w:r>
      <w:hyperlink w:anchor="SENTENCIA_1985_36" w:history="1">
        <w:r w:rsidRPr="009452A2">
          <w:rPr>
            <w:rStyle w:val="TextoNormalCaracter"/>
          </w:rPr>
          <w:t>36/1985</w:t>
        </w:r>
      </w:hyperlink>
      <w:r>
        <w:t xml:space="preserve">, ff. 1, 3; </w:t>
      </w:r>
      <w:hyperlink w:anchor="SENTENCIA_1985_51" w:history="1">
        <w:r w:rsidRPr="009452A2">
          <w:rPr>
            <w:rStyle w:val="TextoNormalCaracter"/>
          </w:rPr>
          <w:t>51/1985</w:t>
        </w:r>
      </w:hyperlink>
      <w:r>
        <w:t>, f. 2.</w:t>
      </w:r>
    </w:p>
    <w:p w:rsidR="009452A2" w:rsidRDefault="009452A2" w:rsidP="009452A2">
      <w:pPr>
        <w:pStyle w:val="SangriaIzquierdaArticulo"/>
      </w:pPr>
      <w:r>
        <w:t xml:space="preserve">Autos </w:t>
      </w:r>
      <w:hyperlink w:anchor="AUTO_1985_45" w:history="1">
        <w:r w:rsidRPr="009452A2">
          <w:rPr>
            <w:rStyle w:val="TextoNormalCaracter"/>
          </w:rPr>
          <w:t>45/1985</w:t>
        </w:r>
      </w:hyperlink>
      <w:r>
        <w:t xml:space="preserve">; </w:t>
      </w:r>
      <w:hyperlink w:anchor="AUTO_1985_82" w:history="1">
        <w:r w:rsidRPr="009452A2">
          <w:rPr>
            <w:rStyle w:val="TextoNormalCaracter"/>
          </w:rPr>
          <w:t>82/1985</w:t>
        </w:r>
      </w:hyperlink>
      <w:r>
        <w:t xml:space="preserve">; </w:t>
      </w:r>
      <w:hyperlink w:anchor="AUTO_1985_83" w:history="1">
        <w:r w:rsidRPr="009452A2">
          <w:rPr>
            <w:rStyle w:val="TextoNormalCaracter"/>
          </w:rPr>
          <w:t>83/1985</w:t>
        </w:r>
      </w:hyperlink>
      <w:r>
        <w:t xml:space="preserve">; </w:t>
      </w:r>
      <w:hyperlink w:anchor="AUTO_1985_106" w:history="1">
        <w:r w:rsidRPr="009452A2">
          <w:rPr>
            <w:rStyle w:val="TextoNormalCaracter"/>
          </w:rPr>
          <w:t>106/1985</w:t>
        </w:r>
      </w:hyperlink>
      <w:r>
        <w:t xml:space="preserve">; </w:t>
      </w:r>
      <w:hyperlink w:anchor="AUTO_1985_120" w:history="1">
        <w:r w:rsidRPr="009452A2">
          <w:rPr>
            <w:rStyle w:val="TextoNormalCaracter"/>
          </w:rPr>
          <w:t>120/1985</w:t>
        </w:r>
      </w:hyperlink>
      <w:r>
        <w:t xml:space="preserve">; </w:t>
      </w:r>
      <w:hyperlink w:anchor="AUTO_1985_180" w:history="1">
        <w:r w:rsidRPr="009452A2">
          <w:rPr>
            <w:rStyle w:val="TextoNormalCaracter"/>
          </w:rPr>
          <w:t>180/1985</w:t>
        </w:r>
      </w:hyperlink>
      <w:r>
        <w:t xml:space="preserve">; </w:t>
      </w:r>
      <w:hyperlink w:anchor="AUTO_1985_189" w:history="1">
        <w:r w:rsidRPr="009452A2">
          <w:rPr>
            <w:rStyle w:val="TextoNormalCaracter"/>
          </w:rPr>
          <w:t>189/1985</w:t>
        </w:r>
      </w:hyperlink>
      <w:r>
        <w:t xml:space="preserve">; </w:t>
      </w:r>
      <w:hyperlink w:anchor="AUTO_1985_219" w:history="1">
        <w:r w:rsidRPr="009452A2">
          <w:rPr>
            <w:rStyle w:val="TextoNormalCaracter"/>
          </w:rPr>
          <w:t>219/1985</w:t>
        </w:r>
      </w:hyperlink>
      <w:r>
        <w:t xml:space="preserve">; </w:t>
      </w:r>
      <w:hyperlink w:anchor="AUTO_1985_253" w:history="1">
        <w:r w:rsidRPr="009452A2">
          <w:rPr>
            <w:rStyle w:val="TextoNormalCaracter"/>
          </w:rPr>
          <w:t>253/1985</w:t>
        </w:r>
      </w:hyperlink>
      <w:r>
        <w:t>.</w:t>
      </w:r>
    </w:p>
    <w:p w:rsidR="009452A2" w:rsidRDefault="009452A2" w:rsidP="009452A2">
      <w:pPr>
        <w:pStyle w:val="SangriaFrancesaArticulo"/>
      </w:pPr>
      <w:r w:rsidRPr="009452A2">
        <w:rPr>
          <w:rStyle w:val="TextoNormalNegritaCaracter"/>
        </w:rPr>
        <w:t>Artículo 24.2</w:t>
      </w:r>
      <w:r>
        <w:t xml:space="preserve"> </w:t>
      </w:r>
      <w:r w:rsidRPr="009452A2">
        <w:rPr>
          <w:rStyle w:val="TextoNormalCaracter"/>
        </w:rPr>
        <w:t>(derecho a la prueba)</w:t>
      </w:r>
      <w:r w:rsidRPr="009452A2">
        <w:rPr>
          <w:rStyle w:val="TextoNormalNegritaCaracter"/>
        </w:rPr>
        <w:t>.</w:t>
      </w:r>
      <w:r w:rsidRPr="009452A2">
        <w:rPr>
          <w:rStyle w:val="TextoNormalCaracter"/>
        </w:rPr>
        <w:t>-</w:t>
      </w:r>
      <w:r>
        <w:t xml:space="preserve"> Sentencias </w:t>
      </w:r>
      <w:hyperlink w:anchor="SENTENCIA_1985_23" w:history="1">
        <w:r w:rsidRPr="009452A2">
          <w:rPr>
            <w:rStyle w:val="TextoNormalCaracter"/>
          </w:rPr>
          <w:t>23/1985</w:t>
        </w:r>
      </w:hyperlink>
      <w:r>
        <w:t xml:space="preserve">, f. 1; </w:t>
      </w:r>
      <w:hyperlink w:anchor="SENTENCIA_1985_51" w:history="1">
        <w:r w:rsidRPr="009452A2">
          <w:rPr>
            <w:rStyle w:val="TextoNormalCaracter"/>
          </w:rPr>
          <w:t>51/1985</w:t>
        </w:r>
      </w:hyperlink>
      <w:r>
        <w:t>, f. 9.</w:t>
      </w:r>
    </w:p>
    <w:p w:rsidR="009452A2" w:rsidRDefault="009452A2" w:rsidP="009452A2">
      <w:pPr>
        <w:pStyle w:val="SangriaIzquierdaArticulo"/>
      </w:pPr>
      <w:r>
        <w:t xml:space="preserve">Autos </w:t>
      </w:r>
      <w:hyperlink w:anchor="AUTO_1985_70" w:history="1">
        <w:r w:rsidRPr="009452A2">
          <w:rPr>
            <w:rStyle w:val="TextoNormalCaracter"/>
          </w:rPr>
          <w:t>70/1985</w:t>
        </w:r>
      </w:hyperlink>
      <w:r>
        <w:t xml:space="preserve">; </w:t>
      </w:r>
      <w:hyperlink w:anchor="AUTO_1985_169" w:history="1">
        <w:r w:rsidRPr="009452A2">
          <w:rPr>
            <w:rStyle w:val="TextoNormalCaracter"/>
          </w:rPr>
          <w:t>169/1985</w:t>
        </w:r>
      </w:hyperlink>
      <w:r>
        <w:t xml:space="preserve">; </w:t>
      </w:r>
      <w:hyperlink w:anchor="AUTO_1985_177" w:history="1">
        <w:r w:rsidRPr="009452A2">
          <w:rPr>
            <w:rStyle w:val="TextoNormalCaracter"/>
          </w:rPr>
          <w:t>177/1985</w:t>
        </w:r>
      </w:hyperlink>
      <w:r>
        <w:t xml:space="preserve">; </w:t>
      </w:r>
      <w:hyperlink w:anchor="AUTO_1985_257" w:history="1">
        <w:r w:rsidRPr="009452A2">
          <w:rPr>
            <w:rStyle w:val="TextoNormalCaracter"/>
          </w:rPr>
          <w:t>257/1985</w:t>
        </w:r>
      </w:hyperlink>
      <w:r>
        <w:t xml:space="preserve">; </w:t>
      </w:r>
      <w:hyperlink w:anchor="AUTO_1985_269" w:history="1">
        <w:r w:rsidRPr="009452A2">
          <w:rPr>
            <w:rStyle w:val="TextoNormalCaracter"/>
          </w:rPr>
          <w:t>269/1985</w:t>
        </w:r>
      </w:hyperlink>
      <w:r>
        <w:t>.</w:t>
      </w:r>
    </w:p>
    <w:p w:rsidR="009452A2" w:rsidRDefault="009452A2" w:rsidP="009452A2">
      <w:pPr>
        <w:pStyle w:val="SangriaFrancesaArticulo"/>
      </w:pPr>
      <w:r w:rsidRPr="009452A2">
        <w:rPr>
          <w:rStyle w:val="TextoNormalNegritaCaracter"/>
        </w:rPr>
        <w:t>Artículo 24.2</w:t>
      </w:r>
      <w:r>
        <w:t xml:space="preserve"> </w:t>
      </w:r>
      <w:r w:rsidRPr="009452A2">
        <w:rPr>
          <w:rStyle w:val="TextoNormalCaracter"/>
        </w:rPr>
        <w:t>(derecho a ser informado de la acusación)</w:t>
      </w:r>
      <w:r w:rsidRPr="009452A2">
        <w:rPr>
          <w:rStyle w:val="TextoNormalNegritaCaracter"/>
        </w:rPr>
        <w:t>.</w:t>
      </w:r>
      <w:r w:rsidRPr="009452A2">
        <w:rPr>
          <w:rStyle w:val="TextoNormalCaracter"/>
        </w:rPr>
        <w:t>-</w:t>
      </w:r>
      <w:r>
        <w:t xml:space="preserve"> Sentencia </w:t>
      </w:r>
      <w:hyperlink w:anchor="SENTENCIA_1985_34" w:history="1">
        <w:r w:rsidRPr="009452A2">
          <w:rPr>
            <w:rStyle w:val="TextoNormalCaracter"/>
          </w:rPr>
          <w:t>34/1985</w:t>
        </w:r>
      </w:hyperlink>
      <w:r>
        <w:t>, f. 3.</w:t>
      </w:r>
    </w:p>
    <w:p w:rsidR="009452A2" w:rsidRDefault="009452A2" w:rsidP="009452A2">
      <w:pPr>
        <w:pStyle w:val="SangriaFrancesaArticulo"/>
      </w:pPr>
      <w:r w:rsidRPr="009452A2">
        <w:rPr>
          <w:rStyle w:val="TextoNormalNegritaCaracter"/>
        </w:rPr>
        <w:t>Artículo 24.2</w:t>
      </w:r>
      <w:r>
        <w:t xml:space="preserve"> </w:t>
      </w:r>
      <w:r w:rsidRPr="009452A2">
        <w:rPr>
          <w:rStyle w:val="TextoNormalCaracter"/>
        </w:rPr>
        <w:t>(derecho a un proceso con todas las garantías)</w:t>
      </w:r>
      <w:r w:rsidRPr="009452A2">
        <w:rPr>
          <w:rStyle w:val="TextoNormalNegritaCaracter"/>
        </w:rPr>
        <w:t>.</w:t>
      </w:r>
      <w:r w:rsidRPr="009452A2">
        <w:rPr>
          <w:rStyle w:val="TextoNormalCaracter"/>
        </w:rPr>
        <w:t>-</w:t>
      </w:r>
      <w:r>
        <w:t xml:space="preserve"> Sentencia </w:t>
      </w:r>
      <w:hyperlink w:anchor="SENTENCIA_1985_51" w:history="1">
        <w:r w:rsidRPr="009452A2">
          <w:rPr>
            <w:rStyle w:val="TextoNormalCaracter"/>
          </w:rPr>
          <w:t>51/1985</w:t>
        </w:r>
      </w:hyperlink>
      <w:r>
        <w:t>, ff. 2, 3.</w:t>
      </w:r>
    </w:p>
    <w:p w:rsidR="009452A2" w:rsidRDefault="009452A2" w:rsidP="009452A2">
      <w:pPr>
        <w:pStyle w:val="SangriaIzquierdaArticulo"/>
      </w:pPr>
      <w:r>
        <w:t xml:space="preserve">Autos </w:t>
      </w:r>
      <w:hyperlink w:anchor="AUTO_1985_59" w:history="1">
        <w:r w:rsidRPr="009452A2">
          <w:rPr>
            <w:rStyle w:val="TextoNormalCaracter"/>
          </w:rPr>
          <w:t>59/1985</w:t>
        </w:r>
      </w:hyperlink>
      <w:r>
        <w:t xml:space="preserve">; </w:t>
      </w:r>
      <w:hyperlink w:anchor="AUTO_1985_257" w:history="1">
        <w:r w:rsidRPr="009452A2">
          <w:rPr>
            <w:rStyle w:val="TextoNormalCaracter"/>
          </w:rPr>
          <w:t>257/1985</w:t>
        </w:r>
      </w:hyperlink>
      <w:r>
        <w:t>.</w:t>
      </w:r>
    </w:p>
    <w:p w:rsidR="009452A2" w:rsidRDefault="009452A2" w:rsidP="009452A2">
      <w:pPr>
        <w:pStyle w:val="SangriaFrancesaArticulo"/>
      </w:pPr>
      <w:r w:rsidRPr="009452A2">
        <w:rPr>
          <w:rStyle w:val="TextoNormalNegritaCaracter"/>
        </w:rPr>
        <w:t>Artículo 24.2</w:t>
      </w:r>
      <w:r>
        <w:t xml:space="preserve"> </w:t>
      </w:r>
      <w:r w:rsidRPr="009452A2">
        <w:rPr>
          <w:rStyle w:val="TextoNormalCaracter"/>
        </w:rPr>
        <w:t>(derecho a un proceso sin dilaciones)</w:t>
      </w:r>
      <w:r w:rsidRPr="009452A2">
        <w:rPr>
          <w:rStyle w:val="TextoNormalNegritaCaracter"/>
        </w:rPr>
        <w:t>.</w:t>
      </w:r>
      <w:r w:rsidRPr="009452A2">
        <w:rPr>
          <w:rStyle w:val="TextoNormalCaracter"/>
        </w:rPr>
        <w:t>-</w:t>
      </w:r>
      <w:r>
        <w:t xml:space="preserve"> Sentencias </w:t>
      </w:r>
      <w:hyperlink w:anchor="SENTENCIA_1985_5" w:history="1">
        <w:r w:rsidRPr="009452A2">
          <w:rPr>
            <w:rStyle w:val="TextoNormalCaracter"/>
          </w:rPr>
          <w:t>5/1985</w:t>
        </w:r>
      </w:hyperlink>
      <w:r>
        <w:t xml:space="preserve">, ff. 1, 3, 5, 8, VP; </w:t>
      </w:r>
      <w:hyperlink w:anchor="SENTENCIA_1985_31" w:history="1">
        <w:r w:rsidRPr="009452A2">
          <w:rPr>
            <w:rStyle w:val="TextoNormalCaracter"/>
          </w:rPr>
          <w:t>31/1985</w:t>
        </w:r>
      </w:hyperlink>
      <w:r>
        <w:t xml:space="preserve">, f. 5; </w:t>
      </w:r>
      <w:hyperlink w:anchor="SENTENCIA_1985_51" w:history="1">
        <w:r w:rsidRPr="009452A2">
          <w:rPr>
            <w:rStyle w:val="TextoNormalCaracter"/>
          </w:rPr>
          <w:t>51/1985</w:t>
        </w:r>
      </w:hyperlink>
      <w:r>
        <w:t>, f. 2.</w:t>
      </w:r>
    </w:p>
    <w:p w:rsidR="009452A2" w:rsidRDefault="009452A2" w:rsidP="009452A2">
      <w:pPr>
        <w:pStyle w:val="SangriaIzquierdaArticulo"/>
      </w:pPr>
      <w:r>
        <w:t xml:space="preserve">Autos </w:t>
      </w:r>
      <w:hyperlink w:anchor="AUTO_1985_52" w:history="1">
        <w:r w:rsidRPr="009452A2">
          <w:rPr>
            <w:rStyle w:val="TextoNormalCaracter"/>
          </w:rPr>
          <w:t>52/1985</w:t>
        </w:r>
      </w:hyperlink>
      <w:r>
        <w:t xml:space="preserve">; </w:t>
      </w:r>
      <w:hyperlink w:anchor="AUTO_1985_98" w:history="1">
        <w:r w:rsidRPr="009452A2">
          <w:rPr>
            <w:rStyle w:val="TextoNormalCaracter"/>
          </w:rPr>
          <w:t>98/1985</w:t>
        </w:r>
      </w:hyperlink>
      <w:r>
        <w:t xml:space="preserve">; </w:t>
      </w:r>
      <w:hyperlink w:anchor="AUTO_1985_191" w:history="1">
        <w:r w:rsidRPr="009452A2">
          <w:rPr>
            <w:rStyle w:val="TextoNormalCaracter"/>
          </w:rPr>
          <w:t>191/1985</w:t>
        </w:r>
      </w:hyperlink>
      <w:r>
        <w:t>.</w:t>
      </w:r>
    </w:p>
    <w:p w:rsidR="009452A2" w:rsidRDefault="009452A2" w:rsidP="009452A2">
      <w:pPr>
        <w:pStyle w:val="SangriaFrancesaArticulo"/>
      </w:pPr>
      <w:r w:rsidRPr="009452A2">
        <w:rPr>
          <w:rStyle w:val="TextoNormalNegritaCaracter"/>
        </w:rPr>
        <w:t>Artículo 24.2</w:t>
      </w:r>
      <w:r>
        <w:t xml:space="preserve"> </w:t>
      </w:r>
      <w:r w:rsidRPr="009452A2">
        <w:rPr>
          <w:rStyle w:val="TextoNormalCaracter"/>
        </w:rPr>
        <w:t>(derecho al juez ordinario predeterminado por la ley)</w:t>
      </w:r>
      <w:r w:rsidRPr="009452A2">
        <w:rPr>
          <w:rStyle w:val="TextoNormalNegritaCaracter"/>
        </w:rPr>
        <w:t>.</w:t>
      </w:r>
      <w:r w:rsidRPr="009452A2">
        <w:rPr>
          <w:rStyle w:val="TextoNormalCaracter"/>
        </w:rPr>
        <w:t>-</w:t>
      </w:r>
      <w:r>
        <w:t xml:space="preserve"> Sentencias </w:t>
      </w:r>
      <w:hyperlink w:anchor="SENTENCIA_1985_22" w:history="1">
        <w:r w:rsidRPr="009452A2">
          <w:rPr>
            <w:rStyle w:val="TextoNormalCaracter"/>
          </w:rPr>
          <w:t>22/1985</w:t>
        </w:r>
      </w:hyperlink>
      <w:r>
        <w:t xml:space="preserve">, f. 3; </w:t>
      </w:r>
      <w:hyperlink w:anchor="SENTENCIA_1985_44" w:history="1">
        <w:r w:rsidRPr="009452A2">
          <w:rPr>
            <w:rStyle w:val="TextoNormalCaracter"/>
          </w:rPr>
          <w:t>44/1985</w:t>
        </w:r>
      </w:hyperlink>
      <w:r>
        <w:t xml:space="preserve">, ff. 1, 4; </w:t>
      </w:r>
      <w:hyperlink w:anchor="SENTENCIA_1985_52" w:history="1">
        <w:r w:rsidRPr="009452A2">
          <w:rPr>
            <w:rStyle w:val="TextoNormalCaracter"/>
          </w:rPr>
          <w:t>52/1985</w:t>
        </w:r>
      </w:hyperlink>
      <w:r>
        <w:t>, f. 3.</w:t>
      </w:r>
    </w:p>
    <w:p w:rsidR="009452A2" w:rsidRDefault="009452A2" w:rsidP="009452A2">
      <w:pPr>
        <w:pStyle w:val="SangriaIzquierdaArticulo"/>
      </w:pPr>
      <w:r>
        <w:t xml:space="preserve">Autos </w:t>
      </w:r>
      <w:hyperlink w:anchor="AUTO_1985_155" w:history="1">
        <w:r w:rsidRPr="009452A2">
          <w:rPr>
            <w:rStyle w:val="TextoNormalCaracter"/>
          </w:rPr>
          <w:t>155/1985</w:t>
        </w:r>
      </w:hyperlink>
      <w:r>
        <w:t xml:space="preserve">; </w:t>
      </w:r>
      <w:hyperlink w:anchor="AUTO_1985_196" w:history="1">
        <w:r w:rsidRPr="009452A2">
          <w:rPr>
            <w:rStyle w:val="TextoNormalCaracter"/>
          </w:rPr>
          <w:t>196/1985</w:t>
        </w:r>
      </w:hyperlink>
      <w:r>
        <w:t xml:space="preserve">; </w:t>
      </w:r>
      <w:hyperlink w:anchor="AUTO_1985_203" w:history="1">
        <w:r w:rsidRPr="009452A2">
          <w:rPr>
            <w:rStyle w:val="TextoNormalCaracter"/>
          </w:rPr>
          <w:t>203/1985</w:t>
        </w:r>
      </w:hyperlink>
      <w:r>
        <w:t xml:space="preserve">; </w:t>
      </w:r>
      <w:hyperlink w:anchor="AUTO_1985_242" w:history="1">
        <w:r w:rsidRPr="009452A2">
          <w:rPr>
            <w:rStyle w:val="TextoNormalCaracter"/>
          </w:rPr>
          <w:t>242/1985</w:t>
        </w:r>
      </w:hyperlink>
      <w:r>
        <w:t>.</w:t>
      </w:r>
    </w:p>
    <w:p w:rsidR="009452A2" w:rsidRDefault="009452A2" w:rsidP="009452A2">
      <w:pPr>
        <w:pStyle w:val="SangriaFrancesaArticulo"/>
      </w:pPr>
      <w:r w:rsidRPr="009452A2">
        <w:rPr>
          <w:rStyle w:val="TextoNormalNegritaCaracter"/>
        </w:rPr>
        <w:t>Artículo 25.</w:t>
      </w:r>
      <w:r w:rsidRPr="009452A2">
        <w:rPr>
          <w:rStyle w:val="TextoNormalCaracter"/>
        </w:rPr>
        <w:t>-</w:t>
      </w:r>
      <w:r>
        <w:t xml:space="preserve"> Sentencias </w:t>
      </w:r>
      <w:hyperlink w:anchor="SENTENCIA_1985_31" w:history="1">
        <w:r w:rsidRPr="009452A2">
          <w:rPr>
            <w:rStyle w:val="TextoNormalCaracter"/>
          </w:rPr>
          <w:t>31/1985</w:t>
        </w:r>
      </w:hyperlink>
      <w:r>
        <w:t xml:space="preserve">, f. 1; </w:t>
      </w:r>
      <w:hyperlink w:anchor="SENTENCIA_1985_51" w:history="1">
        <w:r w:rsidRPr="009452A2">
          <w:rPr>
            <w:rStyle w:val="TextoNormalCaracter"/>
          </w:rPr>
          <w:t>51/1985</w:t>
        </w:r>
      </w:hyperlink>
      <w:r>
        <w:t>, f. 2.</w:t>
      </w:r>
    </w:p>
    <w:p w:rsidR="009452A2" w:rsidRDefault="009452A2" w:rsidP="009452A2">
      <w:pPr>
        <w:pStyle w:val="SangriaIzquierdaArticulo"/>
      </w:pPr>
      <w:r>
        <w:t xml:space="preserve">Autos </w:t>
      </w:r>
      <w:hyperlink w:anchor="AUTO_1985_59" w:history="1">
        <w:r w:rsidRPr="009452A2">
          <w:rPr>
            <w:rStyle w:val="TextoNormalCaracter"/>
          </w:rPr>
          <w:t>59/1985</w:t>
        </w:r>
      </w:hyperlink>
      <w:r>
        <w:t xml:space="preserve">; </w:t>
      </w:r>
      <w:hyperlink w:anchor="AUTO_1985_104" w:history="1">
        <w:r w:rsidRPr="009452A2">
          <w:rPr>
            <w:rStyle w:val="TextoNormalCaracter"/>
          </w:rPr>
          <w:t>104/1985</w:t>
        </w:r>
      </w:hyperlink>
      <w:r>
        <w:t>.</w:t>
      </w:r>
    </w:p>
    <w:p w:rsidR="009452A2" w:rsidRDefault="009452A2" w:rsidP="009452A2">
      <w:pPr>
        <w:pStyle w:val="SangriaFrancesaArticulo"/>
      </w:pPr>
      <w:r w:rsidRPr="009452A2">
        <w:rPr>
          <w:rStyle w:val="TextoNormalNegritaCaracter"/>
        </w:rPr>
        <w:t>Artículo 25.1.</w:t>
      </w:r>
      <w:r w:rsidRPr="009452A2">
        <w:rPr>
          <w:rStyle w:val="TextoNormalCaracter"/>
        </w:rPr>
        <w:t>-</w:t>
      </w:r>
      <w:r>
        <w:t xml:space="preserve"> Sentencias </w:t>
      </w:r>
      <w:hyperlink w:anchor="SENTENCIA_1985_16" w:history="1">
        <w:r w:rsidRPr="009452A2">
          <w:rPr>
            <w:rStyle w:val="TextoNormalCaracter"/>
          </w:rPr>
          <w:t>16/1985</w:t>
        </w:r>
      </w:hyperlink>
      <w:r>
        <w:t xml:space="preserve">, f. 7; </w:t>
      </w:r>
      <w:hyperlink w:anchor="SENTENCIA_1985_52" w:history="1">
        <w:r w:rsidRPr="009452A2">
          <w:rPr>
            <w:rStyle w:val="TextoNormalCaracter"/>
          </w:rPr>
          <w:t>52/1985</w:t>
        </w:r>
      </w:hyperlink>
      <w:r>
        <w:t>, f. 3.</w:t>
      </w:r>
    </w:p>
    <w:p w:rsidR="009452A2" w:rsidRDefault="009452A2" w:rsidP="009452A2">
      <w:pPr>
        <w:pStyle w:val="SangriaIzquierdaArticulo"/>
      </w:pPr>
      <w:r>
        <w:t xml:space="preserve">Autos </w:t>
      </w:r>
      <w:hyperlink w:anchor="AUTO_1985_58" w:history="1">
        <w:r w:rsidRPr="009452A2">
          <w:rPr>
            <w:rStyle w:val="TextoNormalCaracter"/>
          </w:rPr>
          <w:t>58/1985</w:t>
        </w:r>
      </w:hyperlink>
      <w:r>
        <w:t xml:space="preserve">; </w:t>
      </w:r>
      <w:hyperlink w:anchor="AUTO_1985_59" w:history="1">
        <w:r w:rsidRPr="009452A2">
          <w:rPr>
            <w:rStyle w:val="TextoNormalCaracter"/>
          </w:rPr>
          <w:t>59/1985</w:t>
        </w:r>
      </w:hyperlink>
      <w:r>
        <w:t xml:space="preserve">; </w:t>
      </w:r>
      <w:hyperlink w:anchor="AUTO_1985_82" w:history="1">
        <w:r w:rsidRPr="009452A2">
          <w:rPr>
            <w:rStyle w:val="TextoNormalCaracter"/>
          </w:rPr>
          <w:t>82/1985</w:t>
        </w:r>
      </w:hyperlink>
      <w:r>
        <w:t xml:space="preserve">; </w:t>
      </w:r>
      <w:hyperlink w:anchor="AUTO_1985_130" w:history="1">
        <w:r w:rsidRPr="009452A2">
          <w:rPr>
            <w:rStyle w:val="TextoNormalCaracter"/>
          </w:rPr>
          <w:t>130/1985</w:t>
        </w:r>
      </w:hyperlink>
      <w:r>
        <w:t xml:space="preserve">; </w:t>
      </w:r>
      <w:hyperlink w:anchor="AUTO_1985_170" w:history="1">
        <w:r w:rsidRPr="009452A2">
          <w:rPr>
            <w:rStyle w:val="TextoNormalCaracter"/>
          </w:rPr>
          <w:t>170/1985</w:t>
        </w:r>
      </w:hyperlink>
      <w:r>
        <w:t xml:space="preserve">; </w:t>
      </w:r>
      <w:hyperlink w:anchor="AUTO_1985_206" w:history="1">
        <w:r w:rsidRPr="009452A2">
          <w:rPr>
            <w:rStyle w:val="TextoNormalCaracter"/>
          </w:rPr>
          <w:t>206/1985</w:t>
        </w:r>
      </w:hyperlink>
      <w:r>
        <w:t xml:space="preserve">; </w:t>
      </w:r>
      <w:hyperlink w:anchor="AUTO_1985_265" w:history="1">
        <w:r w:rsidRPr="009452A2">
          <w:rPr>
            <w:rStyle w:val="TextoNormalCaracter"/>
          </w:rPr>
          <w:t>265/1985</w:t>
        </w:r>
      </w:hyperlink>
      <w:r>
        <w:t xml:space="preserve">;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25.2.</w:t>
      </w:r>
      <w:r w:rsidRPr="009452A2">
        <w:rPr>
          <w:rStyle w:val="TextoNormalCaracter"/>
        </w:rPr>
        <w:t>-</w:t>
      </w:r>
      <w:r>
        <w:t xml:space="preserve"> Auto </w:t>
      </w:r>
      <w:hyperlink w:anchor="AUTO_1985_77" w:history="1">
        <w:r w:rsidRPr="009452A2">
          <w:rPr>
            <w:rStyle w:val="TextoNormalCaracter"/>
          </w:rPr>
          <w:t>77/1985</w:t>
        </w:r>
      </w:hyperlink>
      <w:r>
        <w:t>.</w:t>
      </w:r>
    </w:p>
    <w:p w:rsidR="009452A2" w:rsidRDefault="009452A2" w:rsidP="009452A2">
      <w:pPr>
        <w:pStyle w:val="SangriaFrancesaArticulo"/>
      </w:pPr>
      <w:r w:rsidRPr="009452A2">
        <w:rPr>
          <w:rStyle w:val="TextoNormalNegritaCaracter"/>
        </w:rPr>
        <w:t>Artículo 25.3.</w:t>
      </w:r>
      <w:r w:rsidRPr="009452A2">
        <w:rPr>
          <w:rStyle w:val="TextoNormalCaracter"/>
        </w:rPr>
        <w:t>-</w:t>
      </w:r>
      <w:r>
        <w:t xml:space="preserve"> Sentencia </w:t>
      </w:r>
      <w:hyperlink w:anchor="SENTENCIA_1985_31" w:history="1">
        <w:r w:rsidRPr="009452A2">
          <w:rPr>
            <w:rStyle w:val="TextoNormalCaracter"/>
          </w:rPr>
          <w:t>31/1985</w:t>
        </w:r>
      </w:hyperlink>
      <w:r>
        <w:t>, ff. 2, 5.</w:t>
      </w:r>
    </w:p>
    <w:p w:rsidR="009452A2" w:rsidRDefault="009452A2" w:rsidP="009452A2">
      <w:pPr>
        <w:pStyle w:val="SangriaFrancesaArticulo"/>
      </w:pPr>
      <w:r w:rsidRPr="009452A2">
        <w:rPr>
          <w:rStyle w:val="TextoNormalNegritaCaracter"/>
        </w:rPr>
        <w:t>Artículo 27.</w:t>
      </w:r>
      <w:r w:rsidRPr="009452A2">
        <w:rPr>
          <w:rStyle w:val="TextoNormalCaracter"/>
        </w:rPr>
        <w:t>-</w:t>
      </w:r>
      <w:r>
        <w:t xml:space="preserve"> Sentencias </w:t>
      </w:r>
      <w:hyperlink w:anchor="SENTENCIA_1985_48" w:history="1">
        <w:r w:rsidRPr="009452A2">
          <w:rPr>
            <w:rStyle w:val="TextoNormalCaracter"/>
          </w:rPr>
          <w:t>48/1985</w:t>
        </w:r>
      </w:hyperlink>
      <w:r>
        <w:t xml:space="preserve">, f. 5; </w:t>
      </w:r>
      <w:hyperlink w:anchor="SENTENCIA_1985_53" w:history="1">
        <w:r w:rsidRPr="009452A2">
          <w:rPr>
            <w:rStyle w:val="TextoNormalCaracter"/>
          </w:rPr>
          <w:t>53/1985</w:t>
        </w:r>
      </w:hyperlink>
      <w:r>
        <w:t>, ff. 4, 6.</w:t>
      </w:r>
    </w:p>
    <w:p w:rsidR="009452A2" w:rsidRDefault="009452A2" w:rsidP="009452A2">
      <w:pPr>
        <w:pStyle w:val="SangriaFrancesaArticulo"/>
      </w:pPr>
      <w:r w:rsidRPr="009452A2">
        <w:rPr>
          <w:rStyle w:val="TextoNormalNegritaCaracter"/>
        </w:rPr>
        <w:t>Artículo 27.6.</w:t>
      </w:r>
      <w:r w:rsidRPr="009452A2">
        <w:rPr>
          <w:rStyle w:val="TextoNormalCaracter"/>
        </w:rPr>
        <w:t>-</w:t>
      </w:r>
      <w:r>
        <w:t xml:space="preserve"> Sentencia </w:t>
      </w:r>
      <w:hyperlink w:anchor="SENTENCIA_1985_47" w:history="1">
        <w:r w:rsidRPr="009452A2">
          <w:rPr>
            <w:rStyle w:val="TextoNormalCaracter"/>
          </w:rPr>
          <w:t>47/1985</w:t>
        </w:r>
      </w:hyperlink>
      <w:r>
        <w:t>, f. 4.</w:t>
      </w:r>
    </w:p>
    <w:p w:rsidR="009452A2" w:rsidRDefault="009452A2" w:rsidP="009452A2">
      <w:pPr>
        <w:pStyle w:val="SangriaFrancesaArticulo"/>
      </w:pPr>
      <w:r w:rsidRPr="009452A2">
        <w:rPr>
          <w:rStyle w:val="TextoNormalNegritaCaracter"/>
        </w:rPr>
        <w:t>Artículo 27.8.</w:t>
      </w:r>
      <w:r w:rsidRPr="009452A2">
        <w:rPr>
          <w:rStyle w:val="TextoNormalCaracter"/>
        </w:rPr>
        <w:t>-</w:t>
      </w:r>
      <w:r>
        <w:t xml:space="preserve"> Sentencia </w:t>
      </w:r>
      <w:hyperlink w:anchor="SENTENCIA_1985_48" w:history="1">
        <w:r w:rsidRPr="009452A2">
          <w:rPr>
            <w:rStyle w:val="TextoNormalCaracter"/>
          </w:rPr>
          <w:t>48/1985</w:t>
        </w:r>
      </w:hyperlink>
      <w:r>
        <w:t>, f. 5.</w:t>
      </w:r>
    </w:p>
    <w:p w:rsidR="009452A2" w:rsidRDefault="009452A2" w:rsidP="009452A2">
      <w:pPr>
        <w:pStyle w:val="SangriaFrancesaArticulo"/>
      </w:pPr>
      <w:r w:rsidRPr="009452A2">
        <w:rPr>
          <w:rStyle w:val="TextoNormalNegritaCaracter"/>
        </w:rPr>
        <w:t>Artículo 28.</w:t>
      </w:r>
      <w:r w:rsidRPr="009452A2">
        <w:rPr>
          <w:rStyle w:val="TextoNormalCaracter"/>
        </w:rPr>
        <w:t>-</w:t>
      </w:r>
      <w:r>
        <w:t xml:space="preserve"> Sentencia </w:t>
      </w:r>
      <w:hyperlink w:anchor="SENTENCIA_1985_53" w:history="1">
        <w:r w:rsidRPr="009452A2">
          <w:rPr>
            <w:rStyle w:val="TextoNormalCaracter"/>
          </w:rPr>
          <w:t>53/1985</w:t>
        </w:r>
      </w:hyperlink>
      <w:r>
        <w:t>, ff. 6.</w:t>
      </w:r>
    </w:p>
    <w:p w:rsidR="009452A2" w:rsidRDefault="009452A2" w:rsidP="009452A2">
      <w:pPr>
        <w:pStyle w:val="SangriaIzquierdaArticulo"/>
      </w:pPr>
      <w:r>
        <w:t xml:space="preserve">Autos </w:t>
      </w:r>
      <w:hyperlink w:anchor="AUTO_1985_66" w:history="1">
        <w:r w:rsidRPr="009452A2">
          <w:rPr>
            <w:rStyle w:val="TextoNormalCaracter"/>
          </w:rPr>
          <w:t>66/1985</w:t>
        </w:r>
      </w:hyperlink>
      <w:r>
        <w:t xml:space="preserve">; </w:t>
      </w:r>
      <w:hyperlink w:anchor="AUTO_1985_165" w:history="1">
        <w:r w:rsidRPr="009452A2">
          <w:rPr>
            <w:rStyle w:val="TextoNormalCaracter"/>
          </w:rPr>
          <w:t>165/1985</w:t>
        </w:r>
      </w:hyperlink>
      <w:r>
        <w:t>.</w:t>
      </w:r>
    </w:p>
    <w:p w:rsidR="009452A2" w:rsidRDefault="009452A2" w:rsidP="009452A2">
      <w:pPr>
        <w:pStyle w:val="SangriaFrancesaArticulo"/>
      </w:pPr>
      <w:r w:rsidRPr="009452A2">
        <w:rPr>
          <w:rStyle w:val="TextoNormalNegritaCaracter"/>
        </w:rPr>
        <w:t>Artículo 28.1.</w:t>
      </w:r>
      <w:r w:rsidRPr="009452A2">
        <w:rPr>
          <w:rStyle w:val="TextoNormalCaracter"/>
        </w:rPr>
        <w:t>-</w:t>
      </w:r>
      <w:r>
        <w:t xml:space="preserve"> Sentencias </w:t>
      </w:r>
      <w:hyperlink w:anchor="SENTENCIA_1985_16" w:history="1">
        <w:r w:rsidRPr="009452A2">
          <w:rPr>
            <w:rStyle w:val="TextoNormalCaracter"/>
          </w:rPr>
          <w:t>16/1985</w:t>
        </w:r>
      </w:hyperlink>
      <w:r>
        <w:t xml:space="preserve">, f. 3; </w:t>
      </w:r>
      <w:hyperlink w:anchor="SENTENCIA_1985_20" w:history="1">
        <w:r w:rsidRPr="009452A2">
          <w:rPr>
            <w:rStyle w:val="TextoNormalCaracter"/>
          </w:rPr>
          <w:t>20/1985</w:t>
        </w:r>
      </w:hyperlink>
      <w:r>
        <w:t xml:space="preserve">, passim; </w:t>
      </w:r>
      <w:hyperlink w:anchor="SENTENCIA_1985_26" w:history="1">
        <w:r w:rsidRPr="009452A2">
          <w:rPr>
            <w:rStyle w:val="TextoNormalCaracter"/>
          </w:rPr>
          <w:t>26/1985</w:t>
        </w:r>
      </w:hyperlink>
      <w:r>
        <w:t xml:space="preserve">, ff. 1, 2; </w:t>
      </w:r>
      <w:hyperlink w:anchor="SENTENCIA_1985_40" w:history="1">
        <w:r w:rsidRPr="009452A2">
          <w:rPr>
            <w:rStyle w:val="TextoNormalCaracter"/>
          </w:rPr>
          <w:t>40/1985</w:t>
        </w:r>
      </w:hyperlink>
      <w:r>
        <w:t>, ff. 1, 2.</w:t>
      </w:r>
    </w:p>
    <w:p w:rsidR="009452A2" w:rsidRDefault="009452A2" w:rsidP="009452A2">
      <w:pPr>
        <w:pStyle w:val="SangriaIzquierdaArticulo"/>
      </w:pPr>
      <w:r>
        <w:t xml:space="preserve">Autos </w:t>
      </w:r>
      <w:hyperlink w:anchor="AUTO_1985_66" w:history="1">
        <w:r w:rsidRPr="009452A2">
          <w:rPr>
            <w:rStyle w:val="TextoNormalCaracter"/>
          </w:rPr>
          <w:t>66/1985</w:t>
        </w:r>
      </w:hyperlink>
      <w:r>
        <w:t xml:space="preserve">; </w:t>
      </w:r>
      <w:hyperlink w:anchor="AUTO_1985_100" w:history="1">
        <w:r w:rsidRPr="009452A2">
          <w:rPr>
            <w:rStyle w:val="TextoNormalCaracter"/>
          </w:rPr>
          <w:t>100/1985</w:t>
        </w:r>
      </w:hyperlink>
      <w:r>
        <w:t>.</w:t>
      </w:r>
    </w:p>
    <w:p w:rsidR="009452A2" w:rsidRDefault="009452A2" w:rsidP="009452A2">
      <w:pPr>
        <w:pStyle w:val="SangriaFrancesaArticulo"/>
      </w:pPr>
      <w:r w:rsidRPr="009452A2">
        <w:rPr>
          <w:rStyle w:val="TextoNormalNegritaCaracter"/>
        </w:rPr>
        <w:t>Artículo 28.2.</w:t>
      </w:r>
      <w:r w:rsidRPr="009452A2">
        <w:rPr>
          <w:rStyle w:val="TextoNormalCaracter"/>
        </w:rPr>
        <w:t>-</w:t>
      </w:r>
      <w:r>
        <w:t xml:space="preserve"> Autos </w:t>
      </w:r>
      <w:hyperlink w:anchor="AUTO_1985_156" w:history="1">
        <w:r w:rsidRPr="009452A2">
          <w:rPr>
            <w:rStyle w:val="TextoNormalCaracter"/>
          </w:rPr>
          <w:t>156/1985</w:t>
        </w:r>
      </w:hyperlink>
      <w:r>
        <w:t xml:space="preserve">; </w:t>
      </w:r>
      <w:hyperlink w:anchor="AUTO_1985_165" w:history="1">
        <w:r w:rsidRPr="009452A2">
          <w:rPr>
            <w:rStyle w:val="TextoNormalCaracter"/>
          </w:rPr>
          <w:t>165/1985</w:t>
        </w:r>
      </w:hyperlink>
      <w:r>
        <w:t xml:space="preserve">; </w:t>
      </w:r>
      <w:hyperlink w:anchor="AUTO_1985_167" w:history="1">
        <w:r w:rsidRPr="009452A2">
          <w:rPr>
            <w:rStyle w:val="TextoNormalCaracter"/>
          </w:rPr>
          <w:t>167/1985</w:t>
        </w:r>
      </w:hyperlink>
      <w:r>
        <w:t>.</w:t>
      </w:r>
    </w:p>
    <w:p w:rsidR="009452A2" w:rsidRDefault="009452A2" w:rsidP="009452A2">
      <w:pPr>
        <w:pStyle w:val="SangriaFrancesaArticulo"/>
      </w:pPr>
      <w:r w:rsidRPr="009452A2">
        <w:rPr>
          <w:rStyle w:val="TextoNormalNegritaCaracter"/>
        </w:rPr>
        <w:t>Artículo 29.</w:t>
      </w:r>
      <w:r w:rsidRPr="009452A2">
        <w:rPr>
          <w:rStyle w:val="TextoNormalCaracter"/>
        </w:rPr>
        <w:t>-</w:t>
      </w:r>
      <w:r>
        <w:t xml:space="preserve"> Sentencias </w:t>
      </w:r>
      <w:hyperlink w:anchor="SENTENCIA_1985_14" w:history="1">
        <w:r w:rsidRPr="009452A2">
          <w:rPr>
            <w:rStyle w:val="TextoNormalCaracter"/>
          </w:rPr>
          <w:t>14/1985</w:t>
        </w:r>
      </w:hyperlink>
      <w:r>
        <w:t xml:space="preserve">, f. 2; </w:t>
      </w:r>
      <w:hyperlink w:anchor="SENTENCIA_1985_51" w:history="1">
        <w:r w:rsidRPr="009452A2">
          <w:rPr>
            <w:rStyle w:val="TextoNormalCaracter"/>
          </w:rPr>
          <w:t>51/1985</w:t>
        </w:r>
      </w:hyperlink>
      <w:r>
        <w:t xml:space="preserve">, f. 9; </w:t>
      </w:r>
      <w:hyperlink w:anchor="SENTENCIA_1985_53" w:history="1">
        <w:r w:rsidRPr="009452A2">
          <w:rPr>
            <w:rStyle w:val="TextoNormalCaracter"/>
          </w:rPr>
          <w:t>53/1985</w:t>
        </w:r>
      </w:hyperlink>
      <w:r>
        <w:t>, f. 6.</w:t>
      </w:r>
    </w:p>
    <w:p w:rsidR="009452A2" w:rsidRDefault="009452A2" w:rsidP="009452A2">
      <w:pPr>
        <w:pStyle w:val="SangriaFrancesaArticulo"/>
      </w:pPr>
      <w:r w:rsidRPr="009452A2">
        <w:rPr>
          <w:rStyle w:val="TextoNormalNegritaCaracter"/>
        </w:rPr>
        <w:t>Artículo 30.</w:t>
      </w:r>
      <w:r w:rsidRPr="009452A2">
        <w:rPr>
          <w:rStyle w:val="TextoNormalCaracter"/>
        </w:rPr>
        <w:t>-</w:t>
      </w:r>
      <w:r>
        <w:t xml:space="preserve"> Sentencia </w:t>
      </w:r>
      <w:hyperlink w:anchor="SENTENCIA_1985_14" w:history="1">
        <w:r w:rsidRPr="009452A2">
          <w:rPr>
            <w:rStyle w:val="TextoNormalCaracter"/>
          </w:rPr>
          <w:t>14/1985</w:t>
        </w:r>
      </w:hyperlink>
      <w:r>
        <w:t>, f. 2.</w:t>
      </w:r>
    </w:p>
    <w:p w:rsidR="009452A2" w:rsidRDefault="009452A2" w:rsidP="009452A2">
      <w:pPr>
        <w:pStyle w:val="SangriaFrancesaArticulo"/>
      </w:pPr>
      <w:r w:rsidRPr="009452A2">
        <w:rPr>
          <w:rStyle w:val="TextoNormalNegritaCaracter"/>
        </w:rPr>
        <w:t>Artículo 30.2.</w:t>
      </w:r>
      <w:r w:rsidRPr="009452A2">
        <w:rPr>
          <w:rStyle w:val="TextoNormalCaracter"/>
        </w:rPr>
        <w:t>-</w:t>
      </w:r>
      <w:r>
        <w:t xml:space="preserve"> Sentencias </w:t>
      </w:r>
      <w:hyperlink w:anchor="SENTENCIA_1985_35" w:history="1">
        <w:r w:rsidRPr="009452A2">
          <w:rPr>
            <w:rStyle w:val="TextoNormalCaracter"/>
          </w:rPr>
          <w:t>35/1985</w:t>
        </w:r>
      </w:hyperlink>
      <w:r>
        <w:t xml:space="preserve">, ff. 1 a 3; </w:t>
      </w:r>
      <w:hyperlink w:anchor="SENTENCIA_1985_51" w:history="1">
        <w:r w:rsidRPr="009452A2">
          <w:rPr>
            <w:rStyle w:val="TextoNormalCaracter"/>
          </w:rPr>
          <w:t>51/1985</w:t>
        </w:r>
      </w:hyperlink>
      <w:r>
        <w:t>, f. 2.</w:t>
      </w:r>
    </w:p>
    <w:p w:rsidR="009452A2" w:rsidRDefault="009452A2" w:rsidP="009452A2">
      <w:pPr>
        <w:pStyle w:val="SangriaIzquierdaArticulo"/>
      </w:pPr>
      <w:r>
        <w:t xml:space="preserve">Auto </w:t>
      </w:r>
      <w:hyperlink w:anchor="AUTO_1985_70" w:history="1">
        <w:r w:rsidRPr="009452A2">
          <w:rPr>
            <w:rStyle w:val="TextoNormalCaracter"/>
          </w:rPr>
          <w:t>70/1985</w:t>
        </w:r>
      </w:hyperlink>
      <w:r>
        <w:t>.</w:t>
      </w:r>
    </w:p>
    <w:p w:rsidR="009452A2" w:rsidRDefault="009452A2" w:rsidP="009452A2">
      <w:pPr>
        <w:pStyle w:val="SangriaFrancesaArticulo"/>
      </w:pPr>
      <w:r w:rsidRPr="009452A2">
        <w:rPr>
          <w:rStyle w:val="TextoNormalNegritaCaracter"/>
        </w:rPr>
        <w:t>Artículo 31.</w:t>
      </w:r>
      <w:r w:rsidRPr="009452A2">
        <w:rPr>
          <w:rStyle w:val="TextoNormalCaracter"/>
        </w:rPr>
        <w:t>-</w:t>
      </w:r>
      <w:r>
        <w:t xml:space="preserve"> Autos </w:t>
      </w:r>
      <w:hyperlink w:anchor="AUTO_1985_27" w:history="1">
        <w:r w:rsidRPr="009452A2">
          <w:rPr>
            <w:rStyle w:val="TextoNormalCaracter"/>
          </w:rPr>
          <w:t>27/1985</w:t>
        </w:r>
      </w:hyperlink>
      <w:r>
        <w:t xml:space="preserve">; </w:t>
      </w:r>
      <w:hyperlink w:anchor="AUTO_1985_204" w:history="1">
        <w:r w:rsidRPr="009452A2">
          <w:rPr>
            <w:rStyle w:val="TextoNormalCaracter"/>
          </w:rPr>
          <w:t>204/1985</w:t>
        </w:r>
      </w:hyperlink>
      <w:r>
        <w:t>.</w:t>
      </w:r>
    </w:p>
    <w:p w:rsidR="009452A2" w:rsidRDefault="009452A2" w:rsidP="009452A2">
      <w:pPr>
        <w:pStyle w:val="SangriaFrancesaArticulo"/>
      </w:pPr>
      <w:r w:rsidRPr="009452A2">
        <w:rPr>
          <w:rStyle w:val="TextoNormalNegritaCaracter"/>
        </w:rPr>
        <w:t>Artículo 31.1.</w:t>
      </w:r>
      <w:r w:rsidRPr="009452A2">
        <w:rPr>
          <w:rStyle w:val="TextoNormalCaracter"/>
        </w:rPr>
        <w:t>-</w:t>
      </w:r>
      <w:r>
        <w:t xml:space="preserve"> Auto </w:t>
      </w:r>
      <w:hyperlink w:anchor="AUTO_1985_27" w:history="1">
        <w:r w:rsidRPr="009452A2">
          <w:rPr>
            <w:rStyle w:val="TextoNormalCaracter"/>
          </w:rPr>
          <w:t>27/1985</w:t>
        </w:r>
      </w:hyperlink>
      <w:r>
        <w:t>.</w:t>
      </w:r>
    </w:p>
    <w:p w:rsidR="009452A2" w:rsidRDefault="009452A2" w:rsidP="009452A2">
      <w:pPr>
        <w:pStyle w:val="SangriaFrancesaArticulo"/>
      </w:pPr>
      <w:r w:rsidRPr="009452A2">
        <w:rPr>
          <w:rStyle w:val="TextoNormalNegritaCaracter"/>
        </w:rPr>
        <w:lastRenderedPageBreak/>
        <w:t>Artículo 33.</w:t>
      </w:r>
      <w:r w:rsidRPr="009452A2">
        <w:rPr>
          <w:rStyle w:val="TextoNormalCaracter"/>
        </w:rPr>
        <w:t>-</w:t>
      </w:r>
      <w:r>
        <w:t xml:space="preserve"> Autos </w:t>
      </w:r>
      <w:hyperlink w:anchor="AUTO_1985_87" w:history="1">
        <w:r w:rsidRPr="009452A2">
          <w:rPr>
            <w:rStyle w:val="TextoNormalCaracter"/>
          </w:rPr>
          <w:t>87/1985</w:t>
        </w:r>
      </w:hyperlink>
      <w:r>
        <w:t xml:space="preserve">; </w:t>
      </w:r>
      <w:hyperlink w:anchor="AUTO_1985_121" w:history="1">
        <w:r w:rsidRPr="009452A2">
          <w:rPr>
            <w:rStyle w:val="TextoNormalCaracter"/>
          </w:rPr>
          <w:t>121/1985</w:t>
        </w:r>
      </w:hyperlink>
      <w:r>
        <w:t xml:space="preserve">; </w:t>
      </w:r>
      <w:hyperlink w:anchor="AUTO_1985_236" w:history="1">
        <w:r w:rsidRPr="009452A2">
          <w:rPr>
            <w:rStyle w:val="TextoNormalCaracter"/>
          </w:rPr>
          <w:t>236/1985</w:t>
        </w:r>
      </w:hyperlink>
      <w:r>
        <w:t>.</w:t>
      </w:r>
    </w:p>
    <w:p w:rsidR="009452A2" w:rsidRDefault="009452A2" w:rsidP="009452A2">
      <w:pPr>
        <w:pStyle w:val="SangriaFrancesaArticulo"/>
      </w:pPr>
      <w:r w:rsidRPr="009452A2">
        <w:rPr>
          <w:rStyle w:val="TextoNormalNegritaCaracter"/>
        </w:rPr>
        <w:t>Artículo 33.3.</w:t>
      </w:r>
      <w:r w:rsidRPr="009452A2">
        <w:rPr>
          <w:rStyle w:val="TextoNormalCaracter"/>
        </w:rPr>
        <w:t>-</w:t>
      </w:r>
      <w:r>
        <w:t xml:space="preserve"> Auto </w:t>
      </w:r>
      <w:hyperlink w:anchor="AUTO_1985_204" w:history="1">
        <w:r w:rsidRPr="009452A2">
          <w:rPr>
            <w:rStyle w:val="TextoNormalCaracter"/>
          </w:rPr>
          <w:t>204/1985</w:t>
        </w:r>
      </w:hyperlink>
      <w:r>
        <w:t>.</w:t>
      </w:r>
    </w:p>
    <w:p w:rsidR="009452A2" w:rsidRDefault="009452A2" w:rsidP="009452A2">
      <w:pPr>
        <w:pStyle w:val="SangriaFrancesaArticulo"/>
      </w:pPr>
      <w:r w:rsidRPr="009452A2">
        <w:rPr>
          <w:rStyle w:val="TextoNormalNegritaCaracter"/>
        </w:rPr>
        <w:t>Artículo 35.</w:t>
      </w:r>
      <w:r w:rsidRPr="009452A2">
        <w:rPr>
          <w:rStyle w:val="TextoNormalCaracter"/>
        </w:rPr>
        <w:t>-</w:t>
      </w:r>
      <w:r>
        <w:t xml:space="preserve"> Sentencias </w:t>
      </w:r>
      <w:hyperlink w:anchor="SENTENCIA_1985_10" w:history="1">
        <w:r w:rsidRPr="009452A2">
          <w:rPr>
            <w:rStyle w:val="TextoNormalCaracter"/>
          </w:rPr>
          <w:t>10/1985</w:t>
        </w:r>
      </w:hyperlink>
      <w:r>
        <w:t xml:space="preserve">, f. 1; </w:t>
      </w:r>
      <w:hyperlink w:anchor="SENTENCIA_1985_53" w:history="1">
        <w:r w:rsidRPr="009452A2">
          <w:rPr>
            <w:rStyle w:val="TextoNormalCaracter"/>
          </w:rPr>
          <w:t>53/1985</w:t>
        </w:r>
      </w:hyperlink>
      <w:r>
        <w:t xml:space="preserve">, f. 6; </w:t>
      </w:r>
      <w:hyperlink w:anchor="SENTENCIA_1985_58" w:history="1">
        <w:r w:rsidRPr="009452A2">
          <w:rPr>
            <w:rStyle w:val="TextoNormalCaracter"/>
          </w:rPr>
          <w:t>58/1985</w:t>
        </w:r>
      </w:hyperlink>
      <w:r>
        <w:t>, f. 2.</w:t>
      </w:r>
    </w:p>
    <w:p w:rsidR="009452A2" w:rsidRDefault="009452A2" w:rsidP="009452A2">
      <w:pPr>
        <w:pStyle w:val="SangriaIzquierdaArticulo"/>
      </w:pPr>
      <w:r>
        <w:t xml:space="preserve">Autos </w:t>
      </w:r>
      <w:hyperlink w:anchor="AUTO_1985_9" w:history="1">
        <w:r w:rsidRPr="009452A2">
          <w:rPr>
            <w:rStyle w:val="TextoNormalCaracter"/>
          </w:rPr>
          <w:t>9/1985</w:t>
        </w:r>
      </w:hyperlink>
      <w:r>
        <w:t xml:space="preserve">; </w:t>
      </w:r>
      <w:hyperlink w:anchor="AUTO_1985_23" w:history="1">
        <w:r w:rsidRPr="009452A2">
          <w:rPr>
            <w:rStyle w:val="TextoNormalCaracter"/>
          </w:rPr>
          <w:t>23/1985</w:t>
        </w:r>
      </w:hyperlink>
      <w:r>
        <w:t xml:space="preserve">; </w:t>
      </w:r>
      <w:hyperlink w:anchor="AUTO_1985_26" w:history="1">
        <w:r w:rsidRPr="009452A2">
          <w:rPr>
            <w:rStyle w:val="TextoNormalCaracter"/>
          </w:rPr>
          <w:t>26/1985</w:t>
        </w:r>
      </w:hyperlink>
      <w:r>
        <w:t xml:space="preserve">; </w:t>
      </w:r>
      <w:hyperlink w:anchor="AUTO_1985_238" w:history="1">
        <w:r w:rsidRPr="009452A2">
          <w:rPr>
            <w:rStyle w:val="TextoNormalCaracter"/>
          </w:rPr>
          <w:t>238/1985</w:t>
        </w:r>
      </w:hyperlink>
      <w:r>
        <w:t>.</w:t>
      </w:r>
    </w:p>
    <w:p w:rsidR="009452A2" w:rsidRDefault="009452A2" w:rsidP="009452A2">
      <w:pPr>
        <w:pStyle w:val="SangriaFrancesaArticulo"/>
      </w:pPr>
      <w:r w:rsidRPr="009452A2">
        <w:rPr>
          <w:rStyle w:val="TextoNormalNegritaCaracter"/>
        </w:rPr>
        <w:t>Artículo 35.1.</w:t>
      </w:r>
      <w:r w:rsidRPr="009452A2">
        <w:rPr>
          <w:rStyle w:val="TextoNormalCaracter"/>
        </w:rPr>
        <w:t>-</w:t>
      </w:r>
      <w:r>
        <w:t xml:space="preserve"> Sentencia </w:t>
      </w:r>
      <w:hyperlink w:anchor="SENTENCIA_1985_58" w:history="1">
        <w:r w:rsidRPr="009452A2">
          <w:rPr>
            <w:rStyle w:val="TextoNormalCaracter"/>
          </w:rPr>
          <w:t>58/1985</w:t>
        </w:r>
      </w:hyperlink>
      <w:r>
        <w:t>, f. 5.</w:t>
      </w:r>
    </w:p>
    <w:p w:rsidR="009452A2" w:rsidRDefault="009452A2" w:rsidP="009452A2">
      <w:pPr>
        <w:pStyle w:val="SangriaIzquierdaArticulo"/>
      </w:pPr>
      <w:r>
        <w:t xml:space="preserve">Autos </w:t>
      </w:r>
      <w:hyperlink w:anchor="AUTO_1985_9" w:history="1">
        <w:r w:rsidRPr="009452A2">
          <w:rPr>
            <w:rStyle w:val="TextoNormalCaracter"/>
          </w:rPr>
          <w:t>9/1985</w:t>
        </w:r>
      </w:hyperlink>
      <w:r>
        <w:t xml:space="preserve">; </w:t>
      </w:r>
      <w:hyperlink w:anchor="AUTO_1985_77" w:history="1">
        <w:r w:rsidRPr="009452A2">
          <w:rPr>
            <w:rStyle w:val="TextoNormalCaracter"/>
          </w:rPr>
          <w:t>77/1985</w:t>
        </w:r>
      </w:hyperlink>
      <w:r>
        <w:t xml:space="preserve">; </w:t>
      </w:r>
      <w:hyperlink w:anchor="AUTO_1985_212" w:history="1">
        <w:r w:rsidRPr="009452A2">
          <w:rPr>
            <w:rStyle w:val="TextoNormalCaracter"/>
          </w:rPr>
          <w:t>212/1985</w:t>
        </w:r>
      </w:hyperlink>
      <w:r>
        <w:t>.</w:t>
      </w:r>
    </w:p>
    <w:p w:rsidR="009452A2" w:rsidRDefault="009452A2" w:rsidP="009452A2">
      <w:pPr>
        <w:pStyle w:val="SangriaFrancesaArticulo"/>
      </w:pPr>
      <w:r w:rsidRPr="009452A2">
        <w:rPr>
          <w:rStyle w:val="TextoNormalNegritaCaracter"/>
        </w:rPr>
        <w:t>Artículo 36.</w:t>
      </w:r>
      <w:r w:rsidRPr="009452A2">
        <w:rPr>
          <w:rStyle w:val="TextoNormalCaracter"/>
        </w:rPr>
        <w:t>-</w:t>
      </w:r>
      <w:r>
        <w:t xml:space="preserve"> Autos </w:t>
      </w:r>
      <w:hyperlink w:anchor="AUTO_1985_103" w:history="1">
        <w:r w:rsidRPr="009452A2">
          <w:rPr>
            <w:rStyle w:val="TextoNormalCaracter"/>
          </w:rPr>
          <w:t>103/1985</w:t>
        </w:r>
      </w:hyperlink>
      <w:r>
        <w:t xml:space="preserve">; </w:t>
      </w:r>
      <w:hyperlink w:anchor="AUTO_1985_130" w:history="1">
        <w:r w:rsidRPr="009452A2">
          <w:rPr>
            <w:rStyle w:val="TextoNormalCaracter"/>
          </w:rPr>
          <w:t>130/1985</w:t>
        </w:r>
      </w:hyperlink>
      <w:r>
        <w:t>.</w:t>
      </w:r>
    </w:p>
    <w:p w:rsidR="009452A2" w:rsidRDefault="009452A2" w:rsidP="009452A2">
      <w:pPr>
        <w:pStyle w:val="SangriaFrancesaArticulo"/>
      </w:pPr>
      <w:r w:rsidRPr="009452A2">
        <w:rPr>
          <w:rStyle w:val="TextoNormalNegritaCaracter"/>
        </w:rPr>
        <w:t>Artículo 37.1.</w:t>
      </w:r>
      <w:r w:rsidRPr="009452A2">
        <w:rPr>
          <w:rStyle w:val="TextoNormalCaracter"/>
        </w:rPr>
        <w:t>-</w:t>
      </w:r>
      <w:r>
        <w:t xml:space="preserve"> Sentencia </w:t>
      </w:r>
      <w:hyperlink w:anchor="SENTENCIA_1985_58" w:history="1">
        <w:r w:rsidRPr="009452A2">
          <w:rPr>
            <w:rStyle w:val="TextoNormalCaracter"/>
          </w:rPr>
          <w:t>58/1985</w:t>
        </w:r>
      </w:hyperlink>
      <w:r>
        <w:t>, f. 3.</w:t>
      </w:r>
    </w:p>
    <w:p w:rsidR="009452A2" w:rsidRDefault="009452A2" w:rsidP="009452A2">
      <w:pPr>
        <w:pStyle w:val="SangriaIzquierdaArticulo"/>
      </w:pPr>
      <w:r>
        <w:t xml:space="preserve">Auto </w:t>
      </w:r>
      <w:hyperlink w:anchor="AUTO_1985_66" w:history="1">
        <w:r w:rsidRPr="009452A2">
          <w:rPr>
            <w:rStyle w:val="TextoNormalCaracter"/>
          </w:rPr>
          <w:t>66/1985</w:t>
        </w:r>
      </w:hyperlink>
      <w:r>
        <w:t>.</w:t>
      </w:r>
    </w:p>
    <w:p w:rsidR="009452A2" w:rsidRDefault="009452A2" w:rsidP="009452A2">
      <w:pPr>
        <w:pStyle w:val="SangriaFrancesaArticulo"/>
      </w:pPr>
      <w:r w:rsidRPr="009452A2">
        <w:rPr>
          <w:rStyle w:val="TextoNormalNegritaCaracter"/>
        </w:rPr>
        <w:t>Artículo 37.2.</w:t>
      </w:r>
      <w:r w:rsidRPr="009452A2">
        <w:rPr>
          <w:rStyle w:val="TextoNormalCaracter"/>
        </w:rPr>
        <w:t>-</w:t>
      </w:r>
      <w:r>
        <w:t xml:space="preserve"> Autos </w:t>
      </w:r>
      <w:hyperlink w:anchor="AUTO_1985_165" w:history="1">
        <w:r w:rsidRPr="009452A2">
          <w:rPr>
            <w:rStyle w:val="TextoNormalCaracter"/>
          </w:rPr>
          <w:t>165/1985</w:t>
        </w:r>
      </w:hyperlink>
      <w:r>
        <w:t xml:space="preserve">; </w:t>
      </w:r>
      <w:hyperlink w:anchor="AUTO_1985_167" w:history="1">
        <w:r w:rsidRPr="009452A2">
          <w:rPr>
            <w:rStyle w:val="TextoNormalCaracter"/>
          </w:rPr>
          <w:t>167/1985</w:t>
        </w:r>
      </w:hyperlink>
      <w:r>
        <w:t>.</w:t>
      </w:r>
    </w:p>
    <w:p w:rsidR="009452A2" w:rsidRDefault="009452A2" w:rsidP="009452A2">
      <w:pPr>
        <w:pStyle w:val="SangriaFrancesaArticulo"/>
      </w:pPr>
      <w:r w:rsidRPr="009452A2">
        <w:rPr>
          <w:rStyle w:val="TextoNormalNegritaCaracter"/>
        </w:rPr>
        <w:t>Artículo 38.</w:t>
      </w:r>
      <w:r w:rsidRPr="009452A2">
        <w:rPr>
          <w:rStyle w:val="TextoNormalCaracter"/>
        </w:rPr>
        <w:t>-</w:t>
      </w:r>
      <w:r>
        <w:t xml:space="preserve"> Auto </w:t>
      </w:r>
      <w:hyperlink w:anchor="AUTO_1985_204" w:history="1">
        <w:r w:rsidRPr="009452A2">
          <w:rPr>
            <w:rStyle w:val="TextoNormalCaracter"/>
          </w:rPr>
          <w:t>204/1985</w:t>
        </w:r>
      </w:hyperlink>
      <w:r>
        <w:t>.</w:t>
      </w:r>
    </w:p>
    <w:p w:rsidR="009452A2" w:rsidRDefault="009452A2" w:rsidP="009452A2">
      <w:pPr>
        <w:pStyle w:val="SangriaFrancesaArticulo"/>
      </w:pPr>
      <w:r w:rsidRPr="009452A2">
        <w:rPr>
          <w:rStyle w:val="TextoNormalNegritaCaracter"/>
        </w:rPr>
        <w:t>Artículo 39.</w:t>
      </w:r>
      <w:r w:rsidRPr="009452A2">
        <w:rPr>
          <w:rStyle w:val="TextoNormalCaracter"/>
        </w:rPr>
        <w:t>-</w:t>
      </w:r>
      <w:r>
        <w:t xml:space="preserve"> Sentencia </w:t>
      </w:r>
      <w:hyperlink w:anchor="SENTENCIA_1985_53" w:history="1">
        <w:r w:rsidRPr="009452A2">
          <w:rPr>
            <w:rStyle w:val="TextoNormalCaracter"/>
          </w:rPr>
          <w:t>53/1985</w:t>
        </w:r>
      </w:hyperlink>
      <w:r>
        <w:t>, f. 6.</w:t>
      </w:r>
    </w:p>
    <w:p w:rsidR="009452A2" w:rsidRDefault="009452A2" w:rsidP="009452A2">
      <w:pPr>
        <w:pStyle w:val="SangriaIzquierdaArticulo"/>
      </w:pPr>
      <w:r>
        <w:t xml:space="preserve">Autos </w:t>
      </w:r>
      <w:hyperlink w:anchor="AUTO_1985_26" w:history="1">
        <w:r w:rsidRPr="009452A2">
          <w:rPr>
            <w:rStyle w:val="TextoNormalCaracter"/>
          </w:rPr>
          <w:t>26/1985</w:t>
        </w:r>
      </w:hyperlink>
      <w:r>
        <w:t xml:space="preserve">; </w:t>
      </w:r>
      <w:hyperlink w:anchor="AUTO_1985_202" w:history="1">
        <w:r w:rsidRPr="009452A2">
          <w:rPr>
            <w:rStyle w:val="TextoNormalCaracter"/>
          </w:rPr>
          <w:t>202/1985</w:t>
        </w:r>
      </w:hyperlink>
      <w:r>
        <w:t xml:space="preserve">; </w:t>
      </w:r>
      <w:hyperlink w:anchor="AUTO_1985_241" w:history="1">
        <w:r w:rsidRPr="009452A2">
          <w:rPr>
            <w:rStyle w:val="TextoNormalCaracter"/>
          </w:rPr>
          <w:t>241/1985</w:t>
        </w:r>
      </w:hyperlink>
      <w:r>
        <w:t>.</w:t>
      </w:r>
    </w:p>
    <w:p w:rsidR="009452A2" w:rsidRDefault="009452A2" w:rsidP="009452A2">
      <w:pPr>
        <w:pStyle w:val="SangriaFrancesaArticulo"/>
      </w:pPr>
      <w:r w:rsidRPr="009452A2">
        <w:rPr>
          <w:rStyle w:val="TextoNormalNegritaCaracter"/>
        </w:rPr>
        <w:t>Artículo 39.1.</w:t>
      </w:r>
      <w:r w:rsidRPr="009452A2">
        <w:rPr>
          <w:rStyle w:val="TextoNormalCaracter"/>
        </w:rPr>
        <w:t>-</w:t>
      </w:r>
      <w:r>
        <w:t xml:space="preserve"> Auto </w:t>
      </w:r>
      <w:hyperlink w:anchor="AUTO_1985_241" w:history="1">
        <w:r w:rsidRPr="009452A2">
          <w:rPr>
            <w:rStyle w:val="TextoNormalCaracter"/>
          </w:rPr>
          <w:t>241/1985</w:t>
        </w:r>
      </w:hyperlink>
      <w:r>
        <w:t>.</w:t>
      </w:r>
    </w:p>
    <w:p w:rsidR="009452A2" w:rsidRDefault="009452A2" w:rsidP="009452A2">
      <w:pPr>
        <w:pStyle w:val="SangriaFrancesaArticulo"/>
      </w:pPr>
      <w:r w:rsidRPr="009452A2">
        <w:rPr>
          <w:rStyle w:val="TextoNormalNegritaCaracter"/>
        </w:rPr>
        <w:t>Artículo 39.2.</w:t>
      </w:r>
      <w:r w:rsidRPr="009452A2">
        <w:rPr>
          <w:rStyle w:val="TextoNormalCaracter"/>
        </w:rPr>
        <w:t>-</w:t>
      </w:r>
      <w:r>
        <w:t xml:space="preserve"> Sentencia </w:t>
      </w:r>
      <w:hyperlink w:anchor="SENTENCIA_1985_53" w:history="1">
        <w:r w:rsidRPr="009452A2">
          <w:rPr>
            <w:rStyle w:val="TextoNormalCaracter"/>
          </w:rPr>
          <w:t>53/1985</w:t>
        </w:r>
      </w:hyperlink>
      <w:r>
        <w:t>, f. 2, VP I.</w:t>
      </w:r>
    </w:p>
    <w:p w:rsidR="009452A2" w:rsidRDefault="009452A2" w:rsidP="009452A2">
      <w:pPr>
        <w:pStyle w:val="SangriaFrancesaArticulo"/>
      </w:pPr>
      <w:r w:rsidRPr="009452A2">
        <w:rPr>
          <w:rStyle w:val="TextoNormalNegritaCaracter"/>
        </w:rPr>
        <w:t>Artículo 39.3.</w:t>
      </w:r>
      <w:r w:rsidRPr="009452A2">
        <w:rPr>
          <w:rStyle w:val="TextoNormalCaracter"/>
        </w:rPr>
        <w:t>-</w:t>
      </w:r>
      <w:r>
        <w:t xml:space="preserve"> Sentencia </w:t>
      </w:r>
      <w:hyperlink w:anchor="SENTENCIA_1985_53" w:history="1">
        <w:r w:rsidRPr="009452A2">
          <w:rPr>
            <w:rStyle w:val="TextoNormalCaracter"/>
          </w:rPr>
          <w:t>53/1985</w:t>
        </w:r>
      </w:hyperlink>
      <w:r>
        <w:t>, f. 13.</w:t>
      </w:r>
    </w:p>
    <w:p w:rsidR="009452A2" w:rsidRDefault="009452A2" w:rsidP="009452A2">
      <w:pPr>
        <w:pStyle w:val="SangriaFrancesaArticulo"/>
      </w:pPr>
      <w:r w:rsidRPr="009452A2">
        <w:rPr>
          <w:rStyle w:val="TextoNormalNegritaCaracter"/>
        </w:rPr>
        <w:t>Artículo 39.4.</w:t>
      </w:r>
      <w:r w:rsidRPr="009452A2">
        <w:rPr>
          <w:rStyle w:val="TextoNormalCaracter"/>
        </w:rPr>
        <w:t>-</w:t>
      </w:r>
      <w:r>
        <w:t xml:space="preserve"> Sentencia </w:t>
      </w:r>
      <w:hyperlink w:anchor="SENTENCIA_1985_53" w:history="1">
        <w:r w:rsidRPr="009452A2">
          <w:rPr>
            <w:rStyle w:val="TextoNormalCaracter"/>
          </w:rPr>
          <w:t>53/1985</w:t>
        </w:r>
      </w:hyperlink>
      <w:r>
        <w:t>, f. 2, VP I.</w:t>
      </w:r>
    </w:p>
    <w:p w:rsidR="009452A2" w:rsidRDefault="009452A2" w:rsidP="009452A2">
      <w:pPr>
        <w:pStyle w:val="SangriaFrancesaArticulo"/>
      </w:pPr>
      <w:r w:rsidRPr="009452A2">
        <w:rPr>
          <w:rStyle w:val="TextoNormalNegritaCaracter"/>
        </w:rPr>
        <w:t>Artículo 40.</w:t>
      </w:r>
      <w:r w:rsidRPr="009452A2">
        <w:rPr>
          <w:rStyle w:val="TextoNormalCaracter"/>
        </w:rPr>
        <w:t>-</w:t>
      </w:r>
      <w:r>
        <w:t xml:space="preserve"> Auto </w:t>
      </w:r>
      <w:hyperlink w:anchor="AUTO_1985_212" w:history="1">
        <w:r w:rsidRPr="009452A2">
          <w:rPr>
            <w:rStyle w:val="TextoNormalCaracter"/>
          </w:rPr>
          <w:t>212/1985</w:t>
        </w:r>
      </w:hyperlink>
      <w:r>
        <w:t>.</w:t>
      </w:r>
    </w:p>
    <w:p w:rsidR="009452A2" w:rsidRDefault="009452A2" w:rsidP="009452A2">
      <w:pPr>
        <w:pStyle w:val="SangriaFrancesaArticulo"/>
      </w:pPr>
      <w:r w:rsidRPr="009452A2">
        <w:rPr>
          <w:rStyle w:val="TextoNormalNegritaCaracter"/>
        </w:rPr>
        <w:t>Artículo 41.</w:t>
      </w:r>
      <w:r w:rsidRPr="009452A2">
        <w:rPr>
          <w:rStyle w:val="TextoNormalCaracter"/>
        </w:rPr>
        <w:t>-</w:t>
      </w:r>
      <w:r>
        <w:t xml:space="preserve"> Autos </w:t>
      </w:r>
      <w:hyperlink w:anchor="AUTO_1985_4" w:history="1">
        <w:r w:rsidRPr="009452A2">
          <w:rPr>
            <w:rStyle w:val="TextoNormalCaracter"/>
          </w:rPr>
          <w:t>4/1985</w:t>
        </w:r>
      </w:hyperlink>
      <w:r>
        <w:t xml:space="preserve">; </w:t>
      </w:r>
      <w:hyperlink w:anchor="AUTO_1985_142" w:history="1">
        <w:r w:rsidRPr="009452A2">
          <w:rPr>
            <w:rStyle w:val="TextoNormalCaracter"/>
          </w:rPr>
          <w:t>142/1985</w:t>
        </w:r>
      </w:hyperlink>
      <w:r>
        <w:t xml:space="preserve">; </w:t>
      </w:r>
      <w:hyperlink w:anchor="AUTO_1985_241" w:history="1">
        <w:r w:rsidRPr="009452A2">
          <w:rPr>
            <w:rStyle w:val="TextoNormalCaracter"/>
          </w:rPr>
          <w:t>241/1985</w:t>
        </w:r>
      </w:hyperlink>
      <w:r>
        <w:t>.</w:t>
      </w:r>
    </w:p>
    <w:p w:rsidR="009452A2" w:rsidRDefault="009452A2" w:rsidP="009452A2">
      <w:pPr>
        <w:pStyle w:val="SangriaFrancesaArticulo"/>
      </w:pPr>
      <w:r w:rsidRPr="009452A2">
        <w:rPr>
          <w:rStyle w:val="TextoNormalNegritaCaracter"/>
        </w:rPr>
        <w:t>Artículo 43.</w:t>
      </w:r>
      <w:r w:rsidRPr="009452A2">
        <w:rPr>
          <w:rStyle w:val="TextoNormalCaracter"/>
        </w:rPr>
        <w:t>-</w:t>
      </w:r>
      <w:r>
        <w:t xml:space="preserve"> Sentencia </w:t>
      </w:r>
      <w:hyperlink w:anchor="SENTENCIA_1985_53" w:history="1">
        <w:r w:rsidRPr="009452A2">
          <w:rPr>
            <w:rStyle w:val="TextoNormalCaracter"/>
          </w:rPr>
          <w:t>53/1985</w:t>
        </w:r>
      </w:hyperlink>
      <w:r>
        <w:t>, VP I.</w:t>
      </w:r>
    </w:p>
    <w:p w:rsidR="009452A2" w:rsidRDefault="009452A2" w:rsidP="009452A2">
      <w:pPr>
        <w:pStyle w:val="SangriaFrancesaArticulo"/>
      </w:pPr>
      <w:r w:rsidRPr="009452A2">
        <w:rPr>
          <w:rStyle w:val="TextoNormalNegritaCaracter"/>
        </w:rPr>
        <w:t>Artículo 47.</w:t>
      </w:r>
      <w:r w:rsidRPr="009452A2">
        <w:rPr>
          <w:rStyle w:val="TextoNormalCaracter"/>
        </w:rPr>
        <w:t>-</w:t>
      </w:r>
      <w:r>
        <w:t xml:space="preserve"> Sentencia </w:t>
      </w:r>
      <w:hyperlink w:anchor="SENTENCIA_1985_53" w:history="1">
        <w:r w:rsidRPr="009452A2">
          <w:rPr>
            <w:rStyle w:val="TextoNormalCaracter"/>
          </w:rPr>
          <w:t>53/1985</w:t>
        </w:r>
      </w:hyperlink>
      <w:r>
        <w:t>, f. 6.</w:t>
      </w:r>
    </w:p>
    <w:p w:rsidR="009452A2" w:rsidRDefault="009452A2" w:rsidP="009452A2">
      <w:pPr>
        <w:pStyle w:val="SangriaFrancesaArticulo"/>
      </w:pPr>
      <w:r w:rsidRPr="009452A2">
        <w:rPr>
          <w:rStyle w:val="TextoNormalNegritaCaracter"/>
        </w:rPr>
        <w:t>Artículo 49.</w:t>
      </w:r>
      <w:r w:rsidRPr="009452A2">
        <w:rPr>
          <w:rStyle w:val="TextoNormalCaracter"/>
        </w:rPr>
        <w:t>-</w:t>
      </w:r>
      <w:r>
        <w:t xml:space="preserve"> Sentencia </w:t>
      </w:r>
      <w:hyperlink w:anchor="SENTENCIA_1985_53" w:history="1">
        <w:r w:rsidRPr="009452A2">
          <w:rPr>
            <w:rStyle w:val="TextoNormalCaracter"/>
          </w:rPr>
          <w:t>53/1985</w:t>
        </w:r>
      </w:hyperlink>
      <w:r>
        <w:t>, ff. 2, 6, 11.</w:t>
      </w:r>
    </w:p>
    <w:p w:rsidR="009452A2" w:rsidRDefault="009452A2" w:rsidP="009452A2">
      <w:pPr>
        <w:pStyle w:val="SangriaFrancesaArticulo"/>
      </w:pPr>
      <w:r w:rsidRPr="009452A2">
        <w:rPr>
          <w:rStyle w:val="TextoNormalNegritaCaracter"/>
        </w:rPr>
        <w:t>Artículo 50.</w:t>
      </w:r>
      <w:r w:rsidRPr="009452A2">
        <w:rPr>
          <w:rStyle w:val="TextoNormalCaracter"/>
        </w:rPr>
        <w:t>-</w:t>
      </w:r>
      <w:r>
        <w:t xml:space="preserve"> Auto </w:t>
      </w:r>
      <w:hyperlink w:anchor="AUTO_1985_26" w:history="1">
        <w:r w:rsidRPr="009452A2">
          <w:rPr>
            <w:rStyle w:val="TextoNormalCaracter"/>
          </w:rPr>
          <w:t>26/1985</w:t>
        </w:r>
      </w:hyperlink>
      <w:r>
        <w:t>.</w:t>
      </w:r>
    </w:p>
    <w:p w:rsidR="009452A2" w:rsidRDefault="009452A2" w:rsidP="009452A2">
      <w:pPr>
        <w:pStyle w:val="SangriaFrancesaArticulo"/>
      </w:pPr>
      <w:r w:rsidRPr="009452A2">
        <w:rPr>
          <w:rStyle w:val="TextoNormalNegritaCaracter"/>
        </w:rPr>
        <w:t>Artículo 51.1.</w:t>
      </w:r>
      <w:r w:rsidRPr="009452A2">
        <w:rPr>
          <w:rStyle w:val="TextoNormalCaracter"/>
        </w:rPr>
        <w:t>-</w:t>
      </w:r>
      <w:r>
        <w:t xml:space="preserve"> Sentencia </w:t>
      </w:r>
      <w:hyperlink w:anchor="SENTENCIA_1985_53" w:history="1">
        <w:r w:rsidRPr="009452A2">
          <w:rPr>
            <w:rStyle w:val="TextoNormalCaracter"/>
          </w:rPr>
          <w:t>53/1985</w:t>
        </w:r>
      </w:hyperlink>
      <w:r>
        <w:t>, f. 2.</w:t>
      </w:r>
    </w:p>
    <w:p w:rsidR="009452A2" w:rsidRDefault="009452A2" w:rsidP="009452A2">
      <w:pPr>
        <w:pStyle w:val="SangriaFrancesaArticulo"/>
      </w:pPr>
      <w:r w:rsidRPr="009452A2">
        <w:rPr>
          <w:rStyle w:val="TextoNormalNegritaCaracter"/>
        </w:rPr>
        <w:t>Artículo 51.3.</w:t>
      </w:r>
      <w:r w:rsidRPr="009452A2">
        <w:rPr>
          <w:rStyle w:val="TextoNormalCaracter"/>
        </w:rPr>
        <w:t>-</w:t>
      </w:r>
      <w:r>
        <w:t xml:space="preserve"> Sentencia </w:t>
      </w:r>
      <w:hyperlink w:anchor="SENTENCIA_1985_53" w:history="1">
        <w:r w:rsidRPr="009452A2">
          <w:rPr>
            <w:rStyle w:val="TextoNormalCaracter"/>
          </w:rPr>
          <w:t>53/1985</w:t>
        </w:r>
      </w:hyperlink>
      <w:r>
        <w:t>, f. 2.</w:t>
      </w:r>
    </w:p>
    <w:p w:rsidR="009452A2" w:rsidRDefault="009452A2" w:rsidP="009452A2">
      <w:pPr>
        <w:pStyle w:val="SangriaFrancesaArticulo"/>
      </w:pPr>
      <w:r w:rsidRPr="009452A2">
        <w:rPr>
          <w:rStyle w:val="TextoNormalNegritaCaracter"/>
        </w:rPr>
        <w:t>Artículo 53.</w:t>
      </w:r>
      <w:r w:rsidRPr="009452A2">
        <w:rPr>
          <w:rStyle w:val="TextoNormalCaracter"/>
        </w:rPr>
        <w:t>-</w:t>
      </w:r>
      <w:r>
        <w:t xml:space="preserve"> Sentencia </w:t>
      </w:r>
      <w:hyperlink w:anchor="SENTENCIA_1985_51" w:history="1">
        <w:r w:rsidRPr="009452A2">
          <w:rPr>
            <w:rStyle w:val="TextoNormalCaracter"/>
          </w:rPr>
          <w:t>51/1985</w:t>
        </w:r>
      </w:hyperlink>
      <w:r>
        <w:t>, f. 10.</w:t>
      </w:r>
    </w:p>
    <w:p w:rsidR="009452A2" w:rsidRDefault="009452A2" w:rsidP="009452A2">
      <w:pPr>
        <w:pStyle w:val="SangriaIzquierdaArticulo"/>
      </w:pPr>
      <w:r>
        <w:t xml:space="preserve">Autos </w:t>
      </w:r>
      <w:hyperlink w:anchor="AUTO_1985_65" w:history="1">
        <w:r w:rsidRPr="009452A2">
          <w:rPr>
            <w:rStyle w:val="TextoNormalCaracter"/>
          </w:rPr>
          <w:t>65/1985</w:t>
        </w:r>
      </w:hyperlink>
      <w:r>
        <w:t xml:space="preserve">; </w:t>
      </w:r>
      <w:hyperlink w:anchor="AUTO_1985_82" w:history="1">
        <w:r w:rsidRPr="009452A2">
          <w:rPr>
            <w:rStyle w:val="TextoNormalCaracter"/>
          </w:rPr>
          <w:t>82/1985</w:t>
        </w:r>
      </w:hyperlink>
      <w:r>
        <w:t xml:space="preserve">; </w:t>
      </w:r>
      <w:hyperlink w:anchor="AUTO_1985_202" w:history="1">
        <w:r w:rsidRPr="009452A2">
          <w:rPr>
            <w:rStyle w:val="TextoNormalCaracter"/>
          </w:rPr>
          <w:t>202/1985</w:t>
        </w:r>
      </w:hyperlink>
      <w:r>
        <w:t xml:space="preserve">; </w:t>
      </w:r>
      <w:hyperlink w:anchor="AUTO_1985_255" w:history="1">
        <w:r w:rsidRPr="009452A2">
          <w:rPr>
            <w:rStyle w:val="TextoNormalCaracter"/>
          </w:rPr>
          <w:t>255/1985</w:t>
        </w:r>
      </w:hyperlink>
      <w:r>
        <w:t>.</w:t>
      </w:r>
    </w:p>
    <w:p w:rsidR="009452A2" w:rsidRDefault="009452A2" w:rsidP="009452A2">
      <w:pPr>
        <w:pStyle w:val="SangriaFrancesaArticulo"/>
      </w:pPr>
      <w:r w:rsidRPr="009452A2">
        <w:rPr>
          <w:rStyle w:val="TextoNormalNegritaCaracter"/>
        </w:rPr>
        <w:t>Artículo 53.1.</w:t>
      </w:r>
      <w:r w:rsidRPr="009452A2">
        <w:rPr>
          <w:rStyle w:val="TextoNormalCaracter"/>
        </w:rPr>
        <w:t>-</w:t>
      </w:r>
      <w:r>
        <w:t xml:space="preserve"> Sentencias </w:t>
      </w:r>
      <w:hyperlink w:anchor="SENTENCIA_1985_5" w:history="1">
        <w:r w:rsidRPr="009452A2">
          <w:rPr>
            <w:rStyle w:val="TextoNormalCaracter"/>
          </w:rPr>
          <w:t>5/1985</w:t>
        </w:r>
      </w:hyperlink>
      <w:r>
        <w:t xml:space="preserve">, VP; </w:t>
      </w:r>
      <w:hyperlink w:anchor="SENTENCIA_1985_8" w:history="1">
        <w:r w:rsidRPr="009452A2">
          <w:rPr>
            <w:rStyle w:val="TextoNormalCaracter"/>
          </w:rPr>
          <w:t>8/1985</w:t>
        </w:r>
      </w:hyperlink>
      <w:r>
        <w:t xml:space="preserve">, f. 4; </w:t>
      </w:r>
      <w:hyperlink w:anchor="SENTENCIA_1985_13" w:history="1">
        <w:r w:rsidRPr="009452A2">
          <w:rPr>
            <w:rStyle w:val="TextoNormalCaracter"/>
          </w:rPr>
          <w:t>13/1985</w:t>
        </w:r>
      </w:hyperlink>
      <w:r>
        <w:t xml:space="preserve">, f. 3; </w:t>
      </w:r>
      <w:hyperlink w:anchor="SENTENCIA_1985_20" w:history="1">
        <w:r w:rsidRPr="009452A2">
          <w:rPr>
            <w:rStyle w:val="TextoNormalCaracter"/>
          </w:rPr>
          <w:t>20/1985</w:t>
        </w:r>
      </w:hyperlink>
      <w:r>
        <w:t xml:space="preserve">, VP; </w:t>
      </w:r>
      <w:hyperlink w:anchor="SENTENCIA_1985_35" w:history="1">
        <w:r w:rsidRPr="009452A2">
          <w:rPr>
            <w:rStyle w:val="TextoNormalCaracter"/>
          </w:rPr>
          <w:t>35/1985</w:t>
        </w:r>
      </w:hyperlink>
      <w:r>
        <w:t xml:space="preserve">, f. 1; </w:t>
      </w:r>
      <w:hyperlink w:anchor="SENTENCIA_1985_53" w:history="1">
        <w:r w:rsidRPr="009452A2">
          <w:rPr>
            <w:rStyle w:val="TextoNormalCaracter"/>
          </w:rPr>
          <w:t>53/1985</w:t>
        </w:r>
      </w:hyperlink>
      <w:r>
        <w:t>, VP I.</w:t>
      </w:r>
    </w:p>
    <w:p w:rsidR="009452A2" w:rsidRDefault="009452A2" w:rsidP="009452A2">
      <w:pPr>
        <w:pStyle w:val="SangriaIzquierdaArticulo"/>
      </w:pPr>
      <w:r>
        <w:t xml:space="preserve">Autos </w:t>
      </w:r>
      <w:hyperlink w:anchor="AUTO_1985_69" w:history="1">
        <w:r w:rsidRPr="009452A2">
          <w:rPr>
            <w:rStyle w:val="TextoNormalCaracter"/>
          </w:rPr>
          <w:t>69/1985</w:t>
        </w:r>
      </w:hyperlink>
      <w:r>
        <w:t xml:space="preserve">; </w:t>
      </w:r>
      <w:hyperlink w:anchor="AUTO_1985_77" w:history="1">
        <w:r w:rsidRPr="009452A2">
          <w:rPr>
            <w:rStyle w:val="TextoNormalCaracter"/>
          </w:rPr>
          <w:t>77/1985</w:t>
        </w:r>
      </w:hyperlink>
      <w:r>
        <w:t>.</w:t>
      </w:r>
    </w:p>
    <w:p w:rsidR="009452A2" w:rsidRDefault="009452A2" w:rsidP="009452A2">
      <w:pPr>
        <w:pStyle w:val="SangriaFrancesaArticulo"/>
      </w:pPr>
      <w:r w:rsidRPr="009452A2">
        <w:rPr>
          <w:rStyle w:val="TextoNormalNegritaCaracter"/>
        </w:rPr>
        <w:t>Artículo 53.2.</w:t>
      </w:r>
      <w:r w:rsidRPr="009452A2">
        <w:rPr>
          <w:rStyle w:val="TextoNormalCaracter"/>
        </w:rPr>
        <w:t>-</w:t>
      </w:r>
      <w:r>
        <w:t xml:space="preserve"> Sentencias </w:t>
      </w:r>
      <w:hyperlink w:anchor="SENTENCIA_1985_5" w:history="1">
        <w:r w:rsidRPr="009452A2">
          <w:rPr>
            <w:rStyle w:val="TextoNormalCaracter"/>
          </w:rPr>
          <w:t>5/1985</w:t>
        </w:r>
      </w:hyperlink>
      <w:r>
        <w:t xml:space="preserve">, f. 2, VP; </w:t>
      </w:r>
      <w:hyperlink w:anchor="SENTENCIA_1985_30" w:history="1">
        <w:r w:rsidRPr="009452A2">
          <w:rPr>
            <w:rStyle w:val="TextoNormalCaracter"/>
          </w:rPr>
          <w:t>30/1985</w:t>
        </w:r>
      </w:hyperlink>
      <w:r>
        <w:t xml:space="preserve">, f. 1; </w:t>
      </w:r>
      <w:hyperlink w:anchor="SENTENCIA_1985_47" w:history="1">
        <w:r w:rsidRPr="009452A2">
          <w:rPr>
            <w:rStyle w:val="TextoNormalCaracter"/>
          </w:rPr>
          <w:t>47/1985</w:t>
        </w:r>
      </w:hyperlink>
      <w:r>
        <w:t xml:space="preserve">, ff. 1, 5; </w:t>
      </w:r>
      <w:hyperlink w:anchor="SENTENCIA_1985_55" w:history="1">
        <w:r w:rsidRPr="009452A2">
          <w:rPr>
            <w:rStyle w:val="TextoNormalCaracter"/>
          </w:rPr>
          <w:t>55/1985</w:t>
        </w:r>
      </w:hyperlink>
      <w:r>
        <w:t>, f. 1.</w:t>
      </w:r>
    </w:p>
    <w:p w:rsidR="009452A2" w:rsidRDefault="009452A2" w:rsidP="009452A2">
      <w:pPr>
        <w:pStyle w:val="SangriaIzquierdaArticulo"/>
      </w:pPr>
      <w:r>
        <w:t xml:space="preserve">Autos </w:t>
      </w:r>
      <w:hyperlink w:anchor="AUTO_1985_4" w:history="1">
        <w:r w:rsidRPr="009452A2">
          <w:rPr>
            <w:rStyle w:val="TextoNormalCaracter"/>
          </w:rPr>
          <w:t>4/1985</w:t>
        </w:r>
      </w:hyperlink>
      <w:r>
        <w:t xml:space="preserve">; </w:t>
      </w:r>
      <w:hyperlink w:anchor="AUTO_1985_9" w:history="1">
        <w:r w:rsidRPr="009452A2">
          <w:rPr>
            <w:rStyle w:val="TextoNormalCaracter"/>
          </w:rPr>
          <w:t>9/1985</w:t>
        </w:r>
      </w:hyperlink>
      <w:r>
        <w:t xml:space="preserve">; </w:t>
      </w:r>
      <w:hyperlink w:anchor="AUTO_1985_23" w:history="1">
        <w:r w:rsidRPr="009452A2">
          <w:rPr>
            <w:rStyle w:val="TextoNormalCaracter"/>
          </w:rPr>
          <w:t>23/1985</w:t>
        </w:r>
      </w:hyperlink>
      <w:r>
        <w:t xml:space="preserve">; </w:t>
      </w:r>
      <w:hyperlink w:anchor="AUTO_1985_27" w:history="1">
        <w:r w:rsidRPr="009452A2">
          <w:rPr>
            <w:rStyle w:val="TextoNormalCaracter"/>
          </w:rPr>
          <w:t>27/1985</w:t>
        </w:r>
      </w:hyperlink>
      <w:r>
        <w:t xml:space="preserve">; </w:t>
      </w:r>
      <w:hyperlink w:anchor="AUTO_1985_47" w:history="1">
        <w:r w:rsidRPr="009452A2">
          <w:rPr>
            <w:rStyle w:val="TextoNormalCaracter"/>
          </w:rPr>
          <w:t>47/1985</w:t>
        </w:r>
      </w:hyperlink>
      <w:r>
        <w:t xml:space="preserve">; </w:t>
      </w:r>
      <w:hyperlink w:anchor="AUTO_1985_57" w:history="1">
        <w:r w:rsidRPr="009452A2">
          <w:rPr>
            <w:rStyle w:val="TextoNormalCaracter"/>
          </w:rPr>
          <w:t>57/1985</w:t>
        </w:r>
      </w:hyperlink>
      <w:r>
        <w:t xml:space="preserve">; </w:t>
      </w:r>
      <w:hyperlink w:anchor="AUTO_1985_58" w:history="1">
        <w:r w:rsidRPr="009452A2">
          <w:rPr>
            <w:rStyle w:val="TextoNormalCaracter"/>
          </w:rPr>
          <w:t>58/1985</w:t>
        </w:r>
      </w:hyperlink>
      <w:r>
        <w:t xml:space="preserve">; </w:t>
      </w:r>
      <w:hyperlink w:anchor="AUTO_1985_59" w:history="1">
        <w:r w:rsidRPr="009452A2">
          <w:rPr>
            <w:rStyle w:val="TextoNormalCaracter"/>
          </w:rPr>
          <w:t>59/1985</w:t>
        </w:r>
      </w:hyperlink>
      <w:r>
        <w:t xml:space="preserve">; </w:t>
      </w:r>
      <w:hyperlink w:anchor="AUTO_1985_61" w:history="1">
        <w:r w:rsidRPr="009452A2">
          <w:rPr>
            <w:rStyle w:val="TextoNormalCaracter"/>
          </w:rPr>
          <w:t>61/1985</w:t>
        </w:r>
      </w:hyperlink>
      <w:r>
        <w:t xml:space="preserve">; </w:t>
      </w:r>
      <w:hyperlink w:anchor="AUTO_1985_80" w:history="1">
        <w:r w:rsidRPr="009452A2">
          <w:rPr>
            <w:rStyle w:val="TextoNormalCaracter"/>
          </w:rPr>
          <w:t>80/1985</w:t>
        </w:r>
      </w:hyperlink>
      <w:r>
        <w:t xml:space="preserve">; </w:t>
      </w:r>
      <w:hyperlink w:anchor="AUTO_1985_87" w:history="1">
        <w:r w:rsidRPr="009452A2">
          <w:rPr>
            <w:rStyle w:val="TextoNormalCaracter"/>
          </w:rPr>
          <w:t>87/1985</w:t>
        </w:r>
      </w:hyperlink>
      <w:r>
        <w:t xml:space="preserve">; </w:t>
      </w:r>
      <w:hyperlink w:anchor="AUTO_1985_94" w:history="1">
        <w:r w:rsidRPr="009452A2">
          <w:rPr>
            <w:rStyle w:val="TextoNormalCaracter"/>
          </w:rPr>
          <w:t>94/1985</w:t>
        </w:r>
      </w:hyperlink>
      <w:r>
        <w:t xml:space="preserve">; </w:t>
      </w:r>
      <w:hyperlink w:anchor="AUTO_1985_121" w:history="1">
        <w:r w:rsidRPr="009452A2">
          <w:rPr>
            <w:rStyle w:val="TextoNormalCaracter"/>
          </w:rPr>
          <w:t>121/1985</w:t>
        </w:r>
      </w:hyperlink>
      <w:r>
        <w:t xml:space="preserve">; </w:t>
      </w:r>
      <w:hyperlink w:anchor="AUTO_1985_144" w:history="1">
        <w:r w:rsidRPr="009452A2">
          <w:rPr>
            <w:rStyle w:val="TextoNormalCaracter"/>
          </w:rPr>
          <w:t>144/1985</w:t>
        </w:r>
      </w:hyperlink>
      <w:r>
        <w:t xml:space="preserve">; </w:t>
      </w:r>
      <w:hyperlink w:anchor="AUTO_1985_161" w:history="1">
        <w:r w:rsidRPr="009452A2">
          <w:rPr>
            <w:rStyle w:val="TextoNormalCaracter"/>
          </w:rPr>
          <w:t>161/1985</w:t>
        </w:r>
      </w:hyperlink>
      <w:r>
        <w:t xml:space="preserve">; </w:t>
      </w:r>
      <w:hyperlink w:anchor="AUTO_1985_167" w:history="1">
        <w:r w:rsidRPr="009452A2">
          <w:rPr>
            <w:rStyle w:val="TextoNormalCaracter"/>
          </w:rPr>
          <w:t>167/1985</w:t>
        </w:r>
      </w:hyperlink>
      <w:r>
        <w:t xml:space="preserve">; </w:t>
      </w:r>
      <w:hyperlink w:anchor="AUTO_1985_182" w:history="1">
        <w:r w:rsidRPr="009452A2">
          <w:rPr>
            <w:rStyle w:val="TextoNormalCaracter"/>
          </w:rPr>
          <w:t>182/1985</w:t>
        </w:r>
      </w:hyperlink>
      <w:r>
        <w:t xml:space="preserve">; </w:t>
      </w:r>
      <w:hyperlink w:anchor="AUTO_1985_202" w:history="1">
        <w:r w:rsidRPr="009452A2">
          <w:rPr>
            <w:rStyle w:val="TextoNormalCaracter"/>
          </w:rPr>
          <w:t>202/1985</w:t>
        </w:r>
      </w:hyperlink>
      <w:r>
        <w:t xml:space="preserve">; </w:t>
      </w:r>
      <w:hyperlink w:anchor="AUTO_1985_227" w:history="1">
        <w:r w:rsidRPr="009452A2">
          <w:rPr>
            <w:rStyle w:val="TextoNormalCaracter"/>
          </w:rPr>
          <w:t>227/1985</w:t>
        </w:r>
      </w:hyperlink>
      <w:r>
        <w:t xml:space="preserve">; </w:t>
      </w:r>
      <w:hyperlink w:anchor="AUTO_1985_233" w:history="1">
        <w:r w:rsidRPr="009452A2">
          <w:rPr>
            <w:rStyle w:val="TextoNormalCaracter"/>
          </w:rPr>
          <w:t>233/1985</w:t>
        </w:r>
      </w:hyperlink>
      <w:r>
        <w:t xml:space="preserve">; </w:t>
      </w:r>
      <w:hyperlink w:anchor="AUTO_1985_238" w:history="1">
        <w:r w:rsidRPr="009452A2">
          <w:rPr>
            <w:rStyle w:val="TextoNormalCaracter"/>
          </w:rPr>
          <w:t>238/1985</w:t>
        </w:r>
      </w:hyperlink>
      <w:r>
        <w:t xml:space="preserve">; </w:t>
      </w:r>
      <w:hyperlink w:anchor="AUTO_1985_241" w:history="1">
        <w:r w:rsidRPr="009452A2">
          <w:rPr>
            <w:rStyle w:val="TextoNormalCaracter"/>
          </w:rPr>
          <w:t>241/1985</w:t>
        </w:r>
      </w:hyperlink>
      <w:r>
        <w:t xml:space="preserve">; </w:t>
      </w:r>
      <w:hyperlink w:anchor="AUTO_1985_245" w:history="1">
        <w:r w:rsidRPr="009452A2">
          <w:rPr>
            <w:rStyle w:val="TextoNormalCaracter"/>
          </w:rPr>
          <w:t>245/1985</w:t>
        </w:r>
      </w:hyperlink>
      <w:r>
        <w:t>.</w:t>
      </w:r>
    </w:p>
    <w:p w:rsidR="009452A2" w:rsidRDefault="009452A2" w:rsidP="009452A2">
      <w:pPr>
        <w:pStyle w:val="SangriaFrancesaArticulo"/>
      </w:pPr>
      <w:r w:rsidRPr="009452A2">
        <w:rPr>
          <w:rStyle w:val="TextoNormalNegritaCaracter"/>
        </w:rPr>
        <w:t>Artículo 53.3.</w:t>
      </w:r>
      <w:r w:rsidRPr="009452A2">
        <w:rPr>
          <w:rStyle w:val="TextoNormalCaracter"/>
        </w:rPr>
        <w:t>-</w:t>
      </w:r>
      <w:r>
        <w:t xml:space="preserve"> Auto </w:t>
      </w:r>
      <w:hyperlink w:anchor="AUTO_1985_4" w:history="1">
        <w:r w:rsidRPr="009452A2">
          <w:rPr>
            <w:rStyle w:val="TextoNormalCaracter"/>
          </w:rPr>
          <w:t>4/1985</w:t>
        </w:r>
      </w:hyperlink>
      <w:r>
        <w:t>.</w:t>
      </w:r>
    </w:p>
    <w:p w:rsidR="009452A2" w:rsidRDefault="009452A2" w:rsidP="009452A2">
      <w:pPr>
        <w:pStyle w:val="SangriaFrancesaArticulo"/>
      </w:pPr>
      <w:r w:rsidRPr="009452A2">
        <w:rPr>
          <w:rStyle w:val="TextoNormalNegritaCaracter"/>
        </w:rPr>
        <w:t>Artículo 59.3.</w:t>
      </w:r>
      <w:r w:rsidRPr="009452A2">
        <w:rPr>
          <w:rStyle w:val="TextoNormalCaracter"/>
        </w:rPr>
        <w:t>-</w:t>
      </w:r>
      <w:r>
        <w:t xml:space="preserve"> Sentencia </w:t>
      </w:r>
      <w:hyperlink w:anchor="SENTENCIA_1985_53" w:history="1">
        <w:r w:rsidRPr="009452A2">
          <w:rPr>
            <w:rStyle w:val="TextoNormalCaracter"/>
          </w:rPr>
          <w:t>53/1985</w:t>
        </w:r>
      </w:hyperlink>
      <w:r>
        <w:t>, VP I.</w:t>
      </w:r>
    </w:p>
    <w:p w:rsidR="009452A2" w:rsidRDefault="009452A2" w:rsidP="009452A2">
      <w:pPr>
        <w:pStyle w:val="SangriaFrancesaArticulo"/>
      </w:pPr>
      <w:r w:rsidRPr="009452A2">
        <w:rPr>
          <w:rStyle w:val="TextoNormalNegritaCaracter"/>
        </w:rPr>
        <w:t>Artículo 67.3.</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rsidP="009452A2">
      <w:pPr>
        <w:pStyle w:val="SangriaFrancesaArticulo"/>
      </w:pPr>
      <w:r w:rsidRPr="009452A2">
        <w:rPr>
          <w:rStyle w:val="TextoNormalNegritaCaracter"/>
        </w:rPr>
        <w:t>Artículo 71.</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rsidP="009452A2">
      <w:pPr>
        <w:pStyle w:val="SangriaFrancesaArticulo"/>
      </w:pPr>
      <w:r w:rsidRPr="009452A2">
        <w:rPr>
          <w:rStyle w:val="TextoNormalNegritaCaracter"/>
        </w:rPr>
        <w:t>Artículo 71.1.</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rsidP="009452A2">
      <w:pPr>
        <w:pStyle w:val="SangriaFrancesaArticulo"/>
      </w:pPr>
      <w:r w:rsidRPr="009452A2">
        <w:rPr>
          <w:rStyle w:val="TextoNormalNegritaCaracter"/>
        </w:rPr>
        <w:t>Artículo 71.3.</w:t>
      </w:r>
      <w:r w:rsidRPr="009452A2">
        <w:rPr>
          <w:rStyle w:val="TextoNormalCaracter"/>
        </w:rPr>
        <w:t>-</w:t>
      </w:r>
      <w:r>
        <w:t xml:space="preserve"> Sentencia </w:t>
      </w:r>
      <w:hyperlink w:anchor="SENTENCIA_1985_51" w:history="1">
        <w:r w:rsidRPr="009452A2">
          <w:rPr>
            <w:rStyle w:val="TextoNormalCaracter"/>
          </w:rPr>
          <w:t>51/1985</w:t>
        </w:r>
      </w:hyperlink>
      <w:r>
        <w:t>, f. 3.</w:t>
      </w:r>
    </w:p>
    <w:p w:rsidR="009452A2" w:rsidRDefault="009452A2" w:rsidP="009452A2">
      <w:pPr>
        <w:pStyle w:val="SangriaFrancesaArticulo"/>
      </w:pPr>
      <w:r w:rsidRPr="009452A2">
        <w:rPr>
          <w:rStyle w:val="TextoNormalNegritaCaracter"/>
        </w:rPr>
        <w:t>Artículo 96.1.</w:t>
      </w:r>
      <w:r w:rsidRPr="009452A2">
        <w:rPr>
          <w:rStyle w:val="TextoNormalCaracter"/>
        </w:rPr>
        <w:t>-</w:t>
      </w:r>
      <w:r>
        <w:t xml:space="preserve"> Sentencia </w:t>
      </w:r>
      <w:hyperlink w:anchor="SENTENCIA_1985_11" w:history="1">
        <w:r w:rsidRPr="009452A2">
          <w:rPr>
            <w:rStyle w:val="TextoNormalCaracter"/>
          </w:rPr>
          <w:t>11/1985</w:t>
        </w:r>
      </w:hyperlink>
      <w:r>
        <w:t>, f. 4.</w:t>
      </w:r>
    </w:p>
    <w:p w:rsidR="009452A2" w:rsidRDefault="009452A2" w:rsidP="009452A2">
      <w:pPr>
        <w:pStyle w:val="SangriaFrancesaArticulo"/>
      </w:pPr>
      <w:r w:rsidRPr="009452A2">
        <w:rPr>
          <w:rStyle w:val="TextoNormalNegritaCaracter"/>
        </w:rPr>
        <w:t>Artículo 103.3.</w:t>
      </w:r>
      <w:r w:rsidRPr="009452A2">
        <w:rPr>
          <w:rStyle w:val="TextoNormalCaracter"/>
        </w:rPr>
        <w:t>-</w:t>
      </w:r>
      <w:r>
        <w:t xml:space="preserve"> Sentencia </w:t>
      </w:r>
      <w:hyperlink w:anchor="SENTENCIA_1985_32" w:history="1">
        <w:r w:rsidRPr="009452A2">
          <w:rPr>
            <w:rStyle w:val="TextoNormalCaracter"/>
          </w:rPr>
          <w:t>32/1985</w:t>
        </w:r>
      </w:hyperlink>
      <w:r>
        <w:t>, f. 3.</w:t>
      </w:r>
    </w:p>
    <w:p w:rsidR="009452A2" w:rsidRDefault="009452A2" w:rsidP="009452A2">
      <w:pPr>
        <w:pStyle w:val="SangriaFrancesaArticulo"/>
      </w:pPr>
      <w:r w:rsidRPr="009452A2">
        <w:rPr>
          <w:rStyle w:val="TextoNormalNegritaCaracter"/>
        </w:rPr>
        <w:t>Artículo 104.</w:t>
      </w:r>
      <w:r w:rsidRPr="009452A2">
        <w:rPr>
          <w:rStyle w:val="TextoNormalCaracter"/>
        </w:rPr>
        <w:t>-</w:t>
      </w:r>
      <w:r>
        <w:t xml:space="preserve"> Sentencia </w:t>
      </w:r>
      <w:hyperlink w:anchor="SENTENCIA_1985_31" w:history="1">
        <w:r w:rsidRPr="009452A2">
          <w:rPr>
            <w:rStyle w:val="TextoNormalCaracter"/>
          </w:rPr>
          <w:t>31/1985</w:t>
        </w:r>
      </w:hyperlink>
      <w:r>
        <w:t>, f. 5.</w:t>
      </w:r>
    </w:p>
    <w:p w:rsidR="009452A2" w:rsidRDefault="009452A2" w:rsidP="009452A2">
      <w:pPr>
        <w:pStyle w:val="SangriaFrancesaArticulo"/>
      </w:pPr>
      <w:r w:rsidRPr="009452A2">
        <w:rPr>
          <w:rStyle w:val="TextoNormalNegritaCaracter"/>
        </w:rPr>
        <w:t>Artículo 104.2.</w:t>
      </w:r>
      <w:r w:rsidRPr="009452A2">
        <w:rPr>
          <w:rStyle w:val="TextoNormalCaracter"/>
        </w:rPr>
        <w:t>-</w:t>
      </w:r>
      <w:r>
        <w:t xml:space="preserve"> Auto </w:t>
      </w:r>
      <w:hyperlink w:anchor="AUTO_1985_155" w:history="1">
        <w:r w:rsidRPr="009452A2">
          <w:rPr>
            <w:rStyle w:val="TextoNormalCaracter"/>
          </w:rPr>
          <w:t>155/1985</w:t>
        </w:r>
      </w:hyperlink>
      <w:r>
        <w:t>.</w:t>
      </w:r>
    </w:p>
    <w:p w:rsidR="009452A2" w:rsidRDefault="009452A2" w:rsidP="009452A2">
      <w:pPr>
        <w:pStyle w:val="SangriaFrancesaArticulo"/>
      </w:pPr>
      <w:r w:rsidRPr="009452A2">
        <w:rPr>
          <w:rStyle w:val="TextoNormalNegritaCaracter"/>
        </w:rPr>
        <w:t>Artículo 117.1.</w:t>
      </w:r>
      <w:r w:rsidRPr="009452A2">
        <w:rPr>
          <w:rStyle w:val="TextoNormalCaracter"/>
        </w:rPr>
        <w:t>-</w:t>
      </w:r>
      <w:r>
        <w:t xml:space="preserve"> Sentencias </w:t>
      </w:r>
      <w:hyperlink w:anchor="SENTENCIA_1985_11" w:history="1">
        <w:r w:rsidRPr="009452A2">
          <w:rPr>
            <w:rStyle w:val="TextoNormalCaracter"/>
          </w:rPr>
          <w:t>11/1985</w:t>
        </w:r>
      </w:hyperlink>
      <w:r>
        <w:t xml:space="preserve">, f. 4; </w:t>
      </w:r>
      <w:hyperlink w:anchor="SENTENCIA_1985_22" w:history="1">
        <w:r w:rsidRPr="009452A2">
          <w:rPr>
            <w:rStyle w:val="TextoNormalCaracter"/>
          </w:rPr>
          <w:t>22/1985</w:t>
        </w:r>
      </w:hyperlink>
      <w:r>
        <w:t xml:space="preserve">, f. 5; </w:t>
      </w:r>
      <w:hyperlink w:anchor="SENTENCIA_1985_54" w:history="1">
        <w:r w:rsidRPr="009452A2">
          <w:rPr>
            <w:rStyle w:val="TextoNormalCaracter"/>
          </w:rPr>
          <w:t>54/1985</w:t>
        </w:r>
      </w:hyperlink>
      <w:r>
        <w:t>, f. 6.</w:t>
      </w:r>
    </w:p>
    <w:p w:rsidR="009452A2" w:rsidRDefault="009452A2" w:rsidP="009452A2">
      <w:pPr>
        <w:pStyle w:val="SangriaIzquierdaArticulo"/>
      </w:pPr>
      <w:r>
        <w:t xml:space="preserve">Autos </w:t>
      </w:r>
      <w:hyperlink w:anchor="AUTO_1985_52" w:history="1">
        <w:r w:rsidRPr="009452A2">
          <w:rPr>
            <w:rStyle w:val="TextoNormalCaracter"/>
          </w:rPr>
          <w:t>52/1985</w:t>
        </w:r>
      </w:hyperlink>
      <w:r>
        <w:t xml:space="preserve">; </w:t>
      </w:r>
      <w:hyperlink w:anchor="AUTO_1985_238" w:history="1">
        <w:r w:rsidRPr="009452A2">
          <w:rPr>
            <w:rStyle w:val="TextoNormalCaracter"/>
          </w:rPr>
          <w:t>238/1985</w:t>
        </w:r>
      </w:hyperlink>
      <w:r>
        <w:t>.</w:t>
      </w:r>
    </w:p>
    <w:p w:rsidR="009452A2" w:rsidRDefault="009452A2" w:rsidP="009452A2">
      <w:pPr>
        <w:pStyle w:val="SangriaFrancesaArticulo"/>
      </w:pPr>
      <w:r w:rsidRPr="009452A2">
        <w:rPr>
          <w:rStyle w:val="TextoNormalNegritaCaracter"/>
        </w:rPr>
        <w:t>Artículo 117.3.</w:t>
      </w:r>
      <w:r w:rsidRPr="009452A2">
        <w:rPr>
          <w:rStyle w:val="TextoNormalCaracter"/>
        </w:rPr>
        <w:t>-</w:t>
      </w:r>
      <w:r>
        <w:t xml:space="preserve"> Sentencias </w:t>
      </w:r>
      <w:hyperlink w:anchor="SENTENCIA_1985_23" w:history="1">
        <w:r w:rsidRPr="009452A2">
          <w:rPr>
            <w:rStyle w:val="TextoNormalCaracter"/>
          </w:rPr>
          <w:t>23/1985</w:t>
        </w:r>
      </w:hyperlink>
      <w:r>
        <w:t xml:space="preserve">, f. 2; </w:t>
      </w:r>
      <w:hyperlink w:anchor="SENTENCIA_1985_54" w:history="1">
        <w:r w:rsidRPr="009452A2">
          <w:rPr>
            <w:rStyle w:val="TextoNormalCaracter"/>
          </w:rPr>
          <w:t>54/1985</w:t>
        </w:r>
      </w:hyperlink>
      <w:r>
        <w:t>, f. 6.</w:t>
      </w:r>
    </w:p>
    <w:p w:rsidR="009452A2" w:rsidRDefault="009452A2" w:rsidP="009452A2">
      <w:pPr>
        <w:pStyle w:val="SangriaIzquierdaArticulo"/>
      </w:pPr>
      <w:r>
        <w:lastRenderedPageBreak/>
        <w:t xml:space="preserve">Autos </w:t>
      </w:r>
      <w:hyperlink w:anchor="AUTO_1985_8" w:history="1">
        <w:r w:rsidRPr="009452A2">
          <w:rPr>
            <w:rStyle w:val="TextoNormalCaracter"/>
          </w:rPr>
          <w:t>8/1985</w:t>
        </w:r>
      </w:hyperlink>
      <w:r>
        <w:t xml:space="preserve">; </w:t>
      </w:r>
      <w:hyperlink w:anchor="AUTO_1985_21" w:history="1">
        <w:r w:rsidRPr="009452A2">
          <w:rPr>
            <w:rStyle w:val="TextoNormalCaracter"/>
          </w:rPr>
          <w:t>21/1985</w:t>
        </w:r>
      </w:hyperlink>
      <w:r>
        <w:t xml:space="preserve">; </w:t>
      </w:r>
      <w:hyperlink w:anchor="AUTO_1985_37" w:history="1">
        <w:r w:rsidRPr="009452A2">
          <w:rPr>
            <w:rStyle w:val="TextoNormalCaracter"/>
          </w:rPr>
          <w:t>37/1985</w:t>
        </w:r>
      </w:hyperlink>
      <w:r>
        <w:t xml:space="preserve">; </w:t>
      </w:r>
      <w:hyperlink w:anchor="AUTO_1985_50" w:history="1">
        <w:r w:rsidRPr="009452A2">
          <w:rPr>
            <w:rStyle w:val="TextoNormalCaracter"/>
          </w:rPr>
          <w:t>50/1985</w:t>
        </w:r>
      </w:hyperlink>
      <w:r>
        <w:t xml:space="preserve">; </w:t>
      </w:r>
      <w:hyperlink w:anchor="AUTO_1985_59" w:history="1">
        <w:r w:rsidRPr="009452A2">
          <w:rPr>
            <w:rStyle w:val="TextoNormalCaracter"/>
          </w:rPr>
          <w:t>59/1985</w:t>
        </w:r>
      </w:hyperlink>
      <w:r>
        <w:t xml:space="preserve">; </w:t>
      </w:r>
      <w:hyperlink w:anchor="AUTO_1985_67" w:history="1">
        <w:r w:rsidRPr="009452A2">
          <w:rPr>
            <w:rStyle w:val="TextoNormalCaracter"/>
          </w:rPr>
          <w:t>67/1985</w:t>
        </w:r>
      </w:hyperlink>
      <w:r>
        <w:t xml:space="preserve">; </w:t>
      </w:r>
      <w:hyperlink w:anchor="AUTO_1985_98" w:history="1">
        <w:r w:rsidRPr="009452A2">
          <w:rPr>
            <w:rStyle w:val="TextoNormalCaracter"/>
          </w:rPr>
          <w:t>98/1985</w:t>
        </w:r>
      </w:hyperlink>
      <w:r>
        <w:t xml:space="preserve">; </w:t>
      </w:r>
      <w:hyperlink w:anchor="AUTO_1985_109" w:history="1">
        <w:r w:rsidRPr="009452A2">
          <w:rPr>
            <w:rStyle w:val="TextoNormalCaracter"/>
          </w:rPr>
          <w:t>109/1985</w:t>
        </w:r>
      </w:hyperlink>
      <w:r>
        <w:t xml:space="preserve">; </w:t>
      </w:r>
      <w:hyperlink w:anchor="AUTO_1985_118" w:history="1">
        <w:r w:rsidRPr="009452A2">
          <w:rPr>
            <w:rStyle w:val="TextoNormalCaracter"/>
          </w:rPr>
          <w:t>118/1985</w:t>
        </w:r>
      </w:hyperlink>
      <w:r>
        <w:t xml:space="preserve">; </w:t>
      </w:r>
      <w:hyperlink w:anchor="AUTO_1985_120" w:history="1">
        <w:r w:rsidRPr="009452A2">
          <w:rPr>
            <w:rStyle w:val="TextoNormalCaracter"/>
          </w:rPr>
          <w:t>120/1985</w:t>
        </w:r>
      </w:hyperlink>
      <w:r>
        <w:t xml:space="preserve">; </w:t>
      </w:r>
      <w:hyperlink w:anchor="AUTO_1985_122" w:history="1">
        <w:r w:rsidRPr="009452A2">
          <w:rPr>
            <w:rStyle w:val="TextoNormalCaracter"/>
          </w:rPr>
          <w:t>122/1985</w:t>
        </w:r>
      </w:hyperlink>
      <w:r>
        <w:t xml:space="preserve">; </w:t>
      </w:r>
      <w:hyperlink w:anchor="AUTO_1985_144" w:history="1">
        <w:r w:rsidRPr="009452A2">
          <w:rPr>
            <w:rStyle w:val="TextoNormalCaracter"/>
          </w:rPr>
          <w:t>144/1985</w:t>
        </w:r>
      </w:hyperlink>
      <w:r>
        <w:t xml:space="preserve">; </w:t>
      </w:r>
      <w:hyperlink w:anchor="AUTO_1985_153" w:history="1">
        <w:r w:rsidRPr="009452A2">
          <w:rPr>
            <w:rStyle w:val="TextoNormalCaracter"/>
          </w:rPr>
          <w:t>153/1985</w:t>
        </w:r>
      </w:hyperlink>
      <w:r>
        <w:t xml:space="preserve">; </w:t>
      </w:r>
      <w:hyperlink w:anchor="AUTO_1985_157" w:history="1">
        <w:r w:rsidRPr="009452A2">
          <w:rPr>
            <w:rStyle w:val="TextoNormalCaracter"/>
          </w:rPr>
          <w:t>157/1985</w:t>
        </w:r>
      </w:hyperlink>
      <w:r>
        <w:t xml:space="preserve">; </w:t>
      </w:r>
      <w:hyperlink w:anchor="AUTO_1985_162" w:history="1">
        <w:r w:rsidRPr="009452A2">
          <w:rPr>
            <w:rStyle w:val="TextoNormalCaracter"/>
          </w:rPr>
          <w:t>162/1985</w:t>
        </w:r>
      </w:hyperlink>
      <w:r>
        <w:t xml:space="preserve">; </w:t>
      </w:r>
      <w:hyperlink w:anchor="AUTO_1985_167" w:history="1">
        <w:r w:rsidRPr="009452A2">
          <w:rPr>
            <w:rStyle w:val="TextoNormalCaracter"/>
          </w:rPr>
          <w:t>167/1985</w:t>
        </w:r>
      </w:hyperlink>
      <w:r>
        <w:t xml:space="preserve">; </w:t>
      </w:r>
      <w:hyperlink w:anchor="AUTO_1985_169" w:history="1">
        <w:r w:rsidRPr="009452A2">
          <w:rPr>
            <w:rStyle w:val="TextoNormalCaracter"/>
          </w:rPr>
          <w:t>169/1985</w:t>
        </w:r>
      </w:hyperlink>
      <w:r>
        <w:t xml:space="preserve">; </w:t>
      </w:r>
      <w:hyperlink w:anchor="AUTO_1985_171" w:history="1">
        <w:r w:rsidRPr="009452A2">
          <w:rPr>
            <w:rStyle w:val="TextoNormalCaracter"/>
          </w:rPr>
          <w:t>171/1985</w:t>
        </w:r>
      </w:hyperlink>
      <w:r>
        <w:t xml:space="preserve">; </w:t>
      </w:r>
      <w:hyperlink w:anchor="AUTO_1985_187" w:history="1">
        <w:r w:rsidRPr="009452A2">
          <w:rPr>
            <w:rStyle w:val="TextoNormalCaracter"/>
          </w:rPr>
          <w:t>187/1985</w:t>
        </w:r>
      </w:hyperlink>
      <w:r>
        <w:t xml:space="preserve">; </w:t>
      </w:r>
      <w:hyperlink w:anchor="AUTO_1985_188" w:history="1">
        <w:r w:rsidRPr="009452A2">
          <w:rPr>
            <w:rStyle w:val="TextoNormalCaracter"/>
          </w:rPr>
          <w:t>188/1985</w:t>
        </w:r>
      </w:hyperlink>
      <w:r>
        <w:t xml:space="preserve">; </w:t>
      </w:r>
      <w:hyperlink w:anchor="AUTO_1985_196" w:history="1">
        <w:r w:rsidRPr="009452A2">
          <w:rPr>
            <w:rStyle w:val="TextoNormalCaracter"/>
          </w:rPr>
          <w:t>196/1985</w:t>
        </w:r>
      </w:hyperlink>
      <w:r>
        <w:t xml:space="preserve">; </w:t>
      </w:r>
      <w:hyperlink w:anchor="AUTO_1985_208" w:history="1">
        <w:r w:rsidRPr="009452A2">
          <w:rPr>
            <w:rStyle w:val="TextoNormalCaracter"/>
          </w:rPr>
          <w:t>208/1985</w:t>
        </w:r>
      </w:hyperlink>
      <w:r>
        <w:t xml:space="preserve">; </w:t>
      </w:r>
      <w:hyperlink w:anchor="AUTO_1985_210" w:history="1">
        <w:r w:rsidRPr="009452A2">
          <w:rPr>
            <w:rStyle w:val="TextoNormalCaracter"/>
          </w:rPr>
          <w:t>210/1985</w:t>
        </w:r>
      </w:hyperlink>
      <w:r>
        <w:t xml:space="preserve">; </w:t>
      </w:r>
      <w:hyperlink w:anchor="AUTO_1985_214" w:history="1">
        <w:r w:rsidRPr="009452A2">
          <w:rPr>
            <w:rStyle w:val="TextoNormalCaracter"/>
          </w:rPr>
          <w:t>214/1985</w:t>
        </w:r>
      </w:hyperlink>
      <w:r>
        <w:t xml:space="preserve">; </w:t>
      </w:r>
      <w:hyperlink w:anchor="AUTO_1985_217" w:history="1">
        <w:r w:rsidRPr="009452A2">
          <w:rPr>
            <w:rStyle w:val="TextoNormalCaracter"/>
          </w:rPr>
          <w:t>217/1985</w:t>
        </w:r>
      </w:hyperlink>
      <w:r>
        <w:t xml:space="preserve">; </w:t>
      </w:r>
      <w:hyperlink w:anchor="AUTO_1985_222" w:history="1">
        <w:r w:rsidRPr="009452A2">
          <w:rPr>
            <w:rStyle w:val="TextoNormalCaracter"/>
          </w:rPr>
          <w:t>222/1985</w:t>
        </w:r>
      </w:hyperlink>
      <w:r>
        <w:t xml:space="preserve">; </w:t>
      </w:r>
      <w:hyperlink w:anchor="AUTO_1985_236" w:history="1">
        <w:r w:rsidRPr="009452A2">
          <w:rPr>
            <w:rStyle w:val="TextoNormalCaracter"/>
          </w:rPr>
          <w:t>236/1985</w:t>
        </w:r>
      </w:hyperlink>
      <w:r>
        <w:t xml:space="preserve">; </w:t>
      </w:r>
      <w:hyperlink w:anchor="AUTO_1985_245" w:history="1">
        <w:r w:rsidRPr="009452A2">
          <w:rPr>
            <w:rStyle w:val="TextoNormalCaracter"/>
          </w:rPr>
          <w:t>245/1985</w:t>
        </w:r>
      </w:hyperlink>
      <w:r>
        <w:t xml:space="preserve">; </w:t>
      </w:r>
      <w:hyperlink w:anchor="AUTO_1985_250" w:history="1">
        <w:r w:rsidRPr="009452A2">
          <w:rPr>
            <w:rStyle w:val="TextoNormalCaracter"/>
          </w:rPr>
          <w:t>250/1985</w:t>
        </w:r>
      </w:hyperlink>
      <w:r>
        <w:t xml:space="preserve">; </w:t>
      </w:r>
      <w:hyperlink w:anchor="AUTO_1985_254" w:history="1">
        <w:r w:rsidRPr="009452A2">
          <w:rPr>
            <w:rStyle w:val="TextoNormalCaracter"/>
          </w:rPr>
          <w:t>254/1985</w:t>
        </w:r>
      </w:hyperlink>
      <w:r>
        <w:t xml:space="preserve">; </w:t>
      </w:r>
      <w:hyperlink w:anchor="AUTO_1985_272" w:history="1">
        <w:r w:rsidRPr="009452A2">
          <w:rPr>
            <w:rStyle w:val="TextoNormalCaracter"/>
          </w:rPr>
          <w:t>272/1985</w:t>
        </w:r>
      </w:hyperlink>
      <w:r>
        <w:t xml:space="preserve">; </w:t>
      </w:r>
      <w:hyperlink w:anchor="AUTO_1985_273" w:history="1">
        <w:r w:rsidRPr="009452A2">
          <w:rPr>
            <w:rStyle w:val="TextoNormalCaracter"/>
          </w:rPr>
          <w:t>273/1985</w:t>
        </w:r>
      </w:hyperlink>
      <w:r>
        <w:t xml:space="preserve">; </w:t>
      </w:r>
      <w:hyperlink w:anchor="AUTO_1985_275" w:history="1">
        <w:r w:rsidRPr="009452A2">
          <w:rPr>
            <w:rStyle w:val="TextoNormalCaracter"/>
          </w:rPr>
          <w:t>275/1985</w:t>
        </w:r>
      </w:hyperlink>
      <w:r>
        <w:t>.</w:t>
      </w:r>
    </w:p>
    <w:p w:rsidR="009452A2" w:rsidRDefault="009452A2" w:rsidP="009452A2">
      <w:pPr>
        <w:pStyle w:val="SangriaFrancesaArticulo"/>
      </w:pPr>
      <w:r w:rsidRPr="009452A2">
        <w:rPr>
          <w:rStyle w:val="TextoNormalNegritaCaracter"/>
        </w:rPr>
        <w:t>Artículo 117.4.</w:t>
      </w:r>
      <w:r w:rsidRPr="009452A2">
        <w:rPr>
          <w:rStyle w:val="TextoNormalCaracter"/>
        </w:rPr>
        <w:t>-</w:t>
      </w:r>
      <w:r>
        <w:t xml:space="preserve"> Auto </w:t>
      </w:r>
      <w:hyperlink w:anchor="AUTO_1985_272" w:history="1">
        <w:r w:rsidRPr="009452A2">
          <w:rPr>
            <w:rStyle w:val="TextoNormalCaracter"/>
          </w:rPr>
          <w:t>272/1985</w:t>
        </w:r>
      </w:hyperlink>
      <w:r>
        <w:t>.</w:t>
      </w:r>
    </w:p>
    <w:p w:rsidR="009452A2" w:rsidRDefault="009452A2" w:rsidP="009452A2">
      <w:pPr>
        <w:pStyle w:val="SangriaFrancesaArticulo"/>
      </w:pPr>
      <w:r w:rsidRPr="009452A2">
        <w:rPr>
          <w:rStyle w:val="TextoNormalNegritaCaracter"/>
        </w:rPr>
        <w:t>Artículo 120.1.</w:t>
      </w:r>
      <w:r w:rsidRPr="009452A2">
        <w:rPr>
          <w:rStyle w:val="TextoNormalCaracter"/>
        </w:rPr>
        <w:t>-</w:t>
      </w:r>
      <w:r>
        <w:t xml:space="preserve"> Sentencia </w:t>
      </w:r>
      <w:hyperlink w:anchor="SENTENCIA_1985_13" w:history="1">
        <w:r w:rsidRPr="009452A2">
          <w:rPr>
            <w:rStyle w:val="TextoNormalCaracter"/>
          </w:rPr>
          <w:t>13/1985</w:t>
        </w:r>
      </w:hyperlink>
      <w:r>
        <w:t>, f. 3.</w:t>
      </w:r>
    </w:p>
    <w:p w:rsidR="009452A2" w:rsidRDefault="009452A2" w:rsidP="009452A2">
      <w:pPr>
        <w:pStyle w:val="SangriaFrancesaArticulo"/>
      </w:pPr>
      <w:r w:rsidRPr="009452A2">
        <w:rPr>
          <w:rStyle w:val="TextoNormalNegritaCaracter"/>
        </w:rPr>
        <w:t>Artículo 120.3.</w:t>
      </w:r>
      <w:r w:rsidRPr="009452A2">
        <w:rPr>
          <w:rStyle w:val="TextoNormalCaracter"/>
        </w:rPr>
        <w:t>-</w:t>
      </w:r>
      <w:r>
        <w:t xml:space="preserve"> Auto </w:t>
      </w:r>
      <w:hyperlink w:anchor="AUTO_1985_222" w:history="1">
        <w:r w:rsidRPr="009452A2">
          <w:rPr>
            <w:rStyle w:val="TextoNormalCaracter"/>
          </w:rPr>
          <w:t>222/1985</w:t>
        </w:r>
      </w:hyperlink>
      <w:r>
        <w:t>.</w:t>
      </w:r>
    </w:p>
    <w:p w:rsidR="009452A2" w:rsidRDefault="009452A2" w:rsidP="009452A2">
      <w:pPr>
        <w:pStyle w:val="SangriaFrancesaArticulo"/>
      </w:pPr>
      <w:r w:rsidRPr="009452A2">
        <w:rPr>
          <w:rStyle w:val="TextoNormalNegritaCaracter"/>
        </w:rPr>
        <w:t>Artículo 121.</w:t>
      </w:r>
      <w:r w:rsidRPr="009452A2">
        <w:rPr>
          <w:rStyle w:val="TextoNormalCaracter"/>
        </w:rPr>
        <w:t>-</w:t>
      </w:r>
      <w:r>
        <w:t xml:space="preserve"> Sentencia </w:t>
      </w:r>
      <w:hyperlink w:anchor="SENTENCIA_1985_5" w:history="1">
        <w:r w:rsidRPr="009452A2">
          <w:rPr>
            <w:rStyle w:val="TextoNormalCaracter"/>
          </w:rPr>
          <w:t>5/1985</w:t>
        </w:r>
      </w:hyperlink>
      <w:r>
        <w:t>, f. 9.</w:t>
      </w:r>
    </w:p>
    <w:p w:rsidR="009452A2" w:rsidRDefault="009452A2" w:rsidP="009452A2">
      <w:pPr>
        <w:pStyle w:val="SangriaFrancesaArticulo"/>
      </w:pPr>
      <w:r w:rsidRPr="009452A2">
        <w:rPr>
          <w:rStyle w:val="TextoNormalNegritaCaracter"/>
        </w:rPr>
        <w:t>Artículo 122.1.</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IzquierdaArticulo"/>
      </w:pPr>
      <w:r>
        <w:t xml:space="preserve">Auto </w:t>
      </w:r>
      <w:hyperlink w:anchor="AUTO_1985_238" w:history="1">
        <w:r w:rsidRPr="009452A2">
          <w:rPr>
            <w:rStyle w:val="TextoNormalCaracter"/>
          </w:rPr>
          <w:t>238/1985</w:t>
        </w:r>
      </w:hyperlink>
      <w:r>
        <w:t>.</w:t>
      </w:r>
    </w:p>
    <w:p w:rsidR="009452A2" w:rsidRDefault="009452A2" w:rsidP="009452A2">
      <w:pPr>
        <w:pStyle w:val="SangriaFrancesaArticulo"/>
      </w:pPr>
      <w:r w:rsidRPr="009452A2">
        <w:rPr>
          <w:rStyle w:val="TextoNormalNegritaCaracter"/>
        </w:rPr>
        <w:t>Artículo 123.1.</w:t>
      </w:r>
      <w:r w:rsidRPr="009452A2">
        <w:rPr>
          <w:rStyle w:val="TextoNormalCaracter"/>
        </w:rPr>
        <w:t>-</w:t>
      </w:r>
      <w:r>
        <w:t xml:space="preserve"> Sentencia </w:t>
      </w:r>
      <w:hyperlink w:anchor="SENTENCIA_1985_51" w:history="1">
        <w:r w:rsidRPr="009452A2">
          <w:rPr>
            <w:rStyle w:val="TextoNormalCaracter"/>
          </w:rPr>
          <w:t>51/1985</w:t>
        </w:r>
      </w:hyperlink>
      <w:r>
        <w:t>, f. 3.</w:t>
      </w:r>
    </w:p>
    <w:p w:rsidR="009452A2" w:rsidRDefault="009452A2" w:rsidP="009452A2">
      <w:pPr>
        <w:pStyle w:val="SangriaIzquierdaArticulo"/>
      </w:pPr>
      <w:r>
        <w:t xml:space="preserve">Autos </w:t>
      </w:r>
      <w:hyperlink w:anchor="AUTO_1985_16" w:history="1">
        <w:r w:rsidRPr="009452A2">
          <w:rPr>
            <w:rStyle w:val="TextoNormalCaracter"/>
          </w:rPr>
          <w:t>16/1985</w:t>
        </w:r>
      </w:hyperlink>
      <w:r>
        <w:t xml:space="preserve">; </w:t>
      </w:r>
      <w:hyperlink w:anchor="AUTO_1985_259" w:history="1">
        <w:r w:rsidRPr="009452A2">
          <w:rPr>
            <w:rStyle w:val="TextoNormalCaracter"/>
          </w:rPr>
          <w:t>259/1985</w:t>
        </w:r>
      </w:hyperlink>
      <w:r>
        <w:t>.</w:t>
      </w:r>
    </w:p>
    <w:p w:rsidR="009452A2" w:rsidRDefault="009452A2" w:rsidP="009452A2">
      <w:pPr>
        <w:pStyle w:val="SangriaFrancesaArticulo"/>
      </w:pPr>
      <w:r w:rsidRPr="009452A2">
        <w:rPr>
          <w:rStyle w:val="TextoNormalNegritaCaracter"/>
        </w:rPr>
        <w:t>Artículo 124.</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 137.7.</w:t>
      </w:r>
      <w:r w:rsidRPr="009452A2">
        <w:rPr>
          <w:rStyle w:val="TextoNormalCaracter"/>
        </w:rPr>
        <w:t>-</w:t>
      </w:r>
      <w:r>
        <w:t xml:space="preserve"> Auto </w:t>
      </w:r>
      <w:hyperlink w:anchor="AUTO_1985_204" w:history="1">
        <w:r w:rsidRPr="009452A2">
          <w:rPr>
            <w:rStyle w:val="TextoNormalCaracter"/>
          </w:rPr>
          <w:t>204/1985</w:t>
        </w:r>
      </w:hyperlink>
      <w:r>
        <w:t>.</w:t>
      </w:r>
    </w:p>
    <w:p w:rsidR="009452A2" w:rsidRDefault="009452A2" w:rsidP="009452A2">
      <w:pPr>
        <w:pStyle w:val="SangriaFrancesaArticulo"/>
      </w:pPr>
      <w:r w:rsidRPr="009452A2">
        <w:rPr>
          <w:rStyle w:val="TextoNormalNegritaCaracter"/>
        </w:rPr>
        <w:t>Artículo 140.</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r w:rsidRPr="009452A2">
        <w:rPr>
          <w:rStyle w:val="TextoNormalNegritaCaracter"/>
        </w:rPr>
        <w:t>Artículo 148.2.</w:t>
      </w:r>
      <w:r w:rsidRPr="009452A2">
        <w:rPr>
          <w:rStyle w:val="TextoNormalCaracter"/>
        </w:rPr>
        <w:t>-</w:t>
      </w:r>
      <w:r>
        <w:t xml:space="preserve"> Sentencia </w:t>
      </w:r>
      <w:hyperlink w:anchor="SENTENCIA_1985_46" w:history="1">
        <w:r w:rsidRPr="009452A2">
          <w:rPr>
            <w:rStyle w:val="TextoNormalCaracter"/>
          </w:rPr>
          <w:t>46/1985</w:t>
        </w:r>
      </w:hyperlink>
      <w:r>
        <w:t>, f. 3.</w:t>
      </w:r>
    </w:p>
    <w:p w:rsidR="009452A2" w:rsidRDefault="009452A2" w:rsidP="009452A2">
      <w:pPr>
        <w:pStyle w:val="SangriaFrancesaArticulo"/>
      </w:pPr>
      <w:r w:rsidRPr="009452A2">
        <w:rPr>
          <w:rStyle w:val="TextoNormalNegritaCaracter"/>
        </w:rPr>
        <w:t>Artículo 149.1.1.</w:t>
      </w:r>
      <w:r w:rsidRPr="009452A2">
        <w:rPr>
          <w:rStyle w:val="TextoNormalCaracter"/>
        </w:rPr>
        <w:t>-</w:t>
      </w:r>
      <w:r>
        <w:t xml:space="preserve"> Sentencia </w:t>
      </w:r>
      <w:hyperlink w:anchor="SENTENCIA_1985_48" w:history="1">
        <w:r w:rsidRPr="009452A2">
          <w:rPr>
            <w:rStyle w:val="TextoNormalCaracter"/>
          </w:rPr>
          <w:t>48/1985</w:t>
        </w:r>
      </w:hyperlink>
      <w:r>
        <w:t>, f. 2.</w:t>
      </w:r>
    </w:p>
    <w:p w:rsidR="009452A2" w:rsidRDefault="009452A2" w:rsidP="009452A2">
      <w:pPr>
        <w:pStyle w:val="SangriaFrancesaArticulo"/>
      </w:pPr>
      <w:r w:rsidRPr="009452A2">
        <w:rPr>
          <w:rStyle w:val="TextoNormalNegritaCaracter"/>
        </w:rPr>
        <w:t>Artículo 149.1.7.</w:t>
      </w:r>
      <w:r w:rsidRPr="009452A2">
        <w:rPr>
          <w:rStyle w:val="TextoNormalCaracter"/>
        </w:rPr>
        <w:t>-</w:t>
      </w:r>
      <w:r>
        <w:t xml:space="preserve"> Sentencia </w:t>
      </w:r>
      <w:hyperlink w:anchor="SENTENCIA_1985_7" w:history="1">
        <w:r w:rsidRPr="009452A2">
          <w:rPr>
            <w:rStyle w:val="TextoNormalCaracter"/>
          </w:rPr>
          <w:t>7/1985</w:t>
        </w:r>
      </w:hyperlink>
      <w:r>
        <w:t>, ff. 2, 4.</w:t>
      </w:r>
    </w:p>
    <w:p w:rsidR="009452A2" w:rsidRDefault="009452A2" w:rsidP="009452A2">
      <w:pPr>
        <w:pStyle w:val="SangriaFrancesaArticulo"/>
      </w:pPr>
      <w:r w:rsidRPr="009452A2">
        <w:rPr>
          <w:rStyle w:val="TextoNormalNegritaCaracter"/>
        </w:rPr>
        <w:t>Artículo 149.1.17.</w:t>
      </w:r>
      <w:r w:rsidRPr="009452A2">
        <w:rPr>
          <w:rStyle w:val="TextoNormalCaracter"/>
        </w:rPr>
        <w:t>-</w:t>
      </w:r>
      <w:r>
        <w:t xml:space="preserve"> Sentencia </w:t>
      </w:r>
      <w:hyperlink w:anchor="SENTENCIA_1985_46" w:history="1">
        <w:r w:rsidRPr="009452A2">
          <w:rPr>
            <w:rStyle w:val="TextoNormalCaracter"/>
          </w:rPr>
          <w:t>46/1985</w:t>
        </w:r>
      </w:hyperlink>
      <w:r>
        <w:t>, ff. 1, 2.</w:t>
      </w:r>
    </w:p>
    <w:p w:rsidR="009452A2" w:rsidRDefault="009452A2" w:rsidP="009452A2">
      <w:pPr>
        <w:pStyle w:val="SangriaFrancesaArticulo"/>
      </w:pPr>
      <w:r w:rsidRPr="009452A2">
        <w:rPr>
          <w:rStyle w:val="TextoNormalNegritaCaracter"/>
        </w:rPr>
        <w:t>Artículo 149.1.18.</w:t>
      </w:r>
      <w:r w:rsidRPr="009452A2">
        <w:rPr>
          <w:rStyle w:val="TextoNormalCaracter"/>
        </w:rPr>
        <w:t>-</w:t>
      </w:r>
      <w:r>
        <w:t xml:space="preserve"> Sentencia </w:t>
      </w:r>
      <w:hyperlink w:anchor="SENTENCIA_1985_48" w:history="1">
        <w:r w:rsidRPr="009452A2">
          <w:rPr>
            <w:rStyle w:val="TextoNormalCaracter"/>
          </w:rPr>
          <w:t>48/1985</w:t>
        </w:r>
      </w:hyperlink>
      <w:r>
        <w:t>, ff. 2, 4 a 6.</w:t>
      </w:r>
    </w:p>
    <w:p w:rsidR="009452A2" w:rsidRDefault="009452A2" w:rsidP="009452A2">
      <w:pPr>
        <w:pStyle w:val="SangriaFrancesaArticulo"/>
      </w:pPr>
      <w:r w:rsidRPr="009452A2">
        <w:rPr>
          <w:rStyle w:val="TextoNormalNegritaCaracter"/>
        </w:rPr>
        <w:t>Artículo 149.1.25.</w:t>
      </w:r>
      <w:r w:rsidRPr="009452A2">
        <w:rPr>
          <w:rStyle w:val="TextoNormalCaracter"/>
        </w:rPr>
        <w:t>-</w:t>
      </w:r>
      <w:r>
        <w:t xml:space="preserve"> Sentencia </w:t>
      </w:r>
      <w:hyperlink w:anchor="SENTENCIA_1985_24" w:history="1">
        <w:r w:rsidRPr="009452A2">
          <w:rPr>
            <w:rStyle w:val="TextoNormalCaracter"/>
          </w:rPr>
          <w:t>24/1985</w:t>
        </w:r>
      </w:hyperlink>
      <w:r>
        <w:t>, f. 1, 3, 6.</w:t>
      </w:r>
    </w:p>
    <w:p w:rsidR="009452A2" w:rsidRDefault="009452A2" w:rsidP="009452A2">
      <w:pPr>
        <w:pStyle w:val="SangriaFrancesaArticulo"/>
      </w:pPr>
      <w:r w:rsidRPr="009452A2">
        <w:rPr>
          <w:rStyle w:val="TextoNormalNegritaCaracter"/>
        </w:rPr>
        <w:t>Artículo 149.1.29.</w:t>
      </w:r>
      <w:r w:rsidRPr="009452A2">
        <w:rPr>
          <w:rStyle w:val="TextoNormalCaracter"/>
        </w:rPr>
        <w:t>-</w:t>
      </w:r>
      <w:r>
        <w:t xml:space="preserve"> Sentencia </w:t>
      </w:r>
      <w:hyperlink w:anchor="SENTENCIA_1985_9" w:history="1">
        <w:r w:rsidRPr="009452A2">
          <w:rPr>
            <w:rStyle w:val="TextoNormalCaracter"/>
          </w:rPr>
          <w:t>9/1985</w:t>
        </w:r>
      </w:hyperlink>
      <w:r>
        <w:t>, f. 1.</w:t>
      </w:r>
    </w:p>
    <w:p w:rsidR="009452A2" w:rsidRDefault="009452A2" w:rsidP="009452A2">
      <w:pPr>
        <w:pStyle w:val="SangriaFrancesaArticulo"/>
      </w:pPr>
      <w:r w:rsidRPr="009452A2">
        <w:rPr>
          <w:rStyle w:val="TextoNormalNegritaCaracter"/>
        </w:rPr>
        <w:t>Artículo 149.1.30.</w:t>
      </w:r>
      <w:r w:rsidRPr="009452A2">
        <w:rPr>
          <w:rStyle w:val="TextoNormalCaracter"/>
        </w:rPr>
        <w:t>-</w:t>
      </w:r>
      <w:r>
        <w:t xml:space="preserve"> Sentencia </w:t>
      </w:r>
      <w:hyperlink w:anchor="SENTENCIA_1985_48" w:history="1">
        <w:r w:rsidRPr="009452A2">
          <w:rPr>
            <w:rStyle w:val="TextoNormalCaracter"/>
          </w:rPr>
          <w:t>48/1985</w:t>
        </w:r>
      </w:hyperlink>
      <w:r>
        <w:t>, f. 5.</w:t>
      </w:r>
    </w:p>
    <w:p w:rsidR="009452A2" w:rsidRDefault="009452A2" w:rsidP="009452A2">
      <w:pPr>
        <w:pStyle w:val="SangriaFrancesaArticulo"/>
      </w:pPr>
      <w:r w:rsidRPr="009452A2">
        <w:rPr>
          <w:rStyle w:val="TextoNormalNegritaCaracter"/>
        </w:rPr>
        <w:t>Artículo 149.3.</w:t>
      </w:r>
      <w:r w:rsidRPr="009452A2">
        <w:rPr>
          <w:rStyle w:val="TextoNormalCaracter"/>
        </w:rPr>
        <w:t>-</w:t>
      </w:r>
      <w:r>
        <w:t xml:space="preserve"> Sentencia </w:t>
      </w:r>
      <w:hyperlink w:anchor="SENTENCIA_1985_12" w:history="1">
        <w:r w:rsidRPr="009452A2">
          <w:rPr>
            <w:rStyle w:val="TextoNormalCaracter"/>
          </w:rPr>
          <w:t>12/1985</w:t>
        </w:r>
      </w:hyperlink>
      <w:r>
        <w:t>, f. 3.</w:t>
      </w:r>
    </w:p>
    <w:p w:rsidR="009452A2" w:rsidRDefault="009452A2" w:rsidP="009452A2">
      <w:pPr>
        <w:pStyle w:val="SangriaFrancesaArticulo"/>
      </w:pPr>
      <w:r w:rsidRPr="009452A2">
        <w:rPr>
          <w:rStyle w:val="TextoNormalNegritaCaracter"/>
        </w:rPr>
        <w:t>Artículo 150.2.</w:t>
      </w:r>
      <w:r w:rsidRPr="009452A2">
        <w:rPr>
          <w:rStyle w:val="TextoNormalCaracter"/>
        </w:rPr>
        <w:t>-</w:t>
      </w:r>
      <w:r>
        <w:t xml:space="preserve"> Sentencia </w:t>
      </w:r>
      <w:hyperlink w:anchor="SENTENCIA_1985_46" w:history="1">
        <w:r w:rsidRPr="009452A2">
          <w:rPr>
            <w:rStyle w:val="TextoNormalCaracter"/>
          </w:rPr>
          <w:t>46/1985</w:t>
        </w:r>
      </w:hyperlink>
      <w:r>
        <w:t>, f. 3.</w:t>
      </w:r>
    </w:p>
    <w:p w:rsidR="009452A2" w:rsidRDefault="009452A2" w:rsidP="009452A2">
      <w:pPr>
        <w:pStyle w:val="SangriaFrancesaArticulo"/>
      </w:pPr>
      <w:r w:rsidRPr="009452A2">
        <w:rPr>
          <w:rStyle w:val="TextoNormalNegritaCaracter"/>
        </w:rPr>
        <w:t>Artículo 152.</w:t>
      </w:r>
      <w:r w:rsidRPr="009452A2">
        <w:rPr>
          <w:rStyle w:val="TextoNormalCaracter"/>
        </w:rPr>
        <w:t>-</w:t>
      </w:r>
      <w:r>
        <w:t xml:space="preserve"> Sentencia </w:t>
      </w:r>
      <w:hyperlink w:anchor="SENTENCIA_1985_12" w:history="1">
        <w:r w:rsidRPr="009452A2">
          <w:rPr>
            <w:rStyle w:val="TextoNormalCaracter"/>
          </w:rPr>
          <w:t>12/1985</w:t>
        </w:r>
      </w:hyperlink>
      <w:r>
        <w:t>, f. 1.</w:t>
      </w:r>
    </w:p>
    <w:p w:rsidR="009452A2" w:rsidRDefault="009452A2" w:rsidP="009452A2">
      <w:pPr>
        <w:pStyle w:val="SangriaFrancesaArticulo"/>
      </w:pPr>
      <w:r w:rsidRPr="009452A2">
        <w:rPr>
          <w:rStyle w:val="TextoNormalNegritaCaracter"/>
        </w:rPr>
        <w:t>Artículo 161.</w:t>
      </w:r>
      <w:r w:rsidRPr="009452A2">
        <w:rPr>
          <w:rStyle w:val="TextoNormalCaracter"/>
        </w:rPr>
        <w:t>-</w:t>
      </w:r>
      <w:r>
        <w:t xml:space="preserve"> Sentencias </w:t>
      </w:r>
      <w:hyperlink w:anchor="SENTENCIA_1985_10" w:history="1">
        <w:r w:rsidRPr="009452A2">
          <w:rPr>
            <w:rStyle w:val="TextoNormalCaracter"/>
          </w:rPr>
          <w:t>10/1985</w:t>
        </w:r>
      </w:hyperlink>
      <w:r>
        <w:t xml:space="preserve">, f. 2; </w:t>
      </w:r>
      <w:hyperlink w:anchor="SENTENCIA_1985_51" w:history="1">
        <w:r w:rsidRPr="009452A2">
          <w:rPr>
            <w:rStyle w:val="TextoNormalCaracter"/>
          </w:rPr>
          <w:t>51/1985</w:t>
        </w:r>
      </w:hyperlink>
      <w:r>
        <w:t>, f. 1.</w:t>
      </w:r>
    </w:p>
    <w:p w:rsidR="009452A2" w:rsidRDefault="009452A2" w:rsidP="009452A2">
      <w:pPr>
        <w:pStyle w:val="SangriaIzquierdaArticulo"/>
      </w:pPr>
      <w:r>
        <w:t xml:space="preserve">Autos </w:t>
      </w:r>
      <w:hyperlink w:anchor="AUTO_1985_216" w:history="1">
        <w:r w:rsidRPr="009452A2">
          <w:rPr>
            <w:rStyle w:val="TextoNormalCaracter"/>
          </w:rPr>
          <w:t>216/1985</w:t>
        </w:r>
      </w:hyperlink>
      <w:r>
        <w:t xml:space="preserve">; </w:t>
      </w:r>
      <w:hyperlink w:anchor="AUTO_1985_245" w:history="1">
        <w:r w:rsidRPr="009452A2">
          <w:rPr>
            <w:rStyle w:val="TextoNormalCaracter"/>
          </w:rPr>
          <w:t>245/1985</w:t>
        </w:r>
      </w:hyperlink>
      <w:r>
        <w:t xml:space="preserve">; </w:t>
      </w:r>
      <w:hyperlink w:anchor="AUTO_1985_255" w:history="1">
        <w:r w:rsidRPr="009452A2">
          <w:rPr>
            <w:rStyle w:val="TextoNormalCaracter"/>
          </w:rPr>
          <w:t>255/1985</w:t>
        </w:r>
      </w:hyperlink>
      <w:r>
        <w:t>.</w:t>
      </w:r>
    </w:p>
    <w:p w:rsidR="009452A2" w:rsidRDefault="009452A2" w:rsidP="009452A2">
      <w:pPr>
        <w:pStyle w:val="SangriaFrancesaArticulo"/>
      </w:pPr>
      <w:r w:rsidRPr="009452A2">
        <w:rPr>
          <w:rStyle w:val="TextoNormalNegritaCaracter"/>
        </w:rPr>
        <w:t>Artículo 161.1 a).</w:t>
      </w:r>
      <w:r w:rsidRPr="009452A2">
        <w:rPr>
          <w:rStyle w:val="TextoNormalCaracter"/>
        </w:rPr>
        <w:t>-</w:t>
      </w:r>
      <w:r>
        <w:t xml:space="preserve"> Auto </w:t>
      </w:r>
      <w:hyperlink w:anchor="AUTO_1985_281" w:history="1">
        <w:r w:rsidRPr="009452A2">
          <w:rPr>
            <w:rStyle w:val="TextoNormalCaracter"/>
          </w:rPr>
          <w:t>281/1985</w:t>
        </w:r>
      </w:hyperlink>
      <w:r>
        <w:t>.</w:t>
      </w:r>
    </w:p>
    <w:p w:rsidR="009452A2" w:rsidRDefault="009452A2" w:rsidP="009452A2">
      <w:pPr>
        <w:pStyle w:val="SangriaFrancesaArticulo"/>
      </w:pPr>
      <w:r w:rsidRPr="009452A2">
        <w:rPr>
          <w:rStyle w:val="TextoNormalNegritaCaracter"/>
        </w:rPr>
        <w:t>Artículo 161.1 b).</w:t>
      </w:r>
      <w:r w:rsidRPr="009452A2">
        <w:rPr>
          <w:rStyle w:val="TextoNormalCaracter"/>
        </w:rPr>
        <w:t>-</w:t>
      </w:r>
      <w:r>
        <w:t xml:space="preserve"> Autos </w:t>
      </w:r>
      <w:hyperlink w:anchor="AUTO_1985_4" w:history="1">
        <w:r w:rsidRPr="009452A2">
          <w:rPr>
            <w:rStyle w:val="TextoNormalCaracter"/>
          </w:rPr>
          <w:t>4/1985</w:t>
        </w:r>
      </w:hyperlink>
      <w:r>
        <w:t xml:space="preserve">; </w:t>
      </w:r>
      <w:hyperlink w:anchor="AUTO_1985_9" w:history="1">
        <w:r w:rsidRPr="009452A2">
          <w:rPr>
            <w:rStyle w:val="TextoNormalCaracter"/>
          </w:rPr>
          <w:t>9/1985</w:t>
        </w:r>
      </w:hyperlink>
      <w:r>
        <w:t xml:space="preserve">; </w:t>
      </w:r>
      <w:hyperlink w:anchor="AUTO_1985_87" w:history="1">
        <w:r w:rsidRPr="009452A2">
          <w:rPr>
            <w:rStyle w:val="TextoNormalCaracter"/>
          </w:rPr>
          <w:t>87/1985</w:t>
        </w:r>
      </w:hyperlink>
      <w:r>
        <w:t xml:space="preserve">; </w:t>
      </w:r>
      <w:hyperlink w:anchor="AUTO_1985_94" w:history="1">
        <w:r w:rsidRPr="009452A2">
          <w:rPr>
            <w:rStyle w:val="TextoNormalCaracter"/>
          </w:rPr>
          <w:t>94/1985</w:t>
        </w:r>
      </w:hyperlink>
      <w:r>
        <w:t xml:space="preserve">; </w:t>
      </w:r>
      <w:hyperlink w:anchor="AUTO_1985_103" w:history="1">
        <w:r w:rsidRPr="009452A2">
          <w:rPr>
            <w:rStyle w:val="TextoNormalCaracter"/>
          </w:rPr>
          <w:t>103/1985</w:t>
        </w:r>
      </w:hyperlink>
      <w:r>
        <w:t xml:space="preserve">; </w:t>
      </w:r>
      <w:hyperlink w:anchor="AUTO_1985_241" w:history="1">
        <w:r w:rsidRPr="009452A2">
          <w:rPr>
            <w:rStyle w:val="TextoNormalCaracter"/>
          </w:rPr>
          <w:t>241/1985</w:t>
        </w:r>
      </w:hyperlink>
      <w:r>
        <w:t>.</w:t>
      </w:r>
    </w:p>
    <w:p w:rsidR="009452A2" w:rsidRDefault="009452A2" w:rsidP="009452A2">
      <w:pPr>
        <w:pStyle w:val="SangriaFrancesaArticulo"/>
      </w:pPr>
      <w:r w:rsidRPr="009452A2">
        <w:rPr>
          <w:rStyle w:val="TextoNormalNegritaCaracter"/>
        </w:rPr>
        <w:t>Artículo 161.2.</w:t>
      </w:r>
      <w:r w:rsidRPr="009452A2">
        <w:rPr>
          <w:rStyle w:val="TextoNormalCaracter"/>
        </w:rPr>
        <w:t>-</w:t>
      </w:r>
      <w:r>
        <w:t xml:space="preserve"> Autos </w:t>
      </w:r>
      <w:hyperlink w:anchor="AUTO_1985_54" w:history="1">
        <w:r w:rsidRPr="009452A2">
          <w:rPr>
            <w:rStyle w:val="TextoNormalCaracter"/>
          </w:rPr>
          <w:t>54/1985</w:t>
        </w:r>
      </w:hyperlink>
      <w:r>
        <w:t xml:space="preserve">; </w:t>
      </w:r>
      <w:hyperlink w:anchor="AUTO_1985_55" w:history="1">
        <w:r w:rsidRPr="009452A2">
          <w:rPr>
            <w:rStyle w:val="TextoNormalCaracter"/>
          </w:rPr>
          <w:t>55/1985</w:t>
        </w:r>
      </w:hyperlink>
      <w:r>
        <w:t xml:space="preserve">; </w:t>
      </w:r>
      <w:hyperlink w:anchor="AUTO_1985_91" w:history="1">
        <w:r w:rsidRPr="009452A2">
          <w:rPr>
            <w:rStyle w:val="TextoNormalCaracter"/>
          </w:rPr>
          <w:t>91/1985</w:t>
        </w:r>
      </w:hyperlink>
      <w:r>
        <w:t xml:space="preserve">; </w:t>
      </w:r>
      <w:hyperlink w:anchor="AUTO_1985_111" w:history="1">
        <w:r w:rsidRPr="009452A2">
          <w:rPr>
            <w:rStyle w:val="TextoNormalCaracter"/>
          </w:rPr>
          <w:t>111/1985</w:t>
        </w:r>
      </w:hyperlink>
      <w:r>
        <w:t xml:space="preserve">; </w:t>
      </w:r>
      <w:hyperlink w:anchor="AUTO_1985_125" w:history="1">
        <w:r w:rsidRPr="009452A2">
          <w:rPr>
            <w:rStyle w:val="TextoNormalCaracter"/>
          </w:rPr>
          <w:t>125/1985</w:t>
        </w:r>
      </w:hyperlink>
      <w:r>
        <w:t xml:space="preserve">; </w:t>
      </w:r>
      <w:hyperlink w:anchor="AUTO_1985_175" w:history="1">
        <w:r w:rsidRPr="009452A2">
          <w:rPr>
            <w:rStyle w:val="TextoNormalCaracter"/>
          </w:rPr>
          <w:t>175/1985</w:t>
        </w:r>
      </w:hyperlink>
      <w:r>
        <w:t xml:space="preserve">; </w:t>
      </w:r>
      <w:hyperlink w:anchor="AUTO_1985_231" w:history="1">
        <w:r w:rsidRPr="009452A2">
          <w:rPr>
            <w:rStyle w:val="TextoNormalCaracter"/>
          </w:rPr>
          <w:t>231/1985</w:t>
        </w:r>
      </w:hyperlink>
      <w:r>
        <w:t xml:space="preserve">; </w:t>
      </w:r>
      <w:hyperlink w:anchor="AUTO_1985_283" w:history="1">
        <w:r w:rsidRPr="009452A2">
          <w:rPr>
            <w:rStyle w:val="TextoNormalCaracter"/>
          </w:rPr>
          <w:t>283/1985</w:t>
        </w:r>
      </w:hyperlink>
      <w:r>
        <w:t>.</w:t>
      </w:r>
    </w:p>
    <w:p w:rsidR="009452A2" w:rsidRDefault="009452A2" w:rsidP="009452A2">
      <w:pPr>
        <w:pStyle w:val="SangriaFrancesaArticulo"/>
      </w:pPr>
      <w:r w:rsidRPr="009452A2">
        <w:rPr>
          <w:rStyle w:val="TextoNormalNegritaCaracter"/>
        </w:rPr>
        <w:t>Artículo 162.</w:t>
      </w:r>
      <w:r w:rsidRPr="009452A2">
        <w:rPr>
          <w:rStyle w:val="TextoNormalCaracter"/>
        </w:rPr>
        <w:t>-</w:t>
      </w:r>
      <w:r>
        <w:t xml:space="preserve"> Auto </w:t>
      </w:r>
      <w:hyperlink w:anchor="AUTO_1985_255" w:history="1">
        <w:r w:rsidRPr="009452A2">
          <w:rPr>
            <w:rStyle w:val="TextoNormalCaracter"/>
          </w:rPr>
          <w:t>255/1985</w:t>
        </w:r>
      </w:hyperlink>
      <w:r>
        <w:t>.</w:t>
      </w:r>
    </w:p>
    <w:p w:rsidR="009452A2" w:rsidRDefault="009452A2" w:rsidP="009452A2">
      <w:pPr>
        <w:pStyle w:val="SangriaFrancesaArticulo"/>
      </w:pPr>
      <w:r w:rsidRPr="009452A2">
        <w:rPr>
          <w:rStyle w:val="TextoNormalNegritaCaracter"/>
        </w:rPr>
        <w:t>Artículo 162.1.</w:t>
      </w:r>
      <w:r w:rsidRPr="009452A2">
        <w:rPr>
          <w:rStyle w:val="TextoNormalCaracter"/>
        </w:rPr>
        <w:t>-</w:t>
      </w:r>
      <w:r>
        <w:t xml:space="preserve"> Sentencia </w:t>
      </w:r>
      <w:hyperlink w:anchor="SENTENCIA_1985_42" w:history="1">
        <w:r w:rsidRPr="009452A2">
          <w:rPr>
            <w:rStyle w:val="TextoNormalCaracter"/>
          </w:rPr>
          <w:t>42/1985</w:t>
        </w:r>
      </w:hyperlink>
      <w:r>
        <w:t>, f. 2.</w:t>
      </w:r>
    </w:p>
    <w:p w:rsidR="009452A2" w:rsidRDefault="009452A2" w:rsidP="009452A2">
      <w:pPr>
        <w:pStyle w:val="SangriaFrancesaArticulo"/>
      </w:pPr>
      <w:r w:rsidRPr="009452A2">
        <w:rPr>
          <w:rStyle w:val="TextoNormalNegritaCaracter"/>
        </w:rPr>
        <w:t>Artículo 162.1 a).</w:t>
      </w:r>
      <w:r w:rsidRPr="009452A2">
        <w:rPr>
          <w:rStyle w:val="TextoNormalCaracter"/>
        </w:rPr>
        <w:t>-</w:t>
      </w:r>
      <w:r>
        <w:t xml:space="preserve"> Autos </w:t>
      </w:r>
      <w:hyperlink w:anchor="AUTO_1985_204" w:history="1">
        <w:r w:rsidRPr="009452A2">
          <w:rPr>
            <w:rStyle w:val="TextoNormalCaracter"/>
          </w:rPr>
          <w:t>204/1985</w:t>
        </w:r>
      </w:hyperlink>
      <w:r>
        <w:t xml:space="preserve">; </w:t>
      </w:r>
      <w:hyperlink w:anchor="AUTO_1985_255" w:history="1">
        <w:r w:rsidRPr="009452A2">
          <w:rPr>
            <w:rStyle w:val="TextoNormalCaracter"/>
          </w:rPr>
          <w:t>255/1985</w:t>
        </w:r>
      </w:hyperlink>
      <w:r>
        <w:t>.</w:t>
      </w:r>
    </w:p>
    <w:p w:rsidR="009452A2" w:rsidRDefault="009452A2" w:rsidP="009452A2">
      <w:pPr>
        <w:pStyle w:val="SangriaFrancesaArticulo"/>
      </w:pPr>
      <w:r w:rsidRPr="009452A2">
        <w:rPr>
          <w:rStyle w:val="TextoNormalNegritaCaracter"/>
        </w:rPr>
        <w:t>Artículo 162.1 b).</w:t>
      </w:r>
      <w:r w:rsidRPr="009452A2">
        <w:rPr>
          <w:rStyle w:val="TextoNormalCaracter"/>
        </w:rPr>
        <w:t>-</w:t>
      </w:r>
      <w:r>
        <w:t xml:space="preserve"> Autos </w:t>
      </w:r>
      <w:hyperlink w:anchor="AUTO_1985_135" w:history="1">
        <w:r w:rsidRPr="009452A2">
          <w:rPr>
            <w:rStyle w:val="TextoNormalCaracter"/>
          </w:rPr>
          <w:t>135/1985</w:t>
        </w:r>
      </w:hyperlink>
      <w:r>
        <w:t xml:space="preserve">; </w:t>
      </w:r>
      <w:hyperlink w:anchor="AUTO_1985_139" w:history="1">
        <w:r w:rsidRPr="009452A2">
          <w:rPr>
            <w:rStyle w:val="TextoNormalCaracter"/>
          </w:rPr>
          <w:t>139/1985</w:t>
        </w:r>
      </w:hyperlink>
      <w:r>
        <w:t xml:space="preserve">; </w:t>
      </w:r>
      <w:hyperlink w:anchor="AUTO_1985_281" w:history="1">
        <w:r w:rsidRPr="009452A2">
          <w:rPr>
            <w:rStyle w:val="TextoNormalCaracter"/>
          </w:rPr>
          <w:t>281/1985</w:t>
        </w:r>
      </w:hyperlink>
      <w:r>
        <w:t>.</w:t>
      </w:r>
    </w:p>
    <w:p w:rsidR="009452A2" w:rsidRDefault="009452A2" w:rsidP="009452A2">
      <w:pPr>
        <w:pStyle w:val="SangriaFrancesaArticulo"/>
      </w:pPr>
      <w:r w:rsidRPr="009452A2">
        <w:rPr>
          <w:rStyle w:val="TextoNormalNegritaCaracter"/>
        </w:rPr>
        <w:t>Artículo 164.</w:t>
      </w:r>
      <w:r w:rsidRPr="009452A2">
        <w:rPr>
          <w:rStyle w:val="TextoNormalCaracter"/>
        </w:rPr>
        <w:t>-</w:t>
      </w:r>
      <w:r>
        <w:t xml:space="preserve"> Sentencia </w:t>
      </w:r>
      <w:hyperlink w:anchor="SENTENCIA_1985_53" w:history="1">
        <w:r w:rsidRPr="009452A2">
          <w:rPr>
            <w:rStyle w:val="TextoNormalCaracter"/>
          </w:rPr>
          <w:t>53/1985</w:t>
        </w:r>
      </w:hyperlink>
      <w:r>
        <w:t>, VP IV.</w:t>
      </w:r>
    </w:p>
    <w:p w:rsidR="009452A2" w:rsidRDefault="009452A2" w:rsidP="009452A2">
      <w:pPr>
        <w:pStyle w:val="TextoNormal"/>
      </w:pPr>
    </w:p>
    <w:p w:rsidR="009452A2" w:rsidRDefault="009452A2" w:rsidP="009452A2">
      <w:pPr>
        <w:pStyle w:val="SangriaFrancesaArticulo"/>
      </w:pPr>
      <w:bookmarkStart w:id="351" w:name="INDICE22843"/>
    </w:p>
    <w:bookmarkEnd w:id="351"/>
    <w:p w:rsidR="009452A2" w:rsidRDefault="009452A2" w:rsidP="009452A2">
      <w:pPr>
        <w:pStyle w:val="TextoIndiceNivel2"/>
        <w:suppressAutoHyphens/>
      </w:pPr>
      <w:r>
        <w:t>B) Tribunal Constitucional</w:t>
      </w:r>
    </w:p>
    <w:p w:rsidR="009452A2" w:rsidRDefault="009452A2" w:rsidP="009452A2">
      <w:pPr>
        <w:pStyle w:val="TextoIndiceNivel2"/>
      </w:pPr>
    </w:p>
    <w:p w:rsidR="009452A2" w:rsidRDefault="009452A2" w:rsidP="009452A2">
      <w:pPr>
        <w:pStyle w:val="TextoNormalNegritaCursivandice"/>
      </w:pPr>
      <w:r>
        <w:t>Ley Orgánica 2/1979, de 3 de octubre. Tribunal Constitucional</w:t>
      </w:r>
    </w:p>
    <w:p w:rsidR="009452A2" w:rsidRDefault="009452A2" w:rsidP="009452A2">
      <w:pPr>
        <w:pStyle w:val="SangriaFrancesaArticulo"/>
      </w:pPr>
      <w:r w:rsidRPr="009452A2">
        <w:rPr>
          <w:rStyle w:val="TextoNormalNegritaCaracter"/>
        </w:rPr>
        <w:t>Artículo 1.1.</w:t>
      </w:r>
      <w:r w:rsidRPr="009452A2">
        <w:rPr>
          <w:rStyle w:val="TextoNormalCaracter"/>
        </w:rPr>
        <w:t>-</w:t>
      </w:r>
      <w:r>
        <w:t xml:space="preserve"> Auto </w:t>
      </w:r>
      <w:hyperlink w:anchor="AUTO_1985_139" w:history="1">
        <w:r w:rsidRPr="009452A2">
          <w:rPr>
            <w:rStyle w:val="TextoNormalCaracter"/>
          </w:rPr>
          <w:t>139/1985</w:t>
        </w:r>
      </w:hyperlink>
      <w:r>
        <w:t>.</w:t>
      </w:r>
    </w:p>
    <w:p w:rsidR="009452A2" w:rsidRDefault="009452A2" w:rsidP="009452A2">
      <w:pPr>
        <w:pStyle w:val="SangriaFrancesaArticulo"/>
      </w:pPr>
      <w:r w:rsidRPr="009452A2">
        <w:rPr>
          <w:rStyle w:val="TextoNormalNegritaCaracter"/>
        </w:rPr>
        <w:t>Artículo 2.</w:t>
      </w:r>
      <w:r w:rsidRPr="009452A2">
        <w:rPr>
          <w:rStyle w:val="TextoNormalCaracter"/>
        </w:rPr>
        <w:t>-</w:t>
      </w:r>
      <w:r>
        <w:t xml:space="preserve"> Sentencia </w:t>
      </w:r>
      <w:hyperlink w:anchor="SENTENCIA_1985_51" w:history="1">
        <w:r w:rsidRPr="009452A2">
          <w:rPr>
            <w:rStyle w:val="TextoNormalCaracter"/>
          </w:rPr>
          <w:t>51/1985</w:t>
        </w:r>
      </w:hyperlink>
      <w:r>
        <w:t>, f. 1.</w:t>
      </w:r>
    </w:p>
    <w:p w:rsidR="009452A2" w:rsidRDefault="009452A2" w:rsidP="009452A2">
      <w:pPr>
        <w:pStyle w:val="SangriaIzquierdaArticulo"/>
      </w:pPr>
      <w:r>
        <w:t xml:space="preserve">Auto </w:t>
      </w:r>
      <w:hyperlink w:anchor="AUTO_1985_13" w:history="1">
        <w:r w:rsidRPr="009452A2">
          <w:rPr>
            <w:rStyle w:val="TextoNormalCaracter"/>
          </w:rPr>
          <w:t>13/1985</w:t>
        </w:r>
      </w:hyperlink>
      <w:r>
        <w:t>.</w:t>
      </w:r>
    </w:p>
    <w:p w:rsidR="009452A2" w:rsidRDefault="009452A2" w:rsidP="009452A2">
      <w:pPr>
        <w:pStyle w:val="SangriaFrancesaArticulo"/>
      </w:pPr>
      <w:r w:rsidRPr="009452A2">
        <w:rPr>
          <w:rStyle w:val="TextoNormalNegritaCaracter"/>
        </w:rPr>
        <w:t>Artículo 4.2.</w:t>
      </w:r>
      <w:r w:rsidRPr="009452A2">
        <w:rPr>
          <w:rStyle w:val="TextoNormalCaracter"/>
        </w:rPr>
        <w:t>-</w:t>
      </w:r>
      <w:r>
        <w:t xml:space="preserve"> Autos </w:t>
      </w:r>
      <w:hyperlink w:anchor="AUTO_1985_16" w:history="1">
        <w:r w:rsidRPr="009452A2">
          <w:rPr>
            <w:rStyle w:val="TextoNormalCaracter"/>
          </w:rPr>
          <w:t>16/1985</w:t>
        </w:r>
      </w:hyperlink>
      <w:r>
        <w:t xml:space="preserve">; </w:t>
      </w:r>
      <w:hyperlink w:anchor="AUTO_1985_255" w:history="1">
        <w:r w:rsidRPr="009452A2">
          <w:rPr>
            <w:rStyle w:val="TextoNormalCaracter"/>
          </w:rPr>
          <w:t>255/1985</w:t>
        </w:r>
      </w:hyperlink>
      <w:r>
        <w:t xml:space="preserve">; </w:t>
      </w:r>
      <w:hyperlink w:anchor="AUTO_1985_281" w:history="1">
        <w:r w:rsidRPr="009452A2">
          <w:rPr>
            <w:rStyle w:val="TextoNormalCaracter"/>
          </w:rPr>
          <w:t>281/1985</w:t>
        </w:r>
      </w:hyperlink>
      <w:r>
        <w:t>.</w:t>
      </w:r>
    </w:p>
    <w:p w:rsidR="009452A2" w:rsidRDefault="009452A2" w:rsidP="009452A2">
      <w:pPr>
        <w:pStyle w:val="SangriaFrancesaArticulo"/>
      </w:pPr>
      <w:r w:rsidRPr="009452A2">
        <w:rPr>
          <w:rStyle w:val="TextoNormalNegritaCaracter"/>
        </w:rPr>
        <w:lastRenderedPageBreak/>
        <w:t>Artículo 8.</w:t>
      </w:r>
      <w:r w:rsidRPr="009452A2">
        <w:rPr>
          <w:rStyle w:val="TextoNormalCaracter"/>
        </w:rPr>
        <w:t>-</w:t>
      </w:r>
      <w:r>
        <w:t xml:space="preserve"> Auto </w:t>
      </w:r>
      <w:hyperlink w:anchor="AUTO_1985_205" w:history="1">
        <w:r w:rsidRPr="009452A2">
          <w:rPr>
            <w:rStyle w:val="TextoNormalCaracter"/>
          </w:rPr>
          <w:t>205/1985</w:t>
        </w:r>
      </w:hyperlink>
      <w:r>
        <w:t>.</w:t>
      </w:r>
    </w:p>
    <w:p w:rsidR="009452A2" w:rsidRDefault="009452A2" w:rsidP="009452A2">
      <w:pPr>
        <w:pStyle w:val="SangriaFrancesaArticulo"/>
      </w:pPr>
      <w:r w:rsidRPr="009452A2">
        <w:rPr>
          <w:rStyle w:val="TextoNormalNegritaCaracter"/>
        </w:rPr>
        <w:t>Artículo 13.</w:t>
      </w:r>
      <w:r w:rsidRPr="009452A2">
        <w:rPr>
          <w:rStyle w:val="TextoNormalCaracter"/>
        </w:rPr>
        <w:t>-</w:t>
      </w:r>
      <w:r>
        <w:t xml:space="preserve"> Sentencia </w:t>
      </w:r>
      <w:hyperlink w:anchor="SENTENCIA_1985_5" w:history="1">
        <w:r w:rsidRPr="009452A2">
          <w:rPr>
            <w:rStyle w:val="TextoNormalCaracter"/>
          </w:rPr>
          <w:t>5/1985</w:t>
        </w:r>
      </w:hyperlink>
      <w:r>
        <w:t>, f. 3.</w:t>
      </w:r>
    </w:p>
    <w:p w:rsidR="009452A2" w:rsidRDefault="009452A2" w:rsidP="009452A2">
      <w:pPr>
        <w:pStyle w:val="SangriaFrancesaArticulo"/>
      </w:pPr>
      <w:r w:rsidRPr="009452A2">
        <w:rPr>
          <w:rStyle w:val="TextoNormalNegritaCaracter"/>
        </w:rPr>
        <w:t>Artículo 30.</w:t>
      </w:r>
      <w:r w:rsidRPr="009452A2">
        <w:rPr>
          <w:rStyle w:val="TextoNormalCaracter"/>
        </w:rPr>
        <w:t>-</w:t>
      </w:r>
      <w:r>
        <w:t xml:space="preserve"> Auto </w:t>
      </w:r>
      <w:hyperlink w:anchor="AUTO_1985_54" w:history="1">
        <w:r w:rsidRPr="009452A2">
          <w:rPr>
            <w:rStyle w:val="TextoNormalCaracter"/>
          </w:rPr>
          <w:t>54/1985</w:t>
        </w:r>
      </w:hyperlink>
      <w:r>
        <w:t>.</w:t>
      </w:r>
    </w:p>
    <w:p w:rsidR="009452A2" w:rsidRDefault="009452A2" w:rsidP="009452A2">
      <w:pPr>
        <w:pStyle w:val="SangriaFrancesaArticulo"/>
      </w:pPr>
      <w:r w:rsidRPr="009452A2">
        <w:rPr>
          <w:rStyle w:val="TextoNormalNegritaCaracter"/>
        </w:rPr>
        <w:t>Artículo 32.</w:t>
      </w:r>
      <w:r w:rsidRPr="009452A2">
        <w:rPr>
          <w:rStyle w:val="TextoNormalCaracter"/>
        </w:rPr>
        <w:t>-</w:t>
      </w:r>
      <w:r>
        <w:t xml:space="preserve"> Autos </w:t>
      </w:r>
      <w:hyperlink w:anchor="AUTO_1985_204" w:history="1">
        <w:r w:rsidRPr="009452A2">
          <w:rPr>
            <w:rStyle w:val="TextoNormalCaracter"/>
          </w:rPr>
          <w:t>204/1985</w:t>
        </w:r>
      </w:hyperlink>
      <w:r>
        <w:t xml:space="preserve">; </w:t>
      </w:r>
      <w:hyperlink w:anchor="AUTO_1985_255" w:history="1">
        <w:r w:rsidRPr="009452A2">
          <w:rPr>
            <w:rStyle w:val="TextoNormalCaracter"/>
          </w:rPr>
          <w:t>255/1985</w:t>
        </w:r>
      </w:hyperlink>
      <w:r>
        <w:t xml:space="preserve">; </w:t>
      </w:r>
      <w:hyperlink w:anchor="AUTO_1985_281" w:history="1">
        <w:r w:rsidRPr="009452A2">
          <w:rPr>
            <w:rStyle w:val="TextoNormalCaracter"/>
          </w:rPr>
          <w:t>281/1985</w:t>
        </w:r>
      </w:hyperlink>
      <w:r>
        <w:t>.</w:t>
      </w:r>
    </w:p>
    <w:p w:rsidR="009452A2" w:rsidRDefault="009452A2" w:rsidP="009452A2">
      <w:pPr>
        <w:pStyle w:val="SangriaFrancesaArticulo"/>
      </w:pPr>
      <w:r w:rsidRPr="009452A2">
        <w:rPr>
          <w:rStyle w:val="TextoNormalNegritaCaracter"/>
        </w:rPr>
        <w:t>Artículo 32.1 a).</w:t>
      </w:r>
      <w:r w:rsidRPr="009452A2">
        <w:rPr>
          <w:rStyle w:val="TextoNormalCaracter"/>
        </w:rPr>
        <w:t>-</w:t>
      </w:r>
      <w:r>
        <w:t xml:space="preserve"> Sentencia </w:t>
      </w:r>
      <w:hyperlink w:anchor="SENTENCIA_1985_42" w:history="1">
        <w:r w:rsidRPr="009452A2">
          <w:rPr>
            <w:rStyle w:val="TextoNormalCaracter"/>
          </w:rPr>
          <w:t>42/1985</w:t>
        </w:r>
      </w:hyperlink>
      <w:r>
        <w:t>, f. 2.</w:t>
      </w:r>
    </w:p>
    <w:p w:rsidR="009452A2" w:rsidRDefault="009452A2" w:rsidP="009452A2">
      <w:pPr>
        <w:pStyle w:val="SangriaFrancesaArticulo"/>
      </w:pPr>
      <w:r w:rsidRPr="009452A2">
        <w:rPr>
          <w:rStyle w:val="TextoNormalNegritaCaracter"/>
        </w:rPr>
        <w:t>Artículo 32.1 b).</w:t>
      </w:r>
      <w:r w:rsidRPr="009452A2">
        <w:rPr>
          <w:rStyle w:val="TextoNormalCaracter"/>
        </w:rPr>
        <w:t>-</w:t>
      </w:r>
      <w:r>
        <w:t xml:space="preserve"> Sentencia </w:t>
      </w:r>
      <w:hyperlink w:anchor="SENTENCIA_1985_42" w:history="1">
        <w:r w:rsidRPr="009452A2">
          <w:rPr>
            <w:rStyle w:val="TextoNormalCaracter"/>
          </w:rPr>
          <w:t>42/1985</w:t>
        </w:r>
      </w:hyperlink>
      <w:r>
        <w:t>, f. 2.</w:t>
      </w:r>
    </w:p>
    <w:p w:rsidR="009452A2" w:rsidRDefault="009452A2" w:rsidP="009452A2">
      <w:pPr>
        <w:pStyle w:val="SangriaFrancesaArticulo"/>
      </w:pPr>
      <w:r w:rsidRPr="009452A2">
        <w:rPr>
          <w:rStyle w:val="TextoNormalNegritaCaracter"/>
        </w:rPr>
        <w:t>Artículo 32.2.</w:t>
      </w:r>
      <w:r w:rsidRPr="009452A2">
        <w:rPr>
          <w:rStyle w:val="TextoNormalCaracter"/>
        </w:rPr>
        <w:t>-</w:t>
      </w:r>
      <w:r>
        <w:t xml:space="preserve"> Sentencia </w:t>
      </w:r>
      <w:hyperlink w:anchor="SENTENCIA_1985_42" w:history="1">
        <w:r w:rsidRPr="009452A2">
          <w:rPr>
            <w:rStyle w:val="TextoNormalCaracter"/>
          </w:rPr>
          <w:t>42/1985</w:t>
        </w:r>
      </w:hyperlink>
      <w:r>
        <w:t>, f. 2.</w:t>
      </w:r>
    </w:p>
    <w:p w:rsidR="009452A2" w:rsidRDefault="009452A2" w:rsidP="009452A2">
      <w:pPr>
        <w:pStyle w:val="SangriaFrancesaArticulo"/>
      </w:pPr>
      <w:r w:rsidRPr="009452A2">
        <w:rPr>
          <w:rStyle w:val="TextoNormalNegritaCaracter"/>
        </w:rPr>
        <w:t>Artículo 35.</w:t>
      </w:r>
      <w:r w:rsidRPr="009452A2">
        <w:rPr>
          <w:rStyle w:val="TextoNormalCaracter"/>
        </w:rPr>
        <w:t>-</w:t>
      </w:r>
      <w:r>
        <w:t xml:space="preserve"> Auto </w:t>
      </w:r>
      <w:hyperlink w:anchor="AUTO_1985_204" w:history="1">
        <w:r w:rsidRPr="009452A2">
          <w:rPr>
            <w:rStyle w:val="TextoNormalCaracter"/>
          </w:rPr>
          <w:t>204/1985</w:t>
        </w:r>
      </w:hyperlink>
      <w:r>
        <w:t>.</w:t>
      </w:r>
    </w:p>
    <w:p w:rsidR="009452A2" w:rsidRDefault="009452A2" w:rsidP="009452A2">
      <w:pPr>
        <w:pStyle w:val="SangriaFrancesaArticulo"/>
      </w:pPr>
      <w:r w:rsidRPr="009452A2">
        <w:rPr>
          <w:rStyle w:val="TextoNormalNegritaCaracter"/>
        </w:rPr>
        <w:t>Artículo 35.1.</w:t>
      </w:r>
      <w:r w:rsidRPr="009452A2">
        <w:rPr>
          <w:rStyle w:val="TextoNormalCaracter"/>
        </w:rPr>
        <w:t>-</w:t>
      </w:r>
      <w:r>
        <w:t xml:space="preserve"> Sentencia </w:t>
      </w:r>
      <w:hyperlink w:anchor="SENTENCIA_1985_21" w:history="1">
        <w:r w:rsidRPr="009452A2">
          <w:rPr>
            <w:rStyle w:val="TextoNormalCaracter"/>
          </w:rPr>
          <w:t>21/1985</w:t>
        </w:r>
      </w:hyperlink>
      <w:r>
        <w:t>, ff. 1, 2.</w:t>
      </w:r>
    </w:p>
    <w:p w:rsidR="009452A2" w:rsidRDefault="009452A2" w:rsidP="009452A2">
      <w:pPr>
        <w:pStyle w:val="SangriaFrancesaArticulo"/>
      </w:pPr>
      <w:r w:rsidRPr="009452A2">
        <w:rPr>
          <w:rStyle w:val="TextoNormalNegritaCaracter"/>
        </w:rPr>
        <w:t>Artículo 35.2.</w:t>
      </w:r>
      <w:r w:rsidRPr="009452A2">
        <w:rPr>
          <w:rStyle w:val="TextoNormalCaracter"/>
        </w:rPr>
        <w:t>-</w:t>
      </w:r>
      <w:r>
        <w:t xml:space="preserve"> Sentencia </w:t>
      </w:r>
      <w:hyperlink w:anchor="SENTENCIA_1985_21" w:history="1">
        <w:r w:rsidRPr="009452A2">
          <w:rPr>
            <w:rStyle w:val="TextoNormalCaracter"/>
          </w:rPr>
          <w:t>21/1985</w:t>
        </w:r>
      </w:hyperlink>
      <w:r>
        <w:t>, ff. 1, 2.</w:t>
      </w:r>
    </w:p>
    <w:p w:rsidR="009452A2" w:rsidRDefault="009452A2" w:rsidP="009452A2">
      <w:pPr>
        <w:pStyle w:val="SangriaFrancesaArticulo"/>
      </w:pPr>
      <w:r w:rsidRPr="009452A2">
        <w:rPr>
          <w:rStyle w:val="TextoNormalNegritaCaracter"/>
        </w:rPr>
        <w:t>Artículo 37.1.</w:t>
      </w:r>
      <w:r w:rsidRPr="009452A2">
        <w:rPr>
          <w:rStyle w:val="TextoNormalCaracter"/>
        </w:rPr>
        <w:t>-</w:t>
      </w:r>
      <w:r>
        <w:t xml:space="preserve"> Sentencias </w:t>
      </w:r>
      <w:hyperlink w:anchor="SENTENCIA_1985_21" w:history="1">
        <w:r w:rsidRPr="009452A2">
          <w:rPr>
            <w:rStyle w:val="TextoNormalCaracter"/>
          </w:rPr>
          <w:t>21/1985</w:t>
        </w:r>
      </w:hyperlink>
      <w:r>
        <w:t xml:space="preserve">, f. 1; </w:t>
      </w:r>
      <w:hyperlink w:anchor="SENTENCIA_1985_27" w:history="1">
        <w:r w:rsidRPr="009452A2">
          <w:rPr>
            <w:rStyle w:val="TextoNormalCaracter"/>
          </w:rPr>
          <w:t>27/1985</w:t>
        </w:r>
      </w:hyperlink>
      <w:r>
        <w:t>, VP.</w:t>
      </w:r>
    </w:p>
    <w:p w:rsidR="009452A2" w:rsidRDefault="009452A2" w:rsidP="009452A2">
      <w:pPr>
        <w:pStyle w:val="SangriaFrancesaArticulo"/>
      </w:pPr>
      <w:r w:rsidRPr="009452A2">
        <w:rPr>
          <w:rStyle w:val="TextoNormalNegritaCaracter"/>
        </w:rPr>
        <w:t>Artículo 37.2.</w:t>
      </w:r>
      <w:r w:rsidRPr="009452A2">
        <w:rPr>
          <w:rStyle w:val="TextoNormalCaracter"/>
        </w:rPr>
        <w:t>-</w:t>
      </w:r>
      <w:r>
        <w:t xml:space="preserve"> Sentencias </w:t>
      </w:r>
      <w:hyperlink w:anchor="SENTENCIA_1985_21" w:history="1">
        <w:r w:rsidRPr="009452A2">
          <w:rPr>
            <w:rStyle w:val="TextoNormalCaracter"/>
          </w:rPr>
          <w:t>21/1985</w:t>
        </w:r>
      </w:hyperlink>
      <w:r>
        <w:t xml:space="preserve">, f. 1; </w:t>
      </w:r>
      <w:hyperlink w:anchor="SENTENCIA_1985_27" w:history="1">
        <w:r w:rsidRPr="009452A2">
          <w:rPr>
            <w:rStyle w:val="TextoNormalCaracter"/>
          </w:rPr>
          <w:t>27/1985</w:t>
        </w:r>
      </w:hyperlink>
      <w:r>
        <w:t>, VP.</w:t>
      </w:r>
    </w:p>
    <w:p w:rsidR="009452A2" w:rsidRDefault="009452A2" w:rsidP="009452A2">
      <w:pPr>
        <w:pStyle w:val="SangriaFrancesaArticulo"/>
      </w:pPr>
      <w:r w:rsidRPr="009452A2">
        <w:rPr>
          <w:rStyle w:val="TextoNormalNegritaCaracter"/>
        </w:rPr>
        <w:t>Artículo 38.</w:t>
      </w:r>
      <w:r w:rsidRPr="009452A2">
        <w:rPr>
          <w:rStyle w:val="TextoNormalCaracter"/>
        </w:rPr>
        <w:t>-</w:t>
      </w:r>
      <w:r>
        <w:t xml:space="preserve"> Auto </w:t>
      </w:r>
      <w:hyperlink w:anchor="AUTO_1985_255" w:history="1">
        <w:r w:rsidRPr="009452A2">
          <w:rPr>
            <w:rStyle w:val="TextoNormalCaracter"/>
          </w:rPr>
          <w:t>255/1985</w:t>
        </w:r>
      </w:hyperlink>
      <w:r>
        <w:t>.</w:t>
      </w:r>
    </w:p>
    <w:p w:rsidR="009452A2" w:rsidRDefault="009452A2" w:rsidP="009452A2">
      <w:pPr>
        <w:pStyle w:val="SangriaFrancesaArticulo"/>
      </w:pPr>
      <w:r w:rsidRPr="009452A2">
        <w:rPr>
          <w:rStyle w:val="TextoNormalNegritaCaracter"/>
        </w:rPr>
        <w:t>Artículo 39.1.</w:t>
      </w:r>
      <w:r w:rsidRPr="009452A2">
        <w:rPr>
          <w:rStyle w:val="TextoNormalCaracter"/>
        </w:rPr>
        <w:t>-</w:t>
      </w:r>
      <w:r>
        <w:t xml:space="preserve"> Sentencias </w:t>
      </w:r>
      <w:hyperlink w:anchor="SENTENCIA_1985_20" w:history="1">
        <w:r w:rsidRPr="009452A2">
          <w:rPr>
            <w:rStyle w:val="TextoNormalCaracter"/>
          </w:rPr>
          <w:t>20/1985</w:t>
        </w:r>
      </w:hyperlink>
      <w:r>
        <w:t xml:space="preserve">, f. 4; </w:t>
      </w:r>
      <w:hyperlink w:anchor="SENTENCIA_1985_27" w:history="1">
        <w:r w:rsidRPr="009452A2">
          <w:rPr>
            <w:rStyle w:val="TextoNormalCaracter"/>
          </w:rPr>
          <w:t>27/1985</w:t>
        </w:r>
      </w:hyperlink>
      <w:r>
        <w:t>, f. 4, VP.</w:t>
      </w:r>
    </w:p>
    <w:p w:rsidR="009452A2" w:rsidRDefault="009452A2" w:rsidP="009452A2">
      <w:pPr>
        <w:pStyle w:val="SangriaFrancesaArticulo"/>
      </w:pPr>
      <w:r w:rsidRPr="009452A2">
        <w:rPr>
          <w:rStyle w:val="TextoNormalNegritaCaracter"/>
        </w:rPr>
        <w:t>Artículo 41.</w:t>
      </w:r>
      <w:r w:rsidRPr="009452A2">
        <w:rPr>
          <w:rStyle w:val="TextoNormalCaracter"/>
        </w:rPr>
        <w:t>-</w:t>
      </w:r>
      <w:r>
        <w:t xml:space="preserve"> Sentencia </w:t>
      </w:r>
      <w:hyperlink w:anchor="SENTENCIA_1985_51" w:history="1">
        <w:r w:rsidRPr="009452A2">
          <w:rPr>
            <w:rStyle w:val="TextoNormalCaracter"/>
          </w:rPr>
          <w:t>51/1985</w:t>
        </w:r>
      </w:hyperlink>
      <w:r>
        <w:t>, f. 1.</w:t>
      </w:r>
    </w:p>
    <w:p w:rsidR="009452A2" w:rsidRDefault="009452A2" w:rsidP="009452A2">
      <w:pPr>
        <w:pStyle w:val="SangriaIzquierdaArticulo"/>
      </w:pPr>
      <w:r>
        <w:t xml:space="preserve">Autos </w:t>
      </w:r>
      <w:hyperlink w:anchor="AUTO_1985_43" w:history="1">
        <w:r w:rsidRPr="009452A2">
          <w:rPr>
            <w:rStyle w:val="TextoNormalCaracter"/>
          </w:rPr>
          <w:t>43/1985</w:t>
        </w:r>
      </w:hyperlink>
      <w:r>
        <w:t xml:space="preserve">; </w:t>
      </w:r>
      <w:hyperlink w:anchor="AUTO_1985_59" w:history="1">
        <w:r w:rsidRPr="009452A2">
          <w:rPr>
            <w:rStyle w:val="TextoNormalCaracter"/>
          </w:rPr>
          <w:t>59/1985</w:t>
        </w:r>
      </w:hyperlink>
      <w:r>
        <w:t xml:space="preserve">; </w:t>
      </w:r>
      <w:hyperlink w:anchor="AUTO_1985_61" w:history="1">
        <w:r w:rsidRPr="009452A2">
          <w:rPr>
            <w:rStyle w:val="TextoNormalCaracter"/>
          </w:rPr>
          <w:t>61/1985</w:t>
        </w:r>
      </w:hyperlink>
      <w:r>
        <w:t xml:space="preserve">; </w:t>
      </w:r>
      <w:hyperlink w:anchor="AUTO_1985_94" w:history="1">
        <w:r w:rsidRPr="009452A2">
          <w:rPr>
            <w:rStyle w:val="TextoNormalCaracter"/>
          </w:rPr>
          <w:t>94/1985</w:t>
        </w:r>
      </w:hyperlink>
      <w:r>
        <w:t xml:space="preserve">; </w:t>
      </w:r>
      <w:hyperlink w:anchor="AUTO_1985_202" w:history="1">
        <w:r w:rsidRPr="009452A2">
          <w:rPr>
            <w:rStyle w:val="TextoNormalCaracter"/>
          </w:rPr>
          <w:t>202/1985</w:t>
        </w:r>
      </w:hyperlink>
      <w:r>
        <w:t xml:space="preserve">; </w:t>
      </w:r>
      <w:hyperlink w:anchor="AUTO_1985_216" w:history="1">
        <w:r w:rsidRPr="009452A2">
          <w:rPr>
            <w:rStyle w:val="TextoNormalCaracter"/>
          </w:rPr>
          <w:t>216/1985</w:t>
        </w:r>
      </w:hyperlink>
      <w:r>
        <w:t xml:space="preserve">; </w:t>
      </w:r>
      <w:hyperlink w:anchor="AUTO_1985_241" w:history="1">
        <w:r w:rsidRPr="009452A2">
          <w:rPr>
            <w:rStyle w:val="TextoNormalCaracter"/>
          </w:rPr>
          <w:t>241/1985</w:t>
        </w:r>
      </w:hyperlink>
      <w:r>
        <w:t xml:space="preserve">; </w:t>
      </w:r>
      <w:hyperlink w:anchor="AUTO_1985_245" w:history="1">
        <w:r w:rsidRPr="009452A2">
          <w:rPr>
            <w:rStyle w:val="TextoNormalCaracter"/>
          </w:rPr>
          <w:t>245/1985</w:t>
        </w:r>
      </w:hyperlink>
      <w:r>
        <w:t xml:space="preserve">; </w:t>
      </w:r>
      <w:hyperlink w:anchor="AUTO_1985_255" w:history="1">
        <w:r w:rsidRPr="009452A2">
          <w:rPr>
            <w:rStyle w:val="TextoNormalCaracter"/>
          </w:rPr>
          <w:t>255/1985</w:t>
        </w:r>
      </w:hyperlink>
      <w:r>
        <w:t>.</w:t>
      </w:r>
    </w:p>
    <w:p w:rsidR="009452A2" w:rsidRDefault="009452A2" w:rsidP="009452A2">
      <w:pPr>
        <w:pStyle w:val="SangriaFrancesaArticulo"/>
      </w:pPr>
      <w:r w:rsidRPr="009452A2">
        <w:rPr>
          <w:rStyle w:val="TextoNormalNegritaCaracter"/>
        </w:rPr>
        <w:t>Artículo 41.1.</w:t>
      </w:r>
      <w:r w:rsidRPr="009452A2">
        <w:rPr>
          <w:rStyle w:val="TextoNormalCaracter"/>
        </w:rPr>
        <w:t>-</w:t>
      </w:r>
      <w:r>
        <w:t xml:space="preserve"> Sentencias </w:t>
      </w:r>
      <w:hyperlink w:anchor="SENTENCIA_1985_14" w:history="1">
        <w:r w:rsidRPr="009452A2">
          <w:rPr>
            <w:rStyle w:val="TextoNormalCaracter"/>
          </w:rPr>
          <w:t>14/1985</w:t>
        </w:r>
      </w:hyperlink>
      <w:r>
        <w:t xml:space="preserve">, f. 2; </w:t>
      </w:r>
      <w:hyperlink w:anchor="SENTENCIA_1985_31" w:history="1">
        <w:r w:rsidRPr="009452A2">
          <w:rPr>
            <w:rStyle w:val="TextoNormalCaracter"/>
          </w:rPr>
          <w:t>31/1985</w:t>
        </w:r>
      </w:hyperlink>
      <w:r>
        <w:t>, f. 3.</w:t>
      </w:r>
    </w:p>
    <w:p w:rsidR="009452A2" w:rsidRDefault="009452A2" w:rsidP="009452A2">
      <w:pPr>
        <w:pStyle w:val="SangriaIzquierdaArticulo"/>
      </w:pPr>
      <w:r>
        <w:t xml:space="preserve">Autos </w:t>
      </w:r>
      <w:hyperlink w:anchor="AUTO_1985_9" w:history="1">
        <w:r w:rsidRPr="009452A2">
          <w:rPr>
            <w:rStyle w:val="TextoNormalCaracter"/>
          </w:rPr>
          <w:t>9/1985</w:t>
        </w:r>
      </w:hyperlink>
      <w:r>
        <w:t xml:space="preserve">; </w:t>
      </w:r>
      <w:hyperlink w:anchor="AUTO_1985_65" w:history="1">
        <w:r w:rsidRPr="009452A2">
          <w:rPr>
            <w:rStyle w:val="TextoNormalCaracter"/>
          </w:rPr>
          <w:t>65/1985</w:t>
        </w:r>
      </w:hyperlink>
      <w:r>
        <w:t xml:space="preserve">; </w:t>
      </w:r>
      <w:hyperlink w:anchor="AUTO_1985_80" w:history="1">
        <w:r w:rsidRPr="009452A2">
          <w:rPr>
            <w:rStyle w:val="TextoNormalCaracter"/>
          </w:rPr>
          <w:t>80/1985</w:t>
        </w:r>
      </w:hyperlink>
      <w:r>
        <w:t xml:space="preserve">; </w:t>
      </w:r>
      <w:hyperlink w:anchor="AUTO_1985_82" w:history="1">
        <w:r w:rsidRPr="009452A2">
          <w:rPr>
            <w:rStyle w:val="TextoNormalCaracter"/>
          </w:rPr>
          <w:t>82/1985</w:t>
        </w:r>
      </w:hyperlink>
      <w:r>
        <w:t xml:space="preserve">; </w:t>
      </w:r>
      <w:hyperlink w:anchor="AUTO_1985_87" w:history="1">
        <w:r w:rsidRPr="009452A2">
          <w:rPr>
            <w:rStyle w:val="TextoNormalCaracter"/>
          </w:rPr>
          <w:t>87/1985</w:t>
        </w:r>
      </w:hyperlink>
      <w:r>
        <w:t xml:space="preserve">; </w:t>
      </w:r>
      <w:hyperlink w:anchor="AUTO_1985_103" w:history="1">
        <w:r w:rsidRPr="009452A2">
          <w:rPr>
            <w:rStyle w:val="TextoNormalCaracter"/>
          </w:rPr>
          <w:t>103/1985</w:t>
        </w:r>
      </w:hyperlink>
      <w:r>
        <w:t xml:space="preserve">; </w:t>
      </w:r>
      <w:hyperlink w:anchor="AUTO_1985_167" w:history="1">
        <w:r w:rsidRPr="009452A2">
          <w:rPr>
            <w:rStyle w:val="TextoNormalCaracter"/>
          </w:rPr>
          <w:t>167/1985</w:t>
        </w:r>
      </w:hyperlink>
      <w:r>
        <w:t xml:space="preserve">; </w:t>
      </w:r>
      <w:hyperlink w:anchor="AUTO_1985_177" w:history="1">
        <w:r w:rsidRPr="009452A2">
          <w:rPr>
            <w:rStyle w:val="TextoNormalCaracter"/>
          </w:rPr>
          <w:t>177/1985</w:t>
        </w:r>
      </w:hyperlink>
      <w:r>
        <w:t xml:space="preserve">; </w:t>
      </w:r>
      <w:hyperlink w:anchor="AUTO_1985_182" w:history="1">
        <w:r w:rsidRPr="009452A2">
          <w:rPr>
            <w:rStyle w:val="TextoNormalCaracter"/>
          </w:rPr>
          <w:t>182/1985</w:t>
        </w:r>
      </w:hyperlink>
      <w:r>
        <w:t xml:space="preserve">; </w:t>
      </w:r>
      <w:hyperlink w:anchor="AUTO_1985_233" w:history="1">
        <w:r w:rsidRPr="009452A2">
          <w:rPr>
            <w:rStyle w:val="TextoNormalCaracter"/>
          </w:rPr>
          <w:t>233/1985</w:t>
        </w:r>
      </w:hyperlink>
      <w:r>
        <w:t xml:space="preserve">; </w:t>
      </w:r>
      <w:hyperlink w:anchor="AUTO_1985_238" w:history="1">
        <w:r w:rsidRPr="009452A2">
          <w:rPr>
            <w:rStyle w:val="TextoNormalCaracter"/>
          </w:rPr>
          <w:t>238/1985</w:t>
        </w:r>
      </w:hyperlink>
      <w:r>
        <w:t>.</w:t>
      </w:r>
    </w:p>
    <w:p w:rsidR="009452A2" w:rsidRDefault="009452A2" w:rsidP="009452A2">
      <w:pPr>
        <w:pStyle w:val="SangriaFrancesaArticulo"/>
      </w:pPr>
      <w:r w:rsidRPr="009452A2">
        <w:rPr>
          <w:rStyle w:val="TextoNormalNegritaCaracter"/>
        </w:rPr>
        <w:t>Artículo 41.2.</w:t>
      </w:r>
      <w:r w:rsidRPr="009452A2">
        <w:rPr>
          <w:rStyle w:val="TextoNormalCaracter"/>
        </w:rPr>
        <w:t>-</w:t>
      </w:r>
      <w:r>
        <w:t xml:space="preserve"> Autos </w:t>
      </w:r>
      <w:hyperlink w:anchor="AUTO_1985_65" w:history="1">
        <w:r w:rsidRPr="009452A2">
          <w:rPr>
            <w:rStyle w:val="TextoNormalCaracter"/>
          </w:rPr>
          <w:t>65/1985</w:t>
        </w:r>
      </w:hyperlink>
      <w:r>
        <w:t xml:space="preserve">; </w:t>
      </w:r>
      <w:hyperlink w:anchor="AUTO_1985_217" w:history="1">
        <w:r w:rsidRPr="009452A2">
          <w:rPr>
            <w:rStyle w:val="TextoNormalCaracter"/>
          </w:rPr>
          <w:t>217/1985</w:t>
        </w:r>
      </w:hyperlink>
      <w:r>
        <w:t xml:space="preserve">; </w:t>
      </w:r>
      <w:hyperlink w:anchor="AUTO_1985_255" w:history="1">
        <w:r w:rsidRPr="009452A2">
          <w:rPr>
            <w:rStyle w:val="TextoNormalCaracter"/>
          </w:rPr>
          <w:t>255/1985</w:t>
        </w:r>
      </w:hyperlink>
      <w:r>
        <w:t xml:space="preserve">; </w:t>
      </w:r>
      <w:hyperlink w:anchor="AUTO_1985_281" w:history="1">
        <w:r w:rsidRPr="009452A2">
          <w:rPr>
            <w:rStyle w:val="TextoNormalCaracter"/>
          </w:rPr>
          <w:t>281/1985</w:t>
        </w:r>
      </w:hyperlink>
      <w:r>
        <w:t>.</w:t>
      </w:r>
    </w:p>
    <w:p w:rsidR="009452A2" w:rsidRDefault="009452A2" w:rsidP="009452A2">
      <w:pPr>
        <w:pStyle w:val="SangriaFrancesaArticulo"/>
      </w:pPr>
      <w:r w:rsidRPr="009452A2">
        <w:rPr>
          <w:rStyle w:val="TextoNormalNegritaCaracter"/>
        </w:rPr>
        <w:t>Artículo 41.3.</w:t>
      </w:r>
      <w:r w:rsidRPr="009452A2">
        <w:rPr>
          <w:rStyle w:val="TextoNormalCaracter"/>
        </w:rPr>
        <w:t>-</w:t>
      </w:r>
      <w:r>
        <w:t xml:space="preserve"> Autos </w:t>
      </w:r>
      <w:hyperlink w:anchor="AUTO_1985_49" w:history="1">
        <w:r w:rsidRPr="009452A2">
          <w:rPr>
            <w:rStyle w:val="TextoNormalCaracter"/>
          </w:rPr>
          <w:t>49/1985</w:t>
        </w:r>
      </w:hyperlink>
      <w:r>
        <w:t xml:space="preserve">; </w:t>
      </w:r>
      <w:hyperlink w:anchor="AUTO_1985_188" w:history="1">
        <w:r w:rsidRPr="009452A2">
          <w:rPr>
            <w:rStyle w:val="TextoNormalCaracter"/>
          </w:rPr>
          <w:t>188/1985</w:t>
        </w:r>
      </w:hyperlink>
      <w:r>
        <w:t xml:space="preserve">; </w:t>
      </w:r>
      <w:hyperlink w:anchor="AUTO_1985_245" w:history="1">
        <w:r w:rsidRPr="009452A2">
          <w:rPr>
            <w:rStyle w:val="TextoNormalCaracter"/>
          </w:rPr>
          <w:t>245/1985</w:t>
        </w:r>
      </w:hyperlink>
      <w:r>
        <w:t>.</w:t>
      </w:r>
    </w:p>
    <w:p w:rsidR="009452A2" w:rsidRDefault="009452A2" w:rsidP="009452A2">
      <w:pPr>
        <w:pStyle w:val="SangriaFrancesaArticulo"/>
      </w:pPr>
      <w:r w:rsidRPr="009452A2">
        <w:rPr>
          <w:rStyle w:val="TextoNormalNegritaCaracter"/>
        </w:rPr>
        <w:t>Artículo 42.</w:t>
      </w:r>
      <w:r w:rsidRPr="009452A2">
        <w:rPr>
          <w:rStyle w:val="TextoNormalCaracter"/>
        </w:rPr>
        <w:t>-</w:t>
      </w:r>
      <w:r>
        <w:t xml:space="preserve"> Auto </w:t>
      </w:r>
      <w:hyperlink w:anchor="AUTO_1985_255" w:history="1">
        <w:r w:rsidRPr="009452A2">
          <w:rPr>
            <w:rStyle w:val="TextoNormalCaracter"/>
          </w:rPr>
          <w:t>255/1985</w:t>
        </w:r>
      </w:hyperlink>
      <w:r>
        <w:t>.</w:t>
      </w:r>
    </w:p>
    <w:p w:rsidR="009452A2" w:rsidRDefault="009452A2" w:rsidP="009452A2">
      <w:pPr>
        <w:pStyle w:val="SangriaFrancesaArticulo"/>
      </w:pPr>
      <w:r w:rsidRPr="009452A2">
        <w:rPr>
          <w:rStyle w:val="TextoNormalNegritaCaracter"/>
        </w:rPr>
        <w:t>Artículo 43.</w:t>
      </w:r>
      <w:r w:rsidRPr="009452A2">
        <w:rPr>
          <w:rStyle w:val="TextoNormalCaracter"/>
        </w:rPr>
        <w:t>-</w:t>
      </w:r>
      <w:r>
        <w:t xml:space="preserve"> Sentencia </w:t>
      </w:r>
      <w:hyperlink w:anchor="SENTENCIA_1985_55" w:history="1">
        <w:r w:rsidRPr="009452A2">
          <w:rPr>
            <w:rStyle w:val="TextoNormalCaracter"/>
          </w:rPr>
          <w:t>55/1985</w:t>
        </w:r>
      </w:hyperlink>
      <w:r>
        <w:t>, f. 1.</w:t>
      </w:r>
    </w:p>
    <w:p w:rsidR="009452A2" w:rsidRDefault="009452A2" w:rsidP="009452A2">
      <w:pPr>
        <w:pStyle w:val="SangriaIzquierdaArticulo"/>
      </w:pPr>
      <w:r>
        <w:t xml:space="preserve">Autos </w:t>
      </w:r>
      <w:hyperlink w:anchor="AUTO_1985_19" w:history="1">
        <w:r w:rsidRPr="009452A2">
          <w:rPr>
            <w:rStyle w:val="TextoNormalCaracter"/>
          </w:rPr>
          <w:t>19/1985</w:t>
        </w:r>
      </w:hyperlink>
      <w:r>
        <w:t xml:space="preserve">; </w:t>
      </w:r>
      <w:hyperlink w:anchor="AUTO_1985_80" w:history="1">
        <w:r w:rsidRPr="009452A2">
          <w:rPr>
            <w:rStyle w:val="TextoNormalCaracter"/>
          </w:rPr>
          <w:t>80/1985</w:t>
        </w:r>
      </w:hyperlink>
      <w:r>
        <w:t xml:space="preserve">; </w:t>
      </w:r>
      <w:hyperlink w:anchor="AUTO_1985_93" w:history="1">
        <w:r w:rsidRPr="009452A2">
          <w:rPr>
            <w:rStyle w:val="TextoNormalCaracter"/>
          </w:rPr>
          <w:t>93/1985</w:t>
        </w:r>
      </w:hyperlink>
      <w:r>
        <w:t xml:space="preserve">; </w:t>
      </w:r>
      <w:hyperlink w:anchor="AUTO_1985_121" w:history="1">
        <w:r w:rsidRPr="009452A2">
          <w:rPr>
            <w:rStyle w:val="TextoNormalCaracter"/>
          </w:rPr>
          <w:t>121/1985</w:t>
        </w:r>
      </w:hyperlink>
      <w:r>
        <w:t xml:space="preserve">; </w:t>
      </w:r>
      <w:hyperlink w:anchor="AUTO_1985_130" w:history="1">
        <w:r w:rsidRPr="009452A2">
          <w:rPr>
            <w:rStyle w:val="TextoNormalCaracter"/>
          </w:rPr>
          <w:t>130/1985</w:t>
        </w:r>
      </w:hyperlink>
      <w:r>
        <w:t xml:space="preserve">; </w:t>
      </w:r>
      <w:hyperlink w:anchor="AUTO_1985_135" w:history="1">
        <w:r w:rsidRPr="009452A2">
          <w:rPr>
            <w:rStyle w:val="TextoNormalCaracter"/>
          </w:rPr>
          <w:t>135/1985</w:t>
        </w:r>
      </w:hyperlink>
      <w:r>
        <w:t xml:space="preserve">; </w:t>
      </w:r>
      <w:hyperlink w:anchor="AUTO_1985_139" w:history="1">
        <w:r w:rsidRPr="009452A2">
          <w:rPr>
            <w:rStyle w:val="TextoNormalCaracter"/>
          </w:rPr>
          <w:t>139/1985</w:t>
        </w:r>
      </w:hyperlink>
      <w:r>
        <w:t xml:space="preserve">; </w:t>
      </w:r>
      <w:hyperlink w:anchor="AUTO_1985_150" w:history="1">
        <w:r w:rsidRPr="009452A2">
          <w:rPr>
            <w:rStyle w:val="TextoNormalCaracter"/>
          </w:rPr>
          <w:t>150/1985</w:t>
        </w:r>
      </w:hyperlink>
      <w:r>
        <w:t xml:space="preserve">; </w:t>
      </w:r>
      <w:hyperlink w:anchor="AUTO_1985_162" w:history="1">
        <w:r w:rsidRPr="009452A2">
          <w:rPr>
            <w:rStyle w:val="TextoNormalCaracter"/>
          </w:rPr>
          <w:t>162/1985</w:t>
        </w:r>
      </w:hyperlink>
      <w:r>
        <w:t xml:space="preserve">; </w:t>
      </w:r>
      <w:hyperlink w:anchor="AUTO_1985_228" w:history="1">
        <w:r w:rsidRPr="009452A2">
          <w:rPr>
            <w:rStyle w:val="TextoNormalCaracter"/>
          </w:rPr>
          <w:t>228/1985</w:t>
        </w:r>
      </w:hyperlink>
      <w:r>
        <w:t xml:space="preserve">; </w:t>
      </w:r>
      <w:hyperlink w:anchor="AUTO_1985_268" w:history="1">
        <w:r w:rsidRPr="009452A2">
          <w:rPr>
            <w:rStyle w:val="TextoNormalCaracter"/>
          </w:rPr>
          <w:t>268/1985</w:t>
        </w:r>
      </w:hyperlink>
      <w:r>
        <w:t xml:space="preserve">; </w:t>
      </w:r>
      <w:hyperlink w:anchor="AUTO_1985_278" w:history="1">
        <w:r w:rsidRPr="009452A2">
          <w:rPr>
            <w:rStyle w:val="TextoNormalCaracter"/>
          </w:rPr>
          <w:t>278/1985</w:t>
        </w:r>
      </w:hyperlink>
      <w:r>
        <w:t>.</w:t>
      </w:r>
    </w:p>
    <w:p w:rsidR="009452A2" w:rsidRDefault="009452A2" w:rsidP="009452A2">
      <w:pPr>
        <w:pStyle w:val="SangriaFrancesaArticulo"/>
      </w:pPr>
      <w:r w:rsidRPr="009452A2">
        <w:rPr>
          <w:rStyle w:val="TextoNormalNegritaCaracter"/>
        </w:rPr>
        <w:t>Artículo 43.1.</w:t>
      </w:r>
      <w:r w:rsidRPr="009452A2">
        <w:rPr>
          <w:rStyle w:val="TextoNormalCaracter"/>
        </w:rPr>
        <w:t>-</w:t>
      </w:r>
      <w:r>
        <w:t xml:space="preserve"> Autos </w:t>
      </w:r>
      <w:hyperlink w:anchor="AUTO_1985_48" w:history="1">
        <w:r w:rsidRPr="009452A2">
          <w:rPr>
            <w:rStyle w:val="TextoNormalCaracter"/>
          </w:rPr>
          <w:t>48/1985</w:t>
        </w:r>
      </w:hyperlink>
      <w:r>
        <w:t xml:space="preserve">; </w:t>
      </w:r>
      <w:hyperlink w:anchor="AUTO_1985_49" w:history="1">
        <w:r w:rsidRPr="009452A2">
          <w:rPr>
            <w:rStyle w:val="TextoNormalCaracter"/>
          </w:rPr>
          <w:t>49/1985</w:t>
        </w:r>
      </w:hyperlink>
      <w:r>
        <w:t xml:space="preserve">; </w:t>
      </w:r>
      <w:hyperlink w:anchor="AUTO_1985_123" w:history="1">
        <w:r w:rsidRPr="009452A2">
          <w:rPr>
            <w:rStyle w:val="TextoNormalCaracter"/>
          </w:rPr>
          <w:t>123/1985</w:t>
        </w:r>
      </w:hyperlink>
      <w:r>
        <w:t xml:space="preserve">; </w:t>
      </w:r>
      <w:hyperlink w:anchor="AUTO_1985_134" w:history="1">
        <w:r w:rsidRPr="009452A2">
          <w:rPr>
            <w:rStyle w:val="TextoNormalCaracter"/>
          </w:rPr>
          <w:t>134/1985</w:t>
        </w:r>
      </w:hyperlink>
      <w:r>
        <w:t xml:space="preserve">; </w:t>
      </w:r>
      <w:hyperlink w:anchor="AUTO_1985_150" w:history="1">
        <w:r w:rsidRPr="009452A2">
          <w:rPr>
            <w:rStyle w:val="TextoNormalCaracter"/>
          </w:rPr>
          <w:t>150/1985</w:t>
        </w:r>
      </w:hyperlink>
      <w:r>
        <w:t xml:space="preserve">; </w:t>
      </w:r>
      <w:hyperlink w:anchor="AUTO_1985_217" w:history="1">
        <w:r w:rsidRPr="009452A2">
          <w:rPr>
            <w:rStyle w:val="TextoNormalCaracter"/>
          </w:rPr>
          <w:t>217/1985</w:t>
        </w:r>
      </w:hyperlink>
      <w:r>
        <w:t xml:space="preserve">; </w:t>
      </w:r>
      <w:hyperlink w:anchor="AUTO_1985_227" w:history="1">
        <w:r w:rsidRPr="009452A2">
          <w:rPr>
            <w:rStyle w:val="TextoNormalCaracter"/>
          </w:rPr>
          <w:t>227/1985</w:t>
        </w:r>
      </w:hyperlink>
      <w:r>
        <w:t xml:space="preserve">; </w:t>
      </w:r>
      <w:hyperlink w:anchor="AUTO_1985_268" w:history="1">
        <w:r w:rsidRPr="009452A2">
          <w:rPr>
            <w:rStyle w:val="TextoNormalCaracter"/>
          </w:rPr>
          <w:t>268/1985</w:t>
        </w:r>
      </w:hyperlink>
      <w:r>
        <w:t>.</w:t>
      </w:r>
    </w:p>
    <w:p w:rsidR="009452A2" w:rsidRDefault="009452A2" w:rsidP="009452A2">
      <w:pPr>
        <w:pStyle w:val="SangriaFrancesaArticulo"/>
      </w:pPr>
      <w:r w:rsidRPr="009452A2">
        <w:rPr>
          <w:rStyle w:val="TextoNormalNegritaCaracter"/>
        </w:rPr>
        <w:t>Artículo 43.2.</w:t>
      </w:r>
      <w:r w:rsidRPr="009452A2">
        <w:rPr>
          <w:rStyle w:val="TextoNormalCaracter"/>
        </w:rPr>
        <w:t>-</w:t>
      </w:r>
      <w:r>
        <w:t xml:space="preserve"> Auto </w:t>
      </w:r>
      <w:hyperlink w:anchor="AUTO_1985_13" w:history="1">
        <w:r w:rsidRPr="009452A2">
          <w:rPr>
            <w:rStyle w:val="TextoNormalCaracter"/>
          </w:rPr>
          <w:t>13/1985</w:t>
        </w:r>
      </w:hyperlink>
      <w:r>
        <w:t>.</w:t>
      </w:r>
    </w:p>
    <w:p w:rsidR="009452A2" w:rsidRDefault="009452A2" w:rsidP="009452A2">
      <w:pPr>
        <w:pStyle w:val="SangriaFrancesaArticulo"/>
      </w:pPr>
      <w:r w:rsidRPr="009452A2">
        <w:rPr>
          <w:rStyle w:val="TextoNormalNegritaCaracter"/>
        </w:rPr>
        <w:t>Artículo 44.</w:t>
      </w:r>
      <w:r w:rsidRPr="009452A2">
        <w:rPr>
          <w:rStyle w:val="TextoNormalCaracter"/>
        </w:rPr>
        <w:t>-</w:t>
      </w:r>
      <w:r>
        <w:t xml:space="preserve"> Sentencias </w:t>
      </w:r>
      <w:hyperlink w:anchor="SENTENCIA_1985_5" w:history="1">
        <w:r w:rsidRPr="009452A2">
          <w:rPr>
            <w:rStyle w:val="TextoNormalCaracter"/>
          </w:rPr>
          <w:t>5/1985</w:t>
        </w:r>
      </w:hyperlink>
      <w:r>
        <w:t xml:space="preserve">, ff. 2, 9; </w:t>
      </w:r>
      <w:hyperlink w:anchor="SENTENCIA_1985_30" w:history="1">
        <w:r w:rsidRPr="009452A2">
          <w:rPr>
            <w:rStyle w:val="TextoNormalCaracter"/>
          </w:rPr>
          <w:t>30/1985</w:t>
        </w:r>
      </w:hyperlink>
      <w:r>
        <w:t>, f. 2.</w:t>
      </w:r>
    </w:p>
    <w:p w:rsidR="009452A2" w:rsidRDefault="009452A2" w:rsidP="009452A2">
      <w:pPr>
        <w:pStyle w:val="SangriaIzquierdaArticulo"/>
      </w:pPr>
      <w:r>
        <w:t xml:space="preserve">Autos </w:t>
      </w:r>
      <w:hyperlink w:anchor="AUTO_1985_16" w:history="1">
        <w:r w:rsidRPr="009452A2">
          <w:rPr>
            <w:rStyle w:val="TextoNormalCaracter"/>
          </w:rPr>
          <w:t>16/1985</w:t>
        </w:r>
      </w:hyperlink>
      <w:r>
        <w:t xml:space="preserve">; </w:t>
      </w:r>
      <w:hyperlink w:anchor="AUTO_1985_19" w:history="1">
        <w:r w:rsidRPr="009452A2">
          <w:rPr>
            <w:rStyle w:val="TextoNormalCaracter"/>
          </w:rPr>
          <w:t>19/1985</w:t>
        </w:r>
      </w:hyperlink>
      <w:r>
        <w:t xml:space="preserve">; </w:t>
      </w:r>
      <w:hyperlink w:anchor="AUTO_1985_79" w:history="1">
        <w:r w:rsidRPr="009452A2">
          <w:rPr>
            <w:rStyle w:val="TextoNormalCaracter"/>
          </w:rPr>
          <w:t>79/1985</w:t>
        </w:r>
      </w:hyperlink>
      <w:r>
        <w:t xml:space="preserve">; </w:t>
      </w:r>
      <w:hyperlink w:anchor="AUTO_1985_121" w:history="1">
        <w:r w:rsidRPr="009452A2">
          <w:rPr>
            <w:rStyle w:val="TextoNormalCaracter"/>
          </w:rPr>
          <w:t>121/1985</w:t>
        </w:r>
      </w:hyperlink>
      <w:r>
        <w:t xml:space="preserve">; </w:t>
      </w:r>
      <w:hyperlink w:anchor="AUTO_1985_130" w:history="1">
        <w:r w:rsidRPr="009452A2">
          <w:rPr>
            <w:rStyle w:val="TextoNormalCaracter"/>
          </w:rPr>
          <w:t>130/1985</w:t>
        </w:r>
      </w:hyperlink>
      <w:r>
        <w:t xml:space="preserve">; </w:t>
      </w:r>
      <w:hyperlink w:anchor="AUTO_1985_133" w:history="1">
        <w:r w:rsidRPr="009452A2">
          <w:rPr>
            <w:rStyle w:val="TextoNormalCaracter"/>
          </w:rPr>
          <w:t>133/1985</w:t>
        </w:r>
      </w:hyperlink>
      <w:r>
        <w:t xml:space="preserve">; </w:t>
      </w:r>
      <w:hyperlink w:anchor="AUTO_1985_135" w:history="1">
        <w:r w:rsidRPr="009452A2">
          <w:rPr>
            <w:rStyle w:val="TextoNormalCaracter"/>
          </w:rPr>
          <w:t>135/1985</w:t>
        </w:r>
      </w:hyperlink>
      <w:r>
        <w:t xml:space="preserve">; </w:t>
      </w:r>
      <w:hyperlink w:anchor="AUTO_1985_139" w:history="1">
        <w:r w:rsidRPr="009452A2">
          <w:rPr>
            <w:rStyle w:val="TextoNormalCaracter"/>
          </w:rPr>
          <w:t>139/1985</w:t>
        </w:r>
      </w:hyperlink>
      <w:r>
        <w:t xml:space="preserve">; </w:t>
      </w:r>
      <w:hyperlink w:anchor="AUTO_1985_150" w:history="1">
        <w:r w:rsidRPr="009452A2">
          <w:rPr>
            <w:rStyle w:val="TextoNormalCaracter"/>
          </w:rPr>
          <w:t>150/1985</w:t>
        </w:r>
      </w:hyperlink>
      <w:r>
        <w:t xml:space="preserve">; </w:t>
      </w:r>
      <w:hyperlink w:anchor="AUTO_1985_162" w:history="1">
        <w:r w:rsidRPr="009452A2">
          <w:rPr>
            <w:rStyle w:val="TextoNormalCaracter"/>
          </w:rPr>
          <w:t>162/1985</w:t>
        </w:r>
      </w:hyperlink>
      <w:r>
        <w:t xml:space="preserve">; </w:t>
      </w:r>
      <w:hyperlink w:anchor="AUTO_1985_228" w:history="1">
        <w:r w:rsidRPr="009452A2">
          <w:rPr>
            <w:rStyle w:val="TextoNormalCaracter"/>
          </w:rPr>
          <w:t>228/1985</w:t>
        </w:r>
      </w:hyperlink>
      <w:r>
        <w:t>.</w:t>
      </w:r>
    </w:p>
    <w:p w:rsidR="009452A2" w:rsidRDefault="009452A2" w:rsidP="009452A2">
      <w:pPr>
        <w:pStyle w:val="SangriaFrancesaArticulo"/>
      </w:pPr>
      <w:r w:rsidRPr="009452A2">
        <w:rPr>
          <w:rStyle w:val="TextoNormalNegritaCaracter"/>
        </w:rPr>
        <w:t>Artículo 44.1.</w:t>
      </w:r>
      <w:r w:rsidRPr="009452A2">
        <w:rPr>
          <w:rStyle w:val="TextoNormalCaracter"/>
        </w:rPr>
        <w:t>-</w:t>
      </w:r>
      <w:r>
        <w:t xml:space="preserve"> Sentencia </w:t>
      </w:r>
      <w:hyperlink w:anchor="SENTENCIA_1985_39" w:history="1">
        <w:r w:rsidRPr="009452A2">
          <w:rPr>
            <w:rStyle w:val="TextoNormalCaracter"/>
          </w:rPr>
          <w:t>39/1985</w:t>
        </w:r>
      </w:hyperlink>
      <w:r>
        <w:t>, f. 1.</w:t>
      </w:r>
    </w:p>
    <w:p w:rsidR="009452A2" w:rsidRDefault="009452A2" w:rsidP="009452A2">
      <w:pPr>
        <w:pStyle w:val="SangriaIzquierdaArticulo"/>
      </w:pPr>
      <w:r>
        <w:t xml:space="preserve">Autos </w:t>
      </w:r>
      <w:hyperlink w:anchor="AUTO_1985_133" w:history="1">
        <w:r w:rsidRPr="009452A2">
          <w:rPr>
            <w:rStyle w:val="TextoNormalCaracter"/>
          </w:rPr>
          <w:t>133/1985</w:t>
        </w:r>
      </w:hyperlink>
      <w:r>
        <w:t xml:space="preserve">; </w:t>
      </w:r>
      <w:hyperlink w:anchor="AUTO_1985_192" w:history="1">
        <w:r w:rsidRPr="009452A2">
          <w:rPr>
            <w:rStyle w:val="TextoNormalCaracter"/>
          </w:rPr>
          <w:t>192/1985</w:t>
        </w:r>
      </w:hyperlink>
      <w:r>
        <w:t xml:space="preserve">; </w:t>
      </w:r>
      <w:hyperlink w:anchor="AUTO_1985_202" w:history="1">
        <w:r w:rsidRPr="009452A2">
          <w:rPr>
            <w:rStyle w:val="TextoNormalCaracter"/>
          </w:rPr>
          <w:t>202/1985</w:t>
        </w:r>
      </w:hyperlink>
      <w:r>
        <w:t>.</w:t>
      </w:r>
    </w:p>
    <w:p w:rsidR="009452A2" w:rsidRDefault="009452A2" w:rsidP="009452A2">
      <w:pPr>
        <w:pStyle w:val="SangriaFrancesaArticulo"/>
      </w:pPr>
      <w:r w:rsidRPr="009452A2">
        <w:rPr>
          <w:rStyle w:val="TextoNormalNegritaCaracter"/>
        </w:rPr>
        <w:t>Artículo 44.1 a).</w:t>
      </w:r>
      <w:r w:rsidRPr="009452A2">
        <w:rPr>
          <w:rStyle w:val="TextoNormalCaracter"/>
        </w:rPr>
        <w:t>-</w:t>
      </w:r>
      <w:r>
        <w:t xml:space="preserve"> Sentencias </w:t>
      </w:r>
      <w:hyperlink w:anchor="SENTENCIA_1985_4" w:history="1">
        <w:r w:rsidRPr="009452A2">
          <w:rPr>
            <w:rStyle w:val="TextoNormalCaracter"/>
          </w:rPr>
          <w:t>4/1985</w:t>
        </w:r>
      </w:hyperlink>
      <w:r>
        <w:t xml:space="preserve">, f. 1; </w:t>
      </w:r>
      <w:hyperlink w:anchor="SENTENCIA_1985_22" w:history="1">
        <w:r w:rsidRPr="009452A2">
          <w:rPr>
            <w:rStyle w:val="TextoNormalCaracter"/>
          </w:rPr>
          <w:t>22/1985</w:t>
        </w:r>
      </w:hyperlink>
      <w:r>
        <w:t xml:space="preserve">, f. 2; </w:t>
      </w:r>
      <w:hyperlink w:anchor="SENTENCIA_1985_33" w:history="1">
        <w:r w:rsidRPr="009452A2">
          <w:rPr>
            <w:rStyle w:val="TextoNormalCaracter"/>
          </w:rPr>
          <w:t>33/1985</w:t>
        </w:r>
      </w:hyperlink>
      <w:r>
        <w:t xml:space="preserve">, f. 1; </w:t>
      </w:r>
      <w:hyperlink w:anchor="SENTENCIA_1985_39" w:history="1">
        <w:r w:rsidRPr="009452A2">
          <w:rPr>
            <w:rStyle w:val="TextoNormalCaracter"/>
          </w:rPr>
          <w:t>39/1985</w:t>
        </w:r>
      </w:hyperlink>
      <w:r>
        <w:t xml:space="preserve">, f. 1, VP; </w:t>
      </w:r>
      <w:hyperlink w:anchor="SENTENCIA_1985_50" w:history="1">
        <w:r w:rsidRPr="009452A2">
          <w:rPr>
            <w:rStyle w:val="TextoNormalCaracter"/>
          </w:rPr>
          <w:t>50/1985</w:t>
        </w:r>
      </w:hyperlink>
      <w:r>
        <w:t xml:space="preserve">, f. 3; </w:t>
      </w:r>
      <w:hyperlink w:anchor="SENTENCIA_1985_52" w:history="1">
        <w:r w:rsidRPr="009452A2">
          <w:rPr>
            <w:rStyle w:val="TextoNormalCaracter"/>
          </w:rPr>
          <w:t>52/1985</w:t>
        </w:r>
      </w:hyperlink>
      <w:r>
        <w:t>, f. 2.</w:t>
      </w:r>
    </w:p>
    <w:p w:rsidR="009452A2" w:rsidRDefault="009452A2" w:rsidP="009452A2">
      <w:pPr>
        <w:pStyle w:val="SangriaIzquierdaArticulo"/>
      </w:pPr>
      <w:r>
        <w:t xml:space="preserve">Autos </w:t>
      </w:r>
      <w:hyperlink w:anchor="AUTO_1985_20" w:history="1">
        <w:r w:rsidRPr="009452A2">
          <w:rPr>
            <w:rStyle w:val="TextoNormalCaracter"/>
          </w:rPr>
          <w:t>20/1985</w:t>
        </w:r>
      </w:hyperlink>
      <w:r>
        <w:t xml:space="preserve">; </w:t>
      </w:r>
      <w:hyperlink w:anchor="AUTO_1985_37" w:history="1">
        <w:r w:rsidRPr="009452A2">
          <w:rPr>
            <w:rStyle w:val="TextoNormalCaracter"/>
          </w:rPr>
          <w:t>37/1985</w:t>
        </w:r>
      </w:hyperlink>
      <w:r>
        <w:t xml:space="preserve">; </w:t>
      </w:r>
      <w:hyperlink w:anchor="AUTO_1985_60" w:history="1">
        <w:r w:rsidRPr="009452A2">
          <w:rPr>
            <w:rStyle w:val="TextoNormalCaracter"/>
          </w:rPr>
          <w:t>60/1985</w:t>
        </w:r>
      </w:hyperlink>
      <w:r>
        <w:t xml:space="preserve">; </w:t>
      </w:r>
      <w:hyperlink w:anchor="AUTO_1985_65" w:history="1">
        <w:r w:rsidRPr="009452A2">
          <w:rPr>
            <w:rStyle w:val="TextoNormalCaracter"/>
          </w:rPr>
          <w:t>65/1985</w:t>
        </w:r>
      </w:hyperlink>
      <w:r>
        <w:t xml:space="preserve">; </w:t>
      </w:r>
      <w:hyperlink w:anchor="AUTO_1985_69" w:history="1">
        <w:r w:rsidRPr="009452A2">
          <w:rPr>
            <w:rStyle w:val="TextoNormalCaracter"/>
          </w:rPr>
          <w:t>69/1985</w:t>
        </w:r>
      </w:hyperlink>
      <w:r>
        <w:t xml:space="preserve">; </w:t>
      </w:r>
      <w:hyperlink w:anchor="AUTO_1985_70" w:history="1">
        <w:r w:rsidRPr="009452A2">
          <w:rPr>
            <w:rStyle w:val="TextoNormalCaracter"/>
          </w:rPr>
          <w:t>70/1985</w:t>
        </w:r>
      </w:hyperlink>
      <w:r>
        <w:t xml:space="preserve">; </w:t>
      </w:r>
      <w:hyperlink w:anchor="AUTO_1985_80" w:history="1">
        <w:r w:rsidRPr="009452A2">
          <w:rPr>
            <w:rStyle w:val="TextoNormalCaracter"/>
          </w:rPr>
          <w:t>80/1985</w:t>
        </w:r>
      </w:hyperlink>
      <w:r>
        <w:t xml:space="preserve">; </w:t>
      </w:r>
      <w:hyperlink w:anchor="AUTO_1985_87" w:history="1">
        <w:r w:rsidRPr="009452A2">
          <w:rPr>
            <w:rStyle w:val="TextoNormalCaracter"/>
          </w:rPr>
          <w:t>87/1985</w:t>
        </w:r>
      </w:hyperlink>
      <w:r>
        <w:t xml:space="preserve">; </w:t>
      </w:r>
      <w:hyperlink w:anchor="AUTO_1985_121" w:history="1">
        <w:r w:rsidRPr="009452A2">
          <w:rPr>
            <w:rStyle w:val="TextoNormalCaracter"/>
          </w:rPr>
          <w:t>121/1985</w:t>
        </w:r>
      </w:hyperlink>
      <w:r>
        <w:t xml:space="preserve">; </w:t>
      </w:r>
      <w:hyperlink w:anchor="AUTO_1985_133" w:history="1">
        <w:r w:rsidRPr="009452A2">
          <w:rPr>
            <w:rStyle w:val="TextoNormalCaracter"/>
          </w:rPr>
          <w:t>133/1985</w:t>
        </w:r>
      </w:hyperlink>
      <w:r>
        <w:t xml:space="preserve">; </w:t>
      </w:r>
      <w:hyperlink w:anchor="AUTO_1985_169" w:history="1">
        <w:r w:rsidRPr="009452A2">
          <w:rPr>
            <w:rStyle w:val="TextoNormalCaracter"/>
          </w:rPr>
          <w:t>169/1985</w:t>
        </w:r>
      </w:hyperlink>
      <w:r>
        <w:t xml:space="preserve">; </w:t>
      </w:r>
      <w:hyperlink w:anchor="AUTO_1985_186" w:history="1">
        <w:r w:rsidRPr="009452A2">
          <w:rPr>
            <w:rStyle w:val="TextoNormalCaracter"/>
          </w:rPr>
          <w:t>186/1985</w:t>
        </w:r>
      </w:hyperlink>
      <w:r>
        <w:t xml:space="preserve">; </w:t>
      </w:r>
      <w:hyperlink w:anchor="AUTO_1985_194" w:history="1">
        <w:r w:rsidRPr="009452A2">
          <w:rPr>
            <w:rStyle w:val="TextoNormalCaracter"/>
          </w:rPr>
          <w:t>194/1985</w:t>
        </w:r>
      </w:hyperlink>
      <w:r>
        <w:t xml:space="preserve">; </w:t>
      </w:r>
      <w:hyperlink w:anchor="AUTO_1985_213" w:history="1">
        <w:r w:rsidRPr="009452A2">
          <w:rPr>
            <w:rStyle w:val="TextoNormalCaracter"/>
          </w:rPr>
          <w:t>213/1985</w:t>
        </w:r>
      </w:hyperlink>
      <w:r>
        <w:t xml:space="preserve">; </w:t>
      </w:r>
      <w:hyperlink w:anchor="AUTO_1985_224" w:history="1">
        <w:r w:rsidRPr="009452A2">
          <w:rPr>
            <w:rStyle w:val="TextoNormalCaracter"/>
          </w:rPr>
          <w:t>224/1985</w:t>
        </w:r>
      </w:hyperlink>
      <w:r>
        <w:t xml:space="preserve">; </w:t>
      </w:r>
      <w:hyperlink w:anchor="AUTO_1985_228" w:history="1">
        <w:r w:rsidRPr="009452A2">
          <w:rPr>
            <w:rStyle w:val="TextoNormalCaracter"/>
          </w:rPr>
          <w:t>228/1985</w:t>
        </w:r>
      </w:hyperlink>
      <w:r>
        <w:t xml:space="preserve">; </w:t>
      </w:r>
      <w:hyperlink w:anchor="AUTO_1985_242" w:history="1">
        <w:r w:rsidRPr="009452A2">
          <w:rPr>
            <w:rStyle w:val="TextoNormalCaracter"/>
          </w:rPr>
          <w:t>242/1985</w:t>
        </w:r>
      </w:hyperlink>
      <w:r>
        <w:t xml:space="preserve">; </w:t>
      </w:r>
      <w:hyperlink w:anchor="AUTO_1985_247" w:history="1">
        <w:r w:rsidRPr="009452A2">
          <w:rPr>
            <w:rStyle w:val="TextoNormalCaracter"/>
          </w:rPr>
          <w:t>247/1985</w:t>
        </w:r>
      </w:hyperlink>
      <w:r>
        <w:t xml:space="preserve">; </w:t>
      </w:r>
      <w:hyperlink w:anchor="AUTO_1985_248" w:history="1">
        <w:r w:rsidRPr="009452A2">
          <w:rPr>
            <w:rStyle w:val="TextoNormalCaracter"/>
          </w:rPr>
          <w:t>248/1985</w:t>
        </w:r>
      </w:hyperlink>
      <w:r>
        <w:t xml:space="preserve">; </w:t>
      </w:r>
      <w:hyperlink w:anchor="AUTO_1985_249" w:history="1">
        <w:r w:rsidRPr="009452A2">
          <w:rPr>
            <w:rStyle w:val="TextoNormalCaracter"/>
          </w:rPr>
          <w:t>249/1985</w:t>
        </w:r>
      </w:hyperlink>
      <w:r>
        <w:t xml:space="preserve">; </w:t>
      </w:r>
      <w:hyperlink w:anchor="AUTO_1985_271" w:history="1">
        <w:r w:rsidRPr="009452A2">
          <w:rPr>
            <w:rStyle w:val="TextoNormalCaracter"/>
          </w:rPr>
          <w:t>271/1985</w:t>
        </w:r>
      </w:hyperlink>
      <w:r>
        <w:t>.</w:t>
      </w:r>
    </w:p>
    <w:p w:rsidR="009452A2" w:rsidRDefault="009452A2" w:rsidP="009452A2">
      <w:pPr>
        <w:pStyle w:val="SangriaFrancesaArticulo"/>
      </w:pPr>
      <w:r w:rsidRPr="009452A2">
        <w:rPr>
          <w:rStyle w:val="TextoNormalNegritaCaracter"/>
        </w:rPr>
        <w:t>Artículo 44.1 b).</w:t>
      </w:r>
      <w:r w:rsidRPr="009452A2">
        <w:rPr>
          <w:rStyle w:val="TextoNormalCaracter"/>
        </w:rPr>
        <w:t>-</w:t>
      </w:r>
      <w:r>
        <w:t xml:space="preserve"> Sentencias </w:t>
      </w:r>
      <w:hyperlink w:anchor="SENTENCIA_1985_16" w:history="1">
        <w:r w:rsidRPr="009452A2">
          <w:rPr>
            <w:rStyle w:val="TextoNormalCaracter"/>
          </w:rPr>
          <w:t>16/1985</w:t>
        </w:r>
      </w:hyperlink>
      <w:r>
        <w:t xml:space="preserve">, f. 6; </w:t>
      </w:r>
      <w:hyperlink w:anchor="SENTENCIA_1985_38" w:history="1">
        <w:r w:rsidRPr="009452A2">
          <w:rPr>
            <w:rStyle w:val="TextoNormalCaracter"/>
          </w:rPr>
          <w:t>38/1985</w:t>
        </w:r>
      </w:hyperlink>
      <w:r>
        <w:t xml:space="preserve">, f. 2; </w:t>
      </w:r>
      <w:hyperlink w:anchor="SENTENCIA_1985_41" w:history="1">
        <w:r w:rsidRPr="009452A2">
          <w:rPr>
            <w:rStyle w:val="TextoNormalCaracter"/>
          </w:rPr>
          <w:t>41/1985</w:t>
        </w:r>
      </w:hyperlink>
      <w:r>
        <w:t>, f. 3.</w:t>
      </w:r>
    </w:p>
    <w:p w:rsidR="009452A2" w:rsidRDefault="009452A2" w:rsidP="009452A2">
      <w:pPr>
        <w:pStyle w:val="SangriaIzquierdaArticulo"/>
      </w:pPr>
      <w:r>
        <w:t xml:space="preserve">Autos </w:t>
      </w:r>
      <w:hyperlink w:anchor="AUTO_1985_21" w:history="1">
        <w:r w:rsidRPr="009452A2">
          <w:rPr>
            <w:rStyle w:val="TextoNormalCaracter"/>
          </w:rPr>
          <w:t>21/1985</w:t>
        </w:r>
      </w:hyperlink>
      <w:r>
        <w:t xml:space="preserve">; </w:t>
      </w:r>
      <w:hyperlink w:anchor="AUTO_1985_29" w:history="1">
        <w:r w:rsidRPr="009452A2">
          <w:rPr>
            <w:rStyle w:val="TextoNormalCaracter"/>
          </w:rPr>
          <w:t>29/1985</w:t>
        </w:r>
      </w:hyperlink>
      <w:r>
        <w:t xml:space="preserve">; </w:t>
      </w:r>
      <w:hyperlink w:anchor="AUTO_1985_51" w:history="1">
        <w:r w:rsidRPr="009452A2">
          <w:rPr>
            <w:rStyle w:val="TextoNormalCaracter"/>
          </w:rPr>
          <w:t>51/1985</w:t>
        </w:r>
      </w:hyperlink>
      <w:r>
        <w:t xml:space="preserve">; </w:t>
      </w:r>
      <w:hyperlink w:anchor="AUTO_1985_85" w:history="1">
        <w:r w:rsidRPr="009452A2">
          <w:rPr>
            <w:rStyle w:val="TextoNormalCaracter"/>
          </w:rPr>
          <w:t>85/1985</w:t>
        </w:r>
      </w:hyperlink>
      <w:r>
        <w:t xml:space="preserve">; </w:t>
      </w:r>
      <w:hyperlink w:anchor="AUTO_1985_123" w:history="1">
        <w:r w:rsidRPr="009452A2">
          <w:rPr>
            <w:rStyle w:val="TextoNormalCaracter"/>
          </w:rPr>
          <w:t>123/1985</w:t>
        </w:r>
      </w:hyperlink>
      <w:r>
        <w:t xml:space="preserve">; </w:t>
      </w:r>
      <w:hyperlink w:anchor="AUTO_1985_192" w:history="1">
        <w:r w:rsidRPr="009452A2">
          <w:rPr>
            <w:rStyle w:val="TextoNormalCaracter"/>
          </w:rPr>
          <w:t>192/1985</w:t>
        </w:r>
      </w:hyperlink>
      <w:r>
        <w:t xml:space="preserve">; </w:t>
      </w:r>
      <w:hyperlink w:anchor="AUTO_1985_208" w:history="1">
        <w:r w:rsidRPr="009452A2">
          <w:rPr>
            <w:rStyle w:val="TextoNormalCaracter"/>
          </w:rPr>
          <w:t>208/1985</w:t>
        </w:r>
      </w:hyperlink>
      <w:r>
        <w:t xml:space="preserve">; </w:t>
      </w:r>
      <w:hyperlink w:anchor="AUTO_1985_219" w:history="1">
        <w:r w:rsidRPr="009452A2">
          <w:rPr>
            <w:rStyle w:val="TextoNormalCaracter"/>
          </w:rPr>
          <w:t>219/1985</w:t>
        </w:r>
      </w:hyperlink>
      <w:r>
        <w:t xml:space="preserve">; </w:t>
      </w:r>
      <w:hyperlink w:anchor="AUTO_1985_245" w:history="1">
        <w:r w:rsidRPr="009452A2">
          <w:rPr>
            <w:rStyle w:val="TextoNormalCaracter"/>
          </w:rPr>
          <w:t>245/1985</w:t>
        </w:r>
      </w:hyperlink>
      <w:r>
        <w:t xml:space="preserve">;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44.1 c).</w:t>
      </w:r>
      <w:r w:rsidRPr="009452A2">
        <w:rPr>
          <w:rStyle w:val="TextoNormalCaracter"/>
        </w:rPr>
        <w:t>-</w:t>
      </w:r>
      <w:r>
        <w:t xml:space="preserve"> Sentencias </w:t>
      </w:r>
      <w:hyperlink w:anchor="SENTENCIA_1985_5" w:history="1">
        <w:r w:rsidRPr="009452A2">
          <w:rPr>
            <w:rStyle w:val="TextoNormalCaracter"/>
          </w:rPr>
          <w:t>5/1985</w:t>
        </w:r>
      </w:hyperlink>
      <w:r>
        <w:t xml:space="preserve">, f. 2, VP; </w:t>
      </w:r>
      <w:hyperlink w:anchor="SENTENCIA_1985_15" w:history="1">
        <w:r w:rsidRPr="009452A2">
          <w:rPr>
            <w:rStyle w:val="TextoNormalCaracter"/>
          </w:rPr>
          <w:t>15/1985</w:t>
        </w:r>
      </w:hyperlink>
      <w:r>
        <w:t xml:space="preserve">, f. 1; </w:t>
      </w:r>
      <w:hyperlink w:anchor="SENTENCIA_1985_22" w:history="1">
        <w:r w:rsidRPr="009452A2">
          <w:rPr>
            <w:rStyle w:val="TextoNormalCaracter"/>
          </w:rPr>
          <w:t>22/1985</w:t>
        </w:r>
      </w:hyperlink>
      <w:r>
        <w:t xml:space="preserve">, f. 2; </w:t>
      </w:r>
      <w:hyperlink w:anchor="SENTENCIA_1985_30" w:history="1">
        <w:r w:rsidRPr="009452A2">
          <w:rPr>
            <w:rStyle w:val="TextoNormalCaracter"/>
          </w:rPr>
          <w:t>30/1985</w:t>
        </w:r>
      </w:hyperlink>
      <w:r>
        <w:t xml:space="preserve">, ff. 1, 2; </w:t>
      </w:r>
      <w:hyperlink w:anchor="SENTENCIA_1985_34" w:history="1">
        <w:r w:rsidRPr="009452A2">
          <w:rPr>
            <w:rStyle w:val="TextoNormalCaracter"/>
          </w:rPr>
          <w:t>34/1985</w:t>
        </w:r>
      </w:hyperlink>
      <w:r>
        <w:t xml:space="preserve">, f. 4; </w:t>
      </w:r>
      <w:hyperlink w:anchor="SENTENCIA_1985_50" w:history="1">
        <w:r w:rsidRPr="009452A2">
          <w:rPr>
            <w:rStyle w:val="TextoNormalCaracter"/>
          </w:rPr>
          <w:t>50/1985</w:t>
        </w:r>
      </w:hyperlink>
      <w:r>
        <w:t>, f. 3.</w:t>
      </w:r>
    </w:p>
    <w:p w:rsidR="009452A2" w:rsidRDefault="009452A2" w:rsidP="009452A2">
      <w:pPr>
        <w:pStyle w:val="SangriaIzquierdaArticulo"/>
      </w:pPr>
      <w:r>
        <w:t xml:space="preserve">Autos </w:t>
      </w:r>
      <w:hyperlink w:anchor="AUTO_1985_3" w:history="1">
        <w:r w:rsidRPr="009452A2">
          <w:rPr>
            <w:rStyle w:val="TextoNormalCaracter"/>
          </w:rPr>
          <w:t>3/1985</w:t>
        </w:r>
      </w:hyperlink>
      <w:r>
        <w:t xml:space="preserve">; </w:t>
      </w:r>
      <w:hyperlink w:anchor="AUTO_1985_6" w:history="1">
        <w:r w:rsidRPr="009452A2">
          <w:rPr>
            <w:rStyle w:val="TextoNormalCaracter"/>
          </w:rPr>
          <w:t>6/1985</w:t>
        </w:r>
      </w:hyperlink>
      <w:r>
        <w:t xml:space="preserve">; </w:t>
      </w:r>
      <w:hyperlink w:anchor="AUTO_1985_15" w:history="1">
        <w:r w:rsidRPr="009452A2">
          <w:rPr>
            <w:rStyle w:val="TextoNormalCaracter"/>
          </w:rPr>
          <w:t>15/1985</w:t>
        </w:r>
      </w:hyperlink>
      <w:r>
        <w:t xml:space="preserve">; </w:t>
      </w:r>
      <w:hyperlink w:anchor="AUTO_1985_20" w:history="1">
        <w:r w:rsidRPr="009452A2">
          <w:rPr>
            <w:rStyle w:val="TextoNormalCaracter"/>
          </w:rPr>
          <w:t>20/1985</w:t>
        </w:r>
      </w:hyperlink>
      <w:r>
        <w:t xml:space="preserve">; </w:t>
      </w:r>
      <w:hyperlink w:anchor="AUTO_1985_44" w:history="1">
        <w:r w:rsidRPr="009452A2">
          <w:rPr>
            <w:rStyle w:val="TextoNormalCaracter"/>
          </w:rPr>
          <w:t>44/1985</w:t>
        </w:r>
      </w:hyperlink>
      <w:r>
        <w:t xml:space="preserve">; </w:t>
      </w:r>
      <w:hyperlink w:anchor="AUTO_1985_47" w:history="1">
        <w:r w:rsidRPr="009452A2">
          <w:rPr>
            <w:rStyle w:val="TextoNormalCaracter"/>
          </w:rPr>
          <w:t>47/1985</w:t>
        </w:r>
      </w:hyperlink>
      <w:r>
        <w:t xml:space="preserve">; </w:t>
      </w:r>
      <w:hyperlink w:anchor="AUTO_1985_50" w:history="1">
        <w:r w:rsidRPr="009452A2">
          <w:rPr>
            <w:rStyle w:val="TextoNormalCaracter"/>
          </w:rPr>
          <w:t>50/1985</w:t>
        </w:r>
      </w:hyperlink>
      <w:r>
        <w:t xml:space="preserve">; </w:t>
      </w:r>
      <w:hyperlink w:anchor="AUTO_1985_52" w:history="1">
        <w:r w:rsidRPr="009452A2">
          <w:rPr>
            <w:rStyle w:val="TextoNormalCaracter"/>
          </w:rPr>
          <w:t>52/1985</w:t>
        </w:r>
      </w:hyperlink>
      <w:r>
        <w:t xml:space="preserve">; </w:t>
      </w:r>
      <w:hyperlink w:anchor="AUTO_1985_57" w:history="1">
        <w:r w:rsidRPr="009452A2">
          <w:rPr>
            <w:rStyle w:val="TextoNormalCaracter"/>
          </w:rPr>
          <w:t>57/1985</w:t>
        </w:r>
      </w:hyperlink>
      <w:r>
        <w:t xml:space="preserve">; </w:t>
      </w:r>
      <w:hyperlink w:anchor="AUTO_1985_58" w:history="1">
        <w:r w:rsidRPr="009452A2">
          <w:rPr>
            <w:rStyle w:val="TextoNormalCaracter"/>
          </w:rPr>
          <w:t>58/1985</w:t>
        </w:r>
      </w:hyperlink>
      <w:r>
        <w:t xml:space="preserve">; </w:t>
      </w:r>
      <w:hyperlink w:anchor="AUTO_1985_78" w:history="1">
        <w:r w:rsidRPr="009452A2">
          <w:rPr>
            <w:rStyle w:val="TextoNormalCaracter"/>
          </w:rPr>
          <w:t>78/1985</w:t>
        </w:r>
      </w:hyperlink>
      <w:r>
        <w:t xml:space="preserve">; </w:t>
      </w:r>
      <w:hyperlink w:anchor="AUTO_1985_80" w:history="1">
        <w:r w:rsidRPr="009452A2">
          <w:rPr>
            <w:rStyle w:val="TextoNormalCaracter"/>
          </w:rPr>
          <w:t>80/1985</w:t>
        </w:r>
      </w:hyperlink>
      <w:r>
        <w:t xml:space="preserve">; </w:t>
      </w:r>
      <w:hyperlink w:anchor="AUTO_1985_85" w:history="1">
        <w:r w:rsidRPr="009452A2">
          <w:rPr>
            <w:rStyle w:val="TextoNormalCaracter"/>
          </w:rPr>
          <w:t>85/1985</w:t>
        </w:r>
      </w:hyperlink>
      <w:r>
        <w:t xml:space="preserve">; </w:t>
      </w:r>
      <w:hyperlink w:anchor="AUTO_1985_88" w:history="1">
        <w:r w:rsidRPr="009452A2">
          <w:rPr>
            <w:rStyle w:val="TextoNormalCaracter"/>
          </w:rPr>
          <w:t>88/1985</w:t>
        </w:r>
      </w:hyperlink>
      <w:r>
        <w:t xml:space="preserve">; </w:t>
      </w:r>
      <w:hyperlink w:anchor="AUTO_1985_93" w:history="1">
        <w:r w:rsidRPr="009452A2">
          <w:rPr>
            <w:rStyle w:val="TextoNormalCaracter"/>
          </w:rPr>
          <w:t>93/1985</w:t>
        </w:r>
      </w:hyperlink>
      <w:r>
        <w:t xml:space="preserve">; </w:t>
      </w:r>
      <w:hyperlink w:anchor="AUTO_1985_95" w:history="1">
        <w:r w:rsidRPr="009452A2">
          <w:rPr>
            <w:rStyle w:val="TextoNormalCaracter"/>
          </w:rPr>
          <w:t>95/1985</w:t>
        </w:r>
      </w:hyperlink>
      <w:r>
        <w:t xml:space="preserve">; </w:t>
      </w:r>
      <w:hyperlink w:anchor="AUTO_1985_105" w:history="1">
        <w:r w:rsidRPr="009452A2">
          <w:rPr>
            <w:rStyle w:val="TextoNormalCaracter"/>
          </w:rPr>
          <w:t>105/1985</w:t>
        </w:r>
      </w:hyperlink>
      <w:r>
        <w:t xml:space="preserve">; </w:t>
      </w:r>
      <w:hyperlink w:anchor="AUTO_1985_106" w:history="1">
        <w:r w:rsidRPr="009452A2">
          <w:rPr>
            <w:rStyle w:val="TextoNormalCaracter"/>
          </w:rPr>
          <w:t>106/1985</w:t>
        </w:r>
      </w:hyperlink>
      <w:r>
        <w:t xml:space="preserve">; </w:t>
      </w:r>
      <w:hyperlink w:anchor="AUTO_1985_133" w:history="1">
        <w:r w:rsidRPr="009452A2">
          <w:rPr>
            <w:rStyle w:val="TextoNormalCaracter"/>
          </w:rPr>
          <w:t>133/1985</w:t>
        </w:r>
      </w:hyperlink>
      <w:r>
        <w:t xml:space="preserve">; </w:t>
      </w:r>
      <w:hyperlink w:anchor="AUTO_1985_141" w:history="1">
        <w:r w:rsidRPr="009452A2">
          <w:rPr>
            <w:rStyle w:val="TextoNormalCaracter"/>
          </w:rPr>
          <w:t>141/1985</w:t>
        </w:r>
      </w:hyperlink>
      <w:r>
        <w:t xml:space="preserve">; </w:t>
      </w:r>
      <w:hyperlink w:anchor="AUTO_1985_142" w:history="1">
        <w:r w:rsidRPr="009452A2">
          <w:rPr>
            <w:rStyle w:val="TextoNormalCaracter"/>
          </w:rPr>
          <w:t>142/1985</w:t>
        </w:r>
      </w:hyperlink>
      <w:r>
        <w:t xml:space="preserve">; </w:t>
      </w:r>
      <w:hyperlink w:anchor="AUTO_1985_143" w:history="1">
        <w:r w:rsidRPr="009452A2">
          <w:rPr>
            <w:rStyle w:val="TextoNormalCaracter"/>
          </w:rPr>
          <w:t>143/1985</w:t>
        </w:r>
      </w:hyperlink>
      <w:r>
        <w:t xml:space="preserve">; </w:t>
      </w:r>
      <w:hyperlink w:anchor="AUTO_1985_144" w:history="1">
        <w:r w:rsidRPr="009452A2">
          <w:rPr>
            <w:rStyle w:val="TextoNormalCaracter"/>
          </w:rPr>
          <w:t>144/1985</w:t>
        </w:r>
      </w:hyperlink>
      <w:r>
        <w:t xml:space="preserve">; </w:t>
      </w:r>
      <w:hyperlink w:anchor="AUTO_1985_145" w:history="1">
        <w:r w:rsidRPr="009452A2">
          <w:rPr>
            <w:rStyle w:val="TextoNormalCaracter"/>
          </w:rPr>
          <w:t>145/1985</w:t>
        </w:r>
      </w:hyperlink>
      <w:r>
        <w:t xml:space="preserve">; </w:t>
      </w:r>
      <w:hyperlink w:anchor="AUTO_1985_161" w:history="1">
        <w:r w:rsidRPr="009452A2">
          <w:rPr>
            <w:rStyle w:val="TextoNormalCaracter"/>
          </w:rPr>
          <w:t>161/1985</w:t>
        </w:r>
      </w:hyperlink>
      <w:r>
        <w:t xml:space="preserve">; </w:t>
      </w:r>
      <w:hyperlink w:anchor="AUTO_1985_166" w:history="1">
        <w:r w:rsidRPr="009452A2">
          <w:rPr>
            <w:rStyle w:val="TextoNormalCaracter"/>
          </w:rPr>
          <w:t>166/1985</w:t>
        </w:r>
      </w:hyperlink>
      <w:r>
        <w:t xml:space="preserve">; </w:t>
      </w:r>
      <w:hyperlink w:anchor="AUTO_1985_169" w:history="1">
        <w:r w:rsidRPr="009452A2">
          <w:rPr>
            <w:rStyle w:val="TextoNormalCaracter"/>
          </w:rPr>
          <w:t>169/1985</w:t>
        </w:r>
      </w:hyperlink>
      <w:r>
        <w:t xml:space="preserve">; </w:t>
      </w:r>
      <w:hyperlink w:anchor="AUTO_1985_170" w:history="1">
        <w:r w:rsidRPr="009452A2">
          <w:rPr>
            <w:rStyle w:val="TextoNormalCaracter"/>
          </w:rPr>
          <w:t>170/1985</w:t>
        </w:r>
      </w:hyperlink>
      <w:r>
        <w:t xml:space="preserve">; </w:t>
      </w:r>
      <w:hyperlink w:anchor="AUTO_1985_177" w:history="1">
        <w:r w:rsidRPr="009452A2">
          <w:rPr>
            <w:rStyle w:val="TextoNormalCaracter"/>
          </w:rPr>
          <w:t>177/1985</w:t>
        </w:r>
      </w:hyperlink>
      <w:r>
        <w:t xml:space="preserve">; </w:t>
      </w:r>
      <w:hyperlink w:anchor="AUTO_1985_184" w:history="1">
        <w:r w:rsidRPr="009452A2">
          <w:rPr>
            <w:rStyle w:val="TextoNormalCaracter"/>
          </w:rPr>
          <w:t>184/1985</w:t>
        </w:r>
      </w:hyperlink>
      <w:r>
        <w:t xml:space="preserve">; </w:t>
      </w:r>
      <w:hyperlink w:anchor="AUTO_1985_189" w:history="1">
        <w:r w:rsidRPr="009452A2">
          <w:rPr>
            <w:rStyle w:val="TextoNormalCaracter"/>
          </w:rPr>
          <w:t>189/1985</w:t>
        </w:r>
      </w:hyperlink>
      <w:r>
        <w:t xml:space="preserve">; </w:t>
      </w:r>
      <w:hyperlink w:anchor="AUTO_1985_192" w:history="1">
        <w:r w:rsidRPr="009452A2">
          <w:rPr>
            <w:rStyle w:val="TextoNormalCaracter"/>
          </w:rPr>
          <w:t>192/1985</w:t>
        </w:r>
      </w:hyperlink>
      <w:r>
        <w:t xml:space="preserve">; </w:t>
      </w:r>
      <w:hyperlink w:anchor="AUTO_1985_194" w:history="1">
        <w:r w:rsidRPr="009452A2">
          <w:rPr>
            <w:rStyle w:val="TextoNormalCaracter"/>
          </w:rPr>
          <w:t>194/1985</w:t>
        </w:r>
      </w:hyperlink>
      <w:r>
        <w:t xml:space="preserve">; </w:t>
      </w:r>
      <w:hyperlink w:anchor="AUTO_1985_196" w:history="1">
        <w:r w:rsidRPr="009452A2">
          <w:rPr>
            <w:rStyle w:val="TextoNormalCaracter"/>
          </w:rPr>
          <w:t>196/1985</w:t>
        </w:r>
      </w:hyperlink>
      <w:r>
        <w:t xml:space="preserve">; </w:t>
      </w:r>
      <w:hyperlink w:anchor="AUTO_1985_234" w:history="1">
        <w:r w:rsidRPr="009452A2">
          <w:rPr>
            <w:rStyle w:val="TextoNormalCaracter"/>
          </w:rPr>
          <w:t>234/1985</w:t>
        </w:r>
      </w:hyperlink>
      <w:r>
        <w:t xml:space="preserve">; </w:t>
      </w:r>
      <w:hyperlink w:anchor="AUTO_1985_240" w:history="1">
        <w:r w:rsidRPr="009452A2">
          <w:rPr>
            <w:rStyle w:val="TextoNormalCaracter"/>
          </w:rPr>
          <w:t>240/1985</w:t>
        </w:r>
      </w:hyperlink>
      <w:r>
        <w:t xml:space="preserve">; </w:t>
      </w:r>
      <w:hyperlink w:anchor="AUTO_1985_242" w:history="1">
        <w:r w:rsidRPr="009452A2">
          <w:rPr>
            <w:rStyle w:val="TextoNormalCaracter"/>
          </w:rPr>
          <w:t>242/1985</w:t>
        </w:r>
      </w:hyperlink>
      <w:r>
        <w:t xml:space="preserve">; </w:t>
      </w:r>
      <w:hyperlink w:anchor="AUTO_1985_250" w:history="1">
        <w:r w:rsidRPr="009452A2">
          <w:rPr>
            <w:rStyle w:val="TextoNormalCaracter"/>
          </w:rPr>
          <w:t>250/1985</w:t>
        </w:r>
      </w:hyperlink>
      <w:r>
        <w:t xml:space="preserve">; </w:t>
      </w:r>
      <w:hyperlink w:anchor="AUTO_1985_271" w:history="1">
        <w:r w:rsidRPr="009452A2">
          <w:rPr>
            <w:rStyle w:val="TextoNormalCaracter"/>
          </w:rPr>
          <w:t>271/1985</w:t>
        </w:r>
      </w:hyperlink>
      <w:r>
        <w:t xml:space="preserve">; </w:t>
      </w:r>
      <w:hyperlink w:anchor="AUTO_1985_272" w:history="1">
        <w:r w:rsidRPr="009452A2">
          <w:rPr>
            <w:rStyle w:val="TextoNormalCaracter"/>
          </w:rPr>
          <w:t>272/1985</w:t>
        </w:r>
      </w:hyperlink>
      <w:r>
        <w:t>.</w:t>
      </w:r>
    </w:p>
    <w:p w:rsidR="009452A2" w:rsidRDefault="009452A2" w:rsidP="009452A2">
      <w:pPr>
        <w:pStyle w:val="SangriaFrancesaArticulo"/>
      </w:pPr>
      <w:r w:rsidRPr="009452A2">
        <w:rPr>
          <w:rStyle w:val="TextoNormalNegritaCaracter"/>
        </w:rPr>
        <w:t>Artículo 44.2.</w:t>
      </w:r>
      <w:r w:rsidRPr="009452A2">
        <w:rPr>
          <w:rStyle w:val="TextoNormalCaracter"/>
        </w:rPr>
        <w:t>-</w:t>
      </w:r>
      <w:r>
        <w:t xml:space="preserve"> Sentencias </w:t>
      </w:r>
      <w:hyperlink w:anchor="SENTENCIA_1985_45" w:history="1">
        <w:r w:rsidRPr="009452A2">
          <w:rPr>
            <w:rStyle w:val="TextoNormalCaracter"/>
          </w:rPr>
          <w:t>45/1985</w:t>
        </w:r>
      </w:hyperlink>
      <w:r>
        <w:t xml:space="preserve">, f. 3; </w:t>
      </w:r>
      <w:hyperlink w:anchor="SENTENCIA_1985_56" w:history="1">
        <w:r w:rsidRPr="009452A2">
          <w:rPr>
            <w:rStyle w:val="TextoNormalCaracter"/>
          </w:rPr>
          <w:t>56/1985</w:t>
        </w:r>
      </w:hyperlink>
      <w:r>
        <w:t>, f. 3.</w:t>
      </w:r>
    </w:p>
    <w:p w:rsidR="009452A2" w:rsidRDefault="009452A2" w:rsidP="009452A2">
      <w:pPr>
        <w:pStyle w:val="SangriaIzquierdaArticulo"/>
      </w:pPr>
      <w:r>
        <w:t xml:space="preserve">Autos </w:t>
      </w:r>
      <w:hyperlink w:anchor="AUTO_1985_11" w:history="1">
        <w:r w:rsidRPr="009452A2">
          <w:rPr>
            <w:rStyle w:val="TextoNormalCaracter"/>
          </w:rPr>
          <w:t>11/1985</w:t>
        </w:r>
      </w:hyperlink>
      <w:r>
        <w:t xml:space="preserve">; </w:t>
      </w:r>
      <w:hyperlink w:anchor="AUTO_1985_15" w:history="1">
        <w:r w:rsidRPr="009452A2">
          <w:rPr>
            <w:rStyle w:val="TextoNormalCaracter"/>
          </w:rPr>
          <w:t>15/1985</w:t>
        </w:r>
      </w:hyperlink>
      <w:r>
        <w:t xml:space="preserve">; </w:t>
      </w:r>
      <w:hyperlink w:anchor="AUTO_1985_21" w:history="1">
        <w:r w:rsidRPr="009452A2">
          <w:rPr>
            <w:rStyle w:val="TextoNormalCaracter"/>
          </w:rPr>
          <w:t>21/1985</w:t>
        </w:r>
      </w:hyperlink>
      <w:r>
        <w:t xml:space="preserve">; </w:t>
      </w:r>
      <w:hyperlink w:anchor="AUTO_1985_22" w:history="1">
        <w:r w:rsidRPr="009452A2">
          <w:rPr>
            <w:rStyle w:val="TextoNormalCaracter"/>
          </w:rPr>
          <w:t>22/1985</w:t>
        </w:r>
      </w:hyperlink>
      <w:r>
        <w:t xml:space="preserve">; </w:t>
      </w:r>
      <w:hyperlink w:anchor="AUTO_1985_79" w:history="1">
        <w:r w:rsidRPr="009452A2">
          <w:rPr>
            <w:rStyle w:val="TextoNormalCaracter"/>
          </w:rPr>
          <w:t>79/1985</w:t>
        </w:r>
      </w:hyperlink>
      <w:r>
        <w:t xml:space="preserve">; </w:t>
      </w:r>
      <w:hyperlink w:anchor="AUTO_1985_80" w:history="1">
        <w:r w:rsidRPr="009452A2">
          <w:rPr>
            <w:rStyle w:val="TextoNormalCaracter"/>
          </w:rPr>
          <w:t>80/1985</w:t>
        </w:r>
      </w:hyperlink>
      <w:r>
        <w:t xml:space="preserve">; </w:t>
      </w:r>
      <w:hyperlink w:anchor="AUTO_1985_97" w:history="1">
        <w:r w:rsidRPr="009452A2">
          <w:rPr>
            <w:rStyle w:val="TextoNormalCaracter"/>
          </w:rPr>
          <w:t>97/1985</w:t>
        </w:r>
      </w:hyperlink>
      <w:r>
        <w:t xml:space="preserve">; </w:t>
      </w:r>
      <w:hyperlink w:anchor="AUTO_1985_206" w:history="1">
        <w:r w:rsidRPr="009452A2">
          <w:rPr>
            <w:rStyle w:val="TextoNormalCaracter"/>
          </w:rPr>
          <w:t>206/1985</w:t>
        </w:r>
      </w:hyperlink>
      <w:r>
        <w:t xml:space="preserve">; </w:t>
      </w:r>
      <w:hyperlink w:anchor="AUTO_1985_213" w:history="1">
        <w:r w:rsidRPr="009452A2">
          <w:rPr>
            <w:rStyle w:val="TextoNormalCaracter"/>
          </w:rPr>
          <w:t>213/1985</w:t>
        </w:r>
      </w:hyperlink>
      <w:r>
        <w:t xml:space="preserve">; </w:t>
      </w:r>
      <w:hyperlink w:anchor="AUTO_1985_234" w:history="1">
        <w:r w:rsidRPr="009452A2">
          <w:rPr>
            <w:rStyle w:val="TextoNormalCaracter"/>
          </w:rPr>
          <w:t>234/1985</w:t>
        </w:r>
      </w:hyperlink>
      <w:r>
        <w:t xml:space="preserve">; </w:t>
      </w:r>
      <w:hyperlink w:anchor="AUTO_1985_236" w:history="1">
        <w:r w:rsidRPr="009452A2">
          <w:rPr>
            <w:rStyle w:val="TextoNormalCaracter"/>
          </w:rPr>
          <w:t>236/1985</w:t>
        </w:r>
      </w:hyperlink>
      <w:r>
        <w:t>.</w:t>
      </w:r>
    </w:p>
    <w:p w:rsidR="009452A2" w:rsidRDefault="009452A2" w:rsidP="009452A2">
      <w:pPr>
        <w:pStyle w:val="SangriaFrancesaArticulo"/>
      </w:pPr>
      <w:r w:rsidRPr="009452A2">
        <w:rPr>
          <w:rStyle w:val="TextoNormalNegritaCaracter"/>
        </w:rPr>
        <w:t>Artículo 46.</w:t>
      </w:r>
      <w:r w:rsidRPr="009452A2">
        <w:rPr>
          <w:rStyle w:val="TextoNormalCaracter"/>
        </w:rPr>
        <w:t>-</w:t>
      </w:r>
      <w:r>
        <w:t xml:space="preserve"> Sentencia </w:t>
      </w:r>
      <w:hyperlink w:anchor="SENTENCIA_1985_51" w:history="1">
        <w:r w:rsidRPr="009452A2">
          <w:rPr>
            <w:rStyle w:val="TextoNormalCaracter"/>
          </w:rPr>
          <w:t>51/1985</w:t>
        </w:r>
      </w:hyperlink>
      <w:r>
        <w:t>, f. 1.</w:t>
      </w:r>
    </w:p>
    <w:p w:rsidR="009452A2" w:rsidRDefault="009452A2" w:rsidP="009452A2">
      <w:pPr>
        <w:pStyle w:val="SangriaFrancesaArticulo"/>
      </w:pPr>
      <w:r w:rsidRPr="009452A2">
        <w:rPr>
          <w:rStyle w:val="TextoNormalNegritaCaracter"/>
        </w:rPr>
        <w:t>Artículo 46.1 b).</w:t>
      </w:r>
      <w:r w:rsidRPr="009452A2">
        <w:rPr>
          <w:rStyle w:val="TextoNormalCaracter"/>
        </w:rPr>
        <w:t>-</w:t>
      </w:r>
      <w:r>
        <w:t xml:space="preserve"> Autos </w:t>
      </w:r>
      <w:hyperlink w:anchor="AUTO_1985_135" w:history="1">
        <w:r w:rsidRPr="009452A2">
          <w:rPr>
            <w:rStyle w:val="TextoNormalCaracter"/>
          </w:rPr>
          <w:t>135/1985</w:t>
        </w:r>
      </w:hyperlink>
      <w:r>
        <w:t xml:space="preserve">; </w:t>
      </w:r>
      <w:hyperlink w:anchor="AUTO_1985_139" w:history="1">
        <w:r w:rsidRPr="009452A2">
          <w:rPr>
            <w:rStyle w:val="TextoNormalCaracter"/>
          </w:rPr>
          <w:t>139/1985</w:t>
        </w:r>
      </w:hyperlink>
      <w:r>
        <w:t>.</w:t>
      </w:r>
    </w:p>
    <w:p w:rsidR="009452A2" w:rsidRDefault="009452A2" w:rsidP="009452A2">
      <w:pPr>
        <w:pStyle w:val="SangriaFrancesaArticulo"/>
      </w:pPr>
      <w:r w:rsidRPr="009452A2">
        <w:rPr>
          <w:rStyle w:val="TextoNormalNegritaCaracter"/>
        </w:rPr>
        <w:t>Artículo 48.</w:t>
      </w:r>
      <w:r w:rsidRPr="009452A2">
        <w:rPr>
          <w:rStyle w:val="TextoNormalCaracter"/>
        </w:rPr>
        <w:t>-</w:t>
      </w:r>
      <w:r>
        <w:t xml:space="preserve"> Auto </w:t>
      </w:r>
      <w:hyperlink w:anchor="AUTO_1985_202" w:history="1">
        <w:r w:rsidRPr="009452A2">
          <w:rPr>
            <w:rStyle w:val="TextoNormalCaracter"/>
          </w:rPr>
          <w:t>202/1985</w:t>
        </w:r>
      </w:hyperlink>
      <w:r>
        <w:t>.</w:t>
      </w:r>
    </w:p>
    <w:p w:rsidR="009452A2" w:rsidRDefault="009452A2" w:rsidP="009452A2">
      <w:pPr>
        <w:pStyle w:val="SangriaFrancesaArticulo"/>
      </w:pPr>
      <w:r w:rsidRPr="009452A2">
        <w:rPr>
          <w:rStyle w:val="TextoNormalNegritaCaracter"/>
        </w:rPr>
        <w:t>Artículo 49.</w:t>
      </w:r>
      <w:r w:rsidRPr="009452A2">
        <w:rPr>
          <w:rStyle w:val="TextoNormalCaracter"/>
        </w:rPr>
        <w:t>-</w:t>
      </w:r>
      <w:r>
        <w:t xml:space="preserve"> Sentencias </w:t>
      </w:r>
      <w:hyperlink w:anchor="SENTENCIA_1985_22" w:history="1">
        <w:r w:rsidRPr="009452A2">
          <w:rPr>
            <w:rStyle w:val="TextoNormalCaracter"/>
          </w:rPr>
          <w:t>22/1985</w:t>
        </w:r>
      </w:hyperlink>
      <w:r>
        <w:t xml:space="preserve">, f. 1; </w:t>
      </w:r>
      <w:hyperlink w:anchor="SENTENCIA_1985_30" w:history="1">
        <w:r w:rsidRPr="009452A2">
          <w:rPr>
            <w:rStyle w:val="TextoNormalCaracter"/>
          </w:rPr>
          <w:t>30/1985</w:t>
        </w:r>
      </w:hyperlink>
      <w:r>
        <w:t>, f. 2.</w:t>
      </w:r>
    </w:p>
    <w:p w:rsidR="009452A2" w:rsidRDefault="009452A2" w:rsidP="009452A2">
      <w:pPr>
        <w:pStyle w:val="SangriaFrancesaArticulo"/>
      </w:pPr>
      <w:r w:rsidRPr="009452A2">
        <w:rPr>
          <w:rStyle w:val="TextoNormalNegritaCaracter"/>
        </w:rPr>
        <w:t>Artículo 49.1.</w:t>
      </w:r>
      <w:r w:rsidRPr="009452A2">
        <w:rPr>
          <w:rStyle w:val="TextoNormalCaracter"/>
        </w:rPr>
        <w:t>-</w:t>
      </w:r>
      <w:r>
        <w:t xml:space="preserve"> Autos </w:t>
      </w:r>
      <w:hyperlink w:anchor="AUTO_1985_3" w:history="1">
        <w:r w:rsidRPr="009452A2">
          <w:rPr>
            <w:rStyle w:val="TextoNormalCaracter"/>
          </w:rPr>
          <w:t>3/1985</w:t>
        </w:r>
      </w:hyperlink>
      <w:r>
        <w:t xml:space="preserve">; </w:t>
      </w:r>
      <w:hyperlink w:anchor="AUTO_1985_11" w:history="1">
        <w:r w:rsidRPr="009452A2">
          <w:rPr>
            <w:rStyle w:val="TextoNormalCaracter"/>
          </w:rPr>
          <w:t>11/1985</w:t>
        </w:r>
      </w:hyperlink>
      <w:r>
        <w:t xml:space="preserve">; </w:t>
      </w:r>
      <w:hyperlink w:anchor="AUTO_1985_40" w:history="1">
        <w:r w:rsidRPr="009452A2">
          <w:rPr>
            <w:rStyle w:val="TextoNormalCaracter"/>
          </w:rPr>
          <w:t>40/1985</w:t>
        </w:r>
      </w:hyperlink>
      <w:r>
        <w:t xml:space="preserve">; </w:t>
      </w:r>
      <w:hyperlink w:anchor="AUTO_1985_61" w:history="1">
        <w:r w:rsidRPr="009452A2">
          <w:rPr>
            <w:rStyle w:val="TextoNormalCaracter"/>
          </w:rPr>
          <w:t>61/1985</w:t>
        </w:r>
      </w:hyperlink>
      <w:r>
        <w:t xml:space="preserve">; </w:t>
      </w:r>
      <w:hyperlink w:anchor="AUTO_1985_72" w:history="1">
        <w:r w:rsidRPr="009452A2">
          <w:rPr>
            <w:rStyle w:val="TextoNormalCaracter"/>
          </w:rPr>
          <w:t>72/1985</w:t>
        </w:r>
      </w:hyperlink>
      <w:r>
        <w:t xml:space="preserve">; </w:t>
      </w:r>
      <w:hyperlink w:anchor="AUTO_1985_179" w:history="1">
        <w:r w:rsidRPr="009452A2">
          <w:rPr>
            <w:rStyle w:val="TextoNormalCaracter"/>
          </w:rPr>
          <w:t>179/1985</w:t>
        </w:r>
      </w:hyperlink>
      <w:r>
        <w:t xml:space="preserve">; </w:t>
      </w:r>
      <w:hyperlink w:anchor="AUTO_1985_194" w:history="1">
        <w:r w:rsidRPr="009452A2">
          <w:rPr>
            <w:rStyle w:val="TextoNormalCaracter"/>
          </w:rPr>
          <w:t>194/1985</w:t>
        </w:r>
      </w:hyperlink>
      <w:r>
        <w:t>.</w:t>
      </w:r>
    </w:p>
    <w:p w:rsidR="009452A2" w:rsidRDefault="009452A2" w:rsidP="009452A2">
      <w:pPr>
        <w:pStyle w:val="SangriaFrancesaArticulo"/>
      </w:pPr>
      <w:r w:rsidRPr="009452A2">
        <w:rPr>
          <w:rStyle w:val="TextoNormalNegritaCaracter"/>
        </w:rPr>
        <w:t>Artículo 49.2 a).</w:t>
      </w:r>
      <w:r w:rsidRPr="009452A2">
        <w:rPr>
          <w:rStyle w:val="TextoNormalCaracter"/>
        </w:rPr>
        <w:t>-</w:t>
      </w:r>
      <w:r>
        <w:t xml:space="preserve"> Autos </w:t>
      </w:r>
      <w:hyperlink w:anchor="AUTO_1985_3" w:history="1">
        <w:r w:rsidRPr="009452A2">
          <w:rPr>
            <w:rStyle w:val="TextoNormalCaracter"/>
          </w:rPr>
          <w:t>3/1985</w:t>
        </w:r>
      </w:hyperlink>
      <w:r>
        <w:t xml:space="preserve">; </w:t>
      </w:r>
      <w:hyperlink w:anchor="AUTO_1985_4" w:history="1">
        <w:r w:rsidRPr="009452A2">
          <w:rPr>
            <w:rStyle w:val="TextoNormalCaracter"/>
          </w:rPr>
          <w:t>4/1985</w:t>
        </w:r>
      </w:hyperlink>
      <w:r>
        <w:t xml:space="preserve">; </w:t>
      </w:r>
      <w:hyperlink w:anchor="AUTO_1985_98" w:history="1">
        <w:r w:rsidRPr="009452A2">
          <w:rPr>
            <w:rStyle w:val="TextoNormalCaracter"/>
          </w:rPr>
          <w:t>98/1985</w:t>
        </w:r>
      </w:hyperlink>
      <w:r>
        <w:t xml:space="preserve">; </w:t>
      </w:r>
      <w:hyperlink w:anchor="AUTO_1985_141" w:history="1">
        <w:r w:rsidRPr="009452A2">
          <w:rPr>
            <w:rStyle w:val="TextoNormalCaracter"/>
          </w:rPr>
          <w:t>141/1985</w:t>
        </w:r>
      </w:hyperlink>
      <w:r>
        <w:t xml:space="preserve">; </w:t>
      </w:r>
      <w:hyperlink w:anchor="AUTO_1985_218" w:history="1">
        <w:r w:rsidRPr="009452A2">
          <w:rPr>
            <w:rStyle w:val="TextoNormalCaracter"/>
          </w:rPr>
          <w:t>218/1985</w:t>
        </w:r>
      </w:hyperlink>
      <w:r>
        <w:t xml:space="preserve">; </w:t>
      </w:r>
      <w:hyperlink w:anchor="AUTO_1985_253" w:history="1">
        <w:r w:rsidRPr="009452A2">
          <w:rPr>
            <w:rStyle w:val="TextoNormalCaracter"/>
          </w:rPr>
          <w:t>253/1985</w:t>
        </w:r>
      </w:hyperlink>
      <w:r>
        <w:t>.</w:t>
      </w:r>
    </w:p>
    <w:p w:rsidR="009452A2" w:rsidRDefault="009452A2" w:rsidP="009452A2">
      <w:pPr>
        <w:pStyle w:val="SangriaFrancesaArticulo"/>
      </w:pPr>
      <w:r w:rsidRPr="009452A2">
        <w:rPr>
          <w:rStyle w:val="TextoNormalNegritaCaracter"/>
        </w:rPr>
        <w:t>Artículo 49.2 b).</w:t>
      </w:r>
      <w:r w:rsidRPr="009452A2">
        <w:rPr>
          <w:rStyle w:val="TextoNormalCaracter"/>
        </w:rPr>
        <w:t>-</w:t>
      </w:r>
      <w:r>
        <w:t xml:space="preserve"> Autos </w:t>
      </w:r>
      <w:hyperlink w:anchor="AUTO_1985_4" w:history="1">
        <w:r w:rsidRPr="009452A2">
          <w:rPr>
            <w:rStyle w:val="TextoNormalCaracter"/>
          </w:rPr>
          <w:t>4/1985</w:t>
        </w:r>
      </w:hyperlink>
      <w:r>
        <w:t xml:space="preserve">; </w:t>
      </w:r>
      <w:hyperlink w:anchor="AUTO_1985_22" w:history="1">
        <w:r w:rsidRPr="009452A2">
          <w:rPr>
            <w:rStyle w:val="TextoNormalCaracter"/>
          </w:rPr>
          <w:t>22/1985</w:t>
        </w:r>
      </w:hyperlink>
      <w:r>
        <w:t xml:space="preserve">; </w:t>
      </w:r>
      <w:hyperlink w:anchor="AUTO_1985_142" w:history="1">
        <w:r w:rsidRPr="009452A2">
          <w:rPr>
            <w:rStyle w:val="TextoNormalCaracter"/>
          </w:rPr>
          <w:t>142/1985</w:t>
        </w:r>
      </w:hyperlink>
      <w:r>
        <w:t xml:space="preserve">; </w:t>
      </w:r>
      <w:hyperlink w:anchor="AUTO_1985_157" w:history="1">
        <w:r w:rsidRPr="009452A2">
          <w:rPr>
            <w:rStyle w:val="TextoNormalCaracter"/>
          </w:rPr>
          <w:t>157/1985</w:t>
        </w:r>
      </w:hyperlink>
      <w:r>
        <w:t>.</w:t>
      </w:r>
    </w:p>
    <w:p w:rsidR="009452A2" w:rsidRDefault="009452A2" w:rsidP="009452A2">
      <w:pPr>
        <w:pStyle w:val="SangriaFrancesaArticulo"/>
      </w:pPr>
      <w:r w:rsidRPr="009452A2">
        <w:rPr>
          <w:rStyle w:val="TextoNormalNegritaCaracter"/>
        </w:rPr>
        <w:t>Artículo 50.</w:t>
      </w:r>
      <w:r w:rsidRPr="009452A2">
        <w:rPr>
          <w:rStyle w:val="TextoNormalCaracter"/>
        </w:rPr>
        <w:t>-</w:t>
      </w:r>
      <w:r>
        <w:t xml:space="preserve"> Sentencias </w:t>
      </w:r>
      <w:hyperlink w:anchor="SENTENCIA_1985_23" w:history="1">
        <w:r w:rsidRPr="009452A2">
          <w:rPr>
            <w:rStyle w:val="TextoNormalCaracter"/>
          </w:rPr>
          <w:t>23/1985</w:t>
        </w:r>
      </w:hyperlink>
      <w:r>
        <w:t xml:space="preserve">, f. 3; </w:t>
      </w:r>
      <w:hyperlink w:anchor="SENTENCIA_1985_39" w:history="1">
        <w:r w:rsidRPr="009452A2">
          <w:rPr>
            <w:rStyle w:val="TextoNormalCaracter"/>
          </w:rPr>
          <w:t>39/1985</w:t>
        </w:r>
      </w:hyperlink>
      <w:r>
        <w:t>, f. 1.</w:t>
      </w:r>
    </w:p>
    <w:p w:rsidR="009452A2" w:rsidRDefault="009452A2" w:rsidP="009452A2">
      <w:pPr>
        <w:pStyle w:val="SangriaIzquierdaArticulo"/>
      </w:pPr>
      <w:r>
        <w:t xml:space="preserve">Autos </w:t>
      </w:r>
      <w:hyperlink w:anchor="AUTO_1985_22" w:history="1">
        <w:r w:rsidRPr="009452A2">
          <w:rPr>
            <w:rStyle w:val="TextoNormalCaracter"/>
          </w:rPr>
          <w:t>22/1985</w:t>
        </w:r>
      </w:hyperlink>
      <w:r>
        <w:t xml:space="preserve">; </w:t>
      </w:r>
      <w:hyperlink w:anchor="AUTO_1985_32" w:history="1">
        <w:r w:rsidRPr="009452A2">
          <w:rPr>
            <w:rStyle w:val="TextoNormalCaracter"/>
          </w:rPr>
          <w:t>32/1985</w:t>
        </w:r>
      </w:hyperlink>
      <w:r>
        <w:t xml:space="preserve">; </w:t>
      </w:r>
      <w:hyperlink w:anchor="AUTO_1985_62" w:history="1">
        <w:r w:rsidRPr="009452A2">
          <w:rPr>
            <w:rStyle w:val="TextoNormalCaracter"/>
          </w:rPr>
          <w:t>62/1985</w:t>
        </w:r>
      </w:hyperlink>
      <w:r>
        <w:t xml:space="preserve">; </w:t>
      </w:r>
      <w:hyperlink w:anchor="AUTO_1985_137" w:history="1">
        <w:r w:rsidRPr="009452A2">
          <w:rPr>
            <w:rStyle w:val="TextoNormalCaracter"/>
          </w:rPr>
          <w:t>137/1985</w:t>
        </w:r>
      </w:hyperlink>
      <w:r>
        <w:t xml:space="preserve">; </w:t>
      </w:r>
      <w:hyperlink w:anchor="AUTO_1985_166" w:history="1">
        <w:r w:rsidRPr="009452A2">
          <w:rPr>
            <w:rStyle w:val="TextoNormalCaracter"/>
          </w:rPr>
          <w:t>166/1985</w:t>
        </w:r>
      </w:hyperlink>
      <w:r>
        <w:t xml:space="preserve">; </w:t>
      </w:r>
      <w:hyperlink w:anchor="AUTO_1985_173" w:history="1">
        <w:r w:rsidRPr="009452A2">
          <w:rPr>
            <w:rStyle w:val="TextoNormalCaracter"/>
          </w:rPr>
          <w:t>173/1985</w:t>
        </w:r>
      </w:hyperlink>
      <w:r>
        <w:t xml:space="preserve">; </w:t>
      </w:r>
      <w:hyperlink w:anchor="AUTO_1985_192" w:history="1">
        <w:r w:rsidRPr="009452A2">
          <w:rPr>
            <w:rStyle w:val="TextoNormalCaracter"/>
          </w:rPr>
          <w:t>192/1985</w:t>
        </w:r>
      </w:hyperlink>
      <w:r>
        <w:t xml:space="preserve">; </w:t>
      </w:r>
      <w:hyperlink w:anchor="AUTO_1985_205" w:history="1">
        <w:r w:rsidRPr="009452A2">
          <w:rPr>
            <w:rStyle w:val="TextoNormalCaracter"/>
          </w:rPr>
          <w:t>205/1985</w:t>
        </w:r>
      </w:hyperlink>
      <w:r>
        <w:t xml:space="preserve">; </w:t>
      </w:r>
      <w:hyperlink w:anchor="AUTO_1985_207" w:history="1">
        <w:r w:rsidRPr="009452A2">
          <w:rPr>
            <w:rStyle w:val="TextoNormalCaracter"/>
          </w:rPr>
          <w:t>207/1985</w:t>
        </w:r>
      </w:hyperlink>
      <w:r>
        <w:t xml:space="preserve">; </w:t>
      </w:r>
      <w:hyperlink w:anchor="AUTO_1985_210" w:history="1">
        <w:r w:rsidRPr="009452A2">
          <w:rPr>
            <w:rStyle w:val="TextoNormalCaracter"/>
          </w:rPr>
          <w:t>210/1985</w:t>
        </w:r>
      </w:hyperlink>
      <w:r>
        <w:t>.</w:t>
      </w:r>
    </w:p>
    <w:p w:rsidR="009452A2" w:rsidRDefault="009452A2" w:rsidP="009452A2">
      <w:pPr>
        <w:pStyle w:val="SangriaFrancesaArticulo"/>
      </w:pPr>
      <w:r w:rsidRPr="009452A2">
        <w:rPr>
          <w:rStyle w:val="TextoNormalNegritaCaracter"/>
        </w:rPr>
        <w:t>Artículo 50.1.</w:t>
      </w:r>
      <w:r w:rsidRPr="009452A2">
        <w:rPr>
          <w:rStyle w:val="TextoNormalCaracter"/>
        </w:rPr>
        <w:t>-</w:t>
      </w:r>
      <w:r>
        <w:t xml:space="preserve"> Auto </w:t>
      </w:r>
      <w:hyperlink w:anchor="AUTO_1985_169" w:history="1">
        <w:r w:rsidRPr="009452A2">
          <w:rPr>
            <w:rStyle w:val="TextoNormalCaracter"/>
          </w:rPr>
          <w:t>169/1985</w:t>
        </w:r>
      </w:hyperlink>
      <w:r>
        <w:t>.</w:t>
      </w:r>
    </w:p>
    <w:p w:rsidR="009452A2" w:rsidRDefault="009452A2" w:rsidP="009452A2">
      <w:pPr>
        <w:pStyle w:val="SangriaFrancesaArticulo"/>
      </w:pPr>
      <w:r w:rsidRPr="009452A2">
        <w:rPr>
          <w:rStyle w:val="TextoNormalNegritaCaracter"/>
        </w:rPr>
        <w:t>Artículo 50.1 a).</w:t>
      </w:r>
      <w:r w:rsidRPr="009452A2">
        <w:rPr>
          <w:rStyle w:val="TextoNormalCaracter"/>
        </w:rPr>
        <w:t>-</w:t>
      </w:r>
      <w:r>
        <w:t xml:space="preserve"> Autos </w:t>
      </w:r>
      <w:hyperlink w:anchor="AUTO_1985_22" w:history="1">
        <w:r w:rsidRPr="009452A2">
          <w:rPr>
            <w:rStyle w:val="TextoNormalCaracter"/>
          </w:rPr>
          <w:t>22/1985</w:t>
        </w:r>
      </w:hyperlink>
      <w:r>
        <w:t xml:space="preserve">; </w:t>
      </w:r>
      <w:hyperlink w:anchor="AUTO_1985_23" w:history="1">
        <w:r w:rsidRPr="009452A2">
          <w:rPr>
            <w:rStyle w:val="TextoNormalCaracter"/>
          </w:rPr>
          <w:t>23/1985</w:t>
        </w:r>
      </w:hyperlink>
      <w:r>
        <w:t xml:space="preserve">; </w:t>
      </w:r>
      <w:hyperlink w:anchor="AUTO_1985_79" w:history="1">
        <w:r w:rsidRPr="009452A2">
          <w:rPr>
            <w:rStyle w:val="TextoNormalCaracter"/>
          </w:rPr>
          <w:t>79/1985</w:t>
        </w:r>
      </w:hyperlink>
      <w:r>
        <w:t xml:space="preserve">; </w:t>
      </w:r>
      <w:hyperlink w:anchor="AUTO_1985_80" w:history="1">
        <w:r w:rsidRPr="009452A2">
          <w:rPr>
            <w:rStyle w:val="TextoNormalCaracter"/>
          </w:rPr>
          <w:t>80/1985</w:t>
        </w:r>
      </w:hyperlink>
      <w:r>
        <w:t xml:space="preserve">; </w:t>
      </w:r>
      <w:hyperlink w:anchor="AUTO_1985_120" w:history="1">
        <w:r w:rsidRPr="009452A2">
          <w:rPr>
            <w:rStyle w:val="TextoNormalCaracter"/>
          </w:rPr>
          <w:t>120/1985</w:t>
        </w:r>
      </w:hyperlink>
      <w:r>
        <w:t xml:space="preserve">; </w:t>
      </w:r>
      <w:hyperlink w:anchor="AUTO_1985_133" w:history="1">
        <w:r w:rsidRPr="009452A2">
          <w:rPr>
            <w:rStyle w:val="TextoNormalCaracter"/>
          </w:rPr>
          <w:t>133/1985</w:t>
        </w:r>
      </w:hyperlink>
      <w:r>
        <w:t xml:space="preserve">; </w:t>
      </w:r>
      <w:hyperlink w:anchor="AUTO_1985_202" w:history="1">
        <w:r w:rsidRPr="009452A2">
          <w:rPr>
            <w:rStyle w:val="TextoNormalCaracter"/>
          </w:rPr>
          <w:t>202/1985</w:t>
        </w:r>
      </w:hyperlink>
      <w:r>
        <w:t xml:space="preserve">; </w:t>
      </w:r>
      <w:hyperlink w:anchor="AUTO_1985_210" w:history="1">
        <w:r w:rsidRPr="009452A2">
          <w:rPr>
            <w:rStyle w:val="TextoNormalCaracter"/>
          </w:rPr>
          <w:t>210/1985</w:t>
        </w:r>
      </w:hyperlink>
      <w:r>
        <w:t xml:space="preserve">; </w:t>
      </w:r>
      <w:hyperlink w:anchor="AUTO_1985_234" w:history="1">
        <w:r w:rsidRPr="009452A2">
          <w:rPr>
            <w:rStyle w:val="TextoNormalCaracter"/>
          </w:rPr>
          <w:t>234/1985</w:t>
        </w:r>
      </w:hyperlink>
      <w:r>
        <w:t xml:space="preserve">; </w:t>
      </w:r>
      <w:hyperlink w:anchor="AUTO_1985_236" w:history="1">
        <w:r w:rsidRPr="009452A2">
          <w:rPr>
            <w:rStyle w:val="TextoNormalCaracter"/>
          </w:rPr>
          <w:t>236/1985</w:t>
        </w:r>
      </w:hyperlink>
      <w:r>
        <w:t>.</w:t>
      </w:r>
    </w:p>
    <w:p w:rsidR="009452A2" w:rsidRDefault="009452A2" w:rsidP="009452A2">
      <w:pPr>
        <w:pStyle w:val="SangriaFrancesaArticulo"/>
      </w:pPr>
      <w:r w:rsidRPr="009452A2">
        <w:rPr>
          <w:rStyle w:val="TextoNormalNegritaCaracter"/>
        </w:rPr>
        <w:t>Artículo 50.1 b).</w:t>
      </w:r>
      <w:r w:rsidRPr="009452A2">
        <w:rPr>
          <w:rStyle w:val="TextoNormalCaracter"/>
        </w:rPr>
        <w:t>-</w:t>
      </w:r>
      <w:r>
        <w:t xml:space="preserve"> Sentencia </w:t>
      </w:r>
      <w:hyperlink w:anchor="SENTENCIA_1985_33" w:history="1">
        <w:r w:rsidRPr="009452A2">
          <w:rPr>
            <w:rStyle w:val="TextoNormalCaracter"/>
          </w:rPr>
          <w:t>33/1985</w:t>
        </w:r>
      </w:hyperlink>
      <w:r>
        <w:t>, f. 1.</w:t>
      </w:r>
    </w:p>
    <w:p w:rsidR="009452A2" w:rsidRDefault="009452A2" w:rsidP="009452A2">
      <w:pPr>
        <w:pStyle w:val="SangriaIzquierdaArticulo"/>
      </w:pPr>
      <w:r>
        <w:t xml:space="preserve">Autos </w:t>
      </w:r>
      <w:hyperlink w:anchor="AUTO_1985_3" w:history="1">
        <w:r w:rsidRPr="009452A2">
          <w:rPr>
            <w:rStyle w:val="TextoNormalCaracter"/>
          </w:rPr>
          <w:t>3/1985</w:t>
        </w:r>
      </w:hyperlink>
      <w:r>
        <w:t xml:space="preserve">; </w:t>
      </w:r>
      <w:hyperlink w:anchor="AUTO_1985_6" w:history="1">
        <w:r w:rsidRPr="009452A2">
          <w:rPr>
            <w:rStyle w:val="TextoNormalCaracter"/>
          </w:rPr>
          <w:t>6/1985</w:t>
        </w:r>
      </w:hyperlink>
      <w:r>
        <w:t xml:space="preserve">; </w:t>
      </w:r>
      <w:hyperlink w:anchor="AUTO_1985_15" w:history="1">
        <w:r w:rsidRPr="009452A2">
          <w:rPr>
            <w:rStyle w:val="TextoNormalCaracter"/>
          </w:rPr>
          <w:t>15/1985</w:t>
        </w:r>
      </w:hyperlink>
      <w:r>
        <w:t xml:space="preserve">; </w:t>
      </w:r>
      <w:hyperlink w:anchor="AUTO_1985_22" w:history="1">
        <w:r w:rsidRPr="009452A2">
          <w:rPr>
            <w:rStyle w:val="TextoNormalCaracter"/>
          </w:rPr>
          <w:t>22/1985</w:t>
        </w:r>
      </w:hyperlink>
      <w:r>
        <w:t xml:space="preserve">; </w:t>
      </w:r>
      <w:hyperlink w:anchor="AUTO_1985_23" w:history="1">
        <w:r w:rsidRPr="009452A2">
          <w:rPr>
            <w:rStyle w:val="TextoNormalCaracter"/>
          </w:rPr>
          <w:t>23/1985</w:t>
        </w:r>
      </w:hyperlink>
      <w:r>
        <w:t xml:space="preserve">; </w:t>
      </w:r>
      <w:hyperlink w:anchor="AUTO_1985_37" w:history="1">
        <w:r w:rsidRPr="009452A2">
          <w:rPr>
            <w:rStyle w:val="TextoNormalCaracter"/>
          </w:rPr>
          <w:t>37/1985</w:t>
        </w:r>
      </w:hyperlink>
      <w:r>
        <w:t xml:space="preserve">; </w:t>
      </w:r>
      <w:hyperlink w:anchor="AUTO_1985_40" w:history="1">
        <w:r w:rsidRPr="009452A2">
          <w:rPr>
            <w:rStyle w:val="TextoNormalCaracter"/>
          </w:rPr>
          <w:t>40/1985</w:t>
        </w:r>
      </w:hyperlink>
      <w:r>
        <w:t xml:space="preserve">; </w:t>
      </w:r>
      <w:hyperlink w:anchor="AUTO_1985_47" w:history="1">
        <w:r w:rsidRPr="009452A2">
          <w:rPr>
            <w:rStyle w:val="TextoNormalCaracter"/>
          </w:rPr>
          <w:t>47/1985</w:t>
        </w:r>
      </w:hyperlink>
      <w:r>
        <w:t xml:space="preserve">; </w:t>
      </w:r>
      <w:hyperlink w:anchor="AUTO_1985_48" w:history="1">
        <w:r w:rsidRPr="009452A2">
          <w:rPr>
            <w:rStyle w:val="TextoNormalCaracter"/>
          </w:rPr>
          <w:t>48/1985</w:t>
        </w:r>
      </w:hyperlink>
      <w:r>
        <w:t xml:space="preserve">; </w:t>
      </w:r>
      <w:hyperlink w:anchor="AUTO_1985_49" w:history="1">
        <w:r w:rsidRPr="009452A2">
          <w:rPr>
            <w:rStyle w:val="TextoNormalCaracter"/>
          </w:rPr>
          <w:t>49/1985</w:t>
        </w:r>
      </w:hyperlink>
      <w:r>
        <w:t xml:space="preserve">; </w:t>
      </w:r>
      <w:hyperlink w:anchor="AUTO_1985_50" w:history="1">
        <w:r w:rsidRPr="009452A2">
          <w:rPr>
            <w:rStyle w:val="TextoNormalCaracter"/>
          </w:rPr>
          <w:t>50/1985</w:t>
        </w:r>
      </w:hyperlink>
      <w:r>
        <w:t xml:space="preserve">; </w:t>
      </w:r>
      <w:hyperlink w:anchor="AUTO_1985_51" w:history="1">
        <w:r w:rsidRPr="009452A2">
          <w:rPr>
            <w:rStyle w:val="TextoNormalCaracter"/>
          </w:rPr>
          <w:t>51/1985</w:t>
        </w:r>
      </w:hyperlink>
      <w:r>
        <w:t xml:space="preserve">; </w:t>
      </w:r>
      <w:hyperlink w:anchor="AUTO_1985_57" w:history="1">
        <w:r w:rsidRPr="009452A2">
          <w:rPr>
            <w:rStyle w:val="TextoNormalCaracter"/>
          </w:rPr>
          <w:t>57/1985</w:t>
        </w:r>
      </w:hyperlink>
      <w:r>
        <w:t xml:space="preserve">; </w:t>
      </w:r>
      <w:hyperlink w:anchor="AUTO_1985_58" w:history="1">
        <w:r w:rsidRPr="009452A2">
          <w:rPr>
            <w:rStyle w:val="TextoNormalCaracter"/>
          </w:rPr>
          <w:t>58/1985</w:t>
        </w:r>
      </w:hyperlink>
      <w:r>
        <w:t xml:space="preserve">; </w:t>
      </w:r>
      <w:hyperlink w:anchor="AUTO_1985_60" w:history="1">
        <w:r w:rsidRPr="009452A2">
          <w:rPr>
            <w:rStyle w:val="TextoNormalCaracter"/>
          </w:rPr>
          <w:t>60/1985</w:t>
        </w:r>
      </w:hyperlink>
      <w:r>
        <w:t xml:space="preserve">; </w:t>
      </w:r>
      <w:hyperlink w:anchor="AUTO_1985_61" w:history="1">
        <w:r w:rsidRPr="009452A2">
          <w:rPr>
            <w:rStyle w:val="TextoNormalCaracter"/>
          </w:rPr>
          <w:t>61/1985</w:t>
        </w:r>
      </w:hyperlink>
      <w:r>
        <w:t xml:space="preserve">; </w:t>
      </w:r>
      <w:hyperlink w:anchor="AUTO_1985_62" w:history="1">
        <w:r w:rsidRPr="009452A2">
          <w:rPr>
            <w:rStyle w:val="TextoNormalCaracter"/>
          </w:rPr>
          <w:t>62/1985</w:t>
        </w:r>
      </w:hyperlink>
      <w:r>
        <w:t xml:space="preserve">; </w:t>
      </w:r>
      <w:hyperlink w:anchor="AUTO_1985_65" w:history="1">
        <w:r w:rsidRPr="009452A2">
          <w:rPr>
            <w:rStyle w:val="TextoNormalCaracter"/>
          </w:rPr>
          <w:t>65/1985</w:t>
        </w:r>
      </w:hyperlink>
      <w:r>
        <w:t xml:space="preserve">; </w:t>
      </w:r>
      <w:hyperlink w:anchor="AUTO_1985_66" w:history="1">
        <w:r w:rsidRPr="009452A2">
          <w:rPr>
            <w:rStyle w:val="TextoNormalCaracter"/>
          </w:rPr>
          <w:t>66/1985</w:t>
        </w:r>
      </w:hyperlink>
      <w:r>
        <w:t xml:space="preserve">; </w:t>
      </w:r>
      <w:hyperlink w:anchor="AUTO_1985_69" w:history="1">
        <w:r w:rsidRPr="009452A2">
          <w:rPr>
            <w:rStyle w:val="TextoNormalCaracter"/>
          </w:rPr>
          <w:t>69/1985</w:t>
        </w:r>
      </w:hyperlink>
      <w:r>
        <w:t xml:space="preserve">; </w:t>
      </w:r>
      <w:hyperlink w:anchor="AUTO_1985_70" w:history="1">
        <w:r w:rsidRPr="009452A2">
          <w:rPr>
            <w:rStyle w:val="TextoNormalCaracter"/>
          </w:rPr>
          <w:t>70/1985</w:t>
        </w:r>
      </w:hyperlink>
      <w:r>
        <w:t xml:space="preserve">; </w:t>
      </w:r>
      <w:hyperlink w:anchor="AUTO_1985_72" w:history="1">
        <w:r w:rsidRPr="009452A2">
          <w:rPr>
            <w:rStyle w:val="TextoNormalCaracter"/>
          </w:rPr>
          <w:t>72/1985</w:t>
        </w:r>
      </w:hyperlink>
      <w:r>
        <w:t xml:space="preserve">; </w:t>
      </w:r>
      <w:hyperlink w:anchor="AUTO_1985_78" w:history="1">
        <w:r w:rsidRPr="009452A2">
          <w:rPr>
            <w:rStyle w:val="TextoNormalCaracter"/>
          </w:rPr>
          <w:t>78/1985</w:t>
        </w:r>
      </w:hyperlink>
      <w:r>
        <w:t xml:space="preserve">; </w:t>
      </w:r>
      <w:hyperlink w:anchor="AUTO_1985_80" w:history="1">
        <w:r w:rsidRPr="009452A2">
          <w:rPr>
            <w:rStyle w:val="TextoNormalCaracter"/>
          </w:rPr>
          <w:t>80/1985</w:t>
        </w:r>
      </w:hyperlink>
      <w:r>
        <w:t xml:space="preserve">; </w:t>
      </w:r>
      <w:hyperlink w:anchor="AUTO_1985_87" w:history="1">
        <w:r w:rsidRPr="009452A2">
          <w:rPr>
            <w:rStyle w:val="TextoNormalCaracter"/>
          </w:rPr>
          <w:t>87/1985</w:t>
        </w:r>
      </w:hyperlink>
      <w:r>
        <w:t xml:space="preserve">; </w:t>
      </w:r>
      <w:hyperlink w:anchor="AUTO_1985_93" w:history="1">
        <w:r w:rsidRPr="009452A2">
          <w:rPr>
            <w:rStyle w:val="TextoNormalCaracter"/>
          </w:rPr>
          <w:t>93/1985</w:t>
        </w:r>
      </w:hyperlink>
      <w:r>
        <w:t xml:space="preserve">; </w:t>
      </w:r>
      <w:hyperlink w:anchor="AUTO_1985_120" w:history="1">
        <w:r w:rsidRPr="009452A2">
          <w:rPr>
            <w:rStyle w:val="TextoNormalCaracter"/>
          </w:rPr>
          <w:t>120/1985</w:t>
        </w:r>
      </w:hyperlink>
      <w:r>
        <w:t xml:space="preserve">; </w:t>
      </w:r>
      <w:hyperlink w:anchor="AUTO_1985_121" w:history="1">
        <w:r w:rsidRPr="009452A2">
          <w:rPr>
            <w:rStyle w:val="TextoNormalCaracter"/>
          </w:rPr>
          <w:t>121/1985</w:t>
        </w:r>
      </w:hyperlink>
      <w:r>
        <w:t xml:space="preserve">; </w:t>
      </w:r>
      <w:hyperlink w:anchor="AUTO_1985_123" w:history="1">
        <w:r w:rsidRPr="009452A2">
          <w:rPr>
            <w:rStyle w:val="TextoNormalCaracter"/>
          </w:rPr>
          <w:t>123/1985</w:t>
        </w:r>
      </w:hyperlink>
      <w:r>
        <w:t xml:space="preserve">; </w:t>
      </w:r>
      <w:hyperlink w:anchor="AUTO_1985_133" w:history="1">
        <w:r w:rsidRPr="009452A2">
          <w:rPr>
            <w:rStyle w:val="TextoNormalCaracter"/>
          </w:rPr>
          <w:t>133/1985</w:t>
        </w:r>
      </w:hyperlink>
      <w:r>
        <w:t xml:space="preserve">; </w:t>
      </w:r>
      <w:hyperlink w:anchor="AUTO_1985_134" w:history="1">
        <w:r w:rsidRPr="009452A2">
          <w:rPr>
            <w:rStyle w:val="TextoNormalCaracter"/>
          </w:rPr>
          <w:t>134/1985</w:t>
        </w:r>
      </w:hyperlink>
      <w:r>
        <w:t xml:space="preserve">; </w:t>
      </w:r>
      <w:hyperlink w:anchor="AUTO_1985_141" w:history="1">
        <w:r w:rsidRPr="009452A2">
          <w:rPr>
            <w:rStyle w:val="TextoNormalCaracter"/>
          </w:rPr>
          <w:t>141/1985</w:t>
        </w:r>
      </w:hyperlink>
      <w:r>
        <w:t xml:space="preserve">; </w:t>
      </w:r>
      <w:hyperlink w:anchor="AUTO_1985_142" w:history="1">
        <w:r w:rsidRPr="009452A2">
          <w:rPr>
            <w:rStyle w:val="TextoNormalCaracter"/>
          </w:rPr>
          <w:t>142/1985</w:t>
        </w:r>
      </w:hyperlink>
      <w:r>
        <w:t xml:space="preserve">; </w:t>
      </w:r>
      <w:hyperlink w:anchor="AUTO_1985_143" w:history="1">
        <w:r w:rsidRPr="009452A2">
          <w:rPr>
            <w:rStyle w:val="TextoNormalCaracter"/>
          </w:rPr>
          <w:t>143/1985</w:t>
        </w:r>
      </w:hyperlink>
      <w:r>
        <w:t xml:space="preserve">; </w:t>
      </w:r>
      <w:hyperlink w:anchor="AUTO_1985_144" w:history="1">
        <w:r w:rsidRPr="009452A2">
          <w:rPr>
            <w:rStyle w:val="TextoNormalCaracter"/>
          </w:rPr>
          <w:t>144/1985</w:t>
        </w:r>
      </w:hyperlink>
      <w:r>
        <w:t xml:space="preserve">; </w:t>
      </w:r>
      <w:hyperlink w:anchor="AUTO_1985_157" w:history="1">
        <w:r w:rsidRPr="009452A2">
          <w:rPr>
            <w:rStyle w:val="TextoNormalCaracter"/>
          </w:rPr>
          <w:t>157/1985</w:t>
        </w:r>
      </w:hyperlink>
      <w:r>
        <w:t xml:space="preserve">; </w:t>
      </w:r>
      <w:hyperlink w:anchor="AUTO_1985_161" w:history="1">
        <w:r w:rsidRPr="009452A2">
          <w:rPr>
            <w:rStyle w:val="TextoNormalCaracter"/>
          </w:rPr>
          <w:t>161/1985</w:t>
        </w:r>
      </w:hyperlink>
      <w:r>
        <w:t xml:space="preserve">; </w:t>
      </w:r>
      <w:hyperlink w:anchor="AUTO_1985_170" w:history="1">
        <w:r w:rsidRPr="009452A2">
          <w:rPr>
            <w:rStyle w:val="TextoNormalCaracter"/>
          </w:rPr>
          <w:t>170/1985</w:t>
        </w:r>
      </w:hyperlink>
      <w:r>
        <w:t xml:space="preserve">; </w:t>
      </w:r>
      <w:hyperlink w:anchor="AUTO_1985_177" w:history="1">
        <w:r w:rsidRPr="009452A2">
          <w:rPr>
            <w:rStyle w:val="TextoNormalCaracter"/>
          </w:rPr>
          <w:t>177/1985</w:t>
        </w:r>
      </w:hyperlink>
      <w:r>
        <w:t xml:space="preserve">; </w:t>
      </w:r>
      <w:hyperlink w:anchor="AUTO_1985_179" w:history="1">
        <w:r w:rsidRPr="009452A2">
          <w:rPr>
            <w:rStyle w:val="TextoNormalCaracter"/>
          </w:rPr>
          <w:t>179/1985</w:t>
        </w:r>
      </w:hyperlink>
      <w:r>
        <w:t xml:space="preserve">; </w:t>
      </w:r>
      <w:hyperlink w:anchor="AUTO_1985_184" w:history="1">
        <w:r w:rsidRPr="009452A2">
          <w:rPr>
            <w:rStyle w:val="TextoNormalCaracter"/>
          </w:rPr>
          <w:t>184/1985</w:t>
        </w:r>
      </w:hyperlink>
      <w:r>
        <w:t xml:space="preserve">; </w:t>
      </w:r>
      <w:hyperlink w:anchor="AUTO_1985_192" w:history="1">
        <w:r w:rsidRPr="009452A2">
          <w:rPr>
            <w:rStyle w:val="TextoNormalCaracter"/>
          </w:rPr>
          <w:t>192/1985</w:t>
        </w:r>
      </w:hyperlink>
      <w:r>
        <w:t xml:space="preserve">; </w:t>
      </w:r>
      <w:hyperlink w:anchor="AUTO_1985_194" w:history="1">
        <w:r w:rsidRPr="009452A2">
          <w:rPr>
            <w:rStyle w:val="TextoNormalCaracter"/>
          </w:rPr>
          <w:t>194/1985</w:t>
        </w:r>
      </w:hyperlink>
      <w:r>
        <w:t xml:space="preserve">; </w:t>
      </w:r>
      <w:hyperlink w:anchor="AUTO_1985_196" w:history="1">
        <w:r w:rsidRPr="009452A2">
          <w:rPr>
            <w:rStyle w:val="TextoNormalCaracter"/>
          </w:rPr>
          <w:t>196/1985</w:t>
        </w:r>
      </w:hyperlink>
      <w:r>
        <w:t xml:space="preserve">; </w:t>
      </w:r>
      <w:hyperlink w:anchor="AUTO_1985_202" w:history="1">
        <w:r w:rsidRPr="009452A2">
          <w:rPr>
            <w:rStyle w:val="TextoNormalCaracter"/>
          </w:rPr>
          <w:t>202/1985</w:t>
        </w:r>
      </w:hyperlink>
      <w:r>
        <w:t xml:space="preserve">; </w:t>
      </w:r>
      <w:hyperlink w:anchor="AUTO_1985_210" w:history="1">
        <w:r w:rsidRPr="009452A2">
          <w:rPr>
            <w:rStyle w:val="TextoNormalCaracter"/>
          </w:rPr>
          <w:t>210/1985</w:t>
        </w:r>
      </w:hyperlink>
      <w:r>
        <w:t xml:space="preserve">; </w:t>
      </w:r>
      <w:hyperlink w:anchor="AUTO_1985_218" w:history="1">
        <w:r w:rsidRPr="009452A2">
          <w:rPr>
            <w:rStyle w:val="TextoNormalCaracter"/>
          </w:rPr>
          <w:t>218/1985</w:t>
        </w:r>
      </w:hyperlink>
      <w:r>
        <w:t xml:space="preserve">; </w:t>
      </w:r>
      <w:hyperlink w:anchor="AUTO_1985_220" w:history="1">
        <w:r w:rsidRPr="009452A2">
          <w:rPr>
            <w:rStyle w:val="TextoNormalCaracter"/>
          </w:rPr>
          <w:t>220/1985</w:t>
        </w:r>
      </w:hyperlink>
      <w:r>
        <w:t xml:space="preserve">; </w:t>
      </w:r>
      <w:hyperlink w:anchor="AUTO_1985_227" w:history="1">
        <w:r w:rsidRPr="009452A2">
          <w:rPr>
            <w:rStyle w:val="TextoNormalCaracter"/>
          </w:rPr>
          <w:t>227/1985</w:t>
        </w:r>
      </w:hyperlink>
      <w:r>
        <w:t xml:space="preserve">; </w:t>
      </w:r>
      <w:hyperlink w:anchor="AUTO_1985_228" w:history="1">
        <w:r w:rsidRPr="009452A2">
          <w:rPr>
            <w:rStyle w:val="TextoNormalCaracter"/>
          </w:rPr>
          <w:t>228/1985</w:t>
        </w:r>
      </w:hyperlink>
      <w:r>
        <w:t xml:space="preserve">; </w:t>
      </w:r>
      <w:hyperlink w:anchor="AUTO_1985_234" w:history="1">
        <w:r w:rsidRPr="009452A2">
          <w:rPr>
            <w:rStyle w:val="TextoNormalCaracter"/>
          </w:rPr>
          <w:t>234/1985</w:t>
        </w:r>
      </w:hyperlink>
      <w:r>
        <w:t xml:space="preserve">; </w:t>
      </w:r>
      <w:hyperlink w:anchor="AUTO_1985_242" w:history="1">
        <w:r w:rsidRPr="009452A2">
          <w:rPr>
            <w:rStyle w:val="TextoNormalCaracter"/>
          </w:rPr>
          <w:t>242/1985</w:t>
        </w:r>
      </w:hyperlink>
      <w:r>
        <w:t xml:space="preserve">; </w:t>
      </w:r>
      <w:hyperlink w:anchor="AUTO_1985_244" w:history="1">
        <w:r w:rsidRPr="009452A2">
          <w:rPr>
            <w:rStyle w:val="TextoNormalCaracter"/>
          </w:rPr>
          <w:t>244/1985</w:t>
        </w:r>
      </w:hyperlink>
      <w:r>
        <w:t xml:space="preserve">; </w:t>
      </w:r>
      <w:hyperlink w:anchor="AUTO_1985_249" w:history="1">
        <w:r w:rsidRPr="009452A2">
          <w:rPr>
            <w:rStyle w:val="TextoNormalCaracter"/>
          </w:rPr>
          <w:t>249/1985</w:t>
        </w:r>
      </w:hyperlink>
      <w:r>
        <w:t xml:space="preserve">; </w:t>
      </w:r>
      <w:hyperlink w:anchor="AUTO_1985_250" w:history="1">
        <w:r w:rsidRPr="009452A2">
          <w:rPr>
            <w:rStyle w:val="TextoNormalCaracter"/>
          </w:rPr>
          <w:t>250/1985</w:t>
        </w:r>
      </w:hyperlink>
      <w:r>
        <w:t xml:space="preserve">; </w:t>
      </w:r>
      <w:hyperlink w:anchor="AUTO_1985_253" w:history="1">
        <w:r w:rsidRPr="009452A2">
          <w:rPr>
            <w:rStyle w:val="TextoNormalCaracter"/>
          </w:rPr>
          <w:t>253/1985</w:t>
        </w:r>
      </w:hyperlink>
      <w:r>
        <w:t xml:space="preserve">; </w:t>
      </w:r>
      <w:hyperlink w:anchor="AUTO_1985_268" w:history="1">
        <w:r w:rsidRPr="009452A2">
          <w:rPr>
            <w:rStyle w:val="TextoNormalCaracter"/>
          </w:rPr>
          <w:t>268/1985</w:t>
        </w:r>
      </w:hyperlink>
      <w:r>
        <w:t xml:space="preserve">; </w:t>
      </w:r>
      <w:hyperlink w:anchor="AUTO_1985_271" w:history="1">
        <w:r w:rsidRPr="009452A2">
          <w:rPr>
            <w:rStyle w:val="TextoNormalCaracter"/>
          </w:rPr>
          <w:t>271/1985</w:t>
        </w:r>
      </w:hyperlink>
      <w:r>
        <w:t xml:space="preserve">; </w:t>
      </w:r>
      <w:hyperlink w:anchor="AUTO_1985_272" w:history="1">
        <w:r w:rsidRPr="009452A2">
          <w:rPr>
            <w:rStyle w:val="TextoNormalCaracter"/>
          </w:rPr>
          <w:t>272/1985</w:t>
        </w:r>
      </w:hyperlink>
      <w:r>
        <w:t>.</w:t>
      </w:r>
    </w:p>
    <w:p w:rsidR="009452A2" w:rsidRDefault="009452A2" w:rsidP="009452A2">
      <w:pPr>
        <w:pStyle w:val="SangriaFrancesaArticulo"/>
      </w:pPr>
      <w:r w:rsidRPr="009452A2">
        <w:rPr>
          <w:rStyle w:val="TextoNormalNegritaCaracter"/>
        </w:rPr>
        <w:t>Artículo 50.2.</w:t>
      </w:r>
      <w:r w:rsidRPr="009452A2">
        <w:rPr>
          <w:rStyle w:val="TextoNormalCaracter"/>
        </w:rPr>
        <w:t>-</w:t>
      </w:r>
      <w:r>
        <w:t xml:space="preserve"> Auto </w:t>
      </w:r>
      <w:hyperlink w:anchor="AUTO_1985_51" w:history="1">
        <w:r w:rsidRPr="009452A2">
          <w:rPr>
            <w:rStyle w:val="TextoNormalCaracter"/>
          </w:rPr>
          <w:t>51/1985</w:t>
        </w:r>
      </w:hyperlink>
      <w:r>
        <w:t>.</w:t>
      </w:r>
    </w:p>
    <w:p w:rsidR="009452A2" w:rsidRDefault="009452A2" w:rsidP="009452A2">
      <w:pPr>
        <w:pStyle w:val="SangriaFrancesaArticulo"/>
      </w:pPr>
      <w:r w:rsidRPr="009452A2">
        <w:rPr>
          <w:rStyle w:val="TextoNormalNegritaCaracter"/>
        </w:rPr>
        <w:t>Artículo 50.2 a).</w:t>
      </w:r>
      <w:r w:rsidRPr="009452A2">
        <w:rPr>
          <w:rStyle w:val="TextoNormalCaracter"/>
        </w:rPr>
        <w:t>-</w:t>
      </w:r>
      <w:r>
        <w:t xml:space="preserve"> Autos </w:t>
      </w:r>
      <w:hyperlink w:anchor="AUTO_1985_22" w:history="1">
        <w:r w:rsidRPr="009452A2">
          <w:rPr>
            <w:rStyle w:val="TextoNormalCaracter"/>
          </w:rPr>
          <w:t>22/1985</w:t>
        </w:r>
      </w:hyperlink>
      <w:r>
        <w:t xml:space="preserve">; </w:t>
      </w:r>
      <w:hyperlink w:anchor="AUTO_1985_23" w:history="1">
        <w:r w:rsidRPr="009452A2">
          <w:rPr>
            <w:rStyle w:val="TextoNormalCaracter"/>
          </w:rPr>
          <w:t>23/1985</w:t>
        </w:r>
      </w:hyperlink>
      <w:r>
        <w:t xml:space="preserve">; </w:t>
      </w:r>
      <w:hyperlink w:anchor="AUTO_1985_27" w:history="1">
        <w:r w:rsidRPr="009452A2">
          <w:rPr>
            <w:rStyle w:val="TextoNormalCaracter"/>
          </w:rPr>
          <w:t>27/1985</w:t>
        </w:r>
      </w:hyperlink>
      <w:r>
        <w:t xml:space="preserve">; </w:t>
      </w:r>
      <w:hyperlink w:anchor="AUTO_1985_32" w:history="1">
        <w:r w:rsidRPr="009452A2">
          <w:rPr>
            <w:rStyle w:val="TextoNormalCaracter"/>
          </w:rPr>
          <w:t>32/1985</w:t>
        </w:r>
      </w:hyperlink>
      <w:r>
        <w:t xml:space="preserve">; </w:t>
      </w:r>
      <w:hyperlink w:anchor="AUTO_1985_87" w:history="1">
        <w:r w:rsidRPr="009452A2">
          <w:rPr>
            <w:rStyle w:val="TextoNormalCaracter"/>
          </w:rPr>
          <w:t>87/1985</w:t>
        </w:r>
      </w:hyperlink>
      <w:r>
        <w:t xml:space="preserve">; </w:t>
      </w:r>
      <w:hyperlink w:anchor="AUTO_1985_142" w:history="1">
        <w:r w:rsidRPr="009452A2">
          <w:rPr>
            <w:rStyle w:val="TextoNormalCaracter"/>
          </w:rPr>
          <w:t>142/1985</w:t>
        </w:r>
      </w:hyperlink>
      <w:r>
        <w:t xml:space="preserve">; </w:t>
      </w:r>
      <w:hyperlink w:anchor="AUTO_1985_146" w:history="1">
        <w:r w:rsidRPr="009452A2">
          <w:rPr>
            <w:rStyle w:val="TextoNormalCaracter"/>
          </w:rPr>
          <w:t>146/1985</w:t>
        </w:r>
      </w:hyperlink>
      <w:r>
        <w:t xml:space="preserve">; </w:t>
      </w:r>
      <w:hyperlink w:anchor="AUTO_1985_187" w:history="1">
        <w:r w:rsidRPr="009452A2">
          <w:rPr>
            <w:rStyle w:val="TextoNormalCaracter"/>
          </w:rPr>
          <w:t>187/1985</w:t>
        </w:r>
      </w:hyperlink>
      <w:r>
        <w:t xml:space="preserve">; </w:t>
      </w:r>
      <w:hyperlink w:anchor="AUTO_1985_212" w:history="1">
        <w:r w:rsidRPr="009452A2">
          <w:rPr>
            <w:rStyle w:val="TextoNormalCaracter"/>
          </w:rPr>
          <w:t>212/1985</w:t>
        </w:r>
      </w:hyperlink>
      <w:r>
        <w:t xml:space="preserve">; </w:t>
      </w:r>
      <w:hyperlink w:anchor="AUTO_1985_236" w:history="1">
        <w:r w:rsidRPr="009452A2">
          <w:rPr>
            <w:rStyle w:val="TextoNormalCaracter"/>
          </w:rPr>
          <w:t>236/1985</w:t>
        </w:r>
      </w:hyperlink>
      <w:r>
        <w:t xml:space="preserve">; </w:t>
      </w:r>
      <w:hyperlink w:anchor="AUTO_1985_238" w:history="1">
        <w:r w:rsidRPr="009452A2">
          <w:rPr>
            <w:rStyle w:val="TextoNormalCaracter"/>
          </w:rPr>
          <w:t>238/1985</w:t>
        </w:r>
      </w:hyperlink>
      <w:r>
        <w:t xml:space="preserve">; </w:t>
      </w:r>
      <w:hyperlink w:anchor="AUTO_1985_241" w:history="1">
        <w:r w:rsidRPr="009452A2">
          <w:rPr>
            <w:rStyle w:val="TextoNormalCaracter"/>
          </w:rPr>
          <w:t>241/1985</w:t>
        </w:r>
      </w:hyperlink>
      <w:r>
        <w:t>.</w:t>
      </w:r>
    </w:p>
    <w:p w:rsidR="009452A2" w:rsidRDefault="009452A2" w:rsidP="009452A2">
      <w:pPr>
        <w:pStyle w:val="SangriaFrancesaArticulo"/>
      </w:pPr>
      <w:r w:rsidRPr="009452A2">
        <w:rPr>
          <w:rStyle w:val="TextoNormalNegritaCaracter"/>
        </w:rPr>
        <w:t>Artículo 50.2 b).</w:t>
      </w:r>
      <w:r w:rsidRPr="009452A2">
        <w:rPr>
          <w:rStyle w:val="TextoNormalCaracter"/>
        </w:rPr>
        <w:t>-</w:t>
      </w:r>
      <w:r>
        <w:t xml:space="preserve"> Autos </w:t>
      </w:r>
      <w:hyperlink w:anchor="AUTO_1985_3" w:history="1">
        <w:r w:rsidRPr="009452A2">
          <w:rPr>
            <w:rStyle w:val="TextoNormalCaracter"/>
          </w:rPr>
          <w:t>3/1985</w:t>
        </w:r>
      </w:hyperlink>
      <w:r>
        <w:t xml:space="preserve">; </w:t>
      </w:r>
      <w:hyperlink w:anchor="AUTO_1985_4" w:history="1">
        <w:r w:rsidRPr="009452A2">
          <w:rPr>
            <w:rStyle w:val="TextoNormalCaracter"/>
          </w:rPr>
          <w:t>4/1985</w:t>
        </w:r>
      </w:hyperlink>
      <w:r>
        <w:t xml:space="preserve">; </w:t>
      </w:r>
      <w:hyperlink w:anchor="AUTO_1985_7" w:history="1">
        <w:r w:rsidRPr="009452A2">
          <w:rPr>
            <w:rStyle w:val="TextoNormalCaracter"/>
          </w:rPr>
          <w:t>7/1985</w:t>
        </w:r>
      </w:hyperlink>
      <w:r>
        <w:t xml:space="preserve">; </w:t>
      </w:r>
      <w:hyperlink w:anchor="AUTO_1985_9" w:history="1">
        <w:r w:rsidRPr="009452A2">
          <w:rPr>
            <w:rStyle w:val="TextoNormalCaracter"/>
          </w:rPr>
          <w:t>9/1985</w:t>
        </w:r>
      </w:hyperlink>
      <w:r>
        <w:t xml:space="preserve">; </w:t>
      </w:r>
      <w:hyperlink w:anchor="AUTO_1985_20" w:history="1">
        <w:r w:rsidRPr="009452A2">
          <w:rPr>
            <w:rStyle w:val="TextoNormalCaracter"/>
          </w:rPr>
          <w:t>20/1985</w:t>
        </w:r>
      </w:hyperlink>
      <w:r>
        <w:t xml:space="preserve">; </w:t>
      </w:r>
      <w:hyperlink w:anchor="AUTO_1985_21" w:history="1">
        <w:r w:rsidRPr="009452A2">
          <w:rPr>
            <w:rStyle w:val="TextoNormalCaracter"/>
          </w:rPr>
          <w:t>21/1985</w:t>
        </w:r>
      </w:hyperlink>
      <w:r>
        <w:t xml:space="preserve">; </w:t>
      </w:r>
      <w:hyperlink w:anchor="AUTO_1985_22" w:history="1">
        <w:r w:rsidRPr="009452A2">
          <w:rPr>
            <w:rStyle w:val="TextoNormalCaracter"/>
          </w:rPr>
          <w:t>22/1985</w:t>
        </w:r>
      </w:hyperlink>
      <w:r>
        <w:t xml:space="preserve">; </w:t>
      </w:r>
      <w:hyperlink w:anchor="AUTO_1985_26" w:history="1">
        <w:r w:rsidRPr="009452A2">
          <w:rPr>
            <w:rStyle w:val="TextoNormalCaracter"/>
          </w:rPr>
          <w:t>26/1985</w:t>
        </w:r>
      </w:hyperlink>
      <w:r>
        <w:t xml:space="preserve">; </w:t>
      </w:r>
      <w:hyperlink w:anchor="AUTO_1985_27" w:history="1">
        <w:r w:rsidRPr="009452A2">
          <w:rPr>
            <w:rStyle w:val="TextoNormalCaracter"/>
          </w:rPr>
          <w:t>27/1985</w:t>
        </w:r>
      </w:hyperlink>
      <w:r>
        <w:t xml:space="preserve">; </w:t>
      </w:r>
      <w:hyperlink w:anchor="AUTO_1985_32" w:history="1">
        <w:r w:rsidRPr="009452A2">
          <w:rPr>
            <w:rStyle w:val="TextoNormalCaracter"/>
          </w:rPr>
          <w:t>32/1985</w:t>
        </w:r>
      </w:hyperlink>
      <w:r>
        <w:t xml:space="preserve">; </w:t>
      </w:r>
      <w:hyperlink w:anchor="AUTO_1985_34" w:history="1">
        <w:r w:rsidRPr="009452A2">
          <w:rPr>
            <w:rStyle w:val="TextoNormalCaracter"/>
          </w:rPr>
          <w:t>34/1985</w:t>
        </w:r>
      </w:hyperlink>
      <w:r>
        <w:t xml:space="preserve">; </w:t>
      </w:r>
      <w:hyperlink w:anchor="AUTO_1985_37" w:history="1">
        <w:r w:rsidRPr="009452A2">
          <w:rPr>
            <w:rStyle w:val="TextoNormalCaracter"/>
          </w:rPr>
          <w:t>37/1985</w:t>
        </w:r>
      </w:hyperlink>
      <w:r>
        <w:t xml:space="preserve">; </w:t>
      </w:r>
      <w:hyperlink w:anchor="AUTO_1985_45" w:history="1">
        <w:r w:rsidRPr="009452A2">
          <w:rPr>
            <w:rStyle w:val="TextoNormalCaracter"/>
          </w:rPr>
          <w:t>45/1985</w:t>
        </w:r>
      </w:hyperlink>
      <w:r>
        <w:t xml:space="preserve">; </w:t>
      </w:r>
      <w:hyperlink w:anchor="AUTO_1985_46" w:history="1">
        <w:r w:rsidRPr="009452A2">
          <w:rPr>
            <w:rStyle w:val="TextoNormalCaracter"/>
          </w:rPr>
          <w:t>46/1985</w:t>
        </w:r>
      </w:hyperlink>
      <w:r>
        <w:t xml:space="preserve">; </w:t>
      </w:r>
      <w:hyperlink w:anchor="AUTO_1985_47" w:history="1">
        <w:r w:rsidRPr="009452A2">
          <w:rPr>
            <w:rStyle w:val="TextoNormalCaracter"/>
          </w:rPr>
          <w:t>47/1985</w:t>
        </w:r>
      </w:hyperlink>
      <w:r>
        <w:t xml:space="preserve">; </w:t>
      </w:r>
      <w:hyperlink w:anchor="AUTO_1985_50" w:history="1">
        <w:r w:rsidRPr="009452A2">
          <w:rPr>
            <w:rStyle w:val="TextoNormalCaracter"/>
          </w:rPr>
          <w:t>50/1985</w:t>
        </w:r>
      </w:hyperlink>
      <w:r>
        <w:t xml:space="preserve">; </w:t>
      </w:r>
      <w:hyperlink w:anchor="AUTO_1985_51" w:history="1">
        <w:r w:rsidRPr="009452A2">
          <w:rPr>
            <w:rStyle w:val="TextoNormalCaracter"/>
          </w:rPr>
          <w:t>51/1985</w:t>
        </w:r>
      </w:hyperlink>
      <w:r>
        <w:t xml:space="preserve">; </w:t>
      </w:r>
      <w:hyperlink w:anchor="AUTO_1985_53" w:history="1">
        <w:r w:rsidRPr="009452A2">
          <w:rPr>
            <w:rStyle w:val="TextoNormalCaracter"/>
          </w:rPr>
          <w:t>53/1985</w:t>
        </w:r>
      </w:hyperlink>
      <w:r>
        <w:t xml:space="preserve">; </w:t>
      </w:r>
      <w:hyperlink w:anchor="AUTO_1985_56" w:history="1">
        <w:r w:rsidRPr="009452A2">
          <w:rPr>
            <w:rStyle w:val="TextoNormalCaracter"/>
          </w:rPr>
          <w:t>56/1985</w:t>
        </w:r>
      </w:hyperlink>
      <w:r>
        <w:t xml:space="preserve">; </w:t>
      </w:r>
      <w:hyperlink w:anchor="AUTO_1985_58" w:history="1">
        <w:r w:rsidRPr="009452A2">
          <w:rPr>
            <w:rStyle w:val="TextoNormalCaracter"/>
          </w:rPr>
          <w:t>58/1985</w:t>
        </w:r>
      </w:hyperlink>
      <w:r>
        <w:t xml:space="preserve">; </w:t>
      </w:r>
      <w:hyperlink w:anchor="AUTO_1985_59" w:history="1">
        <w:r w:rsidRPr="009452A2">
          <w:rPr>
            <w:rStyle w:val="TextoNormalCaracter"/>
          </w:rPr>
          <w:t>59/1985</w:t>
        </w:r>
      </w:hyperlink>
      <w:r>
        <w:t xml:space="preserve">; </w:t>
      </w:r>
      <w:hyperlink w:anchor="AUTO_1985_60" w:history="1">
        <w:r w:rsidRPr="009452A2">
          <w:rPr>
            <w:rStyle w:val="TextoNormalCaracter"/>
          </w:rPr>
          <w:t>60/1985</w:t>
        </w:r>
      </w:hyperlink>
      <w:r>
        <w:t xml:space="preserve">; </w:t>
      </w:r>
      <w:hyperlink w:anchor="AUTO_1985_61" w:history="1">
        <w:r w:rsidRPr="009452A2">
          <w:rPr>
            <w:rStyle w:val="TextoNormalCaracter"/>
          </w:rPr>
          <w:t>61/1985</w:t>
        </w:r>
      </w:hyperlink>
      <w:r>
        <w:t xml:space="preserve">; </w:t>
      </w:r>
      <w:hyperlink w:anchor="AUTO_1985_63" w:history="1">
        <w:r w:rsidRPr="009452A2">
          <w:rPr>
            <w:rStyle w:val="TextoNormalCaracter"/>
          </w:rPr>
          <w:t>63/1985</w:t>
        </w:r>
      </w:hyperlink>
      <w:r>
        <w:t xml:space="preserve">; </w:t>
      </w:r>
      <w:hyperlink w:anchor="AUTO_1985_64" w:history="1">
        <w:r w:rsidRPr="009452A2">
          <w:rPr>
            <w:rStyle w:val="TextoNormalCaracter"/>
          </w:rPr>
          <w:t>64/1985</w:t>
        </w:r>
      </w:hyperlink>
      <w:r>
        <w:t xml:space="preserve">; </w:t>
      </w:r>
      <w:hyperlink w:anchor="AUTO_1985_66" w:history="1">
        <w:r w:rsidRPr="009452A2">
          <w:rPr>
            <w:rStyle w:val="TextoNormalCaracter"/>
          </w:rPr>
          <w:t>66/1985</w:t>
        </w:r>
      </w:hyperlink>
      <w:r>
        <w:t xml:space="preserve">; </w:t>
      </w:r>
      <w:hyperlink w:anchor="AUTO_1985_67" w:history="1">
        <w:r w:rsidRPr="009452A2">
          <w:rPr>
            <w:rStyle w:val="TextoNormalCaracter"/>
          </w:rPr>
          <w:t>67/1985</w:t>
        </w:r>
      </w:hyperlink>
      <w:r>
        <w:t xml:space="preserve">; </w:t>
      </w:r>
      <w:hyperlink w:anchor="AUTO_1985_69" w:history="1">
        <w:r w:rsidRPr="009452A2">
          <w:rPr>
            <w:rStyle w:val="TextoNormalCaracter"/>
          </w:rPr>
          <w:t>69/1985</w:t>
        </w:r>
      </w:hyperlink>
      <w:r>
        <w:t xml:space="preserve">; </w:t>
      </w:r>
      <w:hyperlink w:anchor="AUTO_1985_70" w:history="1">
        <w:r w:rsidRPr="009452A2">
          <w:rPr>
            <w:rStyle w:val="TextoNormalCaracter"/>
          </w:rPr>
          <w:t>70/1985</w:t>
        </w:r>
      </w:hyperlink>
      <w:r>
        <w:t xml:space="preserve">; </w:t>
      </w:r>
      <w:hyperlink w:anchor="AUTO_1985_72" w:history="1">
        <w:r w:rsidRPr="009452A2">
          <w:rPr>
            <w:rStyle w:val="TextoNormalCaracter"/>
          </w:rPr>
          <w:t>72/1985</w:t>
        </w:r>
      </w:hyperlink>
      <w:r>
        <w:t xml:space="preserve">; </w:t>
      </w:r>
      <w:hyperlink w:anchor="AUTO_1985_73" w:history="1">
        <w:r w:rsidRPr="009452A2">
          <w:rPr>
            <w:rStyle w:val="TextoNormalCaracter"/>
          </w:rPr>
          <w:t>73/1985</w:t>
        </w:r>
      </w:hyperlink>
      <w:r>
        <w:t xml:space="preserve">; </w:t>
      </w:r>
      <w:hyperlink w:anchor="AUTO_1985_76" w:history="1">
        <w:r w:rsidRPr="009452A2">
          <w:rPr>
            <w:rStyle w:val="TextoNormalCaracter"/>
          </w:rPr>
          <w:t>76/1985</w:t>
        </w:r>
      </w:hyperlink>
      <w:r>
        <w:t xml:space="preserve">; </w:t>
      </w:r>
      <w:hyperlink w:anchor="AUTO_1985_77" w:history="1">
        <w:r w:rsidRPr="009452A2">
          <w:rPr>
            <w:rStyle w:val="TextoNormalCaracter"/>
          </w:rPr>
          <w:t>77/1985</w:t>
        </w:r>
      </w:hyperlink>
      <w:r>
        <w:t xml:space="preserve">; </w:t>
      </w:r>
      <w:hyperlink w:anchor="AUTO_1985_78" w:history="1">
        <w:r w:rsidRPr="009452A2">
          <w:rPr>
            <w:rStyle w:val="TextoNormalCaracter"/>
          </w:rPr>
          <w:t>78/1985</w:t>
        </w:r>
      </w:hyperlink>
      <w:r>
        <w:t xml:space="preserve">; </w:t>
      </w:r>
      <w:hyperlink w:anchor="AUTO_1985_80" w:history="1">
        <w:r w:rsidRPr="009452A2">
          <w:rPr>
            <w:rStyle w:val="TextoNormalCaracter"/>
          </w:rPr>
          <w:t>80/1985</w:t>
        </w:r>
      </w:hyperlink>
      <w:r>
        <w:t xml:space="preserve">; </w:t>
      </w:r>
      <w:hyperlink w:anchor="AUTO_1985_81" w:history="1">
        <w:r w:rsidRPr="009452A2">
          <w:rPr>
            <w:rStyle w:val="TextoNormalCaracter"/>
          </w:rPr>
          <w:t>81/1985</w:t>
        </w:r>
      </w:hyperlink>
      <w:r>
        <w:t xml:space="preserve">; </w:t>
      </w:r>
      <w:hyperlink w:anchor="AUTO_1985_82" w:history="1">
        <w:r w:rsidRPr="009452A2">
          <w:rPr>
            <w:rStyle w:val="TextoNormalCaracter"/>
          </w:rPr>
          <w:t>82/1985</w:t>
        </w:r>
      </w:hyperlink>
      <w:r>
        <w:t xml:space="preserve">; </w:t>
      </w:r>
      <w:hyperlink w:anchor="AUTO_1985_83" w:history="1">
        <w:r w:rsidRPr="009452A2">
          <w:rPr>
            <w:rStyle w:val="TextoNormalCaracter"/>
          </w:rPr>
          <w:t>83/1985</w:t>
        </w:r>
      </w:hyperlink>
      <w:r>
        <w:t xml:space="preserve">; </w:t>
      </w:r>
      <w:hyperlink w:anchor="AUTO_1985_87" w:history="1">
        <w:r w:rsidRPr="009452A2">
          <w:rPr>
            <w:rStyle w:val="TextoNormalCaracter"/>
          </w:rPr>
          <w:t>87/1985</w:t>
        </w:r>
      </w:hyperlink>
      <w:r>
        <w:t xml:space="preserve">; </w:t>
      </w:r>
      <w:hyperlink w:anchor="AUTO_1985_88" w:history="1">
        <w:r w:rsidRPr="009452A2">
          <w:rPr>
            <w:rStyle w:val="TextoNormalCaracter"/>
          </w:rPr>
          <w:t>88/1985</w:t>
        </w:r>
      </w:hyperlink>
      <w:r>
        <w:t xml:space="preserve">; </w:t>
      </w:r>
      <w:hyperlink w:anchor="AUTO_1985_89" w:history="1">
        <w:r w:rsidRPr="009452A2">
          <w:rPr>
            <w:rStyle w:val="TextoNormalCaracter"/>
          </w:rPr>
          <w:t>89/1985</w:t>
        </w:r>
      </w:hyperlink>
      <w:r>
        <w:t xml:space="preserve">; </w:t>
      </w:r>
      <w:hyperlink w:anchor="AUTO_1985_90" w:history="1">
        <w:r w:rsidRPr="009452A2">
          <w:rPr>
            <w:rStyle w:val="TextoNormalCaracter"/>
          </w:rPr>
          <w:t>90/1985</w:t>
        </w:r>
      </w:hyperlink>
      <w:r>
        <w:t xml:space="preserve">; </w:t>
      </w:r>
      <w:hyperlink w:anchor="AUTO_1985_94" w:history="1">
        <w:r w:rsidRPr="009452A2">
          <w:rPr>
            <w:rStyle w:val="TextoNormalCaracter"/>
          </w:rPr>
          <w:t>94/1985</w:t>
        </w:r>
      </w:hyperlink>
      <w:r>
        <w:t xml:space="preserve">; </w:t>
      </w:r>
      <w:hyperlink w:anchor="AUTO_1985_95" w:history="1">
        <w:r w:rsidRPr="009452A2">
          <w:rPr>
            <w:rStyle w:val="TextoNormalCaracter"/>
          </w:rPr>
          <w:t>95/1985</w:t>
        </w:r>
      </w:hyperlink>
      <w:r>
        <w:t xml:space="preserve">; </w:t>
      </w:r>
      <w:hyperlink w:anchor="AUTO_1985_97" w:history="1">
        <w:r w:rsidRPr="009452A2">
          <w:rPr>
            <w:rStyle w:val="TextoNormalCaracter"/>
          </w:rPr>
          <w:t>97/1985</w:t>
        </w:r>
      </w:hyperlink>
      <w:r>
        <w:t xml:space="preserve">; </w:t>
      </w:r>
      <w:hyperlink w:anchor="AUTO_1985_98" w:history="1">
        <w:r w:rsidRPr="009452A2">
          <w:rPr>
            <w:rStyle w:val="TextoNormalCaracter"/>
          </w:rPr>
          <w:t>98/1985</w:t>
        </w:r>
      </w:hyperlink>
      <w:r>
        <w:t xml:space="preserve">; </w:t>
      </w:r>
      <w:hyperlink w:anchor="AUTO_1985_103" w:history="1">
        <w:r w:rsidRPr="009452A2">
          <w:rPr>
            <w:rStyle w:val="TextoNormalCaracter"/>
          </w:rPr>
          <w:t>103/1985</w:t>
        </w:r>
      </w:hyperlink>
      <w:r>
        <w:t xml:space="preserve">; </w:t>
      </w:r>
      <w:hyperlink w:anchor="AUTO_1985_104" w:history="1">
        <w:r w:rsidRPr="009452A2">
          <w:rPr>
            <w:rStyle w:val="TextoNormalCaracter"/>
          </w:rPr>
          <w:t>104/1985</w:t>
        </w:r>
      </w:hyperlink>
      <w:r>
        <w:t xml:space="preserve">; </w:t>
      </w:r>
      <w:hyperlink w:anchor="AUTO_1985_105" w:history="1">
        <w:r w:rsidRPr="009452A2">
          <w:rPr>
            <w:rStyle w:val="TextoNormalCaracter"/>
          </w:rPr>
          <w:t>105/1985</w:t>
        </w:r>
      </w:hyperlink>
      <w:r>
        <w:t xml:space="preserve">; </w:t>
      </w:r>
      <w:hyperlink w:anchor="AUTO_1985_107" w:history="1">
        <w:r w:rsidRPr="009452A2">
          <w:rPr>
            <w:rStyle w:val="TextoNormalCaracter"/>
          </w:rPr>
          <w:t>107/1985</w:t>
        </w:r>
      </w:hyperlink>
      <w:r>
        <w:t xml:space="preserve">; </w:t>
      </w:r>
      <w:hyperlink w:anchor="AUTO_1985_109" w:history="1">
        <w:r w:rsidRPr="009452A2">
          <w:rPr>
            <w:rStyle w:val="TextoNormalCaracter"/>
          </w:rPr>
          <w:t>109/1985</w:t>
        </w:r>
      </w:hyperlink>
      <w:r>
        <w:t xml:space="preserve">; </w:t>
      </w:r>
      <w:hyperlink w:anchor="AUTO_1985_116" w:history="1">
        <w:r w:rsidRPr="009452A2">
          <w:rPr>
            <w:rStyle w:val="TextoNormalCaracter"/>
          </w:rPr>
          <w:t>116/1985</w:t>
        </w:r>
      </w:hyperlink>
      <w:r>
        <w:t xml:space="preserve">; </w:t>
      </w:r>
      <w:hyperlink w:anchor="AUTO_1985_118" w:history="1">
        <w:r w:rsidRPr="009452A2">
          <w:rPr>
            <w:rStyle w:val="TextoNormalCaracter"/>
          </w:rPr>
          <w:t>118/1985</w:t>
        </w:r>
      </w:hyperlink>
      <w:r>
        <w:t xml:space="preserve">; </w:t>
      </w:r>
      <w:hyperlink w:anchor="AUTO_1985_120" w:history="1">
        <w:r w:rsidRPr="009452A2">
          <w:rPr>
            <w:rStyle w:val="TextoNormalCaracter"/>
          </w:rPr>
          <w:t>120/1985</w:t>
        </w:r>
      </w:hyperlink>
      <w:r>
        <w:t xml:space="preserve">; </w:t>
      </w:r>
      <w:hyperlink w:anchor="AUTO_1985_121" w:history="1">
        <w:r w:rsidRPr="009452A2">
          <w:rPr>
            <w:rStyle w:val="TextoNormalCaracter"/>
          </w:rPr>
          <w:t>121/1985</w:t>
        </w:r>
      </w:hyperlink>
      <w:r>
        <w:t xml:space="preserve">; </w:t>
      </w:r>
      <w:hyperlink w:anchor="AUTO_1985_122" w:history="1">
        <w:r w:rsidRPr="009452A2">
          <w:rPr>
            <w:rStyle w:val="TextoNormalCaracter"/>
          </w:rPr>
          <w:t>122/1985</w:t>
        </w:r>
      </w:hyperlink>
      <w:r>
        <w:t xml:space="preserve">; </w:t>
      </w:r>
      <w:hyperlink w:anchor="AUTO_1985_123" w:history="1">
        <w:r w:rsidRPr="009452A2">
          <w:rPr>
            <w:rStyle w:val="TextoNormalCaracter"/>
          </w:rPr>
          <w:t>123/1985</w:t>
        </w:r>
      </w:hyperlink>
      <w:r>
        <w:t xml:space="preserve">; </w:t>
      </w:r>
      <w:hyperlink w:anchor="AUTO_1985_130" w:history="1">
        <w:r w:rsidRPr="009452A2">
          <w:rPr>
            <w:rStyle w:val="TextoNormalCaracter"/>
          </w:rPr>
          <w:t>130/1985</w:t>
        </w:r>
      </w:hyperlink>
      <w:r>
        <w:t xml:space="preserve">; </w:t>
      </w:r>
      <w:hyperlink w:anchor="AUTO_1985_136" w:history="1">
        <w:r w:rsidRPr="009452A2">
          <w:rPr>
            <w:rStyle w:val="TextoNormalCaracter"/>
          </w:rPr>
          <w:t>136/1985</w:t>
        </w:r>
      </w:hyperlink>
      <w:r>
        <w:t xml:space="preserve">; </w:t>
      </w:r>
      <w:hyperlink w:anchor="AUTO_1985_138" w:history="1">
        <w:r w:rsidRPr="009452A2">
          <w:rPr>
            <w:rStyle w:val="TextoNormalCaracter"/>
          </w:rPr>
          <w:t>138/1985</w:t>
        </w:r>
      </w:hyperlink>
      <w:r>
        <w:t xml:space="preserve">; </w:t>
      </w:r>
      <w:hyperlink w:anchor="AUTO_1985_141" w:history="1">
        <w:r w:rsidRPr="009452A2">
          <w:rPr>
            <w:rStyle w:val="TextoNormalCaracter"/>
          </w:rPr>
          <w:t>141/1985</w:t>
        </w:r>
      </w:hyperlink>
      <w:r>
        <w:t xml:space="preserve">; </w:t>
      </w:r>
      <w:hyperlink w:anchor="AUTO_1985_142" w:history="1">
        <w:r w:rsidRPr="009452A2">
          <w:rPr>
            <w:rStyle w:val="TextoNormalCaracter"/>
          </w:rPr>
          <w:t>142/1985</w:t>
        </w:r>
      </w:hyperlink>
      <w:r>
        <w:t xml:space="preserve">; </w:t>
      </w:r>
      <w:hyperlink w:anchor="AUTO_1985_143" w:history="1">
        <w:r w:rsidRPr="009452A2">
          <w:rPr>
            <w:rStyle w:val="TextoNormalCaracter"/>
          </w:rPr>
          <w:t>143/1985</w:t>
        </w:r>
      </w:hyperlink>
      <w:r>
        <w:t xml:space="preserve">; </w:t>
      </w:r>
      <w:hyperlink w:anchor="AUTO_1985_145" w:history="1">
        <w:r w:rsidRPr="009452A2">
          <w:rPr>
            <w:rStyle w:val="TextoNormalCaracter"/>
          </w:rPr>
          <w:t>145/1985</w:t>
        </w:r>
      </w:hyperlink>
      <w:r>
        <w:t xml:space="preserve">; </w:t>
      </w:r>
      <w:hyperlink w:anchor="AUTO_1985_146" w:history="1">
        <w:r w:rsidRPr="009452A2">
          <w:rPr>
            <w:rStyle w:val="TextoNormalCaracter"/>
          </w:rPr>
          <w:t>146/1985</w:t>
        </w:r>
      </w:hyperlink>
      <w:r>
        <w:t xml:space="preserve">; </w:t>
      </w:r>
      <w:hyperlink w:anchor="AUTO_1985_152" w:history="1">
        <w:r w:rsidRPr="009452A2">
          <w:rPr>
            <w:rStyle w:val="TextoNormalCaracter"/>
          </w:rPr>
          <w:t>152/1985</w:t>
        </w:r>
      </w:hyperlink>
      <w:r>
        <w:t xml:space="preserve">; </w:t>
      </w:r>
      <w:hyperlink w:anchor="AUTO_1985_153" w:history="1">
        <w:r w:rsidRPr="009452A2">
          <w:rPr>
            <w:rStyle w:val="TextoNormalCaracter"/>
          </w:rPr>
          <w:t>153/1985</w:t>
        </w:r>
      </w:hyperlink>
      <w:r>
        <w:t xml:space="preserve">; </w:t>
      </w:r>
      <w:hyperlink w:anchor="AUTO_1985_155" w:history="1">
        <w:r w:rsidRPr="009452A2">
          <w:rPr>
            <w:rStyle w:val="TextoNormalCaracter"/>
          </w:rPr>
          <w:t>155/1985</w:t>
        </w:r>
      </w:hyperlink>
      <w:r>
        <w:t xml:space="preserve">; </w:t>
      </w:r>
      <w:hyperlink w:anchor="AUTO_1985_156" w:history="1">
        <w:r w:rsidRPr="009452A2">
          <w:rPr>
            <w:rStyle w:val="TextoNormalCaracter"/>
          </w:rPr>
          <w:t>156/1985</w:t>
        </w:r>
      </w:hyperlink>
      <w:r>
        <w:t xml:space="preserve">; </w:t>
      </w:r>
      <w:hyperlink w:anchor="AUTO_1985_157" w:history="1">
        <w:r w:rsidRPr="009452A2">
          <w:rPr>
            <w:rStyle w:val="TextoNormalCaracter"/>
          </w:rPr>
          <w:t>157/1985</w:t>
        </w:r>
      </w:hyperlink>
      <w:r>
        <w:t xml:space="preserve">; </w:t>
      </w:r>
      <w:hyperlink w:anchor="AUTO_1985_159" w:history="1">
        <w:r w:rsidRPr="009452A2">
          <w:rPr>
            <w:rStyle w:val="TextoNormalCaracter"/>
          </w:rPr>
          <w:t>159/1985</w:t>
        </w:r>
      </w:hyperlink>
      <w:r>
        <w:t xml:space="preserve">; </w:t>
      </w:r>
      <w:hyperlink w:anchor="AUTO_1985_160" w:history="1">
        <w:r w:rsidRPr="009452A2">
          <w:rPr>
            <w:rStyle w:val="TextoNormalCaracter"/>
          </w:rPr>
          <w:t>160/1985</w:t>
        </w:r>
      </w:hyperlink>
      <w:r>
        <w:t xml:space="preserve">; </w:t>
      </w:r>
      <w:hyperlink w:anchor="AUTO_1985_161" w:history="1">
        <w:r w:rsidRPr="009452A2">
          <w:rPr>
            <w:rStyle w:val="TextoNormalCaracter"/>
          </w:rPr>
          <w:t>161/1985</w:t>
        </w:r>
      </w:hyperlink>
      <w:r>
        <w:t xml:space="preserve">; </w:t>
      </w:r>
      <w:hyperlink w:anchor="AUTO_1985_163" w:history="1">
        <w:r w:rsidRPr="009452A2">
          <w:rPr>
            <w:rStyle w:val="TextoNormalCaracter"/>
          </w:rPr>
          <w:t>163/1985</w:t>
        </w:r>
      </w:hyperlink>
      <w:r>
        <w:t xml:space="preserve">; </w:t>
      </w:r>
      <w:hyperlink w:anchor="AUTO_1985_164" w:history="1">
        <w:r w:rsidRPr="009452A2">
          <w:rPr>
            <w:rStyle w:val="TextoNormalCaracter"/>
          </w:rPr>
          <w:t>164/1985</w:t>
        </w:r>
      </w:hyperlink>
      <w:r>
        <w:t xml:space="preserve">; </w:t>
      </w:r>
      <w:hyperlink w:anchor="AUTO_1985_166" w:history="1">
        <w:r w:rsidRPr="009452A2">
          <w:rPr>
            <w:rStyle w:val="TextoNormalCaracter"/>
          </w:rPr>
          <w:t>166/1985</w:t>
        </w:r>
      </w:hyperlink>
      <w:r>
        <w:t xml:space="preserve">; </w:t>
      </w:r>
      <w:hyperlink w:anchor="AUTO_1985_168" w:history="1">
        <w:r w:rsidRPr="009452A2">
          <w:rPr>
            <w:rStyle w:val="TextoNormalCaracter"/>
          </w:rPr>
          <w:t>168/1985</w:t>
        </w:r>
      </w:hyperlink>
      <w:r>
        <w:t xml:space="preserve">; </w:t>
      </w:r>
      <w:hyperlink w:anchor="AUTO_1985_169" w:history="1">
        <w:r w:rsidRPr="009452A2">
          <w:rPr>
            <w:rStyle w:val="TextoNormalCaracter"/>
          </w:rPr>
          <w:t>169/1985</w:t>
        </w:r>
      </w:hyperlink>
      <w:r>
        <w:t xml:space="preserve">; </w:t>
      </w:r>
      <w:hyperlink w:anchor="AUTO_1985_170" w:history="1">
        <w:r w:rsidRPr="009452A2">
          <w:rPr>
            <w:rStyle w:val="TextoNormalCaracter"/>
          </w:rPr>
          <w:t>170/1985</w:t>
        </w:r>
      </w:hyperlink>
      <w:r>
        <w:t xml:space="preserve">; </w:t>
      </w:r>
      <w:hyperlink w:anchor="AUTO_1985_171" w:history="1">
        <w:r w:rsidRPr="009452A2">
          <w:rPr>
            <w:rStyle w:val="TextoNormalCaracter"/>
          </w:rPr>
          <w:t>171/1985</w:t>
        </w:r>
      </w:hyperlink>
      <w:r>
        <w:t xml:space="preserve">; </w:t>
      </w:r>
      <w:hyperlink w:anchor="AUTO_1985_177" w:history="1">
        <w:r w:rsidRPr="009452A2">
          <w:rPr>
            <w:rStyle w:val="TextoNormalCaracter"/>
          </w:rPr>
          <w:t>177/1985</w:t>
        </w:r>
      </w:hyperlink>
      <w:r>
        <w:t xml:space="preserve">; </w:t>
      </w:r>
      <w:hyperlink w:anchor="AUTO_1985_179" w:history="1">
        <w:r w:rsidRPr="009452A2">
          <w:rPr>
            <w:rStyle w:val="TextoNormalCaracter"/>
          </w:rPr>
          <w:t>179/1985</w:t>
        </w:r>
      </w:hyperlink>
      <w:r>
        <w:t xml:space="preserve">; </w:t>
      </w:r>
      <w:hyperlink w:anchor="AUTO_1985_180" w:history="1">
        <w:r w:rsidRPr="009452A2">
          <w:rPr>
            <w:rStyle w:val="TextoNormalCaracter"/>
          </w:rPr>
          <w:t>180/1985</w:t>
        </w:r>
      </w:hyperlink>
      <w:r>
        <w:t xml:space="preserve">; </w:t>
      </w:r>
      <w:hyperlink w:anchor="AUTO_1985_184" w:history="1">
        <w:r w:rsidRPr="009452A2">
          <w:rPr>
            <w:rStyle w:val="TextoNormalCaracter"/>
          </w:rPr>
          <w:t>184/1985</w:t>
        </w:r>
      </w:hyperlink>
      <w:r>
        <w:t xml:space="preserve">; </w:t>
      </w:r>
      <w:hyperlink w:anchor="AUTO_1985_186" w:history="1">
        <w:r w:rsidRPr="009452A2">
          <w:rPr>
            <w:rStyle w:val="TextoNormalCaracter"/>
          </w:rPr>
          <w:t>186/1985</w:t>
        </w:r>
      </w:hyperlink>
      <w:r>
        <w:t xml:space="preserve">; </w:t>
      </w:r>
      <w:hyperlink w:anchor="AUTO_1985_187" w:history="1">
        <w:r w:rsidRPr="009452A2">
          <w:rPr>
            <w:rStyle w:val="TextoNormalCaracter"/>
          </w:rPr>
          <w:t>187/1985</w:t>
        </w:r>
      </w:hyperlink>
      <w:r>
        <w:t xml:space="preserve">; </w:t>
      </w:r>
      <w:hyperlink w:anchor="AUTO_1985_189" w:history="1">
        <w:r w:rsidRPr="009452A2">
          <w:rPr>
            <w:rStyle w:val="TextoNormalCaracter"/>
          </w:rPr>
          <w:t>189/1985</w:t>
        </w:r>
      </w:hyperlink>
      <w:r>
        <w:t xml:space="preserve">; </w:t>
      </w:r>
      <w:hyperlink w:anchor="AUTO_1985_190" w:history="1">
        <w:r w:rsidRPr="009452A2">
          <w:rPr>
            <w:rStyle w:val="TextoNormalCaracter"/>
          </w:rPr>
          <w:t>190/1985</w:t>
        </w:r>
      </w:hyperlink>
      <w:r>
        <w:t xml:space="preserve">; </w:t>
      </w:r>
      <w:hyperlink w:anchor="AUTO_1985_191" w:history="1">
        <w:r w:rsidRPr="009452A2">
          <w:rPr>
            <w:rStyle w:val="TextoNormalCaracter"/>
          </w:rPr>
          <w:t>191/1985</w:t>
        </w:r>
      </w:hyperlink>
      <w:r>
        <w:t xml:space="preserve">; </w:t>
      </w:r>
      <w:hyperlink w:anchor="AUTO_1985_195" w:history="1">
        <w:r w:rsidRPr="009452A2">
          <w:rPr>
            <w:rStyle w:val="TextoNormalCaracter"/>
          </w:rPr>
          <w:t>195/1985</w:t>
        </w:r>
      </w:hyperlink>
      <w:r>
        <w:t xml:space="preserve">; </w:t>
      </w:r>
      <w:hyperlink w:anchor="AUTO_1985_196" w:history="1">
        <w:r w:rsidRPr="009452A2">
          <w:rPr>
            <w:rStyle w:val="TextoNormalCaracter"/>
          </w:rPr>
          <w:t>196/1985</w:t>
        </w:r>
      </w:hyperlink>
      <w:r>
        <w:t xml:space="preserve">; </w:t>
      </w:r>
      <w:hyperlink w:anchor="AUTO_1985_198" w:history="1">
        <w:r w:rsidRPr="009452A2">
          <w:rPr>
            <w:rStyle w:val="TextoNormalCaracter"/>
          </w:rPr>
          <w:t>198/1985</w:t>
        </w:r>
      </w:hyperlink>
      <w:r>
        <w:t xml:space="preserve">; </w:t>
      </w:r>
      <w:hyperlink w:anchor="AUTO_1985_202" w:history="1">
        <w:r w:rsidRPr="009452A2">
          <w:rPr>
            <w:rStyle w:val="TextoNormalCaracter"/>
          </w:rPr>
          <w:t>202/1985</w:t>
        </w:r>
      </w:hyperlink>
      <w:r>
        <w:t xml:space="preserve">; </w:t>
      </w:r>
      <w:hyperlink w:anchor="AUTO_1985_203" w:history="1">
        <w:r w:rsidRPr="009452A2">
          <w:rPr>
            <w:rStyle w:val="TextoNormalCaracter"/>
          </w:rPr>
          <w:t>203/1985</w:t>
        </w:r>
      </w:hyperlink>
      <w:r>
        <w:t xml:space="preserve">; </w:t>
      </w:r>
      <w:hyperlink w:anchor="AUTO_1985_204" w:history="1">
        <w:r w:rsidRPr="009452A2">
          <w:rPr>
            <w:rStyle w:val="TextoNormalCaracter"/>
          </w:rPr>
          <w:t>204/1985</w:t>
        </w:r>
      </w:hyperlink>
      <w:r>
        <w:t xml:space="preserve">; </w:t>
      </w:r>
      <w:hyperlink w:anchor="AUTO_1985_205" w:history="1">
        <w:r w:rsidRPr="009452A2">
          <w:rPr>
            <w:rStyle w:val="TextoNormalCaracter"/>
          </w:rPr>
          <w:t>205/1985</w:t>
        </w:r>
      </w:hyperlink>
      <w:r>
        <w:t xml:space="preserve">; </w:t>
      </w:r>
      <w:hyperlink w:anchor="AUTO_1985_206" w:history="1">
        <w:r w:rsidRPr="009452A2">
          <w:rPr>
            <w:rStyle w:val="TextoNormalCaracter"/>
          </w:rPr>
          <w:t>206/1985</w:t>
        </w:r>
      </w:hyperlink>
      <w:r>
        <w:t xml:space="preserve">; </w:t>
      </w:r>
      <w:hyperlink w:anchor="AUTO_1985_207" w:history="1">
        <w:r w:rsidRPr="009452A2">
          <w:rPr>
            <w:rStyle w:val="TextoNormalCaracter"/>
          </w:rPr>
          <w:t>207/1985</w:t>
        </w:r>
      </w:hyperlink>
      <w:r>
        <w:t xml:space="preserve">; </w:t>
      </w:r>
      <w:hyperlink w:anchor="AUTO_1985_208" w:history="1">
        <w:r w:rsidRPr="009452A2">
          <w:rPr>
            <w:rStyle w:val="TextoNormalCaracter"/>
          </w:rPr>
          <w:t>208/1985</w:t>
        </w:r>
      </w:hyperlink>
      <w:r>
        <w:t xml:space="preserve">; </w:t>
      </w:r>
      <w:hyperlink w:anchor="AUTO_1985_210" w:history="1">
        <w:r w:rsidRPr="009452A2">
          <w:rPr>
            <w:rStyle w:val="TextoNormalCaracter"/>
          </w:rPr>
          <w:t>210/1985</w:t>
        </w:r>
      </w:hyperlink>
      <w:r>
        <w:t xml:space="preserve">; </w:t>
      </w:r>
      <w:hyperlink w:anchor="AUTO_1985_212" w:history="1">
        <w:r w:rsidRPr="009452A2">
          <w:rPr>
            <w:rStyle w:val="TextoNormalCaracter"/>
          </w:rPr>
          <w:t>212/1985</w:t>
        </w:r>
      </w:hyperlink>
      <w:r>
        <w:t xml:space="preserve">; </w:t>
      </w:r>
      <w:hyperlink w:anchor="AUTO_1985_216" w:history="1">
        <w:r w:rsidRPr="009452A2">
          <w:rPr>
            <w:rStyle w:val="TextoNormalCaracter"/>
          </w:rPr>
          <w:t>216/1985</w:t>
        </w:r>
      </w:hyperlink>
      <w:r>
        <w:t xml:space="preserve">; </w:t>
      </w:r>
      <w:hyperlink w:anchor="AUTO_1985_217" w:history="1">
        <w:r w:rsidRPr="009452A2">
          <w:rPr>
            <w:rStyle w:val="TextoNormalCaracter"/>
          </w:rPr>
          <w:t>217/1985</w:t>
        </w:r>
      </w:hyperlink>
      <w:r>
        <w:t xml:space="preserve">; </w:t>
      </w:r>
      <w:hyperlink w:anchor="AUTO_1985_218" w:history="1">
        <w:r w:rsidRPr="009452A2">
          <w:rPr>
            <w:rStyle w:val="TextoNormalCaracter"/>
          </w:rPr>
          <w:t>218/1985</w:t>
        </w:r>
      </w:hyperlink>
      <w:r>
        <w:t xml:space="preserve">; </w:t>
      </w:r>
      <w:hyperlink w:anchor="AUTO_1985_219" w:history="1">
        <w:r w:rsidRPr="009452A2">
          <w:rPr>
            <w:rStyle w:val="TextoNormalCaracter"/>
          </w:rPr>
          <w:t>219/1985</w:t>
        </w:r>
      </w:hyperlink>
      <w:r>
        <w:t xml:space="preserve">; </w:t>
      </w:r>
      <w:hyperlink w:anchor="AUTO_1985_221" w:history="1">
        <w:r w:rsidRPr="009452A2">
          <w:rPr>
            <w:rStyle w:val="TextoNormalCaracter"/>
          </w:rPr>
          <w:t>221/1985</w:t>
        </w:r>
      </w:hyperlink>
      <w:r>
        <w:t xml:space="preserve">; </w:t>
      </w:r>
      <w:hyperlink w:anchor="AUTO_1985_222" w:history="1">
        <w:r w:rsidRPr="009452A2">
          <w:rPr>
            <w:rStyle w:val="TextoNormalCaracter"/>
          </w:rPr>
          <w:t>222/1985</w:t>
        </w:r>
      </w:hyperlink>
      <w:r>
        <w:t xml:space="preserve">; </w:t>
      </w:r>
      <w:hyperlink w:anchor="AUTO_1985_225" w:history="1">
        <w:r w:rsidRPr="009452A2">
          <w:rPr>
            <w:rStyle w:val="TextoNormalCaracter"/>
          </w:rPr>
          <w:t>225/1985</w:t>
        </w:r>
      </w:hyperlink>
      <w:r>
        <w:t xml:space="preserve">; </w:t>
      </w:r>
      <w:hyperlink w:anchor="AUTO_1985_233" w:history="1">
        <w:r w:rsidRPr="009452A2">
          <w:rPr>
            <w:rStyle w:val="TextoNormalCaracter"/>
          </w:rPr>
          <w:t>233/1985</w:t>
        </w:r>
      </w:hyperlink>
      <w:r>
        <w:t xml:space="preserve">; </w:t>
      </w:r>
      <w:hyperlink w:anchor="AUTO_1985_234" w:history="1">
        <w:r w:rsidRPr="009452A2">
          <w:rPr>
            <w:rStyle w:val="TextoNormalCaracter"/>
          </w:rPr>
          <w:t>234/1985</w:t>
        </w:r>
      </w:hyperlink>
      <w:r>
        <w:t xml:space="preserve">; </w:t>
      </w:r>
      <w:hyperlink w:anchor="AUTO_1985_236" w:history="1">
        <w:r w:rsidRPr="009452A2">
          <w:rPr>
            <w:rStyle w:val="TextoNormalCaracter"/>
          </w:rPr>
          <w:t>236/1985</w:t>
        </w:r>
      </w:hyperlink>
      <w:r>
        <w:t xml:space="preserve">; </w:t>
      </w:r>
      <w:hyperlink w:anchor="AUTO_1985_238" w:history="1">
        <w:r w:rsidRPr="009452A2">
          <w:rPr>
            <w:rStyle w:val="TextoNormalCaracter"/>
          </w:rPr>
          <w:t>238/1985</w:t>
        </w:r>
      </w:hyperlink>
      <w:r>
        <w:t xml:space="preserve">; </w:t>
      </w:r>
      <w:hyperlink w:anchor="AUTO_1985_240" w:history="1">
        <w:r w:rsidRPr="009452A2">
          <w:rPr>
            <w:rStyle w:val="TextoNormalCaracter"/>
          </w:rPr>
          <w:t>240/1985</w:t>
        </w:r>
      </w:hyperlink>
      <w:r>
        <w:t xml:space="preserve">; </w:t>
      </w:r>
      <w:hyperlink w:anchor="AUTO_1985_241" w:history="1">
        <w:r w:rsidRPr="009452A2">
          <w:rPr>
            <w:rStyle w:val="TextoNormalCaracter"/>
          </w:rPr>
          <w:t>241/1985</w:t>
        </w:r>
      </w:hyperlink>
      <w:r>
        <w:t xml:space="preserve">; </w:t>
      </w:r>
      <w:hyperlink w:anchor="AUTO_1985_242" w:history="1">
        <w:r w:rsidRPr="009452A2">
          <w:rPr>
            <w:rStyle w:val="TextoNormalCaracter"/>
          </w:rPr>
          <w:t>242/1985</w:t>
        </w:r>
      </w:hyperlink>
      <w:r>
        <w:t xml:space="preserve">; </w:t>
      </w:r>
      <w:hyperlink w:anchor="AUTO_1985_243" w:history="1">
        <w:r w:rsidRPr="009452A2">
          <w:rPr>
            <w:rStyle w:val="TextoNormalCaracter"/>
          </w:rPr>
          <w:t>243/1985</w:t>
        </w:r>
      </w:hyperlink>
      <w:r>
        <w:t xml:space="preserve">; </w:t>
      </w:r>
      <w:hyperlink w:anchor="AUTO_1985_245" w:history="1">
        <w:r w:rsidRPr="009452A2">
          <w:rPr>
            <w:rStyle w:val="TextoNormalCaracter"/>
          </w:rPr>
          <w:t>245/1985</w:t>
        </w:r>
      </w:hyperlink>
      <w:r>
        <w:t xml:space="preserve">; </w:t>
      </w:r>
      <w:hyperlink w:anchor="AUTO_1985_246" w:history="1">
        <w:r w:rsidRPr="009452A2">
          <w:rPr>
            <w:rStyle w:val="TextoNormalCaracter"/>
          </w:rPr>
          <w:t>246/1985</w:t>
        </w:r>
      </w:hyperlink>
      <w:r>
        <w:t xml:space="preserve">; </w:t>
      </w:r>
      <w:hyperlink w:anchor="AUTO_1985_247" w:history="1">
        <w:r w:rsidRPr="009452A2">
          <w:rPr>
            <w:rStyle w:val="TextoNormalCaracter"/>
          </w:rPr>
          <w:t>247/1985</w:t>
        </w:r>
      </w:hyperlink>
      <w:r>
        <w:t xml:space="preserve">; </w:t>
      </w:r>
      <w:hyperlink w:anchor="AUTO_1985_249" w:history="1">
        <w:r w:rsidRPr="009452A2">
          <w:rPr>
            <w:rStyle w:val="TextoNormalCaracter"/>
          </w:rPr>
          <w:t>249/1985</w:t>
        </w:r>
      </w:hyperlink>
      <w:r>
        <w:t xml:space="preserve">; </w:t>
      </w:r>
      <w:hyperlink w:anchor="AUTO_1985_250" w:history="1">
        <w:r w:rsidRPr="009452A2">
          <w:rPr>
            <w:rStyle w:val="TextoNormalCaracter"/>
          </w:rPr>
          <w:t>250/1985</w:t>
        </w:r>
      </w:hyperlink>
      <w:r>
        <w:t xml:space="preserve">; </w:t>
      </w:r>
      <w:hyperlink w:anchor="AUTO_1985_252" w:history="1">
        <w:r w:rsidRPr="009452A2">
          <w:rPr>
            <w:rStyle w:val="TextoNormalCaracter"/>
          </w:rPr>
          <w:t>252/1985</w:t>
        </w:r>
      </w:hyperlink>
      <w:r>
        <w:t xml:space="preserve">; </w:t>
      </w:r>
      <w:hyperlink w:anchor="AUTO_1985_253" w:history="1">
        <w:r w:rsidRPr="009452A2">
          <w:rPr>
            <w:rStyle w:val="TextoNormalCaracter"/>
          </w:rPr>
          <w:t>253/1985</w:t>
        </w:r>
      </w:hyperlink>
      <w:r>
        <w:t xml:space="preserve">; </w:t>
      </w:r>
      <w:hyperlink w:anchor="AUTO_1985_254" w:history="1">
        <w:r w:rsidRPr="009452A2">
          <w:rPr>
            <w:rStyle w:val="TextoNormalCaracter"/>
          </w:rPr>
          <w:t>254/1985</w:t>
        </w:r>
      </w:hyperlink>
      <w:r>
        <w:t xml:space="preserve">; </w:t>
      </w:r>
      <w:hyperlink w:anchor="AUTO_1985_257" w:history="1">
        <w:r w:rsidRPr="009452A2">
          <w:rPr>
            <w:rStyle w:val="TextoNormalCaracter"/>
          </w:rPr>
          <w:t>257/1985</w:t>
        </w:r>
      </w:hyperlink>
      <w:r>
        <w:t xml:space="preserve">; </w:t>
      </w:r>
      <w:hyperlink w:anchor="AUTO_1985_259" w:history="1">
        <w:r w:rsidRPr="009452A2">
          <w:rPr>
            <w:rStyle w:val="TextoNormalCaracter"/>
          </w:rPr>
          <w:t>259/1985</w:t>
        </w:r>
      </w:hyperlink>
      <w:r>
        <w:t xml:space="preserve">; </w:t>
      </w:r>
      <w:hyperlink w:anchor="AUTO_1985_261" w:history="1">
        <w:r w:rsidRPr="009452A2">
          <w:rPr>
            <w:rStyle w:val="TextoNormalCaracter"/>
          </w:rPr>
          <w:t>261/1985</w:t>
        </w:r>
      </w:hyperlink>
      <w:r>
        <w:t xml:space="preserve">; </w:t>
      </w:r>
      <w:hyperlink w:anchor="AUTO_1985_264" w:history="1">
        <w:r w:rsidRPr="009452A2">
          <w:rPr>
            <w:rStyle w:val="TextoNormalCaracter"/>
          </w:rPr>
          <w:t>264/1985</w:t>
        </w:r>
      </w:hyperlink>
      <w:r>
        <w:t xml:space="preserve">; </w:t>
      </w:r>
      <w:hyperlink w:anchor="AUTO_1985_265" w:history="1">
        <w:r w:rsidRPr="009452A2">
          <w:rPr>
            <w:rStyle w:val="TextoNormalCaracter"/>
          </w:rPr>
          <w:t>265/1985</w:t>
        </w:r>
      </w:hyperlink>
      <w:r>
        <w:t xml:space="preserve">; </w:t>
      </w:r>
      <w:hyperlink w:anchor="AUTO_1985_267" w:history="1">
        <w:r w:rsidRPr="009452A2">
          <w:rPr>
            <w:rStyle w:val="TextoNormalCaracter"/>
          </w:rPr>
          <w:t>267/1985</w:t>
        </w:r>
      </w:hyperlink>
      <w:r>
        <w:t xml:space="preserve">; </w:t>
      </w:r>
      <w:hyperlink w:anchor="AUTO_1985_269" w:history="1">
        <w:r w:rsidRPr="009452A2">
          <w:rPr>
            <w:rStyle w:val="TextoNormalCaracter"/>
          </w:rPr>
          <w:t>269/1985</w:t>
        </w:r>
      </w:hyperlink>
      <w:r>
        <w:t xml:space="preserve">; </w:t>
      </w:r>
      <w:hyperlink w:anchor="AUTO_1985_270" w:history="1">
        <w:r w:rsidRPr="009452A2">
          <w:rPr>
            <w:rStyle w:val="TextoNormalCaracter"/>
          </w:rPr>
          <w:t>270/1985</w:t>
        </w:r>
      </w:hyperlink>
      <w:r>
        <w:t xml:space="preserve">; </w:t>
      </w:r>
      <w:hyperlink w:anchor="AUTO_1985_272" w:history="1">
        <w:r w:rsidRPr="009452A2">
          <w:rPr>
            <w:rStyle w:val="TextoNormalCaracter"/>
          </w:rPr>
          <w:t>272/1985</w:t>
        </w:r>
      </w:hyperlink>
      <w:r>
        <w:t xml:space="preserve">; </w:t>
      </w:r>
      <w:hyperlink w:anchor="AUTO_1985_275" w:history="1">
        <w:r w:rsidRPr="009452A2">
          <w:rPr>
            <w:rStyle w:val="TextoNormalCaracter"/>
          </w:rPr>
          <w:t>275/1985</w:t>
        </w:r>
      </w:hyperlink>
      <w:r>
        <w:t xml:space="preserve">; </w:t>
      </w:r>
      <w:hyperlink w:anchor="AUTO_1985_278" w:history="1">
        <w:r w:rsidRPr="009452A2">
          <w:rPr>
            <w:rStyle w:val="TextoNormalCaracter"/>
          </w:rPr>
          <w:t>278/1985</w:t>
        </w:r>
      </w:hyperlink>
      <w:r>
        <w:t xml:space="preserve">; </w:t>
      </w:r>
      <w:hyperlink w:anchor="AUTO_1985_280" w:history="1">
        <w:r w:rsidRPr="009452A2">
          <w:rPr>
            <w:rStyle w:val="TextoNormalCaracter"/>
          </w:rPr>
          <w:t>280/1985</w:t>
        </w:r>
      </w:hyperlink>
      <w:r>
        <w:t>.</w:t>
      </w:r>
    </w:p>
    <w:p w:rsidR="009452A2" w:rsidRDefault="009452A2" w:rsidP="009452A2">
      <w:pPr>
        <w:pStyle w:val="SangriaFrancesaArticulo"/>
      </w:pPr>
      <w:r w:rsidRPr="009452A2">
        <w:rPr>
          <w:rStyle w:val="TextoNormalNegritaCaracter"/>
        </w:rPr>
        <w:t>Artículo 50.2 c).</w:t>
      </w:r>
      <w:r w:rsidRPr="009452A2">
        <w:rPr>
          <w:rStyle w:val="TextoNormalCaracter"/>
        </w:rPr>
        <w:t>-</w:t>
      </w:r>
      <w:r>
        <w:t xml:space="preserve"> Autos </w:t>
      </w:r>
      <w:hyperlink w:anchor="AUTO_1985_5" w:history="1">
        <w:r w:rsidRPr="009452A2">
          <w:rPr>
            <w:rStyle w:val="TextoNormalCaracter"/>
          </w:rPr>
          <w:t>5/1985</w:t>
        </w:r>
      </w:hyperlink>
      <w:r>
        <w:t xml:space="preserve">; </w:t>
      </w:r>
      <w:hyperlink w:anchor="AUTO_1985_30" w:history="1">
        <w:r w:rsidRPr="009452A2">
          <w:rPr>
            <w:rStyle w:val="TextoNormalCaracter"/>
          </w:rPr>
          <w:t>30/1985</w:t>
        </w:r>
      </w:hyperlink>
      <w:r>
        <w:t xml:space="preserve">; </w:t>
      </w:r>
      <w:hyperlink w:anchor="AUTO_1985_33" w:history="1">
        <w:r w:rsidRPr="009452A2">
          <w:rPr>
            <w:rStyle w:val="TextoNormalCaracter"/>
          </w:rPr>
          <w:t>33/1985</w:t>
        </w:r>
      </w:hyperlink>
      <w:r>
        <w:t xml:space="preserve">; </w:t>
      </w:r>
      <w:hyperlink w:anchor="AUTO_1985_131" w:history="1">
        <w:r w:rsidRPr="009452A2">
          <w:rPr>
            <w:rStyle w:val="TextoNormalCaracter"/>
          </w:rPr>
          <w:t>131/1985</w:t>
        </w:r>
      </w:hyperlink>
      <w:r>
        <w:t xml:space="preserve">; </w:t>
      </w:r>
      <w:hyperlink w:anchor="AUTO_1985_250" w:history="1">
        <w:r w:rsidRPr="009452A2">
          <w:rPr>
            <w:rStyle w:val="TextoNormalCaracter"/>
          </w:rPr>
          <w:t>250/1985</w:t>
        </w:r>
      </w:hyperlink>
      <w:r>
        <w:t>.</w:t>
      </w:r>
    </w:p>
    <w:p w:rsidR="009452A2" w:rsidRDefault="009452A2" w:rsidP="009452A2">
      <w:pPr>
        <w:pStyle w:val="SangriaFrancesaArticulo"/>
      </w:pPr>
      <w:r w:rsidRPr="009452A2">
        <w:rPr>
          <w:rStyle w:val="TextoNormalNegritaCaracter"/>
        </w:rPr>
        <w:t>Artículo 50.3.</w:t>
      </w:r>
      <w:r w:rsidRPr="009452A2">
        <w:rPr>
          <w:rStyle w:val="TextoNormalCaracter"/>
        </w:rPr>
        <w:t>-</w:t>
      </w:r>
      <w:r>
        <w:t xml:space="preserve"> Auto </w:t>
      </w:r>
      <w:hyperlink w:anchor="AUTO_1985_22" w:history="1">
        <w:r w:rsidRPr="009452A2">
          <w:rPr>
            <w:rStyle w:val="TextoNormalCaracter"/>
          </w:rPr>
          <w:t>22/1985</w:t>
        </w:r>
      </w:hyperlink>
      <w:r>
        <w:t>.</w:t>
      </w:r>
    </w:p>
    <w:p w:rsidR="009452A2" w:rsidRDefault="009452A2" w:rsidP="009452A2">
      <w:pPr>
        <w:pStyle w:val="SangriaFrancesaArticulo"/>
      </w:pPr>
      <w:r w:rsidRPr="009452A2">
        <w:rPr>
          <w:rStyle w:val="TextoNormalNegritaCaracter"/>
        </w:rPr>
        <w:t>Artículo 51.</w:t>
      </w:r>
      <w:r w:rsidRPr="009452A2">
        <w:rPr>
          <w:rStyle w:val="TextoNormalCaracter"/>
        </w:rPr>
        <w:t>-</w:t>
      </w:r>
      <w:r>
        <w:t xml:space="preserve"> Autos </w:t>
      </w:r>
      <w:hyperlink w:anchor="AUTO_1985_96" w:history="1">
        <w:r w:rsidRPr="009452A2">
          <w:rPr>
            <w:rStyle w:val="TextoNormalCaracter"/>
          </w:rPr>
          <w:t>96/1985</w:t>
        </w:r>
      </w:hyperlink>
      <w:r>
        <w:t xml:space="preserve">; </w:t>
      </w:r>
      <w:hyperlink w:anchor="AUTO_1985_266" w:history="1">
        <w:r w:rsidRPr="009452A2">
          <w:rPr>
            <w:rStyle w:val="TextoNormalCaracter"/>
          </w:rPr>
          <w:t>266/1985</w:t>
        </w:r>
      </w:hyperlink>
      <w:r>
        <w:t>.</w:t>
      </w:r>
    </w:p>
    <w:p w:rsidR="009452A2" w:rsidRDefault="009452A2" w:rsidP="009452A2">
      <w:pPr>
        <w:pStyle w:val="SangriaFrancesaArticulo"/>
      </w:pPr>
      <w:r w:rsidRPr="009452A2">
        <w:rPr>
          <w:rStyle w:val="TextoNormalNegritaCaracter"/>
        </w:rPr>
        <w:t>Artículo 51.1.</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r w:rsidRPr="009452A2">
        <w:rPr>
          <w:rStyle w:val="TextoNormalNegritaCaracter"/>
        </w:rPr>
        <w:t>Artículo 54.</w:t>
      </w:r>
      <w:r w:rsidRPr="009452A2">
        <w:rPr>
          <w:rStyle w:val="TextoNormalCaracter"/>
        </w:rPr>
        <w:t>-</w:t>
      </w:r>
      <w:r>
        <w:t xml:space="preserve"> Autos </w:t>
      </w:r>
      <w:hyperlink w:anchor="AUTO_1985_59" w:history="1">
        <w:r w:rsidRPr="009452A2">
          <w:rPr>
            <w:rStyle w:val="TextoNormalCaracter"/>
          </w:rPr>
          <w:t>59/1985</w:t>
        </w:r>
      </w:hyperlink>
      <w:r>
        <w:t xml:space="preserve">; </w:t>
      </w:r>
      <w:hyperlink w:anchor="AUTO_1985_178" w:history="1">
        <w:r w:rsidRPr="009452A2">
          <w:rPr>
            <w:rStyle w:val="TextoNormalCaracter"/>
          </w:rPr>
          <w:t>178/1985</w:t>
        </w:r>
      </w:hyperlink>
      <w:r>
        <w:t xml:space="preserve">; </w:t>
      </w:r>
      <w:hyperlink w:anchor="AUTO_1985_188" w:history="1">
        <w:r w:rsidRPr="009452A2">
          <w:rPr>
            <w:rStyle w:val="TextoNormalCaracter"/>
          </w:rPr>
          <w:t>188/1985</w:t>
        </w:r>
      </w:hyperlink>
      <w:r>
        <w:t xml:space="preserve">; </w:t>
      </w:r>
      <w:hyperlink w:anchor="AUTO_1985_208" w:history="1">
        <w:r w:rsidRPr="009452A2">
          <w:rPr>
            <w:rStyle w:val="TextoNormalCaracter"/>
          </w:rPr>
          <w:t>208/1985</w:t>
        </w:r>
      </w:hyperlink>
      <w:r>
        <w:t xml:space="preserve">; </w:t>
      </w:r>
      <w:hyperlink w:anchor="AUTO_1985_245" w:history="1">
        <w:r w:rsidRPr="009452A2">
          <w:rPr>
            <w:rStyle w:val="TextoNormalCaracter"/>
          </w:rPr>
          <w:t>245/1985</w:t>
        </w:r>
      </w:hyperlink>
      <w:r>
        <w:t>.</w:t>
      </w:r>
    </w:p>
    <w:p w:rsidR="009452A2" w:rsidRDefault="009452A2" w:rsidP="009452A2">
      <w:pPr>
        <w:pStyle w:val="SangriaFrancesaArticulo"/>
      </w:pPr>
      <w:r w:rsidRPr="009452A2">
        <w:rPr>
          <w:rStyle w:val="TextoNormalNegritaCaracter"/>
        </w:rPr>
        <w:t>Artículo 55.1.</w:t>
      </w:r>
      <w:r w:rsidRPr="009452A2">
        <w:rPr>
          <w:rStyle w:val="TextoNormalCaracter"/>
        </w:rPr>
        <w:t>-</w:t>
      </w:r>
      <w:r>
        <w:t xml:space="preserve"> Sentencias </w:t>
      </w:r>
      <w:hyperlink w:anchor="SENTENCIA_1985_5" w:history="1">
        <w:r w:rsidRPr="009452A2">
          <w:rPr>
            <w:rStyle w:val="TextoNormalCaracter"/>
          </w:rPr>
          <w:t>5/1985</w:t>
        </w:r>
      </w:hyperlink>
      <w:r>
        <w:t xml:space="preserve">, f. 7; </w:t>
      </w:r>
      <w:hyperlink w:anchor="SENTENCIA_1985_30" w:history="1">
        <w:r w:rsidRPr="009452A2">
          <w:rPr>
            <w:rStyle w:val="TextoNormalCaracter"/>
          </w:rPr>
          <w:t>30/1985</w:t>
        </w:r>
      </w:hyperlink>
      <w:r>
        <w:t xml:space="preserve">, f. 2; </w:t>
      </w:r>
      <w:hyperlink w:anchor="SENTENCIA_1985_31" w:history="1">
        <w:r w:rsidRPr="009452A2">
          <w:rPr>
            <w:rStyle w:val="TextoNormalCaracter"/>
          </w:rPr>
          <w:t>31/1985</w:t>
        </w:r>
      </w:hyperlink>
      <w:r>
        <w:t xml:space="preserve">, f. 4; </w:t>
      </w:r>
      <w:hyperlink w:anchor="SENTENCIA_1985_33" w:history="1">
        <w:r w:rsidRPr="009452A2">
          <w:rPr>
            <w:rStyle w:val="TextoNormalCaracter"/>
          </w:rPr>
          <w:t>33/1985</w:t>
        </w:r>
      </w:hyperlink>
      <w:r>
        <w:t xml:space="preserve">, f. 3; </w:t>
      </w:r>
      <w:hyperlink w:anchor="SENTENCIA_1985_54" w:history="1">
        <w:r w:rsidRPr="009452A2">
          <w:rPr>
            <w:rStyle w:val="TextoNormalCaracter"/>
          </w:rPr>
          <w:t>54/1985</w:t>
        </w:r>
      </w:hyperlink>
      <w:r>
        <w:t>, f. 8.</w:t>
      </w:r>
    </w:p>
    <w:p w:rsidR="009452A2" w:rsidRDefault="009452A2" w:rsidP="009452A2">
      <w:pPr>
        <w:pStyle w:val="SangriaIzquierdaArticulo"/>
      </w:pPr>
      <w:r>
        <w:t xml:space="preserve">Auto </w:t>
      </w:r>
      <w:hyperlink w:anchor="AUTO_1985_255" w:history="1">
        <w:r w:rsidRPr="009452A2">
          <w:rPr>
            <w:rStyle w:val="TextoNormalCaracter"/>
          </w:rPr>
          <w:t>255/1985</w:t>
        </w:r>
      </w:hyperlink>
      <w:r>
        <w:t>.</w:t>
      </w:r>
    </w:p>
    <w:p w:rsidR="009452A2" w:rsidRDefault="009452A2" w:rsidP="009452A2">
      <w:pPr>
        <w:pStyle w:val="SangriaFrancesaArticulo"/>
      </w:pPr>
      <w:r w:rsidRPr="009452A2">
        <w:rPr>
          <w:rStyle w:val="TextoNormalNegritaCaracter"/>
        </w:rPr>
        <w:t>Artículo 55.1 c).</w:t>
      </w:r>
      <w:r w:rsidRPr="009452A2">
        <w:rPr>
          <w:rStyle w:val="TextoNormalCaracter"/>
        </w:rPr>
        <w:t>-</w:t>
      </w:r>
      <w:r>
        <w:t xml:space="preserve"> Sentencias </w:t>
      </w:r>
      <w:hyperlink w:anchor="SENTENCIA_1985_5" w:history="1">
        <w:r w:rsidRPr="009452A2">
          <w:rPr>
            <w:rStyle w:val="TextoNormalCaracter"/>
          </w:rPr>
          <w:t>5/1985</w:t>
        </w:r>
      </w:hyperlink>
      <w:r>
        <w:t xml:space="preserve">, f. 9; </w:t>
      </w:r>
      <w:hyperlink w:anchor="SENTENCIA_1985_8" w:history="1">
        <w:r w:rsidRPr="009452A2">
          <w:rPr>
            <w:rStyle w:val="TextoNormalCaracter"/>
          </w:rPr>
          <w:t>8/1985</w:t>
        </w:r>
      </w:hyperlink>
      <w:r>
        <w:t>, f. 5.</w:t>
      </w:r>
    </w:p>
    <w:p w:rsidR="009452A2" w:rsidRDefault="009452A2" w:rsidP="009452A2">
      <w:pPr>
        <w:pStyle w:val="SangriaFrancesaArticulo"/>
      </w:pPr>
      <w:r w:rsidRPr="009452A2">
        <w:rPr>
          <w:rStyle w:val="TextoNormalNegritaCaracter"/>
        </w:rPr>
        <w:t>Artículo 55.2.</w:t>
      </w:r>
      <w:r w:rsidRPr="009452A2">
        <w:rPr>
          <w:rStyle w:val="TextoNormalCaracter"/>
        </w:rPr>
        <w:t>-</w:t>
      </w:r>
      <w:r>
        <w:t xml:space="preserve"> Sentencia </w:t>
      </w:r>
      <w:hyperlink w:anchor="SENTENCIA_1985_22" w:history="1">
        <w:r w:rsidRPr="009452A2">
          <w:rPr>
            <w:rStyle w:val="TextoNormalCaracter"/>
          </w:rPr>
          <w:t>22/1985</w:t>
        </w:r>
      </w:hyperlink>
      <w:r>
        <w:t>, f. 6.</w:t>
      </w:r>
    </w:p>
    <w:p w:rsidR="009452A2" w:rsidRDefault="009452A2" w:rsidP="009452A2">
      <w:pPr>
        <w:pStyle w:val="SangriaIzquierdaArticulo"/>
      </w:pPr>
      <w:r>
        <w:t xml:space="preserve">Autos </w:t>
      </w:r>
      <w:hyperlink w:anchor="AUTO_1985_155" w:history="1">
        <w:r w:rsidRPr="009452A2">
          <w:rPr>
            <w:rStyle w:val="TextoNormalCaracter"/>
          </w:rPr>
          <w:t>155/1985</w:t>
        </w:r>
      </w:hyperlink>
      <w:r>
        <w:t xml:space="preserve">; </w:t>
      </w:r>
      <w:hyperlink w:anchor="AUTO_1985_255" w:history="1">
        <w:r w:rsidRPr="009452A2">
          <w:rPr>
            <w:rStyle w:val="TextoNormalCaracter"/>
          </w:rPr>
          <w:t>255/1985</w:t>
        </w:r>
      </w:hyperlink>
      <w:r>
        <w:t xml:space="preserve">; </w:t>
      </w:r>
      <w:hyperlink w:anchor="AUTO_1985_281" w:history="1">
        <w:r w:rsidRPr="009452A2">
          <w:rPr>
            <w:rStyle w:val="TextoNormalCaracter"/>
          </w:rPr>
          <w:t>281/1985</w:t>
        </w:r>
      </w:hyperlink>
      <w:r>
        <w:t>.</w:t>
      </w:r>
    </w:p>
    <w:p w:rsidR="009452A2" w:rsidRDefault="009452A2" w:rsidP="009452A2">
      <w:pPr>
        <w:pStyle w:val="SangriaFrancesaArticulo"/>
      </w:pPr>
      <w:r w:rsidRPr="009452A2">
        <w:rPr>
          <w:rStyle w:val="TextoNormalNegritaCaracter"/>
        </w:rPr>
        <w:t>Artículo 56.</w:t>
      </w:r>
      <w:r w:rsidRPr="009452A2">
        <w:rPr>
          <w:rStyle w:val="TextoNormalCaracter"/>
        </w:rPr>
        <w:t>-</w:t>
      </w:r>
      <w:r>
        <w:t xml:space="preserve"> Autos </w:t>
      </w:r>
      <w:hyperlink w:anchor="AUTO_1985_24" w:history="1">
        <w:r w:rsidRPr="009452A2">
          <w:rPr>
            <w:rStyle w:val="TextoNormalCaracter"/>
          </w:rPr>
          <w:t>24/1985</w:t>
        </w:r>
      </w:hyperlink>
      <w:r>
        <w:t xml:space="preserve">; </w:t>
      </w:r>
      <w:hyperlink w:anchor="AUTO_1985_35" w:history="1">
        <w:r w:rsidRPr="009452A2">
          <w:rPr>
            <w:rStyle w:val="TextoNormalCaracter"/>
          </w:rPr>
          <w:t>35/1985</w:t>
        </w:r>
      </w:hyperlink>
      <w:r>
        <w:t xml:space="preserve">; </w:t>
      </w:r>
      <w:hyperlink w:anchor="AUTO_1985_36" w:history="1">
        <w:r w:rsidRPr="009452A2">
          <w:rPr>
            <w:rStyle w:val="TextoNormalCaracter"/>
          </w:rPr>
          <w:t>36/1985</w:t>
        </w:r>
      </w:hyperlink>
      <w:r>
        <w:t xml:space="preserve">; </w:t>
      </w:r>
      <w:hyperlink w:anchor="AUTO_1985_68" w:history="1">
        <w:r w:rsidRPr="009452A2">
          <w:rPr>
            <w:rStyle w:val="TextoNormalCaracter"/>
          </w:rPr>
          <w:t>68/1985</w:t>
        </w:r>
      </w:hyperlink>
      <w:r>
        <w:t xml:space="preserve">; </w:t>
      </w:r>
      <w:hyperlink w:anchor="AUTO_1985_71" w:history="1">
        <w:r w:rsidRPr="009452A2">
          <w:rPr>
            <w:rStyle w:val="TextoNormalCaracter"/>
          </w:rPr>
          <w:t>71/1985</w:t>
        </w:r>
      </w:hyperlink>
      <w:r>
        <w:t xml:space="preserve">; </w:t>
      </w:r>
      <w:hyperlink w:anchor="AUTO_1985_96" w:history="1">
        <w:r w:rsidRPr="009452A2">
          <w:rPr>
            <w:rStyle w:val="TextoNormalCaracter"/>
          </w:rPr>
          <w:t>96/1985</w:t>
        </w:r>
      </w:hyperlink>
      <w:r>
        <w:t xml:space="preserve">; </w:t>
      </w:r>
      <w:hyperlink w:anchor="AUTO_1985_132" w:history="1">
        <w:r w:rsidRPr="009452A2">
          <w:rPr>
            <w:rStyle w:val="TextoNormalCaracter"/>
          </w:rPr>
          <w:t>132/1985</w:t>
        </w:r>
      </w:hyperlink>
      <w:r>
        <w:t xml:space="preserve">; </w:t>
      </w:r>
      <w:hyperlink w:anchor="AUTO_1985_140" w:history="1">
        <w:r w:rsidRPr="009452A2">
          <w:rPr>
            <w:rStyle w:val="TextoNormalCaracter"/>
          </w:rPr>
          <w:t>140/1985</w:t>
        </w:r>
      </w:hyperlink>
      <w:r>
        <w:t xml:space="preserve">; </w:t>
      </w:r>
      <w:hyperlink w:anchor="AUTO_1985_181" w:history="1">
        <w:r w:rsidRPr="009452A2">
          <w:rPr>
            <w:rStyle w:val="TextoNormalCaracter"/>
          </w:rPr>
          <w:t>181/1985</w:t>
        </w:r>
      </w:hyperlink>
      <w:r>
        <w:t xml:space="preserve">; </w:t>
      </w:r>
      <w:hyperlink w:anchor="AUTO_1985_183" w:history="1">
        <w:r w:rsidRPr="009452A2">
          <w:rPr>
            <w:rStyle w:val="TextoNormalCaracter"/>
          </w:rPr>
          <w:t>183/1985</w:t>
        </w:r>
      </w:hyperlink>
      <w:r>
        <w:t xml:space="preserve">; </w:t>
      </w:r>
      <w:hyperlink w:anchor="AUTO_1985_197" w:history="1">
        <w:r w:rsidRPr="009452A2">
          <w:rPr>
            <w:rStyle w:val="TextoNormalCaracter"/>
          </w:rPr>
          <w:t>197/1985</w:t>
        </w:r>
      </w:hyperlink>
      <w:r>
        <w:t xml:space="preserve">; </w:t>
      </w:r>
      <w:hyperlink w:anchor="AUTO_1985_249" w:history="1">
        <w:r w:rsidRPr="009452A2">
          <w:rPr>
            <w:rStyle w:val="TextoNormalCaracter"/>
          </w:rPr>
          <w:t>249/1985</w:t>
        </w:r>
      </w:hyperlink>
      <w:r>
        <w:t xml:space="preserve">; </w:t>
      </w:r>
      <w:hyperlink w:anchor="AUTO_1985_251" w:history="1">
        <w:r w:rsidRPr="009452A2">
          <w:rPr>
            <w:rStyle w:val="TextoNormalCaracter"/>
          </w:rPr>
          <w:t>251/1985</w:t>
        </w:r>
      </w:hyperlink>
      <w:r>
        <w:t>.</w:t>
      </w:r>
    </w:p>
    <w:p w:rsidR="009452A2" w:rsidRDefault="009452A2" w:rsidP="009452A2">
      <w:pPr>
        <w:pStyle w:val="SangriaFrancesaArticulo"/>
      </w:pPr>
      <w:r w:rsidRPr="009452A2">
        <w:rPr>
          <w:rStyle w:val="TextoNormalNegritaCaracter"/>
        </w:rPr>
        <w:t>Artículo 56.1.</w:t>
      </w:r>
      <w:r w:rsidRPr="009452A2">
        <w:rPr>
          <w:rStyle w:val="TextoNormalCaracter"/>
        </w:rPr>
        <w:t>-</w:t>
      </w:r>
      <w:r>
        <w:t xml:space="preserve"> Autos </w:t>
      </w:r>
      <w:hyperlink w:anchor="AUTO_1985_24" w:history="1">
        <w:r w:rsidRPr="009452A2">
          <w:rPr>
            <w:rStyle w:val="TextoNormalCaracter"/>
          </w:rPr>
          <w:t>24/1985</w:t>
        </w:r>
      </w:hyperlink>
      <w:r>
        <w:t xml:space="preserve">; </w:t>
      </w:r>
      <w:hyperlink w:anchor="AUTO_1985_108" w:history="1">
        <w:r w:rsidRPr="009452A2">
          <w:rPr>
            <w:rStyle w:val="TextoNormalCaracter"/>
          </w:rPr>
          <w:t>108/1985</w:t>
        </w:r>
      </w:hyperlink>
      <w:r>
        <w:t xml:space="preserve">; </w:t>
      </w:r>
      <w:hyperlink w:anchor="AUTO_1985_127" w:history="1">
        <w:r w:rsidRPr="009452A2">
          <w:rPr>
            <w:rStyle w:val="TextoNormalCaracter"/>
          </w:rPr>
          <w:t>127/1985</w:t>
        </w:r>
      </w:hyperlink>
      <w:r>
        <w:t xml:space="preserve">; </w:t>
      </w:r>
      <w:hyperlink w:anchor="AUTO_1985_172" w:history="1">
        <w:r w:rsidRPr="009452A2">
          <w:rPr>
            <w:rStyle w:val="TextoNormalCaracter"/>
          </w:rPr>
          <w:t>172/1985</w:t>
        </w:r>
      </w:hyperlink>
      <w:r>
        <w:t xml:space="preserve">; </w:t>
      </w:r>
      <w:hyperlink w:anchor="AUTO_1985_277" w:history="1">
        <w:r w:rsidRPr="009452A2">
          <w:rPr>
            <w:rStyle w:val="TextoNormalCaracter"/>
          </w:rPr>
          <w:t>277/1985</w:t>
        </w:r>
      </w:hyperlink>
      <w:r>
        <w:t>.</w:t>
      </w:r>
    </w:p>
    <w:p w:rsidR="009452A2" w:rsidRDefault="009452A2" w:rsidP="009452A2">
      <w:pPr>
        <w:pStyle w:val="SangriaFrancesaArticulo"/>
      </w:pPr>
      <w:r w:rsidRPr="009452A2">
        <w:rPr>
          <w:rStyle w:val="TextoNormalNegritaCaracter"/>
        </w:rPr>
        <w:t>Artículo 56.2.</w:t>
      </w:r>
      <w:r w:rsidRPr="009452A2">
        <w:rPr>
          <w:rStyle w:val="TextoNormalCaracter"/>
        </w:rPr>
        <w:t>-</w:t>
      </w:r>
      <w:r>
        <w:t xml:space="preserve"> Autos </w:t>
      </w:r>
      <w:hyperlink w:anchor="AUTO_1985_83" w:history="1">
        <w:r w:rsidRPr="009452A2">
          <w:rPr>
            <w:rStyle w:val="TextoNormalCaracter"/>
          </w:rPr>
          <w:t>83/1985</w:t>
        </w:r>
      </w:hyperlink>
      <w:r>
        <w:t xml:space="preserve">; </w:t>
      </w:r>
      <w:hyperlink w:anchor="AUTO_1985_183" w:history="1">
        <w:r w:rsidRPr="009452A2">
          <w:rPr>
            <w:rStyle w:val="TextoNormalCaracter"/>
          </w:rPr>
          <w:t>183/1985</w:t>
        </w:r>
      </w:hyperlink>
      <w:r>
        <w:t>.</w:t>
      </w:r>
    </w:p>
    <w:p w:rsidR="009452A2" w:rsidRDefault="009452A2" w:rsidP="009452A2">
      <w:pPr>
        <w:pStyle w:val="SangriaFrancesaArticulo"/>
      </w:pPr>
      <w:r w:rsidRPr="009452A2">
        <w:rPr>
          <w:rStyle w:val="TextoNormalNegritaCaracter"/>
        </w:rPr>
        <w:t>Artículo 57.</w:t>
      </w:r>
      <w:r w:rsidRPr="009452A2">
        <w:rPr>
          <w:rStyle w:val="TextoNormalCaracter"/>
        </w:rPr>
        <w:t>-</w:t>
      </w:r>
      <w:r>
        <w:t xml:space="preserve"> Autos </w:t>
      </w:r>
      <w:hyperlink w:anchor="AUTO_1985_128" w:history="1">
        <w:r w:rsidRPr="009452A2">
          <w:rPr>
            <w:rStyle w:val="TextoNormalCaracter"/>
          </w:rPr>
          <w:t>128/1985</w:t>
        </w:r>
      </w:hyperlink>
      <w:r>
        <w:t xml:space="preserve">; </w:t>
      </w:r>
      <w:hyperlink w:anchor="AUTO_1985_181" w:history="1">
        <w:r w:rsidRPr="009452A2">
          <w:rPr>
            <w:rStyle w:val="TextoNormalCaracter"/>
          </w:rPr>
          <w:t>181/1985</w:t>
        </w:r>
      </w:hyperlink>
      <w:r>
        <w:t xml:space="preserve">; </w:t>
      </w:r>
      <w:hyperlink w:anchor="AUTO_1985_183" w:history="1">
        <w:r w:rsidRPr="009452A2">
          <w:rPr>
            <w:rStyle w:val="TextoNormalCaracter"/>
          </w:rPr>
          <w:t>183/1985</w:t>
        </w:r>
      </w:hyperlink>
      <w:r>
        <w:t>.</w:t>
      </w:r>
    </w:p>
    <w:p w:rsidR="009452A2" w:rsidRDefault="009452A2" w:rsidP="009452A2">
      <w:pPr>
        <w:pStyle w:val="SangriaFrancesaArticulo"/>
      </w:pPr>
      <w:r w:rsidRPr="009452A2">
        <w:rPr>
          <w:rStyle w:val="TextoNormalNegritaCaracter"/>
        </w:rPr>
        <w:t>Artículo 59.</w:t>
      </w:r>
      <w:r w:rsidRPr="009452A2">
        <w:rPr>
          <w:rStyle w:val="TextoNormalCaracter"/>
        </w:rPr>
        <w:t>-</w:t>
      </w:r>
      <w:r>
        <w:t xml:space="preserve"> Sentencia </w:t>
      </w:r>
      <w:hyperlink w:anchor="SENTENCIA_1985_9" w:history="1">
        <w:r w:rsidRPr="009452A2">
          <w:rPr>
            <w:rStyle w:val="TextoNormalCaracter"/>
          </w:rPr>
          <w:t>9/1985</w:t>
        </w:r>
      </w:hyperlink>
      <w:r>
        <w:t>, f. 2.</w:t>
      </w:r>
    </w:p>
    <w:p w:rsidR="009452A2" w:rsidRDefault="009452A2" w:rsidP="009452A2">
      <w:pPr>
        <w:pStyle w:val="SangriaFrancesaArticulo"/>
      </w:pPr>
      <w:r w:rsidRPr="009452A2">
        <w:rPr>
          <w:rStyle w:val="TextoNormalNegritaCaracter"/>
        </w:rPr>
        <w:t>Artículo 61.2.</w:t>
      </w:r>
      <w:r w:rsidRPr="009452A2">
        <w:rPr>
          <w:rStyle w:val="TextoNormalCaracter"/>
        </w:rPr>
        <w:t>-</w:t>
      </w:r>
      <w:r>
        <w:t xml:space="preserve"> Autos </w:t>
      </w:r>
      <w:hyperlink w:anchor="AUTO_1985_211" w:history="1">
        <w:r w:rsidRPr="009452A2">
          <w:rPr>
            <w:rStyle w:val="TextoNormalCaracter"/>
          </w:rPr>
          <w:t>211/1985</w:t>
        </w:r>
      </w:hyperlink>
      <w:r>
        <w:t xml:space="preserve">; </w:t>
      </w:r>
      <w:hyperlink w:anchor="AUTO_1985_232" w:history="1">
        <w:r w:rsidRPr="009452A2">
          <w:rPr>
            <w:rStyle w:val="TextoNormalCaracter"/>
          </w:rPr>
          <w:t>232/1985</w:t>
        </w:r>
      </w:hyperlink>
      <w:r>
        <w:t>.</w:t>
      </w:r>
    </w:p>
    <w:p w:rsidR="009452A2" w:rsidRDefault="009452A2" w:rsidP="009452A2">
      <w:pPr>
        <w:pStyle w:val="SangriaFrancesaArticulo"/>
      </w:pPr>
      <w:r w:rsidRPr="009452A2">
        <w:rPr>
          <w:rStyle w:val="TextoNormalNegritaCaracter"/>
        </w:rPr>
        <w:t>Artículo 64.2.</w:t>
      </w:r>
      <w:r w:rsidRPr="009452A2">
        <w:rPr>
          <w:rStyle w:val="TextoNormalCaracter"/>
        </w:rPr>
        <w:t>-</w:t>
      </w:r>
      <w:r>
        <w:t xml:space="preserve"> Auto </w:t>
      </w:r>
      <w:hyperlink w:anchor="AUTO_1985_231" w:history="1">
        <w:r w:rsidRPr="009452A2">
          <w:rPr>
            <w:rStyle w:val="TextoNormalCaracter"/>
          </w:rPr>
          <w:t>231/1985</w:t>
        </w:r>
      </w:hyperlink>
      <w:r>
        <w:t>.</w:t>
      </w:r>
    </w:p>
    <w:p w:rsidR="009452A2" w:rsidRDefault="009452A2" w:rsidP="009452A2">
      <w:pPr>
        <w:pStyle w:val="SangriaFrancesaArticulo"/>
      </w:pPr>
      <w:r w:rsidRPr="009452A2">
        <w:rPr>
          <w:rStyle w:val="TextoNormalNegritaCaracter"/>
        </w:rPr>
        <w:t>Artículo 64.3.</w:t>
      </w:r>
      <w:r w:rsidRPr="009452A2">
        <w:rPr>
          <w:rStyle w:val="TextoNormalCaracter"/>
        </w:rPr>
        <w:t>-</w:t>
      </w:r>
      <w:r>
        <w:t xml:space="preserve"> Sentencia </w:t>
      </w:r>
      <w:hyperlink w:anchor="SENTENCIA_1985_24" w:history="1">
        <w:r w:rsidRPr="009452A2">
          <w:rPr>
            <w:rStyle w:val="TextoNormalCaracter"/>
          </w:rPr>
          <w:t>24/1985</w:t>
        </w:r>
      </w:hyperlink>
      <w:r>
        <w:t>, f. 10.</w:t>
      </w:r>
    </w:p>
    <w:p w:rsidR="009452A2" w:rsidRDefault="009452A2" w:rsidP="009452A2">
      <w:pPr>
        <w:pStyle w:val="SangriaIzquierdaArticulo"/>
      </w:pPr>
      <w:r>
        <w:t xml:space="preserve">Auto </w:t>
      </w:r>
      <w:hyperlink w:anchor="AUTO_1985_284" w:history="1">
        <w:r w:rsidRPr="009452A2">
          <w:rPr>
            <w:rStyle w:val="TextoNormalCaracter"/>
          </w:rPr>
          <w:t>284/1985</w:t>
        </w:r>
      </w:hyperlink>
      <w:r>
        <w:t>.</w:t>
      </w:r>
    </w:p>
    <w:p w:rsidR="009452A2" w:rsidRDefault="009452A2" w:rsidP="009452A2">
      <w:pPr>
        <w:pStyle w:val="SangriaFrancesaArticulo"/>
      </w:pPr>
      <w:r w:rsidRPr="009452A2">
        <w:rPr>
          <w:rStyle w:val="TextoNormalNegritaCaracter"/>
        </w:rPr>
        <w:t>Artículo 66.</w:t>
      </w:r>
      <w:r w:rsidRPr="009452A2">
        <w:rPr>
          <w:rStyle w:val="TextoNormalCaracter"/>
        </w:rPr>
        <w:t>-</w:t>
      </w:r>
      <w:r>
        <w:t xml:space="preserve"> Sentencias </w:t>
      </w:r>
      <w:hyperlink w:anchor="SENTENCIA_1985_24" w:history="1">
        <w:r w:rsidRPr="009452A2">
          <w:rPr>
            <w:rStyle w:val="TextoNormalCaracter"/>
          </w:rPr>
          <w:t>24/1985</w:t>
        </w:r>
      </w:hyperlink>
      <w:r>
        <w:t xml:space="preserve">, f. 10; </w:t>
      </w:r>
      <w:hyperlink w:anchor="SENTENCIA_1985_48" w:history="1">
        <w:r w:rsidRPr="009452A2">
          <w:rPr>
            <w:rStyle w:val="TextoNormalCaracter"/>
          </w:rPr>
          <w:t>48/1985</w:t>
        </w:r>
      </w:hyperlink>
      <w:r>
        <w:t>, f. 7.</w:t>
      </w:r>
    </w:p>
    <w:p w:rsidR="009452A2" w:rsidRDefault="009452A2" w:rsidP="009452A2">
      <w:pPr>
        <w:pStyle w:val="SangriaFrancesaArticulo"/>
      </w:pPr>
      <w:r w:rsidRPr="009452A2">
        <w:rPr>
          <w:rStyle w:val="TextoNormalNegritaCaracter"/>
        </w:rPr>
        <w:t>Artículo 79.</w:t>
      </w:r>
      <w:r w:rsidRPr="009452A2">
        <w:rPr>
          <w:rStyle w:val="TextoNormalCaracter"/>
        </w:rPr>
        <w:t>-</w:t>
      </w:r>
      <w:r>
        <w:t xml:space="preserve"> Sentencia </w:t>
      </w:r>
      <w:hyperlink w:anchor="SENTENCIA_1985_53" w:history="1">
        <w:r w:rsidRPr="009452A2">
          <w:rPr>
            <w:rStyle w:val="TextoNormalCaracter"/>
          </w:rPr>
          <w:t>53/1985</w:t>
        </w:r>
      </w:hyperlink>
      <w:r>
        <w:t>, f. 14.</w:t>
      </w:r>
    </w:p>
    <w:p w:rsidR="009452A2" w:rsidRDefault="009452A2" w:rsidP="009452A2">
      <w:pPr>
        <w:pStyle w:val="SangriaFrancesaArticulo"/>
      </w:pPr>
      <w:r w:rsidRPr="009452A2">
        <w:rPr>
          <w:rStyle w:val="TextoNormalNegritaCaracter"/>
        </w:rPr>
        <w:t>Artículo 79.4.</w:t>
      </w:r>
      <w:r w:rsidRPr="009452A2">
        <w:rPr>
          <w:rStyle w:val="TextoNormalCaracter"/>
        </w:rPr>
        <w:t>-</w:t>
      </w:r>
      <w:r>
        <w:t xml:space="preserve"> Sentencia </w:t>
      </w:r>
      <w:hyperlink w:anchor="SENTENCIA_1985_53" w:history="1">
        <w:r w:rsidRPr="009452A2">
          <w:rPr>
            <w:rStyle w:val="TextoNormalCaracter"/>
          </w:rPr>
          <w:t>53/1985</w:t>
        </w:r>
      </w:hyperlink>
      <w:r>
        <w:t>, VP II, VP V.</w:t>
      </w:r>
    </w:p>
    <w:p w:rsidR="009452A2" w:rsidRDefault="009452A2" w:rsidP="009452A2">
      <w:pPr>
        <w:pStyle w:val="SangriaFrancesaArticulo"/>
      </w:pPr>
      <w:r w:rsidRPr="009452A2">
        <w:rPr>
          <w:rStyle w:val="TextoNormalNegritaCaracter"/>
        </w:rPr>
        <w:t>Artículo 79.4 b).</w:t>
      </w:r>
      <w:r w:rsidRPr="009452A2">
        <w:rPr>
          <w:rStyle w:val="TextoNormalCaracter"/>
        </w:rPr>
        <w:t>-</w:t>
      </w:r>
      <w:r>
        <w:t xml:space="preserve"> Sentencia </w:t>
      </w:r>
      <w:hyperlink w:anchor="SENTENCIA_1985_53" w:history="1">
        <w:r w:rsidRPr="009452A2">
          <w:rPr>
            <w:rStyle w:val="TextoNormalCaracter"/>
          </w:rPr>
          <w:t>53/1985</w:t>
        </w:r>
      </w:hyperlink>
      <w:r>
        <w:t>, f. 12, VP I, VP III, VP IV.</w:t>
      </w:r>
    </w:p>
    <w:p w:rsidR="009452A2" w:rsidRDefault="009452A2" w:rsidP="009452A2">
      <w:pPr>
        <w:pStyle w:val="SangriaFrancesaArticulo"/>
      </w:pPr>
      <w:r w:rsidRPr="009452A2">
        <w:rPr>
          <w:rStyle w:val="TextoNormalNegritaCaracter"/>
        </w:rPr>
        <w:t>Artículo 79.5.</w:t>
      </w:r>
      <w:r w:rsidRPr="009452A2">
        <w:rPr>
          <w:rStyle w:val="TextoNormalCaracter"/>
        </w:rPr>
        <w:t>-</w:t>
      </w:r>
      <w:r>
        <w:t xml:space="preserve"> Sentencia </w:t>
      </w:r>
      <w:hyperlink w:anchor="SENTENCIA_1985_53" w:history="1">
        <w:r w:rsidRPr="009452A2">
          <w:rPr>
            <w:rStyle w:val="TextoNormalCaracter"/>
          </w:rPr>
          <w:t>53/1985</w:t>
        </w:r>
      </w:hyperlink>
      <w:r>
        <w:t>, VP III, VP IV.</w:t>
      </w:r>
    </w:p>
    <w:p w:rsidR="009452A2" w:rsidRDefault="009452A2" w:rsidP="009452A2">
      <w:pPr>
        <w:pStyle w:val="SangriaFrancesaArticulo"/>
      </w:pPr>
      <w:r w:rsidRPr="009452A2">
        <w:rPr>
          <w:rStyle w:val="TextoNormalNegritaCaracter"/>
        </w:rPr>
        <w:t>Artículo 80.</w:t>
      </w:r>
      <w:r w:rsidRPr="009452A2">
        <w:rPr>
          <w:rStyle w:val="TextoNormalCaracter"/>
        </w:rPr>
        <w:t>-</w:t>
      </w:r>
      <w:r>
        <w:t xml:space="preserve"> Autos </w:t>
      </w:r>
      <w:hyperlink w:anchor="AUTO_1985_12" w:history="1">
        <w:r w:rsidRPr="009452A2">
          <w:rPr>
            <w:rStyle w:val="TextoNormalCaracter"/>
          </w:rPr>
          <w:t>12/1985</w:t>
        </w:r>
      </w:hyperlink>
      <w:r>
        <w:t xml:space="preserve">; </w:t>
      </w:r>
      <w:hyperlink w:anchor="AUTO_1985_43" w:history="1">
        <w:r w:rsidRPr="009452A2">
          <w:rPr>
            <w:rStyle w:val="TextoNormalCaracter"/>
          </w:rPr>
          <w:t>43/1985</w:t>
        </w:r>
      </w:hyperlink>
      <w:r>
        <w:t xml:space="preserve">; </w:t>
      </w:r>
      <w:hyperlink w:anchor="AUTO_1985_210" w:history="1">
        <w:r w:rsidRPr="009452A2">
          <w:rPr>
            <w:rStyle w:val="TextoNormalCaracter"/>
          </w:rPr>
          <w:t>210/1985</w:t>
        </w:r>
      </w:hyperlink>
      <w:r>
        <w:t xml:space="preserve">; </w:t>
      </w:r>
      <w:hyperlink w:anchor="AUTO_1985_211" w:history="1">
        <w:r w:rsidRPr="009452A2">
          <w:rPr>
            <w:rStyle w:val="TextoNormalCaracter"/>
          </w:rPr>
          <w:t>211/1985</w:t>
        </w:r>
      </w:hyperlink>
      <w:r>
        <w:t xml:space="preserve">; </w:t>
      </w:r>
      <w:hyperlink w:anchor="AUTO_1985_232" w:history="1">
        <w:r w:rsidRPr="009452A2">
          <w:rPr>
            <w:rStyle w:val="TextoNormalCaracter"/>
          </w:rPr>
          <w:t>232/1985</w:t>
        </w:r>
      </w:hyperlink>
      <w:r>
        <w:t>.</w:t>
      </w:r>
    </w:p>
    <w:p w:rsidR="009452A2" w:rsidRDefault="009452A2" w:rsidP="009452A2">
      <w:pPr>
        <w:pStyle w:val="SangriaFrancesaArticulo"/>
      </w:pPr>
      <w:r w:rsidRPr="009452A2">
        <w:rPr>
          <w:rStyle w:val="TextoNormalNegritaCaracter"/>
        </w:rPr>
        <w:t>Artículo 81.</w:t>
      </w:r>
      <w:r w:rsidRPr="009452A2">
        <w:rPr>
          <w:rStyle w:val="TextoNormalCaracter"/>
        </w:rPr>
        <w:t>-</w:t>
      </w:r>
      <w:r>
        <w:t xml:space="preserve"> Autos </w:t>
      </w:r>
      <w:hyperlink w:anchor="AUTO_1985_3" w:history="1">
        <w:r w:rsidRPr="009452A2">
          <w:rPr>
            <w:rStyle w:val="TextoNormalCaracter"/>
          </w:rPr>
          <w:t>3/1985</w:t>
        </w:r>
      </w:hyperlink>
      <w:r>
        <w:t xml:space="preserve">; </w:t>
      </w:r>
      <w:hyperlink w:anchor="AUTO_1985_23" w:history="1">
        <w:r w:rsidRPr="009452A2">
          <w:rPr>
            <w:rStyle w:val="TextoNormalCaracter"/>
          </w:rPr>
          <w:t>23/1985</w:t>
        </w:r>
      </w:hyperlink>
      <w:r>
        <w:t xml:space="preserve">; </w:t>
      </w:r>
      <w:hyperlink w:anchor="AUTO_1985_32" w:history="1">
        <w:r w:rsidRPr="009452A2">
          <w:rPr>
            <w:rStyle w:val="TextoNormalCaracter"/>
          </w:rPr>
          <w:t>32/1985</w:t>
        </w:r>
      </w:hyperlink>
      <w:r>
        <w:t xml:space="preserve">; </w:t>
      </w:r>
      <w:hyperlink w:anchor="AUTO_1985_210" w:history="1">
        <w:r w:rsidRPr="009452A2">
          <w:rPr>
            <w:rStyle w:val="TextoNormalCaracter"/>
          </w:rPr>
          <w:t>210/1985</w:t>
        </w:r>
      </w:hyperlink>
      <w:r>
        <w:t xml:space="preserve">; </w:t>
      </w:r>
      <w:hyperlink w:anchor="AUTO_1985_220" w:history="1">
        <w:r w:rsidRPr="009452A2">
          <w:rPr>
            <w:rStyle w:val="TextoNormalCaracter"/>
          </w:rPr>
          <w:t>220/1985</w:t>
        </w:r>
      </w:hyperlink>
      <w:r>
        <w:t xml:space="preserve">; </w:t>
      </w:r>
      <w:hyperlink w:anchor="AUTO_1985_244" w:history="1">
        <w:r w:rsidRPr="009452A2">
          <w:rPr>
            <w:rStyle w:val="TextoNormalCaracter"/>
          </w:rPr>
          <w:t>244/1985</w:t>
        </w:r>
      </w:hyperlink>
      <w:r>
        <w:t>.</w:t>
      </w:r>
    </w:p>
    <w:p w:rsidR="009452A2" w:rsidRDefault="009452A2" w:rsidP="009452A2">
      <w:pPr>
        <w:pStyle w:val="SangriaFrancesaArticulo"/>
      </w:pPr>
      <w:r w:rsidRPr="009452A2">
        <w:rPr>
          <w:rStyle w:val="TextoNormalNegritaCaracter"/>
        </w:rPr>
        <w:t>Artículo 81.1.</w:t>
      </w:r>
      <w:r w:rsidRPr="009452A2">
        <w:rPr>
          <w:rStyle w:val="TextoNormalCaracter"/>
        </w:rPr>
        <w:t>-</w:t>
      </w:r>
      <w:r>
        <w:t xml:space="preserve"> Autos </w:t>
      </w:r>
      <w:hyperlink w:anchor="AUTO_1985_10" w:history="1">
        <w:r w:rsidRPr="009452A2">
          <w:rPr>
            <w:rStyle w:val="TextoNormalCaracter"/>
          </w:rPr>
          <w:t>10/1985</w:t>
        </w:r>
      </w:hyperlink>
      <w:r>
        <w:t xml:space="preserve">; </w:t>
      </w:r>
      <w:hyperlink w:anchor="AUTO_1985_14" w:history="1">
        <w:r w:rsidRPr="009452A2">
          <w:rPr>
            <w:rStyle w:val="TextoNormalCaracter"/>
          </w:rPr>
          <w:t>14/1985</w:t>
        </w:r>
      </w:hyperlink>
      <w:r>
        <w:t xml:space="preserve">; </w:t>
      </w:r>
      <w:hyperlink w:anchor="AUTO_1985_48" w:history="1">
        <w:r w:rsidRPr="009452A2">
          <w:rPr>
            <w:rStyle w:val="TextoNormalCaracter"/>
          </w:rPr>
          <w:t>48/1985</w:t>
        </w:r>
      </w:hyperlink>
      <w:r>
        <w:t xml:space="preserve">; </w:t>
      </w:r>
      <w:hyperlink w:anchor="AUTO_1985_62" w:history="1">
        <w:r w:rsidRPr="009452A2">
          <w:rPr>
            <w:rStyle w:val="TextoNormalCaracter"/>
          </w:rPr>
          <w:t>62/1985</w:t>
        </w:r>
      </w:hyperlink>
      <w:r>
        <w:t xml:space="preserve">; </w:t>
      </w:r>
      <w:hyperlink w:anchor="AUTO_1985_101" w:history="1">
        <w:r w:rsidRPr="009452A2">
          <w:rPr>
            <w:rStyle w:val="TextoNormalCaracter"/>
          </w:rPr>
          <w:t>101/1985</w:t>
        </w:r>
      </w:hyperlink>
      <w:r>
        <w:t xml:space="preserve">; </w:t>
      </w:r>
      <w:hyperlink w:anchor="AUTO_1985_112" w:history="1">
        <w:r w:rsidRPr="009452A2">
          <w:rPr>
            <w:rStyle w:val="TextoNormalCaracter"/>
          </w:rPr>
          <w:t>112/1985</w:t>
        </w:r>
      </w:hyperlink>
      <w:r>
        <w:t xml:space="preserve">; </w:t>
      </w:r>
      <w:hyperlink w:anchor="AUTO_1985_210" w:history="1">
        <w:r w:rsidRPr="009452A2">
          <w:rPr>
            <w:rStyle w:val="TextoNormalCaracter"/>
          </w:rPr>
          <w:t>210/1985</w:t>
        </w:r>
      </w:hyperlink>
      <w:r>
        <w:t xml:space="preserve">; </w:t>
      </w:r>
      <w:hyperlink w:anchor="AUTO_1985_213" w:history="1">
        <w:r w:rsidRPr="009452A2">
          <w:rPr>
            <w:rStyle w:val="TextoNormalCaracter"/>
          </w:rPr>
          <w:t>213/1985</w:t>
        </w:r>
      </w:hyperlink>
      <w:r>
        <w:t xml:space="preserve">; </w:t>
      </w:r>
      <w:hyperlink w:anchor="AUTO_1985_260" w:history="1">
        <w:r w:rsidRPr="009452A2">
          <w:rPr>
            <w:rStyle w:val="TextoNormalCaracter"/>
          </w:rPr>
          <w:t>260/1985</w:t>
        </w:r>
      </w:hyperlink>
      <w:r>
        <w:t>.</w:t>
      </w:r>
    </w:p>
    <w:p w:rsidR="009452A2" w:rsidRDefault="009452A2" w:rsidP="009452A2">
      <w:pPr>
        <w:pStyle w:val="SangriaFrancesaArticulo"/>
      </w:pPr>
      <w:r w:rsidRPr="009452A2">
        <w:rPr>
          <w:rStyle w:val="TextoNormalNegritaCaracter"/>
        </w:rPr>
        <w:t>Artículo 81.2.</w:t>
      </w:r>
      <w:r w:rsidRPr="009452A2">
        <w:rPr>
          <w:rStyle w:val="TextoNormalCaracter"/>
        </w:rPr>
        <w:t>-</w:t>
      </w:r>
      <w:r>
        <w:t xml:space="preserve"> Auto </w:t>
      </w:r>
      <w:hyperlink w:anchor="AUTO_1985_23" w:history="1">
        <w:r w:rsidRPr="009452A2">
          <w:rPr>
            <w:rStyle w:val="TextoNormalCaracter"/>
          </w:rPr>
          <w:t>23/1985</w:t>
        </w:r>
      </w:hyperlink>
      <w:r>
        <w:t>.</w:t>
      </w:r>
    </w:p>
    <w:p w:rsidR="009452A2" w:rsidRDefault="009452A2" w:rsidP="009452A2">
      <w:pPr>
        <w:pStyle w:val="SangriaFrancesaArticulo"/>
      </w:pPr>
      <w:r w:rsidRPr="009452A2">
        <w:rPr>
          <w:rStyle w:val="TextoNormalNegritaCaracter"/>
        </w:rPr>
        <w:t>Artículo 82.1.</w:t>
      </w:r>
      <w:r w:rsidRPr="009452A2">
        <w:rPr>
          <w:rStyle w:val="TextoNormalCaracter"/>
        </w:rPr>
        <w:t>-</w:t>
      </w:r>
      <w:r>
        <w:t xml:space="preserve"> Sentencia </w:t>
      </w:r>
      <w:hyperlink w:anchor="SENTENCIA_1985_42" w:history="1">
        <w:r w:rsidRPr="009452A2">
          <w:rPr>
            <w:rStyle w:val="TextoNormalCaracter"/>
          </w:rPr>
          <w:t>42/1985</w:t>
        </w:r>
      </w:hyperlink>
      <w:r>
        <w:t>, ff. 2, 3.</w:t>
      </w:r>
    </w:p>
    <w:p w:rsidR="009452A2" w:rsidRDefault="009452A2" w:rsidP="009452A2">
      <w:pPr>
        <w:pStyle w:val="SangriaFrancesaArticulo"/>
      </w:pPr>
      <w:r w:rsidRPr="009452A2">
        <w:rPr>
          <w:rStyle w:val="TextoNormalNegritaCaracter"/>
        </w:rPr>
        <w:t>Artículo 82.2.</w:t>
      </w:r>
      <w:r w:rsidRPr="009452A2">
        <w:rPr>
          <w:rStyle w:val="TextoNormalCaracter"/>
        </w:rPr>
        <w:t>-</w:t>
      </w:r>
      <w:r>
        <w:t xml:space="preserve"> Auto </w:t>
      </w:r>
      <w:hyperlink w:anchor="AUTO_1985_231" w:history="1">
        <w:r w:rsidRPr="009452A2">
          <w:rPr>
            <w:rStyle w:val="TextoNormalCaracter"/>
          </w:rPr>
          <w:t>231/1985</w:t>
        </w:r>
      </w:hyperlink>
      <w:r>
        <w:t>.</w:t>
      </w:r>
    </w:p>
    <w:p w:rsidR="009452A2" w:rsidRDefault="009452A2" w:rsidP="009452A2">
      <w:pPr>
        <w:pStyle w:val="SangriaFrancesaArticulo"/>
      </w:pPr>
      <w:r w:rsidRPr="009452A2">
        <w:rPr>
          <w:rStyle w:val="TextoNormalNegritaCaracter"/>
        </w:rPr>
        <w:t>Artículo 83.</w:t>
      </w:r>
      <w:r w:rsidRPr="009452A2">
        <w:rPr>
          <w:rStyle w:val="TextoNormalCaracter"/>
        </w:rPr>
        <w:t>-</w:t>
      </w:r>
      <w:r>
        <w:t xml:space="preserve"> Autos </w:t>
      </w:r>
      <w:hyperlink w:anchor="AUTO_1985_12" w:history="1">
        <w:r w:rsidRPr="009452A2">
          <w:rPr>
            <w:rStyle w:val="TextoNormalCaracter"/>
          </w:rPr>
          <w:t>12/1985</w:t>
        </w:r>
      </w:hyperlink>
      <w:r>
        <w:t xml:space="preserve">; </w:t>
      </w:r>
      <w:hyperlink w:anchor="AUTO_1985_17" w:history="1">
        <w:r w:rsidRPr="009452A2">
          <w:rPr>
            <w:rStyle w:val="TextoNormalCaracter"/>
          </w:rPr>
          <w:t>17/1985</w:t>
        </w:r>
      </w:hyperlink>
      <w:r>
        <w:t xml:space="preserve">; </w:t>
      </w:r>
      <w:hyperlink w:anchor="AUTO_1985_38" w:history="1">
        <w:r w:rsidRPr="009452A2">
          <w:rPr>
            <w:rStyle w:val="TextoNormalCaracter"/>
          </w:rPr>
          <w:t>38/1985</w:t>
        </w:r>
      </w:hyperlink>
      <w:r>
        <w:t xml:space="preserve">; </w:t>
      </w:r>
      <w:hyperlink w:anchor="AUTO_1985_110" w:history="1">
        <w:r w:rsidRPr="009452A2">
          <w:rPr>
            <w:rStyle w:val="TextoNormalCaracter"/>
          </w:rPr>
          <w:t>110/1985</w:t>
        </w:r>
      </w:hyperlink>
      <w:r>
        <w:t xml:space="preserve">; </w:t>
      </w:r>
      <w:hyperlink w:anchor="AUTO_1985_126" w:history="1">
        <w:r w:rsidRPr="009452A2">
          <w:rPr>
            <w:rStyle w:val="TextoNormalCaracter"/>
          </w:rPr>
          <w:t>126/1985</w:t>
        </w:r>
      </w:hyperlink>
      <w:r>
        <w:t xml:space="preserve">; </w:t>
      </w:r>
      <w:hyperlink w:anchor="AUTO_1985_147" w:history="1">
        <w:r w:rsidRPr="009452A2">
          <w:rPr>
            <w:rStyle w:val="TextoNormalCaracter"/>
          </w:rPr>
          <w:t>147/1985</w:t>
        </w:r>
      </w:hyperlink>
      <w:r>
        <w:t xml:space="preserve">; </w:t>
      </w:r>
      <w:hyperlink w:anchor="AUTO_1985_148" w:history="1">
        <w:r w:rsidRPr="009452A2">
          <w:rPr>
            <w:rStyle w:val="TextoNormalCaracter"/>
          </w:rPr>
          <w:t>148/1985</w:t>
        </w:r>
      </w:hyperlink>
      <w:r>
        <w:t xml:space="preserve">; </w:t>
      </w:r>
      <w:hyperlink w:anchor="AUTO_1985_149" w:history="1">
        <w:r w:rsidRPr="009452A2">
          <w:rPr>
            <w:rStyle w:val="TextoNormalCaracter"/>
          </w:rPr>
          <w:t>149/1985</w:t>
        </w:r>
      </w:hyperlink>
      <w:r>
        <w:t xml:space="preserve">; </w:t>
      </w:r>
      <w:hyperlink w:anchor="AUTO_1985_176" w:history="1">
        <w:r w:rsidRPr="009452A2">
          <w:rPr>
            <w:rStyle w:val="TextoNormalCaracter"/>
          </w:rPr>
          <w:t>176/1985</w:t>
        </w:r>
      </w:hyperlink>
      <w:r>
        <w:t xml:space="preserve">; </w:t>
      </w:r>
      <w:hyperlink w:anchor="AUTO_1985_199" w:history="1">
        <w:r w:rsidRPr="009452A2">
          <w:rPr>
            <w:rStyle w:val="TextoNormalCaracter"/>
          </w:rPr>
          <w:t>199/1985</w:t>
        </w:r>
      </w:hyperlink>
      <w:r>
        <w:t xml:space="preserve">; </w:t>
      </w:r>
      <w:hyperlink w:anchor="AUTO_1985_201" w:history="1">
        <w:r w:rsidRPr="009452A2">
          <w:rPr>
            <w:rStyle w:val="TextoNormalCaracter"/>
          </w:rPr>
          <w:t>201/1985</w:t>
        </w:r>
      </w:hyperlink>
      <w:r>
        <w:t>.</w:t>
      </w:r>
    </w:p>
    <w:p w:rsidR="009452A2" w:rsidRDefault="009452A2" w:rsidP="009452A2">
      <w:pPr>
        <w:pStyle w:val="SangriaFrancesaArticulo"/>
      </w:pPr>
      <w:r w:rsidRPr="009452A2">
        <w:rPr>
          <w:rStyle w:val="TextoNormalNegritaCaracter"/>
        </w:rPr>
        <w:t>Artículo 85.2.</w:t>
      </w:r>
      <w:r w:rsidRPr="009452A2">
        <w:rPr>
          <w:rStyle w:val="TextoNormalCaracter"/>
        </w:rPr>
        <w:t>-</w:t>
      </w:r>
      <w:r>
        <w:t xml:space="preserve"> Autos </w:t>
      </w:r>
      <w:hyperlink w:anchor="AUTO_1985_60" w:history="1">
        <w:r w:rsidRPr="009452A2">
          <w:rPr>
            <w:rStyle w:val="TextoNormalCaracter"/>
          </w:rPr>
          <w:t>60/1985</w:t>
        </w:r>
      </w:hyperlink>
      <w:r>
        <w:t xml:space="preserve">; </w:t>
      </w:r>
      <w:hyperlink w:anchor="AUTO_1985_61" w:history="1">
        <w:r w:rsidRPr="009452A2">
          <w:rPr>
            <w:rStyle w:val="TextoNormalCaracter"/>
          </w:rPr>
          <w:t>61/1985</w:t>
        </w:r>
      </w:hyperlink>
      <w:r>
        <w:t xml:space="preserve">; </w:t>
      </w:r>
      <w:hyperlink w:anchor="AUTO_1985_62" w:history="1">
        <w:r w:rsidRPr="009452A2">
          <w:rPr>
            <w:rStyle w:val="TextoNormalCaracter"/>
          </w:rPr>
          <w:t>62/1985</w:t>
        </w:r>
      </w:hyperlink>
      <w:r>
        <w:t xml:space="preserve">; </w:t>
      </w:r>
      <w:hyperlink w:anchor="AUTO_1985_141" w:history="1">
        <w:r w:rsidRPr="009452A2">
          <w:rPr>
            <w:rStyle w:val="TextoNormalCaracter"/>
          </w:rPr>
          <w:t>141/1985</w:t>
        </w:r>
      </w:hyperlink>
      <w:r>
        <w:t xml:space="preserve">; </w:t>
      </w:r>
      <w:hyperlink w:anchor="AUTO_1985_210" w:history="1">
        <w:r w:rsidRPr="009452A2">
          <w:rPr>
            <w:rStyle w:val="TextoNormalCaracter"/>
          </w:rPr>
          <w:t>210/1985</w:t>
        </w:r>
      </w:hyperlink>
      <w:r>
        <w:t xml:space="preserve">; </w:t>
      </w:r>
      <w:hyperlink w:anchor="AUTO_1985_220" w:history="1">
        <w:r w:rsidRPr="009452A2">
          <w:rPr>
            <w:rStyle w:val="TextoNormalCaracter"/>
          </w:rPr>
          <w:t>220/1985</w:t>
        </w:r>
      </w:hyperlink>
      <w:r>
        <w:t>.</w:t>
      </w:r>
    </w:p>
    <w:p w:rsidR="009452A2" w:rsidRDefault="009452A2" w:rsidP="009452A2">
      <w:pPr>
        <w:pStyle w:val="SangriaFrancesaArticulo"/>
      </w:pPr>
      <w:r w:rsidRPr="009452A2">
        <w:rPr>
          <w:rStyle w:val="TextoNormalNegritaCaracter"/>
        </w:rPr>
        <w:t>Artículo 86.</w:t>
      </w:r>
      <w:r w:rsidRPr="009452A2">
        <w:rPr>
          <w:rStyle w:val="TextoNormalCaracter"/>
        </w:rPr>
        <w:t>-</w:t>
      </w:r>
      <w:r>
        <w:t xml:space="preserve"> Autos </w:t>
      </w:r>
      <w:hyperlink w:anchor="AUTO_1985_211" w:history="1">
        <w:r w:rsidRPr="009452A2">
          <w:rPr>
            <w:rStyle w:val="TextoNormalCaracter"/>
          </w:rPr>
          <w:t>211/1985</w:t>
        </w:r>
      </w:hyperlink>
      <w:r>
        <w:t xml:space="preserve">; </w:t>
      </w:r>
      <w:hyperlink w:anchor="AUTO_1985_232" w:history="1">
        <w:r w:rsidRPr="009452A2">
          <w:rPr>
            <w:rStyle w:val="TextoNormalCaracter"/>
          </w:rPr>
          <w:t>232/1985</w:t>
        </w:r>
      </w:hyperlink>
      <w:r>
        <w:t>.</w:t>
      </w:r>
    </w:p>
    <w:p w:rsidR="009452A2" w:rsidRDefault="009452A2" w:rsidP="009452A2">
      <w:pPr>
        <w:pStyle w:val="SangriaFrancesaArticulo"/>
      </w:pPr>
      <w:r w:rsidRPr="009452A2">
        <w:rPr>
          <w:rStyle w:val="TextoNormalNegritaCaracter"/>
        </w:rPr>
        <w:t>Artículo 86.1.</w:t>
      </w:r>
      <w:r w:rsidRPr="009452A2">
        <w:rPr>
          <w:rStyle w:val="TextoNormalCaracter"/>
        </w:rPr>
        <w:t>-</w:t>
      </w:r>
      <w:r>
        <w:t xml:space="preserve"> Autos </w:t>
      </w:r>
      <w:hyperlink w:anchor="AUTO_1985_137" w:history="1">
        <w:r w:rsidRPr="009452A2">
          <w:rPr>
            <w:rStyle w:val="TextoNormalCaracter"/>
          </w:rPr>
          <w:t>137/1985</w:t>
        </w:r>
      </w:hyperlink>
      <w:r>
        <w:t xml:space="preserve">; </w:t>
      </w:r>
      <w:hyperlink w:anchor="AUTO_1985_154" w:history="1">
        <w:r w:rsidRPr="009452A2">
          <w:rPr>
            <w:rStyle w:val="TextoNormalCaracter"/>
          </w:rPr>
          <w:t>154/1985</w:t>
        </w:r>
      </w:hyperlink>
      <w:r>
        <w:t>.</w:t>
      </w:r>
    </w:p>
    <w:p w:rsidR="009452A2" w:rsidRDefault="009452A2" w:rsidP="009452A2">
      <w:pPr>
        <w:pStyle w:val="SangriaFrancesaArticulo"/>
      </w:pPr>
      <w:r w:rsidRPr="009452A2">
        <w:rPr>
          <w:rStyle w:val="TextoNormalNegritaCaracter"/>
        </w:rPr>
        <w:t>Artículo 88.</w:t>
      </w:r>
      <w:r w:rsidRPr="009452A2">
        <w:rPr>
          <w:rStyle w:val="TextoNormalCaracter"/>
        </w:rPr>
        <w:t>-</w:t>
      </w:r>
      <w:r>
        <w:t xml:space="preserve"> Auto </w:t>
      </w:r>
      <w:hyperlink w:anchor="AUTO_1985_200" w:history="1">
        <w:r w:rsidRPr="009452A2">
          <w:rPr>
            <w:rStyle w:val="TextoNormalCaracter"/>
          </w:rPr>
          <w:t>200/1985</w:t>
        </w:r>
      </w:hyperlink>
      <w:r>
        <w:t>.</w:t>
      </w:r>
    </w:p>
    <w:p w:rsidR="009452A2" w:rsidRDefault="009452A2" w:rsidP="009452A2">
      <w:pPr>
        <w:pStyle w:val="SangriaFrancesaArticulo"/>
      </w:pPr>
      <w:r w:rsidRPr="009452A2">
        <w:rPr>
          <w:rStyle w:val="TextoNormalNegritaCaracter"/>
        </w:rPr>
        <w:t>Artículo 89.1.</w:t>
      </w:r>
      <w:r w:rsidRPr="009452A2">
        <w:rPr>
          <w:rStyle w:val="TextoNormalCaracter"/>
        </w:rPr>
        <w:t>-</w:t>
      </w:r>
      <w:r>
        <w:t xml:space="preserve"> Autos </w:t>
      </w:r>
      <w:hyperlink w:anchor="AUTO_1985_200" w:history="1">
        <w:r w:rsidRPr="009452A2">
          <w:rPr>
            <w:rStyle w:val="TextoNormalCaracter"/>
          </w:rPr>
          <w:t>200/1985</w:t>
        </w:r>
      </w:hyperlink>
      <w:r>
        <w:t xml:space="preserve">; </w:t>
      </w:r>
      <w:hyperlink w:anchor="AUTO_1985_230" w:history="1">
        <w:r w:rsidRPr="009452A2">
          <w:rPr>
            <w:rStyle w:val="TextoNormalCaracter"/>
          </w:rPr>
          <w:t>230/1985</w:t>
        </w:r>
      </w:hyperlink>
      <w:r>
        <w:t>.</w:t>
      </w:r>
    </w:p>
    <w:p w:rsidR="009452A2" w:rsidRDefault="009452A2" w:rsidP="009452A2">
      <w:pPr>
        <w:pStyle w:val="SangriaFrancesaArticulo"/>
      </w:pPr>
      <w:r w:rsidRPr="009452A2">
        <w:rPr>
          <w:rStyle w:val="TextoNormalNegritaCaracter"/>
        </w:rPr>
        <w:t>Artículo 90.2.</w:t>
      </w:r>
      <w:r w:rsidRPr="009452A2">
        <w:rPr>
          <w:rStyle w:val="TextoNormalCaracter"/>
        </w:rPr>
        <w:t>-</w:t>
      </w:r>
      <w:r>
        <w:t xml:space="preserve"> Sentencia </w:t>
      </w:r>
      <w:hyperlink w:anchor="SENTENCIA_1985_53" w:history="1">
        <w:r w:rsidRPr="009452A2">
          <w:rPr>
            <w:rStyle w:val="TextoNormalCaracter"/>
          </w:rPr>
          <w:t>53/1985</w:t>
        </w:r>
      </w:hyperlink>
      <w:r>
        <w:t>, VP IV.</w:t>
      </w:r>
    </w:p>
    <w:p w:rsidR="009452A2" w:rsidRDefault="009452A2" w:rsidP="009452A2">
      <w:pPr>
        <w:pStyle w:val="SangriaFrancesaArticulo"/>
      </w:pPr>
      <w:r w:rsidRPr="009452A2">
        <w:rPr>
          <w:rStyle w:val="TextoNormalNegritaCaracter"/>
        </w:rPr>
        <w:t>Artículo 94.</w:t>
      </w:r>
      <w:r w:rsidRPr="009452A2">
        <w:rPr>
          <w:rStyle w:val="TextoNormalCaracter"/>
        </w:rPr>
        <w:t>-</w:t>
      </w:r>
      <w:r>
        <w:t xml:space="preserve"> Sentencia </w:t>
      </w:r>
      <w:hyperlink w:anchor="SENTENCIA_1985_42" w:history="1">
        <w:r w:rsidRPr="009452A2">
          <w:rPr>
            <w:rStyle w:val="TextoNormalCaracter"/>
          </w:rPr>
          <w:t>42/1985</w:t>
        </w:r>
      </w:hyperlink>
      <w:r>
        <w:t>, ff. 1, 3.</w:t>
      </w:r>
    </w:p>
    <w:p w:rsidR="009452A2" w:rsidRDefault="009452A2" w:rsidP="009452A2">
      <w:pPr>
        <w:pStyle w:val="SangriaFrancesaArticulo"/>
      </w:pPr>
      <w:r w:rsidRPr="009452A2">
        <w:rPr>
          <w:rStyle w:val="TextoNormalNegritaCaracter"/>
        </w:rPr>
        <w:t>Artículo 95.</w:t>
      </w:r>
      <w:r w:rsidRPr="009452A2">
        <w:rPr>
          <w:rStyle w:val="TextoNormalCaracter"/>
        </w:rPr>
        <w:t>-</w:t>
      </w:r>
      <w:r>
        <w:t xml:space="preserve"> Autos </w:t>
      </w:r>
      <w:hyperlink w:anchor="AUTO_1985_22" w:history="1">
        <w:r w:rsidRPr="009452A2">
          <w:rPr>
            <w:rStyle w:val="TextoNormalCaracter"/>
          </w:rPr>
          <w:t>22/1985</w:t>
        </w:r>
      </w:hyperlink>
      <w:r>
        <w:t xml:space="preserve">; </w:t>
      </w:r>
      <w:hyperlink w:anchor="AUTO_1985_216" w:history="1">
        <w:r w:rsidRPr="009452A2">
          <w:rPr>
            <w:rStyle w:val="TextoNormalCaracter"/>
          </w:rPr>
          <w:t>216/1985</w:t>
        </w:r>
      </w:hyperlink>
      <w:r>
        <w:t>.</w:t>
      </w:r>
    </w:p>
    <w:p w:rsidR="009452A2" w:rsidRDefault="009452A2" w:rsidP="009452A2">
      <w:pPr>
        <w:pStyle w:val="SangriaFrancesaArticulo"/>
      </w:pPr>
      <w:r w:rsidRPr="009452A2">
        <w:rPr>
          <w:rStyle w:val="TextoNormalNegritaCaracter"/>
        </w:rPr>
        <w:t>Artículo 95.2.</w:t>
      </w:r>
      <w:r w:rsidRPr="009452A2">
        <w:rPr>
          <w:rStyle w:val="TextoNormalCaracter"/>
        </w:rPr>
        <w:t>-</w:t>
      </w:r>
      <w:r>
        <w:t xml:space="preserve"> Sentencias </w:t>
      </w:r>
      <w:hyperlink w:anchor="SENTENCIA_1985_36" w:history="1">
        <w:r w:rsidRPr="009452A2">
          <w:rPr>
            <w:rStyle w:val="TextoNormalCaracter"/>
          </w:rPr>
          <w:t>36/1985</w:t>
        </w:r>
      </w:hyperlink>
      <w:r>
        <w:t xml:space="preserve">, f. 6; </w:t>
      </w:r>
      <w:hyperlink w:anchor="SENTENCIA_1985_45" w:history="1">
        <w:r w:rsidRPr="009452A2">
          <w:rPr>
            <w:rStyle w:val="TextoNormalCaracter"/>
          </w:rPr>
          <w:t>45/1985</w:t>
        </w:r>
      </w:hyperlink>
      <w:r>
        <w:t>, f. 4.</w:t>
      </w:r>
    </w:p>
    <w:p w:rsidR="009452A2" w:rsidRDefault="009452A2" w:rsidP="009452A2">
      <w:pPr>
        <w:pStyle w:val="SangriaIzquierdaArticulo"/>
      </w:pPr>
      <w:r>
        <w:t xml:space="preserve">Autos </w:t>
      </w:r>
      <w:hyperlink w:anchor="AUTO_1985_47" w:history="1">
        <w:r w:rsidRPr="009452A2">
          <w:rPr>
            <w:rStyle w:val="TextoNormalCaracter"/>
          </w:rPr>
          <w:t>47/1985</w:t>
        </w:r>
      </w:hyperlink>
      <w:r>
        <w:t xml:space="preserve">; </w:t>
      </w:r>
      <w:hyperlink w:anchor="AUTO_1985_63" w:history="1">
        <w:r w:rsidRPr="009452A2">
          <w:rPr>
            <w:rStyle w:val="TextoNormalCaracter"/>
          </w:rPr>
          <w:t>63/1985</w:t>
        </w:r>
      </w:hyperlink>
      <w:r>
        <w:t xml:space="preserve">; </w:t>
      </w:r>
      <w:hyperlink w:anchor="AUTO_1985_194" w:history="1">
        <w:r w:rsidRPr="009452A2">
          <w:rPr>
            <w:rStyle w:val="TextoNormalCaracter"/>
          </w:rPr>
          <w:t>194/1985</w:t>
        </w:r>
      </w:hyperlink>
      <w:r>
        <w:t xml:space="preserve">; </w:t>
      </w:r>
      <w:hyperlink w:anchor="AUTO_1985_204" w:history="1">
        <w:r w:rsidRPr="009452A2">
          <w:rPr>
            <w:rStyle w:val="TextoNormalCaracter"/>
          </w:rPr>
          <w:t>204/1985</w:t>
        </w:r>
      </w:hyperlink>
      <w:r>
        <w:t xml:space="preserve">; </w:t>
      </w:r>
      <w:hyperlink w:anchor="AUTO_1985_207" w:history="1">
        <w:r w:rsidRPr="009452A2">
          <w:rPr>
            <w:rStyle w:val="TextoNormalCaracter"/>
          </w:rPr>
          <w:t>207/1985</w:t>
        </w:r>
      </w:hyperlink>
      <w:r>
        <w:t>.</w:t>
      </w:r>
    </w:p>
    <w:p w:rsidR="009452A2" w:rsidRDefault="009452A2" w:rsidP="009452A2">
      <w:pPr>
        <w:pStyle w:val="SangriaFrancesaArticulo"/>
      </w:pPr>
      <w:r w:rsidRPr="009452A2">
        <w:rPr>
          <w:rStyle w:val="TextoNormalNegritaCaracter"/>
        </w:rPr>
        <w:lastRenderedPageBreak/>
        <w:t>Artículo 95.3.</w:t>
      </w:r>
      <w:r w:rsidRPr="009452A2">
        <w:rPr>
          <w:rStyle w:val="TextoNormalCaracter"/>
        </w:rPr>
        <w:t>-</w:t>
      </w:r>
      <w:r>
        <w:t xml:space="preserve"> Autos </w:t>
      </w:r>
      <w:hyperlink w:anchor="AUTO_1985_2" w:history="1">
        <w:r w:rsidRPr="009452A2">
          <w:rPr>
            <w:rStyle w:val="TextoNormalCaracter"/>
          </w:rPr>
          <w:t>2/1985</w:t>
        </w:r>
      </w:hyperlink>
      <w:r>
        <w:t xml:space="preserve">; </w:t>
      </w:r>
      <w:hyperlink w:anchor="AUTO_1985_47" w:history="1">
        <w:r w:rsidRPr="009452A2">
          <w:rPr>
            <w:rStyle w:val="TextoNormalCaracter"/>
          </w:rPr>
          <w:t>47/1985</w:t>
        </w:r>
      </w:hyperlink>
      <w:r>
        <w:t xml:space="preserve">; </w:t>
      </w:r>
      <w:hyperlink w:anchor="AUTO_1985_63" w:history="1">
        <w:r w:rsidRPr="009452A2">
          <w:rPr>
            <w:rStyle w:val="TextoNormalCaracter"/>
          </w:rPr>
          <w:t>63/1985</w:t>
        </w:r>
      </w:hyperlink>
      <w:r>
        <w:t xml:space="preserve">; </w:t>
      </w:r>
      <w:hyperlink w:anchor="AUTO_1985_133" w:history="1">
        <w:r w:rsidRPr="009452A2">
          <w:rPr>
            <w:rStyle w:val="TextoNormalCaracter"/>
          </w:rPr>
          <w:t>133/1985</w:t>
        </w:r>
      </w:hyperlink>
      <w:r>
        <w:t xml:space="preserve">; </w:t>
      </w:r>
      <w:hyperlink w:anchor="AUTO_1985_191" w:history="1">
        <w:r w:rsidRPr="009452A2">
          <w:rPr>
            <w:rStyle w:val="TextoNormalCaracter"/>
          </w:rPr>
          <w:t>191/1985</w:t>
        </w:r>
      </w:hyperlink>
      <w:r>
        <w:t xml:space="preserve">; </w:t>
      </w:r>
      <w:hyperlink w:anchor="AUTO_1985_193" w:history="1">
        <w:r w:rsidRPr="009452A2">
          <w:rPr>
            <w:rStyle w:val="TextoNormalCaracter"/>
          </w:rPr>
          <w:t>193/1985</w:t>
        </w:r>
      </w:hyperlink>
      <w:r>
        <w:t xml:space="preserve">; </w:t>
      </w:r>
      <w:hyperlink w:anchor="AUTO_1985_198" w:history="1">
        <w:r w:rsidRPr="009452A2">
          <w:rPr>
            <w:rStyle w:val="TextoNormalCaracter"/>
          </w:rPr>
          <w:t>198/1985</w:t>
        </w:r>
      </w:hyperlink>
      <w:r>
        <w:t xml:space="preserve">; </w:t>
      </w:r>
      <w:hyperlink w:anchor="AUTO_1985_219" w:history="1">
        <w:r w:rsidRPr="009452A2">
          <w:rPr>
            <w:rStyle w:val="TextoNormalCaracter"/>
          </w:rPr>
          <w:t>219/1985</w:t>
        </w:r>
      </w:hyperlink>
      <w:r>
        <w:t>.</w:t>
      </w:r>
    </w:p>
    <w:p w:rsidR="009452A2" w:rsidRDefault="009452A2" w:rsidP="009452A2">
      <w:pPr>
        <w:pStyle w:val="SangriaFrancesaArticulo"/>
      </w:pPr>
      <w:r w:rsidRPr="009452A2">
        <w:rPr>
          <w:rStyle w:val="TextoNormalNegritaCaracter"/>
        </w:rPr>
        <w:t>Artículo 95.4.</w:t>
      </w:r>
      <w:r w:rsidRPr="009452A2">
        <w:rPr>
          <w:rStyle w:val="TextoNormalCaracter"/>
        </w:rPr>
        <w:t>-</w:t>
      </w:r>
      <w:r>
        <w:t xml:space="preserve"> Auto </w:t>
      </w:r>
      <w:hyperlink w:anchor="AUTO_1985_256" w:history="1">
        <w:r w:rsidRPr="009452A2">
          <w:rPr>
            <w:rStyle w:val="TextoNormalCaracter"/>
          </w:rPr>
          <w:t>256/1985</w:t>
        </w:r>
      </w:hyperlink>
      <w:r>
        <w:t>.</w:t>
      </w:r>
    </w:p>
    <w:p w:rsidR="009452A2" w:rsidRDefault="009452A2" w:rsidP="009452A2">
      <w:pPr>
        <w:pStyle w:val="SangriaFrancesaArticulo"/>
      </w:pPr>
      <w:r w:rsidRPr="009452A2">
        <w:rPr>
          <w:rStyle w:val="TextoNormalNegritaCaracter"/>
        </w:rPr>
        <w:t>Disposición transitoria segunda.</w:t>
      </w:r>
      <w:r w:rsidRPr="009452A2">
        <w:rPr>
          <w:rStyle w:val="TextoNormalCaracter"/>
        </w:rPr>
        <w:t>-</w:t>
      </w:r>
      <w:r>
        <w:t xml:space="preserve"> Autos </w:t>
      </w:r>
      <w:hyperlink w:anchor="AUTO_1985_123" w:history="1">
        <w:r w:rsidRPr="009452A2">
          <w:rPr>
            <w:rStyle w:val="TextoNormalCaracter"/>
          </w:rPr>
          <w:t>123/1985</w:t>
        </w:r>
      </w:hyperlink>
      <w:r>
        <w:t xml:space="preserve">; </w:t>
      </w:r>
      <w:hyperlink w:anchor="AUTO_1985_133" w:history="1">
        <w:r w:rsidRPr="009452A2">
          <w:rPr>
            <w:rStyle w:val="TextoNormalCaracter"/>
          </w:rPr>
          <w:t>133/1985</w:t>
        </w:r>
      </w:hyperlink>
      <w:r>
        <w:t>.</w:t>
      </w:r>
    </w:p>
    <w:p w:rsidR="009452A2" w:rsidRDefault="009452A2" w:rsidP="009452A2">
      <w:pPr>
        <w:pStyle w:val="SangriaFrancesaArticulo"/>
      </w:pPr>
      <w:r w:rsidRPr="009452A2">
        <w:rPr>
          <w:rStyle w:val="TextoNormalNegritaCaracter"/>
        </w:rPr>
        <w:t>Disposición transitoria segunda, apartado 1.</w:t>
      </w:r>
      <w:r w:rsidRPr="009452A2">
        <w:rPr>
          <w:rStyle w:val="TextoNormalCaracter"/>
        </w:rPr>
        <w:t>-</w:t>
      </w:r>
      <w:r>
        <w:t xml:space="preserve"> Autos </w:t>
      </w:r>
      <w:hyperlink w:anchor="AUTO_1985_117" w:history="1">
        <w:r w:rsidRPr="009452A2">
          <w:rPr>
            <w:rStyle w:val="TextoNormalCaracter"/>
          </w:rPr>
          <w:t>117/1985</w:t>
        </w:r>
      </w:hyperlink>
      <w:r>
        <w:t xml:space="preserve">; </w:t>
      </w:r>
      <w:hyperlink w:anchor="AUTO_1985_182" w:history="1">
        <w:r w:rsidRPr="009452A2">
          <w:rPr>
            <w:rStyle w:val="TextoNormalCaracter"/>
          </w:rPr>
          <w:t>182/1985</w:t>
        </w:r>
      </w:hyperlink>
      <w:r>
        <w:t>.</w:t>
      </w:r>
    </w:p>
    <w:p w:rsidR="009452A2" w:rsidRDefault="009452A2" w:rsidP="009452A2">
      <w:pPr>
        <w:pStyle w:val="SangriaFrancesaArticulo"/>
      </w:pPr>
      <w:r w:rsidRPr="009452A2">
        <w:rPr>
          <w:rStyle w:val="TextoNormalNegritaCaracter"/>
        </w:rPr>
        <w:t>Disposición transitoria segunda, apartado 2.</w:t>
      </w:r>
      <w:r w:rsidRPr="009452A2">
        <w:rPr>
          <w:rStyle w:val="TextoNormalCaracter"/>
        </w:rPr>
        <w:t>-</w:t>
      </w:r>
      <w:r>
        <w:t xml:space="preserve"> Sentencias </w:t>
      </w:r>
      <w:hyperlink w:anchor="SENTENCIA_1985_47" w:history="1">
        <w:r w:rsidRPr="009452A2">
          <w:rPr>
            <w:rStyle w:val="TextoNormalCaracter"/>
          </w:rPr>
          <w:t>47/1985</w:t>
        </w:r>
      </w:hyperlink>
      <w:r>
        <w:t xml:space="preserve">, f. 5; </w:t>
      </w:r>
      <w:hyperlink w:anchor="SENTENCIA_1985_55" w:history="1">
        <w:r w:rsidRPr="009452A2">
          <w:rPr>
            <w:rStyle w:val="TextoNormalCaracter"/>
          </w:rPr>
          <w:t>55/1985</w:t>
        </w:r>
      </w:hyperlink>
      <w:r>
        <w:t>, f. 1.</w:t>
      </w:r>
    </w:p>
    <w:p w:rsidR="009452A2" w:rsidRDefault="009452A2" w:rsidP="009452A2">
      <w:pPr>
        <w:pStyle w:val="SangriaFrancesaArticulo"/>
      </w:pPr>
    </w:p>
    <w:p w:rsidR="009452A2" w:rsidRDefault="009452A2" w:rsidP="009452A2">
      <w:pPr>
        <w:pStyle w:val="TextoNormalNegritaCursivandice"/>
      </w:pPr>
      <w:r>
        <w:t>Acuerdo del Pleno del Tribunal Constitucional, de 15 de junio de 1982. Normas que han de regir el funcionamiento del Tribunal durante el período de vacaciones</w:t>
      </w:r>
    </w:p>
    <w:p w:rsidR="009452A2" w:rsidRDefault="009452A2" w:rsidP="009452A2">
      <w:pPr>
        <w:pStyle w:val="SangriaFrancesaArticulo"/>
      </w:pPr>
      <w:r w:rsidRPr="009452A2">
        <w:rPr>
          <w:rStyle w:val="TextoNormalNegritaCaracter"/>
        </w:rPr>
        <w:t>Artículo 6.</w:t>
      </w:r>
      <w:r w:rsidRPr="009452A2">
        <w:rPr>
          <w:rStyle w:val="TextoNormalCaracter"/>
        </w:rPr>
        <w:t>-</w:t>
      </w:r>
      <w:r>
        <w:t xml:space="preserve"> Auto </w:t>
      </w:r>
      <w:hyperlink w:anchor="AUTO_1985_171" w:history="1">
        <w:r w:rsidRPr="009452A2">
          <w:rPr>
            <w:rStyle w:val="TextoNormalCaracter"/>
          </w:rPr>
          <w:t>171/1985</w:t>
        </w:r>
      </w:hyperlink>
      <w:r>
        <w:t>.</w:t>
      </w:r>
    </w:p>
    <w:p w:rsidR="009452A2" w:rsidRDefault="009452A2" w:rsidP="009452A2">
      <w:pPr>
        <w:pStyle w:val="TextoNormal"/>
      </w:pPr>
    </w:p>
    <w:p w:rsidR="009452A2" w:rsidRDefault="009452A2" w:rsidP="009452A2">
      <w:pPr>
        <w:pStyle w:val="SangriaFrancesaArticulo"/>
      </w:pPr>
      <w:bookmarkStart w:id="352" w:name="INDICE22844"/>
    </w:p>
    <w:bookmarkEnd w:id="352"/>
    <w:p w:rsidR="009452A2" w:rsidRDefault="009452A2" w:rsidP="009452A2">
      <w:pPr>
        <w:pStyle w:val="TextoIndiceNivel2"/>
        <w:suppressAutoHyphens/>
      </w:pPr>
      <w:r>
        <w:t>C) Cortes Generales</w:t>
      </w:r>
    </w:p>
    <w:p w:rsidR="009452A2" w:rsidRDefault="009452A2" w:rsidP="009452A2">
      <w:pPr>
        <w:pStyle w:val="TextoIndiceNivel2"/>
      </w:pPr>
    </w:p>
    <w:p w:rsidR="009452A2" w:rsidRDefault="009452A2" w:rsidP="009452A2">
      <w:pPr>
        <w:pStyle w:val="TextoNormalNegritaCursivandice"/>
      </w:pPr>
      <w:r>
        <w:t>Reglamento del Congreso de los Diputados, de 10 de febrero de 1982</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rsidP="009452A2">
      <w:pPr>
        <w:pStyle w:val="SangriaFrancesaArticulo"/>
      </w:pPr>
      <w:r w:rsidRPr="009452A2">
        <w:rPr>
          <w:rStyle w:val="TextoNormalNegritaCaracter"/>
        </w:rPr>
        <w:t>Artículo 10.</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rsidP="009452A2">
      <w:pPr>
        <w:pStyle w:val="SangriaFrancesaArticulo"/>
      </w:pPr>
    </w:p>
    <w:p w:rsidR="009452A2" w:rsidRDefault="009452A2" w:rsidP="009452A2">
      <w:pPr>
        <w:pStyle w:val="TextoNormalNegritaCursivandice"/>
      </w:pPr>
      <w:r>
        <w:t>Reglamento del Senado, de 26 de mayo de 1982</w:t>
      </w:r>
    </w:p>
    <w:p w:rsidR="009452A2" w:rsidRDefault="009452A2" w:rsidP="009452A2">
      <w:pPr>
        <w:pStyle w:val="SangriaFrancesaArticulo"/>
      </w:pPr>
      <w:r w:rsidRPr="009452A2">
        <w:rPr>
          <w:rStyle w:val="TextoNormalNegritaCaracter"/>
        </w:rPr>
        <w:t>Artículo 21.</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rsidP="009452A2">
      <w:pPr>
        <w:pStyle w:val="SangriaFrancesaArticulo"/>
      </w:pPr>
      <w:r w:rsidRPr="009452A2">
        <w:rPr>
          <w:rStyle w:val="TextoNormalNegritaCaracter"/>
        </w:rPr>
        <w:t>Artículo 70.</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rsidP="009452A2">
      <w:pPr>
        <w:pStyle w:val="SangriaFrancesaArticulo"/>
      </w:pPr>
      <w:r w:rsidRPr="009452A2">
        <w:rPr>
          <w:rStyle w:val="TextoNormalNegritaCaracter"/>
        </w:rPr>
        <w:t>Artículo 149.</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rsidP="009452A2">
      <w:pPr>
        <w:pStyle w:val="SangriaFrancesaArticulo"/>
      </w:pPr>
      <w:r w:rsidRPr="009452A2">
        <w:rPr>
          <w:rStyle w:val="TextoNormalNegritaCaracter"/>
        </w:rPr>
        <w:t>Artículo 160.</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rsidP="009452A2">
      <w:pPr>
        <w:pStyle w:val="TextoNormal"/>
      </w:pPr>
    </w:p>
    <w:p w:rsidR="009452A2" w:rsidRDefault="009452A2" w:rsidP="009452A2">
      <w:pPr>
        <w:pStyle w:val="SangriaFrancesaArticulo"/>
      </w:pPr>
      <w:bookmarkStart w:id="353" w:name="INDICE22845"/>
    </w:p>
    <w:bookmarkEnd w:id="353"/>
    <w:p w:rsidR="009452A2" w:rsidRDefault="009452A2" w:rsidP="009452A2">
      <w:pPr>
        <w:pStyle w:val="TextoIndiceNivel2"/>
        <w:suppressAutoHyphens/>
      </w:pPr>
      <w:r>
        <w:t>D) Leyes Orgánicas</w:t>
      </w:r>
    </w:p>
    <w:p w:rsidR="009452A2" w:rsidRDefault="009452A2" w:rsidP="009452A2">
      <w:pPr>
        <w:pStyle w:val="TextoIndiceNivel2"/>
      </w:pPr>
    </w:p>
    <w:p w:rsidR="009452A2" w:rsidRDefault="009452A2" w:rsidP="009452A2">
      <w:pPr>
        <w:pStyle w:val="TextoNormalNegritaCursivandice"/>
      </w:pPr>
      <w:r>
        <w:t>Ley Orgánica 5/1980, de 19 de junio. Estatuto de centros escolares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7" w:history="1">
        <w:r w:rsidRPr="009452A2">
          <w:rPr>
            <w:rStyle w:val="TextoNormalCaracter"/>
          </w:rPr>
          <w:t>47/1985</w:t>
        </w:r>
      </w:hyperlink>
      <w:r>
        <w:t>, f. 2.</w:t>
      </w:r>
    </w:p>
    <w:p w:rsidR="009452A2" w:rsidRDefault="009452A2" w:rsidP="009452A2">
      <w:pPr>
        <w:pStyle w:val="SangriaFrancesaArticulo"/>
      </w:pPr>
      <w:r w:rsidRPr="009452A2">
        <w:rPr>
          <w:rStyle w:val="TextoNormalNegritaCaracter"/>
        </w:rPr>
        <w:t>Artículo 15.</w:t>
      </w:r>
      <w:r w:rsidRPr="009452A2">
        <w:rPr>
          <w:rStyle w:val="TextoNormalCaracter"/>
        </w:rPr>
        <w:t>-</w:t>
      </w:r>
      <w:r>
        <w:t xml:space="preserve"> Sentencia </w:t>
      </w:r>
      <w:hyperlink w:anchor="SENTENCIA_1985_47" w:history="1">
        <w:r w:rsidRPr="009452A2">
          <w:rPr>
            <w:rStyle w:val="TextoNormalCaracter"/>
          </w:rPr>
          <w:t>47/1985</w:t>
        </w:r>
      </w:hyperlink>
      <w:r>
        <w:t>, f. 3.</w:t>
      </w:r>
    </w:p>
    <w:p w:rsidR="009452A2" w:rsidRDefault="009452A2" w:rsidP="009452A2">
      <w:pPr>
        <w:pStyle w:val="SangriaFrancesaArticulo"/>
      </w:pPr>
      <w:r w:rsidRPr="009452A2">
        <w:rPr>
          <w:rStyle w:val="TextoNormalNegritaCaracter"/>
        </w:rPr>
        <w:t>Artículo 34.1.</w:t>
      </w:r>
      <w:r w:rsidRPr="009452A2">
        <w:rPr>
          <w:rStyle w:val="TextoNormalCaracter"/>
        </w:rPr>
        <w:t>-</w:t>
      </w:r>
      <w:r>
        <w:t xml:space="preserve"> Sentencia </w:t>
      </w:r>
      <w:hyperlink w:anchor="SENTENCIA_1985_47" w:history="1">
        <w:r w:rsidRPr="009452A2">
          <w:rPr>
            <w:rStyle w:val="TextoNormalCaracter"/>
          </w:rPr>
          <w:t>47/1985</w:t>
        </w:r>
      </w:hyperlink>
      <w:r>
        <w:t>, f. 3.</w:t>
      </w:r>
    </w:p>
    <w:p w:rsidR="009452A2" w:rsidRDefault="009452A2" w:rsidP="009452A2">
      <w:pPr>
        <w:pStyle w:val="SangriaFrancesaArticulo"/>
      </w:pPr>
    </w:p>
    <w:p w:rsidR="009452A2" w:rsidRDefault="009452A2" w:rsidP="009452A2">
      <w:pPr>
        <w:pStyle w:val="TextoNormalNegritaCursivandice"/>
      </w:pPr>
      <w:r>
        <w:t>Ley Orgánica 9/1980, de 6 de noviembre. Reforma del Código de justicia militar</w:t>
      </w:r>
    </w:p>
    <w:p w:rsidR="009452A2" w:rsidRDefault="009452A2" w:rsidP="009452A2">
      <w:pPr>
        <w:pStyle w:val="SangriaFrancesaArticulo"/>
      </w:pPr>
      <w:r w:rsidRPr="009452A2">
        <w:rPr>
          <w:rStyle w:val="TextoNormalNegritaCaracter"/>
        </w:rPr>
        <w:t>Artículo 13.</w:t>
      </w:r>
      <w:r w:rsidRPr="009452A2">
        <w:rPr>
          <w:rStyle w:val="TextoNormalCaracter"/>
        </w:rPr>
        <w:t>-</w:t>
      </w:r>
      <w:r>
        <w:t xml:space="preserve"> Sentencia </w:t>
      </w:r>
      <w:hyperlink w:anchor="SENTENCIA_1985_27" w:history="1">
        <w:r w:rsidRPr="009452A2">
          <w:rPr>
            <w:rStyle w:val="TextoNormalCaracter"/>
          </w:rPr>
          <w:t>27/1985</w:t>
        </w:r>
      </w:hyperlink>
      <w:r>
        <w:t>, ff. 1, 2, VP.</w:t>
      </w:r>
    </w:p>
    <w:p w:rsidR="009452A2" w:rsidRDefault="009452A2" w:rsidP="009452A2">
      <w:pPr>
        <w:pStyle w:val="SangriaFrancesaArticulo"/>
      </w:pPr>
      <w:r w:rsidRPr="009452A2">
        <w:rPr>
          <w:rStyle w:val="TextoNormalNegritaCaracter"/>
        </w:rPr>
        <w:t>Artículo 13.1.</w:t>
      </w:r>
      <w:r w:rsidRPr="009452A2">
        <w:rPr>
          <w:rStyle w:val="TextoNormalCaracter"/>
        </w:rPr>
        <w:t>-</w:t>
      </w:r>
      <w:r>
        <w:t xml:space="preserve"> Sentencias </w:t>
      </w:r>
      <w:hyperlink w:anchor="SENTENCIA_1985_27" w:history="1">
        <w:r w:rsidRPr="009452A2">
          <w:rPr>
            <w:rStyle w:val="TextoNormalCaracter"/>
          </w:rPr>
          <w:t>27/1985</w:t>
        </w:r>
      </w:hyperlink>
      <w:r>
        <w:t xml:space="preserve">, ff. 1, 2, 4; </w:t>
      </w:r>
      <w:hyperlink w:anchor="SENTENCIA_1985_33" w:history="1">
        <w:r w:rsidRPr="009452A2">
          <w:rPr>
            <w:rStyle w:val="TextoNormalCaracter"/>
          </w:rPr>
          <w:t>33/1985</w:t>
        </w:r>
      </w:hyperlink>
      <w:r>
        <w:t xml:space="preserve">, ff. 1 a 3; </w:t>
      </w:r>
      <w:hyperlink w:anchor="SENTENCIA_1985_52" w:history="1">
        <w:r w:rsidRPr="009452A2">
          <w:rPr>
            <w:rStyle w:val="TextoNormalCaracter"/>
          </w:rPr>
          <w:t>52/1985</w:t>
        </w:r>
      </w:hyperlink>
      <w:r>
        <w:t>, f. 2.</w:t>
      </w:r>
    </w:p>
    <w:p w:rsidR="009452A2" w:rsidRDefault="009452A2" w:rsidP="009452A2">
      <w:pPr>
        <w:pStyle w:val="SangriaFrancesaArticulo"/>
      </w:pPr>
      <w:r w:rsidRPr="009452A2">
        <w:rPr>
          <w:rStyle w:val="TextoNormalNegritaCaracter"/>
        </w:rPr>
        <w:t>Artículo 14.</w:t>
      </w:r>
      <w:r w:rsidRPr="009452A2">
        <w:rPr>
          <w:rStyle w:val="TextoNormalCaracter"/>
        </w:rPr>
        <w:t>-</w:t>
      </w:r>
      <w:r>
        <w:t xml:space="preserve"> Sentencias </w:t>
      </w:r>
      <w:hyperlink w:anchor="SENTENCIA_1985_27" w:history="1">
        <w:r w:rsidRPr="009452A2">
          <w:rPr>
            <w:rStyle w:val="TextoNormalCaracter"/>
          </w:rPr>
          <w:t>27/1985</w:t>
        </w:r>
      </w:hyperlink>
      <w:r>
        <w:t xml:space="preserve">, ff. 2, 4, VP; </w:t>
      </w:r>
      <w:hyperlink w:anchor="SENTENCIA_1985_33" w:history="1">
        <w:r w:rsidRPr="009452A2">
          <w:rPr>
            <w:rStyle w:val="TextoNormalCaracter"/>
          </w:rPr>
          <w:t>33/1985</w:t>
        </w:r>
      </w:hyperlink>
      <w:r>
        <w:t xml:space="preserve">, f. 2; </w:t>
      </w:r>
      <w:hyperlink w:anchor="SENTENCIA_1985_52" w:history="1">
        <w:r w:rsidRPr="009452A2">
          <w:rPr>
            <w:rStyle w:val="TextoNormalCaracter"/>
          </w:rPr>
          <w:t>52/1985</w:t>
        </w:r>
      </w:hyperlink>
      <w:r>
        <w:t>, f. 2.</w:t>
      </w:r>
    </w:p>
    <w:p w:rsidR="009452A2" w:rsidRDefault="009452A2" w:rsidP="009452A2">
      <w:pPr>
        <w:pStyle w:val="SangriaFrancesaArticulo"/>
      </w:pPr>
    </w:p>
    <w:p w:rsidR="009452A2" w:rsidRDefault="009452A2" w:rsidP="009452A2">
      <w:pPr>
        <w:pStyle w:val="TextoNormalNegritaCursivandice"/>
      </w:pPr>
      <w:r>
        <w:t>Ley Orgánica 10/1980, de 11 de noviembre. Reforma de la Ley de enjuiciamiento criminal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64" w:history="1">
        <w:r w:rsidRPr="009452A2">
          <w:rPr>
            <w:rStyle w:val="TextoNormalCaracter"/>
          </w:rPr>
          <w:t>64/1985</w:t>
        </w:r>
      </w:hyperlink>
      <w:r>
        <w:t>.</w:t>
      </w:r>
    </w:p>
    <w:p w:rsidR="009452A2" w:rsidRDefault="009452A2" w:rsidP="009452A2">
      <w:pPr>
        <w:pStyle w:val="SangriaFrancesaArticulo"/>
      </w:pPr>
      <w:r w:rsidRPr="009452A2">
        <w:rPr>
          <w:rStyle w:val="TextoNormalNegritaCaracter"/>
        </w:rPr>
        <w:t>Artículo 10.</w:t>
      </w:r>
      <w:r w:rsidRPr="009452A2">
        <w:rPr>
          <w:rStyle w:val="TextoNormalCaracter"/>
        </w:rPr>
        <w:t>-</w:t>
      </w:r>
      <w:r>
        <w:t xml:space="preserve"> Auto </w:t>
      </w:r>
      <w:hyperlink w:anchor="AUTO_1985_64" w:history="1">
        <w:r w:rsidRPr="009452A2">
          <w:rPr>
            <w:rStyle w:val="TextoNormalCaracter"/>
          </w:rPr>
          <w:t>64/1985</w:t>
        </w:r>
      </w:hyperlink>
      <w:r>
        <w:t>.</w:t>
      </w:r>
    </w:p>
    <w:p w:rsidR="009452A2" w:rsidRDefault="009452A2" w:rsidP="009452A2">
      <w:pPr>
        <w:pStyle w:val="SangriaFrancesaArticulo"/>
      </w:pPr>
      <w:r w:rsidRPr="009452A2">
        <w:rPr>
          <w:rStyle w:val="TextoNormalNegritaCaracter"/>
        </w:rPr>
        <w:t>Artículo 11.1.</w:t>
      </w:r>
      <w:r w:rsidRPr="009452A2">
        <w:rPr>
          <w:rStyle w:val="TextoNormalCaracter"/>
        </w:rPr>
        <w:t>-</w:t>
      </w:r>
      <w:r>
        <w:t xml:space="preserve"> Auto </w:t>
      </w:r>
      <w:hyperlink w:anchor="AUTO_1985_88" w:history="1">
        <w:r w:rsidRPr="009452A2">
          <w:rPr>
            <w:rStyle w:val="TextoNormalCaracter"/>
          </w:rPr>
          <w:t>88/1985</w:t>
        </w:r>
      </w:hyperlink>
      <w:r>
        <w:t>.</w:t>
      </w:r>
    </w:p>
    <w:p w:rsidR="009452A2" w:rsidRDefault="009452A2" w:rsidP="009452A2">
      <w:pPr>
        <w:pStyle w:val="SangriaFrancesaArticulo"/>
      </w:pPr>
    </w:p>
    <w:p w:rsidR="009452A2" w:rsidRDefault="009452A2" w:rsidP="009452A2">
      <w:pPr>
        <w:pStyle w:val="TextoNormalNegritaCursivandice"/>
      </w:pPr>
      <w:r>
        <w:lastRenderedPageBreak/>
        <w:t>Ley Orgánica 5/1981, de 16 de noviembre. Funcionarios de la Administración de justicia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IzquierdaArticulo"/>
      </w:pPr>
      <w:r>
        <w:t xml:space="preserve">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t>Artículo 6.2.</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t>Artículo 6.3.</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t>Artículo 10.</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t>Artículo 10.2.</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t>Artículo 10.3.</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p>
    <w:p w:rsidR="009452A2" w:rsidRDefault="009452A2" w:rsidP="009452A2">
      <w:pPr>
        <w:pStyle w:val="TextoNormalNegritaCursivandice"/>
      </w:pPr>
      <w:r>
        <w:t>Ley Orgánica 1/1982, de 5 de mayo. Derecho al honor, a la intimidad personal y familiar y a la propia imagen</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57" w:history="1">
        <w:r w:rsidRPr="009452A2">
          <w:rPr>
            <w:rStyle w:val="TextoNormalCaracter"/>
          </w:rPr>
          <w:t>257/1985</w:t>
        </w:r>
      </w:hyperlink>
      <w:r>
        <w:t>.</w:t>
      </w:r>
    </w:p>
    <w:p w:rsidR="009452A2" w:rsidRDefault="009452A2" w:rsidP="009452A2">
      <w:pPr>
        <w:pStyle w:val="SangriaFrancesaArticulo"/>
      </w:pPr>
      <w:r w:rsidRPr="009452A2">
        <w:rPr>
          <w:rStyle w:val="TextoNormalNegritaCaracter"/>
        </w:rPr>
        <w:t>Artículo 8.1.</w:t>
      </w:r>
      <w:r w:rsidRPr="009452A2">
        <w:rPr>
          <w:rStyle w:val="TextoNormalCaracter"/>
        </w:rPr>
        <w:t>-</w:t>
      </w:r>
      <w:r>
        <w:t xml:space="preserve"> Auto </w:t>
      </w:r>
      <w:hyperlink w:anchor="AUTO_1985_257" w:history="1">
        <w:r w:rsidRPr="009452A2">
          <w:rPr>
            <w:rStyle w:val="TextoNormalCaracter"/>
          </w:rPr>
          <w:t>257/1985</w:t>
        </w:r>
      </w:hyperlink>
      <w:r>
        <w:t>.</w:t>
      </w:r>
    </w:p>
    <w:p w:rsidR="009452A2" w:rsidRDefault="009452A2" w:rsidP="009452A2">
      <w:pPr>
        <w:pStyle w:val="SangriaFrancesaArticulo"/>
      </w:pPr>
    </w:p>
    <w:p w:rsidR="009452A2" w:rsidRDefault="009452A2" w:rsidP="009452A2">
      <w:pPr>
        <w:pStyle w:val="TextoNormalNegritaCursivandice"/>
      </w:pPr>
      <w:r>
        <w:t>Ley Orgánica 7/1983, de 23 de abril. Reforma de los artículos 503 y 504 de la Ley de enjuiciamiento criminal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28" w:history="1">
        <w:r w:rsidRPr="009452A2">
          <w:rPr>
            <w:rStyle w:val="TextoNormalCaracter"/>
          </w:rPr>
          <w:t>28/1985</w:t>
        </w:r>
      </w:hyperlink>
      <w:r>
        <w:t>, ff. 1 a 3.</w:t>
      </w:r>
    </w:p>
    <w:p w:rsidR="009452A2" w:rsidRDefault="009452A2" w:rsidP="009452A2">
      <w:pPr>
        <w:pStyle w:val="SangriaFrancesaArticulo"/>
      </w:pPr>
    </w:p>
    <w:p w:rsidR="009452A2" w:rsidRDefault="009452A2" w:rsidP="009452A2">
      <w:pPr>
        <w:pStyle w:val="TextoNormalNegritaCursivandice"/>
      </w:pPr>
      <w:r>
        <w:t>Ley Orgánica 8/1983, de 25 de junio. Reforma urgente y parcial del Código penal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1" w:history="1">
        <w:r w:rsidRPr="009452A2">
          <w:rPr>
            <w:rStyle w:val="TextoNormalCaracter"/>
          </w:rPr>
          <w:t>51/1985</w:t>
        </w:r>
      </w:hyperlink>
      <w:r>
        <w:t>, f. 7.</w:t>
      </w:r>
    </w:p>
    <w:p w:rsidR="009452A2" w:rsidRDefault="009452A2" w:rsidP="009452A2">
      <w:pPr>
        <w:pStyle w:val="SangriaIzquierdaArticulo"/>
      </w:pPr>
      <w:r>
        <w:t xml:space="preserve">Autos </w:t>
      </w:r>
      <w:hyperlink w:anchor="AUTO_1985_61" w:history="1">
        <w:r w:rsidRPr="009452A2">
          <w:rPr>
            <w:rStyle w:val="TextoNormalCaracter"/>
          </w:rPr>
          <w:t>61/1985</w:t>
        </w:r>
      </w:hyperlink>
      <w:r>
        <w:t xml:space="preserve">; </w:t>
      </w:r>
      <w:hyperlink w:anchor="AUTO_1985_187" w:history="1">
        <w:r w:rsidRPr="009452A2">
          <w:rPr>
            <w:rStyle w:val="TextoNormalCaracter"/>
          </w:rPr>
          <w:t>187/1985</w:t>
        </w:r>
      </w:hyperlink>
      <w:r>
        <w:t xml:space="preserve">; </w:t>
      </w:r>
      <w:hyperlink w:anchor="AUTO_1985_234" w:history="1">
        <w:r w:rsidRPr="009452A2">
          <w:rPr>
            <w:rStyle w:val="TextoNormalCaracter"/>
          </w:rPr>
          <w:t>234/1985</w:t>
        </w:r>
      </w:hyperlink>
      <w:r>
        <w:t>.</w:t>
      </w:r>
    </w:p>
    <w:p w:rsidR="009452A2" w:rsidRDefault="009452A2" w:rsidP="009452A2">
      <w:pPr>
        <w:pStyle w:val="SangriaIzquierdaArticulo"/>
      </w:pPr>
    </w:p>
    <w:p w:rsidR="009452A2" w:rsidRDefault="009452A2" w:rsidP="009452A2">
      <w:pPr>
        <w:pStyle w:val="TextoNormalNegritaCursivandice"/>
      </w:pPr>
      <w:r>
        <w:t>Ley Orgánica 3/1984, de 26 de marzo. Regulación de la iniciativa legislativa popular</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6" w:history="1">
        <w:r w:rsidRPr="009452A2">
          <w:rPr>
            <w:rStyle w:val="TextoNormalCaracter"/>
          </w:rPr>
          <w:t>26/1985</w:t>
        </w:r>
      </w:hyperlink>
      <w:r>
        <w:t>.</w:t>
      </w:r>
    </w:p>
    <w:p w:rsidR="009452A2" w:rsidRDefault="009452A2" w:rsidP="009452A2">
      <w:pPr>
        <w:pStyle w:val="SangriaFrancesaArticulo"/>
      </w:pPr>
      <w:r w:rsidRPr="009452A2">
        <w:rPr>
          <w:rStyle w:val="TextoNormalNegritaCaracter"/>
        </w:rPr>
        <w:t>Artículo 2.2.</w:t>
      </w:r>
      <w:r w:rsidRPr="009452A2">
        <w:rPr>
          <w:rStyle w:val="TextoNormalCaracter"/>
        </w:rPr>
        <w:t>-</w:t>
      </w:r>
      <w:r>
        <w:t xml:space="preserve"> Auto </w:t>
      </w:r>
      <w:hyperlink w:anchor="AUTO_1985_26" w:history="1">
        <w:r w:rsidRPr="009452A2">
          <w:rPr>
            <w:rStyle w:val="TextoNormalCaracter"/>
          </w:rPr>
          <w:t>26/1985</w:t>
        </w:r>
      </w:hyperlink>
      <w:r>
        <w:t>.</w:t>
      </w:r>
    </w:p>
    <w:p w:rsidR="009452A2" w:rsidRDefault="009452A2" w:rsidP="009452A2">
      <w:pPr>
        <w:pStyle w:val="SangriaFrancesaArticulo"/>
      </w:pPr>
    </w:p>
    <w:p w:rsidR="009452A2" w:rsidRDefault="009452A2" w:rsidP="009452A2">
      <w:pPr>
        <w:pStyle w:val="TextoNormalNegritaCursivandice"/>
      </w:pPr>
      <w:r>
        <w:t>Ley Orgánica 6/1984, de 24 de mayo. Regula del procedimiento de Habeas Corpus.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31" w:history="1">
        <w:r w:rsidRPr="009452A2">
          <w:rPr>
            <w:rStyle w:val="TextoNormalCaracter"/>
          </w:rPr>
          <w:t>31/1985</w:t>
        </w:r>
      </w:hyperlink>
      <w:r>
        <w:t>, ff. 2, 3.</w:t>
      </w:r>
    </w:p>
    <w:p w:rsidR="009452A2" w:rsidRDefault="009452A2" w:rsidP="009452A2">
      <w:pPr>
        <w:pStyle w:val="SangriaIzquierdaArticulo"/>
      </w:pPr>
      <w:r>
        <w:t xml:space="preserve">Auto </w:t>
      </w:r>
      <w:hyperlink w:anchor="AUTO_1985_20" w:history="1">
        <w:r w:rsidRPr="009452A2">
          <w:rPr>
            <w:rStyle w:val="TextoNormalCaracter"/>
          </w:rPr>
          <w:t>20/1985</w:t>
        </w:r>
      </w:hyperlink>
      <w:r>
        <w:t>.</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r w:rsidRPr="009452A2">
        <w:rPr>
          <w:rStyle w:val="TextoNormalNegritaCaracter"/>
        </w:rPr>
        <w:t>Artículo 1 a).</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r w:rsidRPr="009452A2">
        <w:rPr>
          <w:rStyle w:val="TextoNormalNegritaCaracter"/>
        </w:rPr>
        <w:t>Artículo 6.</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r w:rsidRPr="009452A2">
        <w:rPr>
          <w:rStyle w:val="TextoNormalNegritaCaracter"/>
        </w:rPr>
        <w:t>Artículo 7.</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r w:rsidRPr="009452A2">
        <w:rPr>
          <w:rStyle w:val="TextoNormalNegritaCaracter"/>
        </w:rPr>
        <w:t>Artículo 8.</w:t>
      </w:r>
      <w:r w:rsidRPr="009452A2">
        <w:rPr>
          <w:rStyle w:val="TextoNormalCaracter"/>
        </w:rPr>
        <w:t>-</w:t>
      </w:r>
      <w:r>
        <w:t xml:space="preserve"> Sentencia </w:t>
      </w:r>
      <w:hyperlink w:anchor="SENTENCIA_1985_31" w:history="1">
        <w:r w:rsidRPr="009452A2">
          <w:rPr>
            <w:rStyle w:val="TextoNormalCaracter"/>
          </w:rPr>
          <w:t>31/1985</w:t>
        </w:r>
      </w:hyperlink>
      <w:r>
        <w:t>, ff. 3, 4.</w:t>
      </w:r>
    </w:p>
    <w:p w:rsidR="009452A2" w:rsidRDefault="009452A2" w:rsidP="009452A2">
      <w:pPr>
        <w:pStyle w:val="SangriaFrancesaArticulo"/>
      </w:pPr>
      <w:r w:rsidRPr="009452A2">
        <w:rPr>
          <w:rStyle w:val="TextoNormalNegritaCaracter"/>
        </w:rPr>
        <w:t>Artículo 8.2 a).</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p>
    <w:p w:rsidR="009452A2" w:rsidRDefault="009452A2" w:rsidP="009452A2">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Sentencia </w:t>
      </w:r>
      <w:hyperlink w:anchor="SENTENCIA_1985_35" w:history="1">
        <w:r w:rsidRPr="009452A2">
          <w:rPr>
            <w:rStyle w:val="TextoNormalCaracter"/>
          </w:rPr>
          <w:t>35/1985</w:t>
        </w:r>
      </w:hyperlink>
      <w:r>
        <w:t>, f. 4.</w:t>
      </w:r>
    </w:p>
    <w:p w:rsidR="009452A2" w:rsidRDefault="009452A2" w:rsidP="009452A2">
      <w:pPr>
        <w:pStyle w:val="TextoNormal"/>
      </w:pPr>
    </w:p>
    <w:p w:rsidR="009452A2" w:rsidRDefault="009452A2" w:rsidP="009452A2">
      <w:pPr>
        <w:pStyle w:val="SangriaFrancesaArticulo"/>
      </w:pPr>
      <w:bookmarkStart w:id="354" w:name="INDICE22846"/>
    </w:p>
    <w:bookmarkEnd w:id="354"/>
    <w:p w:rsidR="009452A2" w:rsidRDefault="009452A2" w:rsidP="009452A2">
      <w:pPr>
        <w:pStyle w:val="TextoIndiceNivel2"/>
        <w:suppressAutoHyphens/>
      </w:pPr>
      <w:r>
        <w:t>E) Leyes de las Cortes Generales</w:t>
      </w:r>
    </w:p>
    <w:p w:rsidR="009452A2" w:rsidRDefault="009452A2" w:rsidP="009452A2">
      <w:pPr>
        <w:pStyle w:val="TextoIndiceNivel2"/>
      </w:pPr>
    </w:p>
    <w:p w:rsidR="009452A2" w:rsidRDefault="009452A2" w:rsidP="009452A2">
      <w:pPr>
        <w:pStyle w:val="TextoNormalNegritaCursivandice"/>
      </w:pPr>
      <w:r>
        <w:t>Ley 1/1980, de 4 de enero. Seguridad social agraria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5" w:history="1">
        <w:r w:rsidRPr="009452A2">
          <w:rPr>
            <w:rStyle w:val="TextoNormalCaracter"/>
          </w:rPr>
          <w:t>5/1985</w:t>
        </w:r>
      </w:hyperlink>
      <w:r>
        <w:t>.</w:t>
      </w:r>
    </w:p>
    <w:p w:rsidR="009452A2" w:rsidRDefault="009452A2" w:rsidP="009452A2">
      <w:pPr>
        <w:pStyle w:val="SangriaFrancesaArticulo"/>
      </w:pPr>
    </w:p>
    <w:p w:rsidR="009452A2" w:rsidRDefault="009452A2" w:rsidP="009452A2">
      <w:pPr>
        <w:pStyle w:val="TextoNormalNegritaCursivandice"/>
      </w:pPr>
      <w:r>
        <w:t>Ley 8/1980, de 10 de marzo. Estatuto de los trabajadores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Sentencias </w:t>
      </w:r>
      <w:hyperlink w:anchor="SENTENCIA_1985_7" w:history="1">
        <w:r w:rsidRPr="009452A2">
          <w:rPr>
            <w:rStyle w:val="TextoNormalCaracter"/>
          </w:rPr>
          <w:t>7/1985</w:t>
        </w:r>
      </w:hyperlink>
      <w:r>
        <w:t xml:space="preserve">, ff. 3, 5, 8; </w:t>
      </w:r>
      <w:hyperlink w:anchor="SENTENCIA_1985_10" w:history="1">
        <w:r w:rsidRPr="009452A2">
          <w:rPr>
            <w:rStyle w:val="TextoNormalCaracter"/>
          </w:rPr>
          <w:t>10/1985</w:t>
        </w:r>
      </w:hyperlink>
      <w:r>
        <w:t xml:space="preserve">, f. 4; </w:t>
      </w:r>
      <w:hyperlink w:anchor="SENTENCIA_1985_19" w:history="1">
        <w:r w:rsidRPr="009452A2">
          <w:rPr>
            <w:rStyle w:val="TextoNormalCaracter"/>
          </w:rPr>
          <w:t>19/1985</w:t>
        </w:r>
      </w:hyperlink>
      <w:r>
        <w:t xml:space="preserve">, ff. 4, 5; </w:t>
      </w:r>
      <w:hyperlink w:anchor="SENTENCIA_1985_40" w:history="1">
        <w:r w:rsidRPr="009452A2">
          <w:rPr>
            <w:rStyle w:val="TextoNormalCaracter"/>
          </w:rPr>
          <w:t>40/1985</w:t>
        </w:r>
      </w:hyperlink>
      <w:r>
        <w:t xml:space="preserve">, f. 3; </w:t>
      </w:r>
      <w:hyperlink w:anchor="SENTENCIA_1985_49" w:history="1">
        <w:r w:rsidRPr="009452A2">
          <w:rPr>
            <w:rStyle w:val="TextoNormalCaracter"/>
          </w:rPr>
          <w:t>49/1985</w:t>
        </w:r>
      </w:hyperlink>
      <w:r>
        <w:t xml:space="preserve">, f. 1; </w:t>
      </w:r>
      <w:hyperlink w:anchor="SENTENCIA_1985_58" w:history="1">
        <w:r w:rsidRPr="009452A2">
          <w:rPr>
            <w:rStyle w:val="TextoNormalCaracter"/>
          </w:rPr>
          <w:t>58/1985</w:t>
        </w:r>
      </w:hyperlink>
      <w:r>
        <w:t>, ff. 1, 4.</w:t>
      </w:r>
    </w:p>
    <w:p w:rsidR="009452A2" w:rsidRDefault="009452A2" w:rsidP="009452A2">
      <w:pPr>
        <w:pStyle w:val="SangriaIzquierdaArticulo"/>
      </w:pPr>
      <w:r>
        <w:t xml:space="preserve">Autos </w:t>
      </w:r>
      <w:hyperlink w:anchor="AUTO_1985_18" w:history="1">
        <w:r w:rsidRPr="009452A2">
          <w:rPr>
            <w:rStyle w:val="TextoNormalCaracter"/>
          </w:rPr>
          <w:t>18/1985</w:t>
        </w:r>
      </w:hyperlink>
      <w:r>
        <w:t xml:space="preserve">; </w:t>
      </w:r>
      <w:hyperlink w:anchor="AUTO_1985_141" w:history="1">
        <w:r w:rsidRPr="009452A2">
          <w:rPr>
            <w:rStyle w:val="TextoNormalCaracter"/>
          </w:rPr>
          <w:t>141/1985</w:t>
        </w:r>
      </w:hyperlink>
      <w:r>
        <w:t xml:space="preserve">; </w:t>
      </w:r>
      <w:hyperlink w:anchor="AUTO_1985_179" w:history="1">
        <w:r w:rsidRPr="009452A2">
          <w:rPr>
            <w:rStyle w:val="TextoNormalCaracter"/>
          </w:rPr>
          <w:t>179/1985</w:t>
        </w:r>
      </w:hyperlink>
      <w:r>
        <w:t xml:space="preserve">; </w:t>
      </w:r>
      <w:hyperlink w:anchor="AUTO_1985_185" w:history="1">
        <w:r w:rsidRPr="009452A2">
          <w:rPr>
            <w:rStyle w:val="TextoNormalCaracter"/>
          </w:rPr>
          <w:t>185/1985</w:t>
        </w:r>
      </w:hyperlink>
      <w:r>
        <w:t>.</w:t>
      </w:r>
    </w:p>
    <w:p w:rsidR="009452A2" w:rsidRDefault="009452A2" w:rsidP="009452A2">
      <w:pPr>
        <w:pStyle w:val="SangriaFrancesaArticulo"/>
      </w:pPr>
      <w:r w:rsidRPr="009452A2">
        <w:rPr>
          <w:rStyle w:val="TextoNormalNegritaCaracter"/>
        </w:rPr>
        <w:t>Artículo 1.1.</w:t>
      </w:r>
      <w:r w:rsidRPr="009452A2">
        <w:rPr>
          <w:rStyle w:val="TextoNormalCaracter"/>
        </w:rPr>
        <w:t>-</w:t>
      </w:r>
      <w:r>
        <w:t xml:space="preserve"> Auto </w:t>
      </w:r>
      <w:hyperlink w:anchor="AUTO_1985_57" w:history="1">
        <w:r w:rsidRPr="009452A2">
          <w:rPr>
            <w:rStyle w:val="TextoNormalCaracter"/>
          </w:rPr>
          <w:t>57/1985</w:t>
        </w:r>
      </w:hyperlink>
      <w:r>
        <w:t>.</w:t>
      </w:r>
    </w:p>
    <w:p w:rsidR="009452A2" w:rsidRDefault="009452A2" w:rsidP="009452A2">
      <w:pPr>
        <w:pStyle w:val="SangriaFrancesaArticulo"/>
      </w:pPr>
      <w:r w:rsidRPr="009452A2">
        <w:rPr>
          <w:rStyle w:val="TextoNormalNegritaCaracter"/>
        </w:rPr>
        <w:t>Artículo 1.2.</w:t>
      </w:r>
      <w:r w:rsidRPr="009452A2">
        <w:rPr>
          <w:rStyle w:val="TextoNormalCaracter"/>
        </w:rPr>
        <w:t>-</w:t>
      </w:r>
      <w:r>
        <w:t xml:space="preserve"> Auto </w:t>
      </w:r>
      <w:hyperlink w:anchor="AUTO_1985_57" w:history="1">
        <w:r w:rsidRPr="009452A2">
          <w:rPr>
            <w:rStyle w:val="TextoNormalCaracter"/>
          </w:rPr>
          <w:t>57/1985</w:t>
        </w:r>
      </w:hyperlink>
      <w:r>
        <w:t>.</w:t>
      </w:r>
    </w:p>
    <w:p w:rsidR="009452A2" w:rsidRDefault="009452A2" w:rsidP="009452A2">
      <w:pPr>
        <w:pStyle w:val="SangriaFrancesaArticulo"/>
      </w:pPr>
      <w:r w:rsidRPr="009452A2">
        <w:rPr>
          <w:rStyle w:val="TextoNormalNegritaCaracter"/>
        </w:rPr>
        <w:t>Artículo 2.1 c).</w:t>
      </w:r>
      <w:r w:rsidRPr="009452A2">
        <w:rPr>
          <w:rStyle w:val="TextoNormalCaracter"/>
        </w:rPr>
        <w:t>-</w:t>
      </w:r>
      <w:r>
        <w:t xml:space="preserve"> Auto </w:t>
      </w:r>
      <w:hyperlink w:anchor="AUTO_1985_250" w:history="1">
        <w:r w:rsidRPr="009452A2">
          <w:rPr>
            <w:rStyle w:val="TextoNormalCaracter"/>
          </w:rPr>
          <w:t>250/1985</w:t>
        </w:r>
      </w:hyperlink>
      <w:r>
        <w:t>.</w:t>
      </w:r>
    </w:p>
    <w:p w:rsidR="009452A2" w:rsidRDefault="009452A2" w:rsidP="009452A2">
      <w:pPr>
        <w:pStyle w:val="SangriaFrancesaArticulo"/>
      </w:pPr>
      <w:r w:rsidRPr="009452A2">
        <w:rPr>
          <w:rStyle w:val="TextoNormalNegritaCaracter"/>
        </w:rPr>
        <w:t>Artículo 3.3.</w:t>
      </w:r>
      <w:r w:rsidRPr="009452A2">
        <w:rPr>
          <w:rStyle w:val="TextoNormalCaracter"/>
        </w:rPr>
        <w:t>-</w:t>
      </w:r>
      <w:r>
        <w:t xml:space="preserve"> Auto </w:t>
      </w:r>
      <w:hyperlink w:anchor="AUTO_1985_95" w:history="1">
        <w:r w:rsidRPr="009452A2">
          <w:rPr>
            <w:rStyle w:val="TextoNormalCaracter"/>
          </w:rPr>
          <w:t>95/1985</w:t>
        </w:r>
      </w:hyperlink>
      <w:r>
        <w:t>.</w:t>
      </w:r>
    </w:p>
    <w:p w:rsidR="009452A2" w:rsidRDefault="009452A2" w:rsidP="009452A2">
      <w:pPr>
        <w:pStyle w:val="SangriaFrancesaArticulo"/>
      </w:pPr>
      <w:r w:rsidRPr="009452A2">
        <w:rPr>
          <w:rStyle w:val="TextoNormalNegritaCaracter"/>
        </w:rPr>
        <w:t>Artículo 15.</w:t>
      </w:r>
      <w:r w:rsidRPr="009452A2">
        <w:rPr>
          <w:rStyle w:val="TextoNormalCaracter"/>
        </w:rPr>
        <w:t>-</w:t>
      </w:r>
      <w:r>
        <w:t xml:space="preserve"> Sentencia </w:t>
      </w:r>
      <w:hyperlink w:anchor="SENTENCIA_1985_49" w:history="1">
        <w:r w:rsidRPr="009452A2">
          <w:rPr>
            <w:rStyle w:val="TextoNormalCaracter"/>
          </w:rPr>
          <w:t>49/1985</w:t>
        </w:r>
      </w:hyperlink>
      <w:r>
        <w:t>, f. 1.</w:t>
      </w:r>
    </w:p>
    <w:p w:rsidR="009452A2" w:rsidRDefault="009452A2" w:rsidP="009452A2">
      <w:pPr>
        <w:pStyle w:val="SangriaFrancesaArticulo"/>
      </w:pPr>
      <w:r w:rsidRPr="009452A2">
        <w:rPr>
          <w:rStyle w:val="TextoNormalNegritaCaracter"/>
        </w:rPr>
        <w:t>Artículo 17.1.</w:t>
      </w:r>
      <w:r w:rsidRPr="009452A2">
        <w:rPr>
          <w:rStyle w:val="TextoNormalCaracter"/>
        </w:rPr>
        <w:t>-</w:t>
      </w:r>
      <w:r>
        <w:t xml:space="preserve"> Sentencias </w:t>
      </w:r>
      <w:hyperlink w:anchor="SENTENCIA_1985_19" w:history="1">
        <w:r w:rsidRPr="009452A2">
          <w:rPr>
            <w:rStyle w:val="TextoNormalCaracter"/>
          </w:rPr>
          <w:t>19/1985</w:t>
        </w:r>
      </w:hyperlink>
      <w:r>
        <w:t xml:space="preserve">, f. 3; </w:t>
      </w:r>
      <w:hyperlink w:anchor="SENTENCIA_1985_47" w:history="1">
        <w:r w:rsidRPr="009452A2">
          <w:rPr>
            <w:rStyle w:val="TextoNormalCaracter"/>
          </w:rPr>
          <w:t>47/1985</w:t>
        </w:r>
      </w:hyperlink>
      <w:r>
        <w:t>, ff. 1, 4, 5.</w:t>
      </w:r>
    </w:p>
    <w:p w:rsidR="009452A2" w:rsidRDefault="009452A2" w:rsidP="009452A2">
      <w:pPr>
        <w:pStyle w:val="SangriaFrancesaArticulo"/>
      </w:pPr>
      <w:r w:rsidRPr="009452A2">
        <w:rPr>
          <w:rStyle w:val="TextoNormalNegritaCaracter"/>
        </w:rPr>
        <w:t>Artículo 23.3.</w:t>
      </w:r>
      <w:r w:rsidRPr="009452A2">
        <w:rPr>
          <w:rStyle w:val="TextoNormalCaracter"/>
        </w:rPr>
        <w:t>-</w:t>
      </w:r>
      <w:r>
        <w:t xml:space="preserve"> Auto </w:t>
      </w:r>
      <w:hyperlink w:anchor="AUTO_1985_162" w:history="1">
        <w:r w:rsidRPr="009452A2">
          <w:rPr>
            <w:rStyle w:val="TextoNormalCaracter"/>
          </w:rPr>
          <w:t>162/1985</w:t>
        </w:r>
      </w:hyperlink>
      <w:r>
        <w:t>.</w:t>
      </w:r>
    </w:p>
    <w:p w:rsidR="009452A2" w:rsidRDefault="009452A2" w:rsidP="009452A2">
      <w:pPr>
        <w:pStyle w:val="SangriaFrancesaArticulo"/>
      </w:pPr>
      <w:r w:rsidRPr="009452A2">
        <w:rPr>
          <w:rStyle w:val="TextoNormalNegritaCaracter"/>
        </w:rPr>
        <w:t>Artículo 35.1.</w:t>
      </w:r>
      <w:r w:rsidRPr="009452A2">
        <w:rPr>
          <w:rStyle w:val="TextoNormalCaracter"/>
        </w:rPr>
        <w:t>-</w:t>
      </w:r>
      <w:r>
        <w:t xml:space="preserve"> Auto </w:t>
      </w:r>
      <w:hyperlink w:anchor="AUTO_1985_116" w:history="1">
        <w:r w:rsidRPr="009452A2">
          <w:rPr>
            <w:rStyle w:val="TextoNormalCaracter"/>
          </w:rPr>
          <w:t>116/1985</w:t>
        </w:r>
      </w:hyperlink>
      <w:r>
        <w:t>.</w:t>
      </w:r>
    </w:p>
    <w:p w:rsidR="009452A2" w:rsidRDefault="009452A2" w:rsidP="009452A2">
      <w:pPr>
        <w:pStyle w:val="SangriaFrancesaArticulo"/>
      </w:pPr>
      <w:r w:rsidRPr="009452A2">
        <w:rPr>
          <w:rStyle w:val="TextoNormalNegritaCaracter"/>
        </w:rPr>
        <w:t>Artículo 37.1.</w:t>
      </w:r>
      <w:r w:rsidRPr="009452A2">
        <w:rPr>
          <w:rStyle w:val="TextoNormalCaracter"/>
        </w:rPr>
        <w:t>-</w:t>
      </w:r>
      <w:r>
        <w:t xml:space="preserve"> Sentencia </w:t>
      </w:r>
      <w:hyperlink w:anchor="SENTENCIA_1985_19" w:history="1">
        <w:r w:rsidRPr="009452A2">
          <w:rPr>
            <w:rStyle w:val="TextoNormalCaracter"/>
          </w:rPr>
          <w:t>19/1985</w:t>
        </w:r>
      </w:hyperlink>
      <w:r>
        <w:t>, ff. 3, 4.</w:t>
      </w:r>
    </w:p>
    <w:p w:rsidR="009452A2" w:rsidRDefault="009452A2" w:rsidP="009452A2">
      <w:pPr>
        <w:pStyle w:val="SangriaFrancesaArticulo"/>
      </w:pPr>
      <w:r w:rsidRPr="009452A2">
        <w:rPr>
          <w:rStyle w:val="TextoNormalNegritaCaracter"/>
        </w:rPr>
        <w:t>Artículo 37.2.</w:t>
      </w:r>
      <w:r w:rsidRPr="009452A2">
        <w:rPr>
          <w:rStyle w:val="TextoNormalCaracter"/>
        </w:rPr>
        <w:t>-</w:t>
      </w:r>
      <w:r>
        <w:t xml:space="preserve"> Sentencia </w:t>
      </w:r>
      <w:hyperlink w:anchor="SENTENCIA_1985_7" w:history="1">
        <w:r w:rsidRPr="009452A2">
          <w:rPr>
            <w:rStyle w:val="TextoNormalCaracter"/>
          </w:rPr>
          <w:t>7/1985</w:t>
        </w:r>
      </w:hyperlink>
      <w:r>
        <w:t>, ff. 1 a 7.</w:t>
      </w:r>
    </w:p>
    <w:p w:rsidR="009452A2" w:rsidRDefault="009452A2" w:rsidP="009452A2">
      <w:pPr>
        <w:pStyle w:val="SangriaIzquierdaArticulo"/>
      </w:pPr>
      <w:r>
        <w:t xml:space="preserve">Autos </w:t>
      </w:r>
      <w:hyperlink w:anchor="AUTO_1985_141" w:history="1">
        <w:r w:rsidRPr="009452A2">
          <w:rPr>
            <w:rStyle w:val="TextoNormalCaracter"/>
          </w:rPr>
          <w:t>141/1985</w:t>
        </w:r>
      </w:hyperlink>
      <w:r>
        <w:t xml:space="preserve">; </w:t>
      </w:r>
      <w:hyperlink w:anchor="AUTO_1985_143" w:history="1">
        <w:r w:rsidRPr="009452A2">
          <w:rPr>
            <w:rStyle w:val="TextoNormalCaracter"/>
          </w:rPr>
          <w:t>143/1985</w:t>
        </w:r>
      </w:hyperlink>
      <w:r>
        <w:t>.</w:t>
      </w:r>
    </w:p>
    <w:p w:rsidR="009452A2" w:rsidRDefault="009452A2" w:rsidP="009452A2">
      <w:pPr>
        <w:pStyle w:val="SangriaFrancesaArticulo"/>
      </w:pPr>
      <w:r w:rsidRPr="009452A2">
        <w:rPr>
          <w:rStyle w:val="TextoNormalNegritaCaracter"/>
        </w:rPr>
        <w:t>Artículo 44.</w:t>
      </w:r>
      <w:r w:rsidRPr="009452A2">
        <w:rPr>
          <w:rStyle w:val="TextoNormalCaracter"/>
        </w:rPr>
        <w:t>-</w:t>
      </w:r>
      <w:r>
        <w:t xml:space="preserve"> Auto </w:t>
      </w:r>
      <w:hyperlink w:anchor="AUTO_1985_57" w:history="1">
        <w:r w:rsidRPr="009452A2">
          <w:rPr>
            <w:rStyle w:val="TextoNormalCaracter"/>
          </w:rPr>
          <w:t>57/1985</w:t>
        </w:r>
      </w:hyperlink>
      <w:r>
        <w:t>.</w:t>
      </w:r>
    </w:p>
    <w:p w:rsidR="009452A2" w:rsidRDefault="009452A2" w:rsidP="009452A2">
      <w:pPr>
        <w:pStyle w:val="SangriaFrancesaArticulo"/>
      </w:pPr>
      <w:r w:rsidRPr="009452A2">
        <w:rPr>
          <w:rStyle w:val="TextoNormalNegritaCaracter"/>
        </w:rPr>
        <w:t>Artículo 44.1.</w:t>
      </w:r>
      <w:r w:rsidRPr="009452A2">
        <w:rPr>
          <w:rStyle w:val="TextoNormalCaracter"/>
        </w:rPr>
        <w:t>-</w:t>
      </w:r>
      <w:r>
        <w:t xml:space="preserve"> Auto </w:t>
      </w:r>
      <w:hyperlink w:anchor="AUTO_1985_93" w:history="1">
        <w:r w:rsidRPr="009452A2">
          <w:rPr>
            <w:rStyle w:val="TextoNormalCaracter"/>
          </w:rPr>
          <w:t>93/1985</w:t>
        </w:r>
      </w:hyperlink>
      <w:r>
        <w:t>.</w:t>
      </w:r>
    </w:p>
    <w:p w:rsidR="009452A2" w:rsidRDefault="009452A2" w:rsidP="009452A2">
      <w:pPr>
        <w:pStyle w:val="SangriaFrancesaArticulo"/>
      </w:pPr>
      <w:r w:rsidRPr="009452A2">
        <w:rPr>
          <w:rStyle w:val="TextoNormalNegritaCaracter"/>
        </w:rPr>
        <w:t>Artículo 45.1 c).</w:t>
      </w:r>
      <w:r w:rsidRPr="009452A2">
        <w:rPr>
          <w:rStyle w:val="TextoNormalCaracter"/>
        </w:rPr>
        <w:t>-</w:t>
      </w:r>
      <w:r>
        <w:t xml:space="preserve"> Auto </w:t>
      </w:r>
      <w:hyperlink w:anchor="AUTO_1985_273" w:history="1">
        <w:r w:rsidRPr="009452A2">
          <w:rPr>
            <w:rStyle w:val="TextoNormalCaracter"/>
          </w:rPr>
          <w:t>273/1985</w:t>
        </w:r>
      </w:hyperlink>
      <w:r>
        <w:t>.</w:t>
      </w:r>
    </w:p>
    <w:p w:rsidR="009452A2" w:rsidRDefault="009452A2" w:rsidP="009452A2">
      <w:pPr>
        <w:pStyle w:val="SangriaFrancesaArticulo"/>
      </w:pPr>
      <w:r w:rsidRPr="009452A2">
        <w:rPr>
          <w:rStyle w:val="TextoNormalNegritaCaracter"/>
        </w:rPr>
        <w:t>Artículo 49.7.</w:t>
      </w:r>
      <w:r w:rsidRPr="009452A2">
        <w:rPr>
          <w:rStyle w:val="TextoNormalCaracter"/>
        </w:rPr>
        <w:t>-</w:t>
      </w:r>
      <w:r>
        <w:t xml:space="preserve"> Auto </w:t>
      </w:r>
      <w:hyperlink w:anchor="AUTO_1985_57" w:history="1">
        <w:r w:rsidRPr="009452A2">
          <w:rPr>
            <w:rStyle w:val="TextoNormalCaracter"/>
          </w:rPr>
          <w:t>57/1985</w:t>
        </w:r>
      </w:hyperlink>
      <w:r>
        <w:t>.</w:t>
      </w:r>
    </w:p>
    <w:p w:rsidR="009452A2" w:rsidRDefault="009452A2" w:rsidP="009452A2">
      <w:pPr>
        <w:pStyle w:val="SangriaFrancesaArticulo"/>
      </w:pPr>
      <w:r w:rsidRPr="009452A2">
        <w:rPr>
          <w:rStyle w:val="TextoNormalNegritaCaracter"/>
        </w:rPr>
        <w:t>Artículo 53.3.</w:t>
      </w:r>
      <w:r w:rsidRPr="009452A2">
        <w:rPr>
          <w:rStyle w:val="TextoNormalCaracter"/>
        </w:rPr>
        <w:t>-</w:t>
      </w:r>
      <w:r>
        <w:t xml:space="preserve"> Auto </w:t>
      </w:r>
      <w:hyperlink w:anchor="AUTO_1985_93" w:history="1">
        <w:r w:rsidRPr="009452A2">
          <w:rPr>
            <w:rStyle w:val="TextoNormalCaracter"/>
          </w:rPr>
          <w:t>93/1985</w:t>
        </w:r>
      </w:hyperlink>
      <w:r>
        <w:t>.</w:t>
      </w:r>
    </w:p>
    <w:p w:rsidR="009452A2" w:rsidRDefault="009452A2" w:rsidP="009452A2">
      <w:pPr>
        <w:pStyle w:val="SangriaFrancesaArticulo"/>
      </w:pPr>
      <w:r w:rsidRPr="009452A2">
        <w:rPr>
          <w:rStyle w:val="TextoNormalNegritaCaracter"/>
        </w:rPr>
        <w:t>Artículo 54.2 a).</w:t>
      </w:r>
      <w:r w:rsidRPr="009452A2">
        <w:rPr>
          <w:rStyle w:val="TextoNormalCaracter"/>
        </w:rPr>
        <w:t>-</w:t>
      </w:r>
      <w:r>
        <w:t xml:space="preserve"> Sentencia </w:t>
      </w:r>
      <w:hyperlink w:anchor="SENTENCIA_1985_19" w:history="1">
        <w:r w:rsidRPr="009452A2">
          <w:rPr>
            <w:rStyle w:val="TextoNormalCaracter"/>
          </w:rPr>
          <w:t>19/1985</w:t>
        </w:r>
      </w:hyperlink>
      <w:r>
        <w:t>, f. 1.</w:t>
      </w:r>
    </w:p>
    <w:p w:rsidR="009452A2" w:rsidRDefault="009452A2" w:rsidP="009452A2">
      <w:pPr>
        <w:pStyle w:val="SangriaFrancesaArticulo"/>
      </w:pPr>
      <w:r w:rsidRPr="009452A2">
        <w:rPr>
          <w:rStyle w:val="TextoNormalNegritaCaracter"/>
        </w:rPr>
        <w:t>Artículo 54.2 b).</w:t>
      </w:r>
      <w:r w:rsidRPr="009452A2">
        <w:rPr>
          <w:rStyle w:val="TextoNormalCaracter"/>
        </w:rPr>
        <w:t>-</w:t>
      </w:r>
      <w:r>
        <w:t xml:space="preserve"> Sentencia </w:t>
      </w:r>
      <w:hyperlink w:anchor="SENTENCIA_1985_19" w:history="1">
        <w:r w:rsidRPr="009452A2">
          <w:rPr>
            <w:rStyle w:val="TextoNormalCaracter"/>
          </w:rPr>
          <w:t>19/1985</w:t>
        </w:r>
      </w:hyperlink>
      <w:r>
        <w:t>, f. 1.</w:t>
      </w:r>
    </w:p>
    <w:p w:rsidR="009452A2" w:rsidRDefault="009452A2" w:rsidP="009452A2">
      <w:pPr>
        <w:pStyle w:val="SangriaFrancesaArticulo"/>
      </w:pPr>
      <w:r w:rsidRPr="009452A2">
        <w:rPr>
          <w:rStyle w:val="TextoNormalNegritaCaracter"/>
        </w:rPr>
        <w:t>Artículo 54.2 c).</w:t>
      </w:r>
      <w:r w:rsidRPr="009452A2">
        <w:rPr>
          <w:rStyle w:val="TextoNormalCaracter"/>
        </w:rPr>
        <w:t>-</w:t>
      </w:r>
      <w:r>
        <w:t xml:space="preserve"> Auto </w:t>
      </w:r>
      <w:hyperlink w:anchor="AUTO_1985_97" w:history="1">
        <w:r w:rsidRPr="009452A2">
          <w:rPr>
            <w:rStyle w:val="TextoNormalCaracter"/>
          </w:rPr>
          <w:t>97/1985</w:t>
        </w:r>
      </w:hyperlink>
      <w:r>
        <w:t>.</w:t>
      </w:r>
    </w:p>
    <w:p w:rsidR="009452A2" w:rsidRDefault="009452A2" w:rsidP="009452A2">
      <w:pPr>
        <w:pStyle w:val="SangriaFrancesaArticulo"/>
      </w:pPr>
      <w:r w:rsidRPr="009452A2">
        <w:rPr>
          <w:rStyle w:val="TextoNormalNegritaCaracter"/>
        </w:rPr>
        <w:t>Artículo 55.</w:t>
      </w:r>
      <w:r w:rsidRPr="009452A2">
        <w:rPr>
          <w:rStyle w:val="TextoNormalCaracter"/>
        </w:rPr>
        <w:t>-</w:t>
      </w:r>
      <w:r>
        <w:t xml:space="preserve"> Sentencia </w:t>
      </w:r>
      <w:hyperlink w:anchor="SENTENCIA_1985_37" w:history="1">
        <w:r w:rsidRPr="009452A2">
          <w:rPr>
            <w:rStyle w:val="TextoNormalCaracter"/>
          </w:rPr>
          <w:t>37/1985</w:t>
        </w:r>
      </w:hyperlink>
      <w:r>
        <w:t>, f. 1.</w:t>
      </w:r>
    </w:p>
    <w:p w:rsidR="009452A2" w:rsidRDefault="009452A2" w:rsidP="009452A2">
      <w:pPr>
        <w:pStyle w:val="SangriaFrancesaArticulo"/>
      </w:pPr>
      <w:r w:rsidRPr="009452A2">
        <w:rPr>
          <w:rStyle w:val="TextoNormalNegritaCaracter"/>
        </w:rPr>
        <w:t>Artículo 55.1.</w:t>
      </w:r>
      <w:r w:rsidRPr="009452A2">
        <w:rPr>
          <w:rStyle w:val="TextoNormalCaracter"/>
        </w:rPr>
        <w:t>-</w:t>
      </w:r>
      <w:r>
        <w:t xml:space="preserve"> Auto </w:t>
      </w:r>
      <w:hyperlink w:anchor="AUTO_1985_273" w:history="1">
        <w:r w:rsidRPr="009452A2">
          <w:rPr>
            <w:rStyle w:val="TextoNormalCaracter"/>
          </w:rPr>
          <w:t>273/1985</w:t>
        </w:r>
      </w:hyperlink>
      <w:r>
        <w:t>.</w:t>
      </w:r>
    </w:p>
    <w:p w:rsidR="009452A2" w:rsidRDefault="009452A2" w:rsidP="009452A2">
      <w:pPr>
        <w:pStyle w:val="SangriaFrancesaArticulo"/>
      </w:pPr>
      <w:r w:rsidRPr="009452A2">
        <w:rPr>
          <w:rStyle w:val="TextoNormalNegritaCaracter"/>
        </w:rPr>
        <w:t>Artículo 55.2.</w:t>
      </w:r>
      <w:r w:rsidRPr="009452A2">
        <w:rPr>
          <w:rStyle w:val="TextoNormalCaracter"/>
        </w:rPr>
        <w:t>-</w:t>
      </w:r>
      <w:r>
        <w:t xml:space="preserve"> Auto </w:t>
      </w:r>
      <w:hyperlink w:anchor="AUTO_1985_93" w:history="1">
        <w:r w:rsidRPr="009452A2">
          <w:rPr>
            <w:rStyle w:val="TextoNormalCaracter"/>
          </w:rPr>
          <w:t>93/1985</w:t>
        </w:r>
      </w:hyperlink>
      <w:r>
        <w:t>.</w:t>
      </w:r>
    </w:p>
    <w:p w:rsidR="009452A2" w:rsidRDefault="009452A2" w:rsidP="009452A2">
      <w:pPr>
        <w:pStyle w:val="SangriaFrancesaArticulo"/>
      </w:pPr>
      <w:r w:rsidRPr="009452A2">
        <w:rPr>
          <w:rStyle w:val="TextoNormalNegritaCaracter"/>
        </w:rPr>
        <w:t>Artículo 55.3.</w:t>
      </w:r>
      <w:r w:rsidRPr="009452A2">
        <w:rPr>
          <w:rStyle w:val="TextoNormalCaracter"/>
        </w:rPr>
        <w:t>-</w:t>
      </w:r>
      <w:r>
        <w:t xml:space="preserve"> Auto </w:t>
      </w:r>
      <w:hyperlink w:anchor="AUTO_1985_93" w:history="1">
        <w:r w:rsidRPr="009452A2">
          <w:rPr>
            <w:rStyle w:val="TextoNormalCaracter"/>
          </w:rPr>
          <w:t>93/1985</w:t>
        </w:r>
      </w:hyperlink>
      <w:r>
        <w:t>.</w:t>
      </w:r>
    </w:p>
    <w:p w:rsidR="009452A2" w:rsidRDefault="009452A2" w:rsidP="009452A2">
      <w:pPr>
        <w:pStyle w:val="SangriaFrancesaArticulo"/>
      </w:pPr>
      <w:r w:rsidRPr="009452A2">
        <w:rPr>
          <w:rStyle w:val="TextoNormalNegritaCaracter"/>
        </w:rPr>
        <w:t>Artículo 56.</w:t>
      </w:r>
      <w:r w:rsidRPr="009452A2">
        <w:rPr>
          <w:rStyle w:val="TextoNormalCaracter"/>
        </w:rPr>
        <w:t>-</w:t>
      </w:r>
      <w:r>
        <w:t xml:space="preserve"> Auto </w:t>
      </w:r>
      <w:hyperlink w:anchor="AUTO_1985_93" w:history="1">
        <w:r w:rsidRPr="009452A2">
          <w:rPr>
            <w:rStyle w:val="TextoNormalCaracter"/>
          </w:rPr>
          <w:t>93/1985</w:t>
        </w:r>
      </w:hyperlink>
      <w:r>
        <w:t>.</w:t>
      </w:r>
    </w:p>
    <w:p w:rsidR="009452A2" w:rsidRDefault="009452A2" w:rsidP="009452A2">
      <w:pPr>
        <w:pStyle w:val="SangriaFrancesaArticulo"/>
      </w:pPr>
      <w:r w:rsidRPr="009452A2">
        <w:rPr>
          <w:rStyle w:val="TextoNormalNegritaCaracter"/>
        </w:rPr>
        <w:t>Artículo 56.5.</w:t>
      </w:r>
      <w:r w:rsidRPr="009452A2">
        <w:rPr>
          <w:rStyle w:val="TextoNormalCaracter"/>
        </w:rPr>
        <w:t>-</w:t>
      </w:r>
      <w:r>
        <w:t xml:space="preserve"> Autos </w:t>
      </w:r>
      <w:hyperlink w:anchor="AUTO_1985_150" w:history="1">
        <w:r w:rsidRPr="009452A2">
          <w:rPr>
            <w:rStyle w:val="TextoNormalCaracter"/>
          </w:rPr>
          <w:t>150/1985</w:t>
        </w:r>
      </w:hyperlink>
      <w:r>
        <w:t xml:space="preserve">; </w:t>
      </w:r>
      <w:hyperlink w:anchor="AUTO_1985_179" w:history="1">
        <w:r w:rsidRPr="009452A2">
          <w:rPr>
            <w:rStyle w:val="TextoNormalCaracter"/>
          </w:rPr>
          <w:t>179/1985</w:t>
        </w:r>
      </w:hyperlink>
      <w:r>
        <w:t>.</w:t>
      </w:r>
    </w:p>
    <w:p w:rsidR="009452A2" w:rsidRDefault="009452A2" w:rsidP="009452A2">
      <w:pPr>
        <w:pStyle w:val="SangriaFrancesaArticulo"/>
      </w:pPr>
      <w:r w:rsidRPr="009452A2">
        <w:rPr>
          <w:rStyle w:val="TextoNormalNegritaCaracter"/>
        </w:rPr>
        <w:t>Artículo 58.2.</w:t>
      </w:r>
      <w:r w:rsidRPr="009452A2">
        <w:rPr>
          <w:rStyle w:val="TextoNormalCaracter"/>
        </w:rPr>
        <w:t>-</w:t>
      </w:r>
      <w:r>
        <w:t xml:space="preserve"> Auto </w:t>
      </w:r>
      <w:hyperlink w:anchor="AUTO_1985_273" w:history="1">
        <w:r w:rsidRPr="009452A2">
          <w:rPr>
            <w:rStyle w:val="TextoNormalCaracter"/>
          </w:rPr>
          <w:t>273/1985</w:t>
        </w:r>
      </w:hyperlink>
      <w:r>
        <w:t>.</w:t>
      </w:r>
    </w:p>
    <w:p w:rsidR="009452A2" w:rsidRDefault="009452A2" w:rsidP="009452A2">
      <w:pPr>
        <w:pStyle w:val="SangriaFrancesaArticulo"/>
      </w:pPr>
      <w:r w:rsidRPr="009452A2">
        <w:rPr>
          <w:rStyle w:val="TextoNormalNegritaCaracter"/>
        </w:rPr>
        <w:t>Artículo 59.3.</w:t>
      </w:r>
      <w:r w:rsidRPr="009452A2">
        <w:rPr>
          <w:rStyle w:val="TextoNormalCaracter"/>
        </w:rPr>
        <w:t>-</w:t>
      </w:r>
      <w:r>
        <w:t xml:space="preserve"> Sentencia </w:t>
      </w:r>
      <w:hyperlink w:anchor="SENTENCIA_1985_15" w:history="1">
        <w:r w:rsidRPr="009452A2">
          <w:rPr>
            <w:rStyle w:val="TextoNormalCaracter"/>
          </w:rPr>
          <w:t>15/1985</w:t>
        </w:r>
      </w:hyperlink>
      <w:r>
        <w:t>, ff. 2, 3.</w:t>
      </w:r>
    </w:p>
    <w:p w:rsidR="009452A2" w:rsidRDefault="009452A2" w:rsidP="009452A2">
      <w:pPr>
        <w:pStyle w:val="SangriaFrancesaArticulo"/>
      </w:pPr>
      <w:r w:rsidRPr="009452A2">
        <w:rPr>
          <w:rStyle w:val="TextoNormalNegritaCaracter"/>
        </w:rPr>
        <w:t>Artículo 60.2.</w:t>
      </w:r>
      <w:r w:rsidRPr="009452A2">
        <w:rPr>
          <w:rStyle w:val="TextoNormalCaracter"/>
        </w:rPr>
        <w:t>-</w:t>
      </w:r>
      <w:r>
        <w:t xml:space="preserve"> Auto </w:t>
      </w:r>
      <w:hyperlink w:anchor="AUTO_1985_273" w:history="1">
        <w:r w:rsidRPr="009452A2">
          <w:rPr>
            <w:rStyle w:val="TextoNormalCaracter"/>
          </w:rPr>
          <w:t>273/1985</w:t>
        </w:r>
      </w:hyperlink>
      <w:r>
        <w:t>.</w:t>
      </w:r>
    </w:p>
    <w:p w:rsidR="009452A2" w:rsidRDefault="009452A2" w:rsidP="009452A2">
      <w:pPr>
        <w:pStyle w:val="SangriaFrancesaArticulo"/>
      </w:pPr>
      <w:r w:rsidRPr="009452A2">
        <w:rPr>
          <w:rStyle w:val="TextoNormalNegritaCaracter"/>
        </w:rPr>
        <w:t>Artículo 65.</w:t>
      </w:r>
      <w:r w:rsidRPr="009452A2">
        <w:rPr>
          <w:rStyle w:val="TextoNormalCaracter"/>
        </w:rPr>
        <w:t>-</w:t>
      </w:r>
      <w:r>
        <w:t xml:space="preserve"> Auto </w:t>
      </w:r>
      <w:hyperlink w:anchor="AUTO_1985_104" w:history="1">
        <w:r w:rsidRPr="009452A2">
          <w:rPr>
            <w:rStyle w:val="TextoNormalCaracter"/>
          </w:rPr>
          <w:t>104/1985</w:t>
        </w:r>
      </w:hyperlink>
      <w:r>
        <w:t>.</w:t>
      </w:r>
    </w:p>
    <w:p w:rsidR="009452A2" w:rsidRDefault="009452A2" w:rsidP="009452A2">
      <w:pPr>
        <w:pStyle w:val="SangriaFrancesaArticulo"/>
      </w:pPr>
      <w:r w:rsidRPr="009452A2">
        <w:rPr>
          <w:rStyle w:val="TextoNormalNegritaCaracter"/>
        </w:rPr>
        <w:t>Artículo 68 e).</w:t>
      </w:r>
      <w:r w:rsidRPr="009452A2">
        <w:rPr>
          <w:rStyle w:val="TextoNormalCaracter"/>
        </w:rPr>
        <w:t>-</w:t>
      </w:r>
      <w:r>
        <w:t xml:space="preserve"> Sentencia </w:t>
      </w:r>
      <w:hyperlink w:anchor="SENTENCIA_1985_40" w:history="1">
        <w:r w:rsidRPr="009452A2">
          <w:rPr>
            <w:rStyle w:val="TextoNormalCaracter"/>
          </w:rPr>
          <w:t>40/1985</w:t>
        </w:r>
      </w:hyperlink>
      <w:r>
        <w:t>, f. 2.</w:t>
      </w:r>
    </w:p>
    <w:p w:rsidR="009452A2" w:rsidRDefault="009452A2" w:rsidP="009452A2">
      <w:pPr>
        <w:pStyle w:val="SangriaFrancesaArticulo"/>
      </w:pPr>
      <w:r w:rsidRPr="009452A2">
        <w:rPr>
          <w:rStyle w:val="TextoNormalNegritaCaracter"/>
        </w:rPr>
        <w:t>Artículo 75.5.</w:t>
      </w:r>
      <w:r w:rsidRPr="009452A2">
        <w:rPr>
          <w:rStyle w:val="TextoNormalCaracter"/>
        </w:rPr>
        <w:t>-</w:t>
      </w:r>
      <w:r>
        <w:t xml:space="preserve"> Sentencia </w:t>
      </w:r>
      <w:hyperlink w:anchor="SENTENCIA_1985_20" w:history="1">
        <w:r w:rsidRPr="009452A2">
          <w:rPr>
            <w:rStyle w:val="TextoNormalCaracter"/>
          </w:rPr>
          <w:t>20/1985</w:t>
        </w:r>
      </w:hyperlink>
      <w:r>
        <w:t>, ff. 3, 4.</w:t>
      </w:r>
    </w:p>
    <w:p w:rsidR="009452A2" w:rsidRDefault="009452A2" w:rsidP="009452A2">
      <w:pPr>
        <w:pStyle w:val="SangriaFrancesaArticulo"/>
      </w:pPr>
      <w:r w:rsidRPr="009452A2">
        <w:rPr>
          <w:rStyle w:val="TextoNormalNegritaCaracter"/>
        </w:rPr>
        <w:t>Artículo 82.2.</w:t>
      </w:r>
      <w:r w:rsidRPr="009452A2">
        <w:rPr>
          <w:rStyle w:val="TextoNormalCaracter"/>
        </w:rPr>
        <w:t>-</w:t>
      </w:r>
      <w:r>
        <w:t xml:space="preserve"> Sentencia </w:t>
      </w:r>
      <w:hyperlink w:anchor="SENTENCIA_1985_58" w:history="1">
        <w:r w:rsidRPr="009452A2">
          <w:rPr>
            <w:rStyle w:val="TextoNormalCaracter"/>
          </w:rPr>
          <w:t>58/1985</w:t>
        </w:r>
      </w:hyperlink>
      <w:r>
        <w:t>, f. 4.</w:t>
      </w:r>
    </w:p>
    <w:p w:rsidR="009452A2" w:rsidRDefault="009452A2" w:rsidP="009452A2">
      <w:pPr>
        <w:pStyle w:val="SangriaFrancesaArticulo"/>
      </w:pPr>
      <w:r w:rsidRPr="009452A2">
        <w:rPr>
          <w:rStyle w:val="TextoNormalNegritaCaracter"/>
        </w:rPr>
        <w:t>Artículo 82.3.</w:t>
      </w:r>
      <w:r w:rsidRPr="009452A2">
        <w:rPr>
          <w:rStyle w:val="TextoNormalCaracter"/>
        </w:rPr>
        <w:t>-</w:t>
      </w:r>
      <w:r>
        <w:t xml:space="preserve"> Auto </w:t>
      </w:r>
      <w:hyperlink w:anchor="AUTO_1985_95" w:history="1">
        <w:r w:rsidRPr="009452A2">
          <w:rPr>
            <w:rStyle w:val="TextoNormalCaracter"/>
          </w:rPr>
          <w:t>95/1985</w:t>
        </w:r>
      </w:hyperlink>
      <w:r>
        <w:t>.</w:t>
      </w:r>
    </w:p>
    <w:p w:rsidR="009452A2" w:rsidRDefault="009452A2" w:rsidP="009452A2">
      <w:pPr>
        <w:pStyle w:val="SangriaFrancesaArticulo"/>
      </w:pPr>
      <w:r w:rsidRPr="009452A2">
        <w:rPr>
          <w:rStyle w:val="TextoNormalNegritaCaracter"/>
        </w:rPr>
        <w:t>Artículo 85.</w:t>
      </w:r>
      <w:r w:rsidRPr="009452A2">
        <w:rPr>
          <w:rStyle w:val="TextoNormalCaracter"/>
        </w:rPr>
        <w:t>-</w:t>
      </w:r>
      <w:r>
        <w:t xml:space="preserve"> Sentencia </w:t>
      </w:r>
      <w:hyperlink w:anchor="SENTENCIA_1985_58" w:history="1">
        <w:r w:rsidRPr="009452A2">
          <w:rPr>
            <w:rStyle w:val="TextoNormalCaracter"/>
          </w:rPr>
          <w:t>58/1985</w:t>
        </w:r>
      </w:hyperlink>
      <w:r>
        <w:t>, f. 4.</w:t>
      </w:r>
    </w:p>
    <w:p w:rsidR="009452A2" w:rsidRDefault="009452A2" w:rsidP="009452A2">
      <w:pPr>
        <w:pStyle w:val="SangriaFrancesaArticulo"/>
      </w:pPr>
      <w:r w:rsidRPr="009452A2">
        <w:rPr>
          <w:rStyle w:val="TextoNormalNegritaCaracter"/>
        </w:rPr>
        <w:t>Artículo 87.</w:t>
      </w:r>
      <w:r w:rsidRPr="009452A2">
        <w:rPr>
          <w:rStyle w:val="TextoNormalCaracter"/>
        </w:rPr>
        <w:t>-</w:t>
      </w:r>
      <w:r>
        <w:t xml:space="preserve"> Sentencia </w:t>
      </w:r>
      <w:hyperlink w:anchor="SENTENCIA_1985_58" w:history="1">
        <w:r w:rsidRPr="009452A2">
          <w:rPr>
            <w:rStyle w:val="TextoNormalCaracter"/>
          </w:rPr>
          <w:t>58/1985</w:t>
        </w:r>
      </w:hyperlink>
      <w:r>
        <w:t>, f. 4.</w:t>
      </w:r>
    </w:p>
    <w:p w:rsidR="009452A2" w:rsidRDefault="009452A2" w:rsidP="009452A2">
      <w:pPr>
        <w:pStyle w:val="SangriaIzquierdaArticulo"/>
      </w:pPr>
      <w:r>
        <w:t xml:space="preserve">Auto </w:t>
      </w:r>
      <w:hyperlink w:anchor="AUTO_1985_66" w:history="1">
        <w:r w:rsidRPr="009452A2">
          <w:rPr>
            <w:rStyle w:val="TextoNormalCaracter"/>
          </w:rPr>
          <w:t>66/1985</w:t>
        </w:r>
      </w:hyperlink>
      <w:r>
        <w:t>.</w:t>
      </w:r>
    </w:p>
    <w:p w:rsidR="009452A2" w:rsidRDefault="009452A2" w:rsidP="009452A2">
      <w:pPr>
        <w:pStyle w:val="SangriaFrancesaArticulo"/>
      </w:pPr>
      <w:r w:rsidRPr="009452A2">
        <w:rPr>
          <w:rStyle w:val="TextoNormalNegritaCaracter"/>
        </w:rPr>
        <w:t>Artículo 88.</w:t>
      </w:r>
      <w:r w:rsidRPr="009452A2">
        <w:rPr>
          <w:rStyle w:val="TextoNormalCaracter"/>
        </w:rPr>
        <w:t>-</w:t>
      </w:r>
      <w:r>
        <w:t xml:space="preserve"> Sentencia </w:t>
      </w:r>
      <w:hyperlink w:anchor="SENTENCIA_1985_58" w:history="1">
        <w:r w:rsidRPr="009452A2">
          <w:rPr>
            <w:rStyle w:val="TextoNormalCaracter"/>
          </w:rPr>
          <w:t>58/1985</w:t>
        </w:r>
      </w:hyperlink>
      <w:r>
        <w:t>, f. 4.</w:t>
      </w:r>
    </w:p>
    <w:p w:rsidR="009452A2" w:rsidRDefault="009452A2" w:rsidP="009452A2">
      <w:pPr>
        <w:pStyle w:val="SangriaFrancesaArticulo"/>
      </w:pPr>
      <w:r w:rsidRPr="009452A2">
        <w:rPr>
          <w:rStyle w:val="TextoNormalNegritaCaracter"/>
        </w:rPr>
        <w:t>Artículo 90.5.</w:t>
      </w:r>
      <w:r w:rsidRPr="009452A2">
        <w:rPr>
          <w:rStyle w:val="TextoNormalCaracter"/>
        </w:rPr>
        <w:t>-</w:t>
      </w:r>
      <w:r>
        <w:t xml:space="preserve"> Auto </w:t>
      </w:r>
      <w:hyperlink w:anchor="AUTO_1985_66" w:history="1">
        <w:r w:rsidRPr="009452A2">
          <w:rPr>
            <w:rStyle w:val="TextoNormalCaracter"/>
          </w:rPr>
          <w:t>66/1985</w:t>
        </w:r>
      </w:hyperlink>
      <w:r>
        <w:t>.</w:t>
      </w:r>
    </w:p>
    <w:p w:rsidR="009452A2" w:rsidRDefault="009452A2" w:rsidP="009452A2">
      <w:pPr>
        <w:pStyle w:val="SangriaFrancesaArticulo"/>
      </w:pPr>
      <w:r w:rsidRPr="009452A2">
        <w:rPr>
          <w:rStyle w:val="TextoNormalNegritaCaracter"/>
        </w:rPr>
        <w:t>Disposición adicional quinta.</w:t>
      </w:r>
      <w:r w:rsidRPr="009452A2">
        <w:rPr>
          <w:rStyle w:val="TextoNormalCaracter"/>
        </w:rPr>
        <w:t>-</w:t>
      </w:r>
      <w:r>
        <w:t xml:space="preserve"> Sentencia </w:t>
      </w:r>
      <w:hyperlink w:anchor="SENTENCIA_1985_58" w:history="1">
        <w:r w:rsidRPr="009452A2">
          <w:rPr>
            <w:rStyle w:val="TextoNormalCaracter"/>
          </w:rPr>
          <w:t>58/1985</w:t>
        </w:r>
      </w:hyperlink>
      <w:r>
        <w:t>, ff. 1 a 5.</w:t>
      </w:r>
    </w:p>
    <w:p w:rsidR="009452A2" w:rsidRDefault="009452A2" w:rsidP="009452A2">
      <w:pPr>
        <w:pStyle w:val="SangriaFrancesaArticulo"/>
      </w:pPr>
      <w:r w:rsidRPr="009452A2">
        <w:rPr>
          <w:rStyle w:val="TextoNormalNegritaCaracter"/>
        </w:rPr>
        <w:t>Disposición adicional sexta.</w:t>
      </w:r>
      <w:r w:rsidRPr="009452A2">
        <w:rPr>
          <w:rStyle w:val="TextoNormalCaracter"/>
        </w:rPr>
        <w:t>-</w:t>
      </w:r>
      <w:r>
        <w:t xml:space="preserve"> Sentencias </w:t>
      </w:r>
      <w:hyperlink w:anchor="SENTENCIA_1985_20" w:history="1">
        <w:r w:rsidRPr="009452A2">
          <w:rPr>
            <w:rStyle w:val="TextoNormalCaracter"/>
          </w:rPr>
          <w:t>20/1985</w:t>
        </w:r>
      </w:hyperlink>
      <w:r>
        <w:t xml:space="preserve">, ff. 3, 4; </w:t>
      </w:r>
      <w:hyperlink w:anchor="SENTENCIA_1985_26" w:history="1">
        <w:r w:rsidRPr="009452A2">
          <w:rPr>
            <w:rStyle w:val="TextoNormalCaracter"/>
          </w:rPr>
          <w:t>26/1985</w:t>
        </w:r>
      </w:hyperlink>
      <w:r>
        <w:t>, f. 1.</w:t>
      </w:r>
    </w:p>
    <w:p w:rsidR="009452A2" w:rsidRDefault="009452A2" w:rsidP="009452A2">
      <w:pPr>
        <w:pStyle w:val="SangriaFrancesaArticulo"/>
      </w:pPr>
    </w:p>
    <w:p w:rsidR="009452A2" w:rsidRDefault="009452A2" w:rsidP="009452A2">
      <w:pPr>
        <w:pStyle w:val="TextoNormalNegritaCursivandice"/>
      </w:pPr>
      <w:r>
        <w:t>Ley 10/1980, de 14 de marzo. Clases Pasivas: Modificación del Real Decreto-ley de 6 de marzo de 1978, sobre beneficios a militares que tomaron parte en la guerra civil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14" w:history="1">
        <w:r w:rsidRPr="009452A2">
          <w:rPr>
            <w:rStyle w:val="TextoNormalCaracter"/>
          </w:rPr>
          <w:t>214/1985</w:t>
        </w:r>
      </w:hyperlink>
      <w:r>
        <w:t>.</w:t>
      </w:r>
    </w:p>
    <w:p w:rsidR="009452A2" w:rsidRDefault="009452A2" w:rsidP="009452A2">
      <w:pPr>
        <w:pStyle w:val="SangriaFrancesaArticulo"/>
      </w:pPr>
    </w:p>
    <w:p w:rsidR="009452A2" w:rsidRDefault="009452A2" w:rsidP="009452A2">
      <w:pPr>
        <w:pStyle w:val="TextoNormalNegritaCursivandice"/>
      </w:pPr>
      <w:r>
        <w:t>Ley 31/1980, de 21 de junio. Creación del Cuerpo Especial de Inspectores Técnicos de Formación Profesional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8" w:history="1">
        <w:r w:rsidRPr="009452A2">
          <w:rPr>
            <w:rStyle w:val="TextoNormalCaracter"/>
          </w:rPr>
          <w:t>48/1985</w:t>
        </w:r>
      </w:hyperlink>
      <w:r>
        <w:t>, ff. 1, 3.</w:t>
      </w:r>
    </w:p>
    <w:p w:rsidR="009452A2" w:rsidRDefault="009452A2" w:rsidP="009452A2">
      <w:pPr>
        <w:pStyle w:val="SangriaFrancesaArticulo"/>
      </w:pPr>
    </w:p>
    <w:p w:rsidR="009452A2" w:rsidRDefault="009452A2" w:rsidP="009452A2">
      <w:pPr>
        <w:pStyle w:val="TextoNormalNegritaCursivandice"/>
      </w:pPr>
      <w:r>
        <w:t>Ley 51/1980, de 8 de octubre. Básica de empleo</w:t>
      </w:r>
    </w:p>
    <w:p w:rsidR="009452A2" w:rsidRDefault="009452A2" w:rsidP="009452A2">
      <w:pPr>
        <w:pStyle w:val="SangriaFrancesaArticulo"/>
      </w:pPr>
      <w:r w:rsidRPr="009452A2">
        <w:rPr>
          <w:rStyle w:val="TextoNormalNegritaCaracter"/>
        </w:rPr>
        <w:t>Artículo 19.</w:t>
      </w:r>
      <w:r w:rsidRPr="009452A2">
        <w:rPr>
          <w:rStyle w:val="TextoNormalCaracter"/>
        </w:rPr>
        <w:t>-</w:t>
      </w:r>
      <w:r>
        <w:t xml:space="preserve"> Auto </w:t>
      </w:r>
      <w:hyperlink w:anchor="AUTO_1985_67" w:history="1">
        <w:r w:rsidRPr="009452A2">
          <w:rPr>
            <w:rStyle w:val="TextoNormalCaracter"/>
          </w:rPr>
          <w:t>67/1985</w:t>
        </w:r>
      </w:hyperlink>
      <w:r>
        <w:t>.</w:t>
      </w:r>
    </w:p>
    <w:p w:rsidR="009452A2" w:rsidRDefault="009452A2" w:rsidP="009452A2">
      <w:pPr>
        <w:pStyle w:val="SangriaFrancesaArticulo"/>
      </w:pPr>
      <w:r w:rsidRPr="009452A2">
        <w:rPr>
          <w:rStyle w:val="TextoNormalNegritaCaracter"/>
        </w:rPr>
        <w:t>Artículo 19.2.</w:t>
      </w:r>
      <w:r w:rsidRPr="009452A2">
        <w:rPr>
          <w:rStyle w:val="TextoNormalCaracter"/>
        </w:rPr>
        <w:t>-</w:t>
      </w:r>
      <w:r>
        <w:t xml:space="preserve"> Auto </w:t>
      </w:r>
      <w:hyperlink w:anchor="AUTO_1985_152" w:history="1">
        <w:r w:rsidRPr="009452A2">
          <w:rPr>
            <w:rStyle w:val="TextoNormalCaracter"/>
          </w:rPr>
          <w:t>152/1985</w:t>
        </w:r>
      </w:hyperlink>
      <w:r>
        <w:t>.</w:t>
      </w:r>
    </w:p>
    <w:p w:rsidR="009452A2" w:rsidRDefault="009452A2" w:rsidP="009452A2">
      <w:pPr>
        <w:pStyle w:val="SangriaFrancesaArticulo"/>
      </w:pPr>
      <w:r w:rsidRPr="009452A2">
        <w:rPr>
          <w:rStyle w:val="TextoNormalNegritaCaracter"/>
        </w:rPr>
        <w:t>Artículo 22.6.</w:t>
      </w:r>
      <w:r w:rsidRPr="009452A2">
        <w:rPr>
          <w:rStyle w:val="TextoNormalCaracter"/>
        </w:rPr>
        <w:t>-</w:t>
      </w:r>
      <w:r>
        <w:t xml:space="preserve"> Auto </w:t>
      </w:r>
      <w:hyperlink w:anchor="AUTO_1985_46" w:history="1">
        <w:r w:rsidRPr="009452A2">
          <w:rPr>
            <w:rStyle w:val="TextoNormalCaracter"/>
          </w:rPr>
          <w:t>46/1985</w:t>
        </w:r>
      </w:hyperlink>
      <w:r>
        <w:t>.</w:t>
      </w:r>
    </w:p>
    <w:p w:rsidR="009452A2" w:rsidRDefault="009452A2" w:rsidP="009452A2">
      <w:pPr>
        <w:pStyle w:val="SangriaFrancesaArticulo"/>
      </w:pPr>
    </w:p>
    <w:p w:rsidR="009452A2" w:rsidRDefault="009452A2" w:rsidP="009452A2">
      <w:pPr>
        <w:pStyle w:val="TextoNormalNegritaCursivandice"/>
      </w:pPr>
      <w:r>
        <w:t>Ley 83/1980, de 31 de diciembre. Arrendamientos rústicos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75" w:history="1">
        <w:r w:rsidRPr="009452A2">
          <w:rPr>
            <w:rStyle w:val="TextoNormalCaracter"/>
          </w:rPr>
          <w:t>275/1985</w:t>
        </w:r>
      </w:hyperlink>
      <w:r>
        <w:t>.</w:t>
      </w:r>
    </w:p>
    <w:p w:rsidR="009452A2" w:rsidRDefault="009452A2" w:rsidP="009452A2">
      <w:pPr>
        <w:pStyle w:val="SangriaFrancesaArticulo"/>
      </w:pPr>
      <w:r w:rsidRPr="009452A2">
        <w:rPr>
          <w:rStyle w:val="TextoNormalNegritaCaracter"/>
        </w:rPr>
        <w:t>Disposición transitoria primera.</w:t>
      </w:r>
      <w:r w:rsidRPr="009452A2">
        <w:rPr>
          <w:rStyle w:val="TextoNormalCaracter"/>
        </w:rPr>
        <w:t>-</w:t>
      </w:r>
      <w:r>
        <w:t xml:space="preserve"> Auto </w:t>
      </w:r>
      <w:hyperlink w:anchor="AUTO_1985_275" w:history="1">
        <w:r w:rsidRPr="009452A2">
          <w:rPr>
            <w:rStyle w:val="TextoNormalCaracter"/>
          </w:rPr>
          <w:t>275/1985</w:t>
        </w:r>
      </w:hyperlink>
      <w:r>
        <w:t>.</w:t>
      </w:r>
    </w:p>
    <w:p w:rsidR="009452A2" w:rsidRDefault="009452A2" w:rsidP="009452A2">
      <w:pPr>
        <w:pStyle w:val="SangriaFrancesaArticulo"/>
      </w:pPr>
    </w:p>
    <w:p w:rsidR="009452A2" w:rsidRDefault="009452A2" w:rsidP="009452A2">
      <w:pPr>
        <w:pStyle w:val="TextoNormalNegritaCursivandice"/>
      </w:pPr>
      <w:r>
        <w:t>Ley 11/1981, de 13 de mayo. Modificación del Código civil en materia de filiación, patria potestad y régimen económico del matrimonio</w:t>
      </w:r>
    </w:p>
    <w:p w:rsidR="009452A2" w:rsidRDefault="009452A2" w:rsidP="009452A2">
      <w:pPr>
        <w:pStyle w:val="SangriaFrancesaArticulo"/>
      </w:pPr>
      <w:r w:rsidRPr="009452A2">
        <w:rPr>
          <w:rStyle w:val="TextoNormalNegritaCaracter"/>
        </w:rPr>
        <w:t>Disposición transitoria décima.</w:t>
      </w:r>
      <w:r w:rsidRPr="009452A2">
        <w:rPr>
          <w:rStyle w:val="TextoNormalCaracter"/>
        </w:rPr>
        <w:t>-</w:t>
      </w:r>
      <w:r>
        <w:t xml:space="preserve"> Auto </w:t>
      </w:r>
      <w:hyperlink w:anchor="AUTO_1985_86" w:history="1">
        <w:r w:rsidRPr="009452A2">
          <w:rPr>
            <w:rStyle w:val="TextoNormalCaracter"/>
          </w:rPr>
          <w:t>86/1985</w:t>
        </w:r>
      </w:hyperlink>
      <w:r>
        <w:t>.</w:t>
      </w:r>
    </w:p>
    <w:p w:rsidR="009452A2" w:rsidRDefault="009452A2" w:rsidP="009452A2">
      <w:pPr>
        <w:pStyle w:val="SangriaFrancesaArticulo"/>
      </w:pPr>
      <w:r w:rsidRPr="009452A2">
        <w:rPr>
          <w:rStyle w:val="TextoNormalNegritaCaracter"/>
        </w:rPr>
        <w:t>Disposición final.</w:t>
      </w:r>
      <w:r w:rsidRPr="009452A2">
        <w:rPr>
          <w:rStyle w:val="TextoNormalCaracter"/>
        </w:rPr>
        <w:t>-</w:t>
      </w:r>
      <w:r>
        <w:t xml:space="preserve"> Auto </w:t>
      </w:r>
      <w:hyperlink w:anchor="AUTO_1985_86" w:history="1">
        <w:r w:rsidRPr="009452A2">
          <w:rPr>
            <w:rStyle w:val="TextoNormalCaracter"/>
          </w:rPr>
          <w:t>86/1985</w:t>
        </w:r>
      </w:hyperlink>
      <w:r>
        <w:t>.</w:t>
      </w:r>
    </w:p>
    <w:p w:rsidR="009452A2" w:rsidRDefault="009452A2" w:rsidP="009452A2">
      <w:pPr>
        <w:pStyle w:val="SangriaFrancesaArticulo"/>
      </w:pPr>
    </w:p>
    <w:p w:rsidR="009452A2" w:rsidRDefault="009452A2" w:rsidP="009452A2">
      <w:pPr>
        <w:pStyle w:val="TextoNormalNegritaCursivandice"/>
      </w:pPr>
      <w:r>
        <w:t>Ley 30/1981, de 7 de julio. Modificación de la regulación del matrimonio en el Código civil y determinación del procedimiento a seguir en las causas de nulidad, separación y divorcio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49" w:history="1">
        <w:r w:rsidRPr="009452A2">
          <w:rPr>
            <w:rStyle w:val="TextoNormalCaracter"/>
          </w:rPr>
          <w:t>249/1985</w:t>
        </w:r>
      </w:hyperlink>
      <w:r>
        <w:t>.</w:t>
      </w:r>
    </w:p>
    <w:p w:rsidR="009452A2" w:rsidRDefault="009452A2" w:rsidP="009452A2">
      <w:pPr>
        <w:pStyle w:val="SangriaFrancesaArticulo"/>
      </w:pPr>
    </w:p>
    <w:p w:rsidR="009452A2" w:rsidRDefault="009452A2" w:rsidP="009452A2">
      <w:pPr>
        <w:pStyle w:val="TextoNormalNegritaCursivandice"/>
      </w:pPr>
      <w:r>
        <w:t>Ley 39/1981, de 28 de octubre. Regulación del uso de la bandera nacional y el de las otras banderas y enseñas</w:t>
      </w:r>
    </w:p>
    <w:p w:rsidR="009452A2" w:rsidRDefault="009452A2" w:rsidP="009452A2">
      <w:pPr>
        <w:pStyle w:val="SangriaFrancesaArticulo"/>
      </w:pPr>
      <w:r w:rsidRPr="009452A2">
        <w:rPr>
          <w:rStyle w:val="TextoNormalNegritaCaracter"/>
        </w:rPr>
        <w:t>Artículo 9.</w:t>
      </w:r>
      <w:r w:rsidRPr="009452A2">
        <w:rPr>
          <w:rStyle w:val="TextoNormalCaracter"/>
        </w:rPr>
        <w:t>-</w:t>
      </w:r>
      <w:r>
        <w:t xml:space="preserve"> Sentencia </w:t>
      </w:r>
      <w:hyperlink w:anchor="SENTENCIA_1985_32" w:history="1">
        <w:r w:rsidRPr="009452A2">
          <w:rPr>
            <w:rStyle w:val="TextoNormalCaracter"/>
          </w:rPr>
          <w:t>32/1985</w:t>
        </w:r>
      </w:hyperlink>
      <w:r>
        <w:t>, f. 3.</w:t>
      </w:r>
    </w:p>
    <w:p w:rsidR="009452A2" w:rsidRDefault="009452A2" w:rsidP="009452A2">
      <w:pPr>
        <w:pStyle w:val="SangriaFrancesaArticulo"/>
      </w:pPr>
    </w:p>
    <w:p w:rsidR="009452A2" w:rsidRDefault="009452A2" w:rsidP="009452A2">
      <w:pPr>
        <w:pStyle w:val="TextoNormalNegritaCursivandice"/>
      </w:pPr>
      <w:r>
        <w:t>Ley 40/1981, de 28 de octubre. Medidas sobre régimen jurídico de las Corporaciones locales</w:t>
      </w:r>
    </w:p>
    <w:p w:rsidR="009452A2" w:rsidRDefault="009452A2" w:rsidP="009452A2">
      <w:pPr>
        <w:pStyle w:val="SangriaFrancesaArticulo"/>
      </w:pPr>
      <w:r w:rsidRPr="009452A2">
        <w:rPr>
          <w:rStyle w:val="TextoNormalNegritaCaracter"/>
        </w:rPr>
        <w:t>Artículo 2.1.</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p>
    <w:p w:rsidR="009452A2" w:rsidRDefault="009452A2" w:rsidP="009452A2">
      <w:pPr>
        <w:pStyle w:val="TextoNormalNegritaCursivandice"/>
      </w:pPr>
      <w:r>
        <w:t>Ley 45/1981, de 28 de diciembre. Creación del Instituto nacional de hidrocarburos</w:t>
      </w:r>
    </w:p>
    <w:p w:rsidR="009452A2" w:rsidRDefault="009452A2" w:rsidP="009452A2">
      <w:pPr>
        <w:pStyle w:val="SangriaFrancesaArticulo"/>
      </w:pPr>
      <w:r w:rsidRPr="009452A2">
        <w:rPr>
          <w:rStyle w:val="TextoNormalNegritaCaracter"/>
        </w:rPr>
        <w:t>Disposición adicional primera.</w:t>
      </w:r>
      <w:r w:rsidRPr="009452A2">
        <w:rPr>
          <w:rStyle w:val="TextoNormalCaracter"/>
        </w:rPr>
        <w:t>-</w:t>
      </w:r>
      <w:r>
        <w:t xml:space="preserve"> Sentencia </w:t>
      </w:r>
      <w:hyperlink w:anchor="SENTENCIA_1985_24" w:history="1">
        <w:r w:rsidRPr="009452A2">
          <w:rPr>
            <w:rStyle w:val="TextoNormalCaracter"/>
          </w:rPr>
          <w:t>24/1985</w:t>
        </w:r>
      </w:hyperlink>
      <w:r>
        <w:t>, f. 7.</w:t>
      </w:r>
    </w:p>
    <w:p w:rsidR="009452A2" w:rsidRDefault="009452A2" w:rsidP="009452A2">
      <w:pPr>
        <w:pStyle w:val="SangriaFrancesaArticulo"/>
      </w:pPr>
      <w:r w:rsidRPr="009452A2">
        <w:rPr>
          <w:rStyle w:val="TextoNormalNegritaCaracter"/>
        </w:rPr>
        <w:t>Disposición adicional segunda.</w:t>
      </w:r>
      <w:r w:rsidRPr="009452A2">
        <w:rPr>
          <w:rStyle w:val="TextoNormalCaracter"/>
        </w:rPr>
        <w:t>-</w:t>
      </w:r>
      <w:r>
        <w:t xml:space="preserve"> Sentencia </w:t>
      </w:r>
      <w:hyperlink w:anchor="SENTENCIA_1985_24" w:history="1">
        <w:r w:rsidRPr="009452A2">
          <w:rPr>
            <w:rStyle w:val="TextoNormalCaracter"/>
          </w:rPr>
          <w:t>24/1985</w:t>
        </w:r>
      </w:hyperlink>
      <w:r>
        <w:t>, f. 7.</w:t>
      </w:r>
    </w:p>
    <w:p w:rsidR="009452A2" w:rsidRDefault="009452A2" w:rsidP="009452A2">
      <w:pPr>
        <w:pStyle w:val="SangriaFrancesaArticulo"/>
      </w:pPr>
    </w:p>
    <w:p w:rsidR="009452A2" w:rsidRDefault="009452A2" w:rsidP="009452A2">
      <w:pPr>
        <w:pStyle w:val="TextoNormalNegritaCursivandice"/>
      </w:pPr>
      <w:r>
        <w:t>Ley 50/1981, de 30 de diciembre. Estatuto orgánico del Ministerio Fiscal</w:t>
      </w:r>
    </w:p>
    <w:p w:rsidR="009452A2" w:rsidRDefault="009452A2" w:rsidP="009452A2">
      <w:pPr>
        <w:pStyle w:val="SangriaFrancesaArticulo"/>
      </w:pPr>
      <w:r w:rsidRPr="009452A2">
        <w:rPr>
          <w:rStyle w:val="TextoNormalNegritaCaracter"/>
        </w:rPr>
        <w:t>Artículo 32.</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p>
    <w:p w:rsidR="009452A2" w:rsidRDefault="009452A2" w:rsidP="009452A2">
      <w:pPr>
        <w:pStyle w:val="TextoNormalNegritaCursivandice"/>
      </w:pPr>
      <w:r>
        <w:t>Ley 13/1982 de 7 de abril. Integración social de los minusválidos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3" w:history="1">
        <w:r w:rsidRPr="009452A2">
          <w:rPr>
            <w:rStyle w:val="TextoNormalCaracter"/>
          </w:rPr>
          <w:t>53/1985</w:t>
        </w:r>
      </w:hyperlink>
      <w:r>
        <w:t>, f. 11.</w:t>
      </w:r>
    </w:p>
    <w:p w:rsidR="009452A2" w:rsidRDefault="009452A2" w:rsidP="009452A2">
      <w:pPr>
        <w:pStyle w:val="SangriaFrancesaArticulo"/>
      </w:pPr>
    </w:p>
    <w:p w:rsidR="009452A2" w:rsidRDefault="009452A2" w:rsidP="009452A2">
      <w:pPr>
        <w:pStyle w:val="TextoNormalNegritaCursivandice"/>
      </w:pPr>
      <w:r>
        <w:t>Ley 4/1983, de 29 de junio. Fijación de la jornada máxima legal en cuarenta horas y de las vacaciones anuales mínimas en treinta días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Autos </w:t>
      </w:r>
      <w:hyperlink w:anchor="AUTO_1985_95" w:history="1">
        <w:r w:rsidRPr="009452A2">
          <w:rPr>
            <w:rStyle w:val="TextoNormalCaracter"/>
          </w:rPr>
          <w:t>95/1985</w:t>
        </w:r>
      </w:hyperlink>
      <w:r>
        <w:t xml:space="preserve">; </w:t>
      </w:r>
      <w:hyperlink w:anchor="AUTO_1985_104" w:history="1">
        <w:r w:rsidRPr="009452A2">
          <w:rPr>
            <w:rStyle w:val="TextoNormalCaracter"/>
          </w:rPr>
          <w:t>104/1985</w:t>
        </w:r>
      </w:hyperlink>
      <w:r>
        <w:t xml:space="preserve">; </w:t>
      </w:r>
      <w:hyperlink w:anchor="AUTO_1985_144" w:history="1">
        <w:r w:rsidRPr="009452A2">
          <w:rPr>
            <w:rStyle w:val="TextoNormalCaracter"/>
          </w:rPr>
          <w:t>144/1985</w:t>
        </w:r>
      </w:hyperlink>
      <w:r>
        <w:t>.</w:t>
      </w:r>
    </w:p>
    <w:p w:rsidR="009452A2" w:rsidRDefault="009452A2" w:rsidP="009452A2">
      <w:pPr>
        <w:pStyle w:val="SangriaFrancesaArticulo"/>
      </w:pPr>
      <w:r w:rsidRPr="009452A2">
        <w:rPr>
          <w:rStyle w:val="TextoNormalNegritaCaracter"/>
        </w:rPr>
        <w:t>Disposición transitoria.</w:t>
      </w:r>
      <w:r w:rsidRPr="009452A2">
        <w:rPr>
          <w:rStyle w:val="TextoNormalCaracter"/>
        </w:rPr>
        <w:t>-</w:t>
      </w:r>
      <w:r>
        <w:t xml:space="preserve"> Auto </w:t>
      </w:r>
      <w:hyperlink w:anchor="AUTO_1985_144" w:history="1">
        <w:r w:rsidRPr="009452A2">
          <w:rPr>
            <w:rStyle w:val="TextoNormalCaracter"/>
          </w:rPr>
          <w:t>144/1985</w:t>
        </w:r>
      </w:hyperlink>
      <w:r>
        <w:t>.</w:t>
      </w:r>
    </w:p>
    <w:p w:rsidR="009452A2" w:rsidRDefault="009452A2" w:rsidP="009452A2">
      <w:pPr>
        <w:pStyle w:val="SangriaFrancesaArticulo"/>
      </w:pPr>
    </w:p>
    <w:p w:rsidR="009452A2" w:rsidRDefault="009452A2" w:rsidP="009452A2">
      <w:pPr>
        <w:pStyle w:val="TextoNormalNegritaCursivandice"/>
      </w:pPr>
      <w:r>
        <w:t>Ley 5/1983, de 29 de junio. Presupuestos del Estado. Medidas urgentes en materia presupuestaria, financiera y tributaria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04" w:history="1">
        <w:r w:rsidRPr="009452A2">
          <w:rPr>
            <w:rStyle w:val="TextoNormalCaracter"/>
          </w:rPr>
          <w:t>204/1985</w:t>
        </w:r>
      </w:hyperlink>
      <w:r>
        <w:t>.</w:t>
      </w:r>
    </w:p>
    <w:p w:rsidR="009452A2" w:rsidRDefault="009452A2" w:rsidP="009452A2">
      <w:pPr>
        <w:pStyle w:val="SangriaFrancesaArticulo"/>
      </w:pPr>
    </w:p>
    <w:p w:rsidR="009452A2" w:rsidRDefault="009452A2" w:rsidP="009452A2">
      <w:pPr>
        <w:pStyle w:val="TextoNormalNegritaCursivandice"/>
      </w:pPr>
      <w:r>
        <w:t>Ley 7/1983, de 29 de junio. Expropiación por razones de utilidad pública e interés social, de los bancos y otras sociedades que componen el grupo Rumasa, S.A.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21" w:history="1">
        <w:r w:rsidRPr="009452A2">
          <w:rPr>
            <w:rStyle w:val="TextoNormalCaracter"/>
          </w:rPr>
          <w:t>121/1985</w:t>
        </w:r>
      </w:hyperlink>
      <w:r>
        <w:t>.</w:t>
      </w:r>
    </w:p>
    <w:p w:rsidR="009452A2" w:rsidRDefault="009452A2" w:rsidP="009452A2">
      <w:pPr>
        <w:pStyle w:val="SangriaFrancesaArticulo"/>
      </w:pPr>
    </w:p>
    <w:p w:rsidR="009452A2" w:rsidRDefault="009452A2" w:rsidP="009452A2">
      <w:pPr>
        <w:pStyle w:val="TextoNormalNegritaCursivandice"/>
      </w:pPr>
      <w:r>
        <w:t>Ley 9/1983, de 13 de julio. Presupuestos generales del Estado para 1983</w:t>
      </w:r>
    </w:p>
    <w:p w:rsidR="009452A2" w:rsidRDefault="009452A2" w:rsidP="009452A2">
      <w:pPr>
        <w:pStyle w:val="SangriaFrancesaArticulo"/>
      </w:pPr>
      <w:r w:rsidRPr="009452A2">
        <w:rPr>
          <w:rStyle w:val="TextoNormalNegritaCaracter"/>
        </w:rPr>
        <w:t>Sección 19, servicio 01, capítulo 04, artículo 48 concepto 483.</w:t>
      </w:r>
      <w:r w:rsidRPr="009452A2">
        <w:rPr>
          <w:rStyle w:val="TextoNormalCaracter"/>
        </w:rPr>
        <w:t>-</w:t>
      </w:r>
      <w:r>
        <w:t xml:space="preserve"> Sentencia </w:t>
      </w:r>
      <w:hyperlink w:anchor="SENTENCIA_1985_20" w:history="1">
        <w:r w:rsidRPr="009452A2">
          <w:rPr>
            <w:rStyle w:val="TextoNormalCaracter"/>
          </w:rPr>
          <w:t>20/1985</w:t>
        </w:r>
      </w:hyperlink>
      <w:r>
        <w:t>, VP.</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26" w:history="1">
        <w:r w:rsidRPr="009452A2">
          <w:rPr>
            <w:rStyle w:val="TextoNormalCaracter"/>
          </w:rPr>
          <w:t>26/1985</w:t>
        </w:r>
      </w:hyperlink>
      <w:r>
        <w:t>, f. 1.</w:t>
      </w:r>
    </w:p>
    <w:p w:rsidR="009452A2" w:rsidRDefault="009452A2" w:rsidP="009452A2">
      <w:pPr>
        <w:pStyle w:val="SangriaFrancesaArticulo"/>
      </w:pPr>
    </w:p>
    <w:p w:rsidR="009452A2" w:rsidRDefault="009452A2" w:rsidP="009452A2">
      <w:pPr>
        <w:pStyle w:val="TextoNormalNegritaCursivandice"/>
      </w:pPr>
      <w:r>
        <w:t>Ley 24/1983, de 21 de diciembre. Medidas urgentes de saneamiento y regulación de haciendas locales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48" w:history="1">
        <w:r w:rsidRPr="009452A2">
          <w:rPr>
            <w:rStyle w:val="TextoNormalCaracter"/>
          </w:rPr>
          <w:t>148/1985</w:t>
        </w:r>
      </w:hyperlink>
      <w:r>
        <w:t>.</w:t>
      </w:r>
    </w:p>
    <w:p w:rsidR="009452A2" w:rsidRDefault="009452A2" w:rsidP="009452A2">
      <w:pPr>
        <w:pStyle w:val="SangriaFrancesaArticulo"/>
      </w:pPr>
    </w:p>
    <w:p w:rsidR="009452A2" w:rsidRDefault="009452A2" w:rsidP="009452A2">
      <w:pPr>
        <w:pStyle w:val="TextoNormalNegritaCursivandice"/>
      </w:pPr>
      <w:r>
        <w:t>Ley 44/1983, de 28 de diciembre. Presupuestos generales del Estado para 1984</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26" w:history="1">
        <w:r w:rsidRPr="009452A2">
          <w:rPr>
            <w:rStyle w:val="TextoNormalCaracter"/>
          </w:rPr>
          <w:t>26/1985</w:t>
        </w:r>
      </w:hyperlink>
      <w:r>
        <w:t>, f. 1.</w:t>
      </w:r>
    </w:p>
    <w:p w:rsidR="009452A2" w:rsidRDefault="009452A2" w:rsidP="009452A2">
      <w:pPr>
        <w:pStyle w:val="SangriaFrancesaArticulo"/>
      </w:pPr>
    </w:p>
    <w:p w:rsidR="009452A2" w:rsidRDefault="009452A2" w:rsidP="009452A2">
      <w:pPr>
        <w:pStyle w:val="TextoNormalNegritaCursivandice"/>
      </w:pPr>
      <w:r>
        <w:t>Ley 1/1984, de 9 de enero. Adiciona artículo 11 bis a la Ley 46/1977, de 15 de octubre, de Amnistía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76" w:history="1">
        <w:r w:rsidRPr="009452A2">
          <w:rPr>
            <w:rStyle w:val="TextoNormalCaracter"/>
          </w:rPr>
          <w:t>176/1985</w:t>
        </w:r>
      </w:hyperlink>
      <w:r>
        <w:t>.</w:t>
      </w:r>
    </w:p>
    <w:p w:rsidR="009452A2" w:rsidRDefault="009452A2" w:rsidP="009452A2">
      <w:pPr>
        <w:pStyle w:val="SangriaFrancesaArticulo"/>
      </w:pPr>
    </w:p>
    <w:p w:rsidR="009452A2" w:rsidRDefault="009452A2" w:rsidP="009452A2">
      <w:pPr>
        <w:pStyle w:val="TextoNormalNegritaCursivandice"/>
      </w:pPr>
      <w:r>
        <w:t>Ley 27/1984, de 26 de julio. Reconversión y reindustrialización</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84" w:history="1">
        <w:r w:rsidRPr="009452A2">
          <w:rPr>
            <w:rStyle w:val="TextoNormalCaracter"/>
          </w:rPr>
          <w:t>284/1985</w:t>
        </w:r>
      </w:hyperlink>
      <w:r>
        <w:t>.</w:t>
      </w:r>
    </w:p>
    <w:p w:rsidR="009452A2" w:rsidRDefault="009452A2" w:rsidP="009452A2">
      <w:pPr>
        <w:pStyle w:val="SangriaFrancesaArticulo"/>
      </w:pPr>
    </w:p>
    <w:p w:rsidR="009452A2" w:rsidRDefault="009452A2" w:rsidP="009452A2">
      <w:pPr>
        <w:pStyle w:val="TextoNormalNegritaCursivandice"/>
      </w:pPr>
      <w:r>
        <w:t>Ley 30/1984, de 2 de agosto. Medidas para la reforma de la función pública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33" w:history="1">
        <w:r w:rsidRPr="009452A2">
          <w:rPr>
            <w:rStyle w:val="TextoNormalCaracter"/>
          </w:rPr>
          <w:t>33/1985</w:t>
        </w:r>
      </w:hyperlink>
      <w:r>
        <w:t>.</w:t>
      </w:r>
    </w:p>
    <w:p w:rsidR="009452A2" w:rsidRDefault="009452A2" w:rsidP="009452A2">
      <w:pPr>
        <w:pStyle w:val="SangriaFrancesaArticulo"/>
      </w:pPr>
    </w:p>
    <w:p w:rsidR="009452A2" w:rsidRDefault="009452A2" w:rsidP="009452A2">
      <w:pPr>
        <w:pStyle w:val="TextoNormalNegritaCursivandice"/>
      </w:pPr>
      <w:r>
        <w:t>Ley 31/1984, de 2 de agosto. Protección por desempleo, por la que se modifica el Título II de la Ley 51/1980, de 8 de octubre</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52" w:history="1">
        <w:r w:rsidRPr="009452A2">
          <w:rPr>
            <w:rStyle w:val="TextoNormalCaracter"/>
          </w:rPr>
          <w:t>152/1985</w:t>
        </w:r>
      </w:hyperlink>
      <w:r>
        <w:t>.</w:t>
      </w:r>
    </w:p>
    <w:p w:rsidR="009452A2" w:rsidRDefault="009452A2" w:rsidP="009452A2">
      <w:pPr>
        <w:pStyle w:val="SangriaFrancesaArticulo"/>
      </w:pPr>
      <w:r w:rsidRPr="009452A2">
        <w:rPr>
          <w:rStyle w:val="TextoNormalNegritaCaracter"/>
        </w:rPr>
        <w:t>Exposición de motivos, apartado 4 d).</w:t>
      </w:r>
      <w:r w:rsidRPr="009452A2">
        <w:rPr>
          <w:rStyle w:val="TextoNormalCaracter"/>
        </w:rPr>
        <w:t>-</w:t>
      </w:r>
      <w:r>
        <w:t xml:space="preserve"> Auto </w:t>
      </w:r>
      <w:hyperlink w:anchor="AUTO_1985_152" w:history="1">
        <w:r w:rsidRPr="009452A2">
          <w:rPr>
            <w:rStyle w:val="TextoNormalCaracter"/>
          </w:rPr>
          <w:t>152/1985</w:t>
        </w:r>
      </w:hyperlink>
      <w:r>
        <w:t>.</w:t>
      </w:r>
    </w:p>
    <w:p w:rsidR="009452A2" w:rsidRDefault="009452A2" w:rsidP="009452A2">
      <w:pPr>
        <w:pStyle w:val="SangriaFrancesaArticulo"/>
      </w:pPr>
      <w:r w:rsidRPr="009452A2">
        <w:rPr>
          <w:rStyle w:val="TextoNormalNegritaCaracter"/>
        </w:rPr>
        <w:t>Artículo 8.2.</w:t>
      </w:r>
      <w:r w:rsidRPr="009452A2">
        <w:rPr>
          <w:rStyle w:val="TextoNormalCaracter"/>
        </w:rPr>
        <w:t>-</w:t>
      </w:r>
      <w:r>
        <w:t xml:space="preserve"> Auto </w:t>
      </w:r>
      <w:hyperlink w:anchor="AUTO_1985_152" w:history="1">
        <w:r w:rsidRPr="009452A2">
          <w:rPr>
            <w:rStyle w:val="TextoNormalCaracter"/>
          </w:rPr>
          <w:t>152/1985</w:t>
        </w:r>
      </w:hyperlink>
      <w:r>
        <w:t>.</w:t>
      </w:r>
    </w:p>
    <w:p w:rsidR="009452A2" w:rsidRDefault="009452A2" w:rsidP="009452A2">
      <w:pPr>
        <w:pStyle w:val="SangriaFrancesaArticulo"/>
      </w:pPr>
      <w:r w:rsidRPr="009452A2">
        <w:rPr>
          <w:rStyle w:val="TextoNormalNegritaCaracter"/>
        </w:rPr>
        <w:t>Artículo 14.</w:t>
      </w:r>
      <w:r w:rsidRPr="009452A2">
        <w:rPr>
          <w:rStyle w:val="TextoNormalCaracter"/>
        </w:rPr>
        <w:t>-</w:t>
      </w:r>
      <w:r>
        <w:t xml:space="preserve"> Auto </w:t>
      </w:r>
      <w:hyperlink w:anchor="AUTO_1985_152" w:history="1">
        <w:r w:rsidRPr="009452A2">
          <w:rPr>
            <w:rStyle w:val="TextoNormalCaracter"/>
          </w:rPr>
          <w:t>152/1985</w:t>
        </w:r>
      </w:hyperlink>
      <w:r>
        <w:t>.</w:t>
      </w:r>
    </w:p>
    <w:p w:rsidR="009452A2" w:rsidRDefault="009452A2" w:rsidP="009452A2">
      <w:pPr>
        <w:pStyle w:val="SangriaFrancesaArticulo"/>
      </w:pPr>
      <w:r w:rsidRPr="009452A2">
        <w:rPr>
          <w:rStyle w:val="TextoNormalNegritaCaracter"/>
        </w:rPr>
        <w:t>Disposición transitoria primera.</w:t>
      </w:r>
      <w:r w:rsidRPr="009452A2">
        <w:rPr>
          <w:rStyle w:val="TextoNormalCaracter"/>
        </w:rPr>
        <w:t>-</w:t>
      </w:r>
      <w:r>
        <w:t xml:space="preserve"> Auto </w:t>
      </w:r>
      <w:hyperlink w:anchor="AUTO_1985_152" w:history="1">
        <w:r w:rsidRPr="009452A2">
          <w:rPr>
            <w:rStyle w:val="TextoNormalCaracter"/>
          </w:rPr>
          <w:t>152/1985</w:t>
        </w:r>
      </w:hyperlink>
      <w:r>
        <w:t>.</w:t>
      </w:r>
    </w:p>
    <w:p w:rsidR="009452A2" w:rsidRDefault="009452A2" w:rsidP="009452A2">
      <w:pPr>
        <w:pStyle w:val="SangriaFrancesaArticulo"/>
      </w:pPr>
    </w:p>
    <w:p w:rsidR="009452A2" w:rsidRDefault="009452A2" w:rsidP="009452A2">
      <w:pPr>
        <w:pStyle w:val="TextoNormalNegritaCursivandice"/>
      </w:pPr>
      <w:r>
        <w:t>Ley 32/1984, de 2 de agosto. Modifica determinados artículos del Estatuto de los Trabajadores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8" w:history="1">
        <w:r w:rsidRPr="009452A2">
          <w:rPr>
            <w:rStyle w:val="TextoNormalCaracter"/>
          </w:rPr>
          <w:t>18/1985</w:t>
        </w:r>
      </w:hyperlink>
      <w:r>
        <w:t>.</w:t>
      </w:r>
    </w:p>
    <w:p w:rsidR="009452A2" w:rsidRDefault="009452A2" w:rsidP="009452A2">
      <w:pPr>
        <w:pStyle w:val="SangriaFrancesaArticulo"/>
      </w:pPr>
    </w:p>
    <w:p w:rsidR="009452A2" w:rsidRDefault="009452A2" w:rsidP="009452A2">
      <w:pPr>
        <w:pStyle w:val="TextoNormalNegritaCursivandice"/>
      </w:pPr>
      <w:r>
        <w:t>Ley 34/1984, de 6 de agosto. Reforma de la Ley de enjuiciamiento civil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IzquierdaArticulo"/>
      </w:pPr>
      <w:r>
        <w:t xml:space="preserve">Autos </w:t>
      </w:r>
      <w:hyperlink w:anchor="AUTO_1985_264" w:history="1">
        <w:r w:rsidRPr="009452A2">
          <w:rPr>
            <w:rStyle w:val="TextoNormalCaracter"/>
          </w:rPr>
          <w:t>264/1985</w:t>
        </w:r>
      </w:hyperlink>
      <w:r>
        <w:t xml:space="preserve">; </w:t>
      </w:r>
      <w:hyperlink w:anchor="AUTO_1985_279" w:history="1">
        <w:r w:rsidRPr="009452A2">
          <w:rPr>
            <w:rStyle w:val="TextoNormalCaracter"/>
          </w:rPr>
          <w:t>279/1985</w:t>
        </w:r>
      </w:hyperlink>
      <w:r>
        <w:t>.</w:t>
      </w:r>
    </w:p>
    <w:p w:rsidR="009452A2" w:rsidRDefault="009452A2" w:rsidP="009452A2">
      <w:pPr>
        <w:pStyle w:val="SangriaFrancesaArticulo"/>
      </w:pPr>
      <w:r w:rsidRPr="009452A2">
        <w:rPr>
          <w:rStyle w:val="TextoNormalNegritaCaracter"/>
        </w:rPr>
        <w:t>Disposición transitoria primera.</w:t>
      </w:r>
      <w:r w:rsidRPr="009452A2">
        <w:rPr>
          <w:rStyle w:val="TextoNormalCaracter"/>
        </w:rPr>
        <w:t>-</w:t>
      </w:r>
      <w:r>
        <w:t xml:space="preserve"> Auto </w:t>
      </w:r>
      <w:hyperlink w:anchor="AUTO_1985_264" w:history="1">
        <w:r w:rsidRPr="009452A2">
          <w:rPr>
            <w:rStyle w:val="TextoNormalCaracter"/>
          </w:rPr>
          <w:t>264/1985</w:t>
        </w:r>
      </w:hyperlink>
      <w:r>
        <w:t>.</w:t>
      </w:r>
    </w:p>
    <w:p w:rsidR="009452A2" w:rsidRDefault="009452A2" w:rsidP="009452A2">
      <w:pPr>
        <w:pStyle w:val="SangriaFrancesaArticulo"/>
      </w:pPr>
      <w:r w:rsidRPr="009452A2">
        <w:rPr>
          <w:rStyle w:val="TextoNormalNegritaCaracter"/>
        </w:rPr>
        <w:t>Disposición transitoria segunda.</w:t>
      </w:r>
      <w:r w:rsidRPr="009452A2">
        <w:rPr>
          <w:rStyle w:val="TextoNormalCaracter"/>
        </w:rPr>
        <w:t>-</w:t>
      </w:r>
      <w:r>
        <w:t xml:space="preserve"> Auto </w:t>
      </w:r>
      <w:hyperlink w:anchor="AUTO_1985_279" w:history="1">
        <w:r w:rsidRPr="009452A2">
          <w:rPr>
            <w:rStyle w:val="TextoNormalCaracter"/>
          </w:rPr>
          <w:t>279/1985</w:t>
        </w:r>
      </w:hyperlink>
      <w:r>
        <w:t>.</w:t>
      </w:r>
    </w:p>
    <w:p w:rsidR="009452A2" w:rsidRDefault="009452A2" w:rsidP="009452A2">
      <w:pPr>
        <w:pStyle w:val="SangriaFrancesaArticulo"/>
      </w:pPr>
    </w:p>
    <w:p w:rsidR="009452A2" w:rsidRDefault="009452A2" w:rsidP="009452A2">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14" w:history="1">
        <w:r w:rsidRPr="009452A2">
          <w:rPr>
            <w:rStyle w:val="TextoNormalCaracter"/>
          </w:rPr>
          <w:t>214/1985</w:t>
        </w:r>
      </w:hyperlink>
      <w:r>
        <w:t>.</w:t>
      </w:r>
    </w:p>
    <w:p w:rsidR="009452A2" w:rsidRDefault="009452A2" w:rsidP="009452A2">
      <w:pPr>
        <w:pStyle w:val="SangriaFrancesaArticulo"/>
      </w:pPr>
    </w:p>
    <w:p w:rsidR="009452A2" w:rsidRDefault="009452A2" w:rsidP="009452A2">
      <w:pPr>
        <w:pStyle w:val="TextoNormalNegritaCursivandice"/>
      </w:pPr>
      <w:r>
        <w:t>Ley 48/1984, de 26 de diciembre. Servicio Militar: Regulación de la objeción de conciencia y la prestación social sustitutoria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35" w:history="1">
        <w:r w:rsidRPr="009452A2">
          <w:rPr>
            <w:rStyle w:val="TextoNormalCaracter"/>
          </w:rPr>
          <w:t>35/1985</w:t>
        </w:r>
      </w:hyperlink>
      <w:r>
        <w:t>, ff. 3, 4.</w:t>
      </w:r>
    </w:p>
    <w:p w:rsidR="009452A2" w:rsidRDefault="009452A2" w:rsidP="009452A2">
      <w:pPr>
        <w:pStyle w:val="SangriaFrancesaArticulo"/>
      </w:pPr>
      <w:r w:rsidRPr="009452A2">
        <w:rPr>
          <w:rStyle w:val="TextoNormalNegritaCaracter"/>
        </w:rPr>
        <w:t>Artículo 3.1.</w:t>
      </w:r>
      <w:r w:rsidRPr="009452A2">
        <w:rPr>
          <w:rStyle w:val="TextoNormalCaracter"/>
        </w:rPr>
        <w:t>-</w:t>
      </w:r>
      <w:r>
        <w:t xml:space="preserve"> Sentencia </w:t>
      </w:r>
      <w:hyperlink w:anchor="SENTENCIA_1985_35" w:history="1">
        <w:r w:rsidRPr="009452A2">
          <w:rPr>
            <w:rStyle w:val="TextoNormalCaracter"/>
          </w:rPr>
          <w:t>35/1985</w:t>
        </w:r>
      </w:hyperlink>
      <w:r>
        <w:t>, f. 3.</w:t>
      </w:r>
    </w:p>
    <w:p w:rsidR="009452A2" w:rsidRDefault="009452A2" w:rsidP="009452A2">
      <w:pPr>
        <w:pStyle w:val="SangriaFrancesaArticulo"/>
      </w:pPr>
      <w:r w:rsidRPr="009452A2">
        <w:rPr>
          <w:rStyle w:val="TextoNormalNegritaCaracter"/>
        </w:rPr>
        <w:t>Artículo 8.1.</w:t>
      </w:r>
      <w:r w:rsidRPr="009452A2">
        <w:rPr>
          <w:rStyle w:val="TextoNormalCaracter"/>
        </w:rPr>
        <w:t>-</w:t>
      </w:r>
      <w:r>
        <w:t xml:space="preserve"> Sentencia </w:t>
      </w:r>
      <w:hyperlink w:anchor="SENTENCIA_1985_35" w:history="1">
        <w:r w:rsidRPr="009452A2">
          <w:rPr>
            <w:rStyle w:val="TextoNormalCaracter"/>
          </w:rPr>
          <w:t>35/1985</w:t>
        </w:r>
      </w:hyperlink>
      <w:r>
        <w:t>, f. 3.</w:t>
      </w:r>
    </w:p>
    <w:p w:rsidR="009452A2" w:rsidRDefault="009452A2" w:rsidP="009452A2">
      <w:pPr>
        <w:pStyle w:val="SangriaFrancesaArticulo"/>
      </w:pPr>
      <w:r w:rsidRPr="009452A2">
        <w:rPr>
          <w:rStyle w:val="TextoNormalNegritaCaracter"/>
        </w:rPr>
        <w:t>Artículo 8.4.</w:t>
      </w:r>
      <w:r w:rsidRPr="009452A2">
        <w:rPr>
          <w:rStyle w:val="TextoNormalCaracter"/>
        </w:rPr>
        <w:t>-</w:t>
      </w:r>
      <w:r>
        <w:t xml:space="preserve"> Sentencia </w:t>
      </w:r>
      <w:hyperlink w:anchor="SENTENCIA_1985_35" w:history="1">
        <w:r w:rsidRPr="009452A2">
          <w:rPr>
            <w:rStyle w:val="TextoNormalCaracter"/>
          </w:rPr>
          <w:t>35/1985</w:t>
        </w:r>
      </w:hyperlink>
      <w:r>
        <w:t>, f. 3.</w:t>
      </w:r>
    </w:p>
    <w:p w:rsidR="009452A2" w:rsidRDefault="009452A2" w:rsidP="009452A2">
      <w:pPr>
        <w:pStyle w:val="SangriaFrancesaArticulo"/>
      </w:pPr>
      <w:r w:rsidRPr="009452A2">
        <w:rPr>
          <w:rStyle w:val="TextoNormalNegritaCaracter"/>
        </w:rPr>
        <w:t>Artículo 8.5.</w:t>
      </w:r>
      <w:r w:rsidRPr="009452A2">
        <w:rPr>
          <w:rStyle w:val="TextoNormalCaracter"/>
        </w:rPr>
        <w:t>-</w:t>
      </w:r>
      <w:r>
        <w:t xml:space="preserve"> Sentencia </w:t>
      </w:r>
      <w:hyperlink w:anchor="SENTENCIA_1985_35" w:history="1">
        <w:r w:rsidRPr="009452A2">
          <w:rPr>
            <w:rStyle w:val="TextoNormalCaracter"/>
          </w:rPr>
          <w:t>35/1985</w:t>
        </w:r>
      </w:hyperlink>
      <w:r>
        <w:t>, f. 3.</w:t>
      </w:r>
    </w:p>
    <w:p w:rsidR="009452A2" w:rsidRDefault="009452A2" w:rsidP="009452A2">
      <w:pPr>
        <w:pStyle w:val="SangriaFrancesaArticulo"/>
      </w:pPr>
      <w:r w:rsidRPr="009452A2">
        <w:rPr>
          <w:rStyle w:val="TextoNormalNegritaCaracter"/>
        </w:rPr>
        <w:t>Artículo 13.1.</w:t>
      </w:r>
      <w:r w:rsidRPr="009452A2">
        <w:rPr>
          <w:rStyle w:val="TextoNormalCaracter"/>
        </w:rPr>
        <w:t>-</w:t>
      </w:r>
      <w:r>
        <w:t xml:space="preserve"> Sentencia </w:t>
      </w:r>
      <w:hyperlink w:anchor="SENTENCIA_1985_35" w:history="1">
        <w:r w:rsidRPr="009452A2">
          <w:rPr>
            <w:rStyle w:val="TextoNormalCaracter"/>
          </w:rPr>
          <w:t>35/1985</w:t>
        </w:r>
      </w:hyperlink>
      <w:r>
        <w:t>, f. 3.</w:t>
      </w:r>
    </w:p>
    <w:p w:rsidR="009452A2" w:rsidRDefault="009452A2" w:rsidP="009452A2">
      <w:pPr>
        <w:pStyle w:val="SangriaFrancesaArticulo"/>
      </w:pPr>
      <w:r w:rsidRPr="009452A2">
        <w:rPr>
          <w:rStyle w:val="TextoNormalNegritaCaracter"/>
        </w:rPr>
        <w:t>Artículo 14.1.</w:t>
      </w:r>
      <w:r w:rsidRPr="009452A2">
        <w:rPr>
          <w:rStyle w:val="TextoNormalCaracter"/>
        </w:rPr>
        <w:t>-</w:t>
      </w:r>
      <w:r>
        <w:t xml:space="preserve"> Sentencia </w:t>
      </w:r>
      <w:hyperlink w:anchor="SENTENCIA_1985_35" w:history="1">
        <w:r w:rsidRPr="009452A2">
          <w:rPr>
            <w:rStyle w:val="TextoNormalCaracter"/>
          </w:rPr>
          <w:t>35/1985</w:t>
        </w:r>
      </w:hyperlink>
      <w:r>
        <w:t>, f. 3.</w:t>
      </w:r>
    </w:p>
    <w:p w:rsidR="009452A2" w:rsidRDefault="009452A2" w:rsidP="009452A2">
      <w:pPr>
        <w:pStyle w:val="SangriaFrancesaArticulo"/>
      </w:pPr>
      <w:r w:rsidRPr="009452A2">
        <w:rPr>
          <w:rStyle w:val="TextoNormalNegritaCaracter"/>
        </w:rPr>
        <w:t>Disposición transitoria primera.</w:t>
      </w:r>
      <w:r w:rsidRPr="009452A2">
        <w:rPr>
          <w:rStyle w:val="TextoNormalCaracter"/>
        </w:rPr>
        <w:t>-</w:t>
      </w:r>
      <w:r>
        <w:t xml:space="preserve"> Sentencia </w:t>
      </w:r>
      <w:hyperlink w:anchor="SENTENCIA_1985_35" w:history="1">
        <w:r w:rsidRPr="009452A2">
          <w:rPr>
            <w:rStyle w:val="TextoNormalCaracter"/>
          </w:rPr>
          <w:t>35/1985</w:t>
        </w:r>
      </w:hyperlink>
      <w:r>
        <w:t>, f. 3.</w:t>
      </w:r>
    </w:p>
    <w:p w:rsidR="009452A2" w:rsidRDefault="009452A2" w:rsidP="009452A2">
      <w:pPr>
        <w:pStyle w:val="SangriaFrancesaArticulo"/>
      </w:pPr>
      <w:r w:rsidRPr="009452A2">
        <w:rPr>
          <w:rStyle w:val="TextoNormalNegritaCaracter"/>
        </w:rPr>
        <w:t>Disposición transitoria segunda.</w:t>
      </w:r>
      <w:r w:rsidRPr="009452A2">
        <w:rPr>
          <w:rStyle w:val="TextoNormalCaracter"/>
        </w:rPr>
        <w:t>-</w:t>
      </w:r>
      <w:r>
        <w:t xml:space="preserve"> Sentencia </w:t>
      </w:r>
      <w:hyperlink w:anchor="SENTENCIA_1985_35" w:history="1">
        <w:r w:rsidRPr="009452A2">
          <w:rPr>
            <w:rStyle w:val="TextoNormalCaracter"/>
          </w:rPr>
          <w:t>35/1985</w:t>
        </w:r>
      </w:hyperlink>
      <w:r>
        <w:t>, f. 3.</w:t>
      </w:r>
    </w:p>
    <w:p w:rsidR="009452A2" w:rsidRDefault="009452A2" w:rsidP="009452A2">
      <w:pPr>
        <w:pStyle w:val="TextoNormal"/>
      </w:pPr>
    </w:p>
    <w:p w:rsidR="009452A2" w:rsidRDefault="009452A2" w:rsidP="009452A2">
      <w:pPr>
        <w:pStyle w:val="SangriaFrancesaArticulo"/>
      </w:pPr>
      <w:bookmarkStart w:id="355" w:name="INDICE22847"/>
    </w:p>
    <w:bookmarkEnd w:id="355"/>
    <w:p w:rsidR="009452A2" w:rsidRDefault="009452A2" w:rsidP="009452A2">
      <w:pPr>
        <w:pStyle w:val="TextoIndiceNivel2"/>
        <w:suppressAutoHyphens/>
      </w:pPr>
      <w:r>
        <w:t>F) Reales Decretos Legislativos</w:t>
      </w:r>
    </w:p>
    <w:p w:rsidR="009452A2" w:rsidRDefault="009452A2" w:rsidP="009452A2">
      <w:pPr>
        <w:pStyle w:val="TextoIndiceNivel2"/>
      </w:pPr>
    </w:p>
    <w:p w:rsidR="009452A2" w:rsidRDefault="009452A2" w:rsidP="009452A2">
      <w:pPr>
        <w:pStyle w:val="TextoNormalNegritaCursivandice"/>
      </w:pPr>
      <w:r>
        <w:t>Real Decreto Legislativo 1568/1980, de 13 de junio. Texto refundido de la Ley de procedimiento laboral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6" w:history="1">
        <w:r w:rsidRPr="009452A2">
          <w:rPr>
            <w:rStyle w:val="TextoNormalCaracter"/>
          </w:rPr>
          <w:t>16/1985</w:t>
        </w:r>
      </w:hyperlink>
      <w:r>
        <w:t>, f. 2.</w:t>
      </w:r>
    </w:p>
    <w:p w:rsidR="009452A2" w:rsidRDefault="009452A2" w:rsidP="009452A2">
      <w:pPr>
        <w:pStyle w:val="SangriaIzquierdaArticulo"/>
      </w:pPr>
      <w:r>
        <w:t xml:space="preserve">Auto </w:t>
      </w:r>
      <w:hyperlink w:anchor="AUTO_1985_273" w:history="1">
        <w:r w:rsidRPr="009452A2">
          <w:rPr>
            <w:rStyle w:val="TextoNormalCaracter"/>
          </w:rPr>
          <w:t>273/1985</w:t>
        </w:r>
      </w:hyperlink>
      <w:r>
        <w:t>.</w:t>
      </w:r>
    </w:p>
    <w:p w:rsidR="009452A2" w:rsidRDefault="009452A2" w:rsidP="009452A2">
      <w:pPr>
        <w:pStyle w:val="SangriaFrancesaArticulo"/>
      </w:pPr>
      <w:r w:rsidRPr="009452A2">
        <w:rPr>
          <w:rStyle w:val="TextoNormalNegritaCaracter"/>
        </w:rPr>
        <w:t>Artículo 1.1.</w:t>
      </w:r>
      <w:r w:rsidRPr="009452A2">
        <w:rPr>
          <w:rStyle w:val="TextoNormalCaracter"/>
        </w:rPr>
        <w:t>-</w:t>
      </w:r>
      <w:r>
        <w:t xml:space="preserve"> Auto </w:t>
      </w:r>
      <w:hyperlink w:anchor="AUTO_1985_280" w:history="1">
        <w:r w:rsidRPr="009452A2">
          <w:rPr>
            <w:rStyle w:val="TextoNormalCaracter"/>
          </w:rPr>
          <w:t>280/1985</w:t>
        </w:r>
      </w:hyperlink>
      <w:r>
        <w:t>.</w:t>
      </w:r>
    </w:p>
    <w:p w:rsidR="009452A2" w:rsidRDefault="009452A2" w:rsidP="009452A2">
      <w:pPr>
        <w:pStyle w:val="SangriaFrancesaArticulo"/>
      </w:pPr>
      <w:r w:rsidRPr="009452A2">
        <w:rPr>
          <w:rStyle w:val="TextoNormalNegritaCaracter"/>
        </w:rPr>
        <w:t>Artículo 3.</w:t>
      </w:r>
      <w:r w:rsidRPr="009452A2">
        <w:rPr>
          <w:rStyle w:val="TextoNormalCaracter"/>
        </w:rPr>
        <w:t>-</w:t>
      </w:r>
      <w:r>
        <w:t xml:space="preserve"> Sentencia </w:t>
      </w:r>
      <w:hyperlink w:anchor="SENTENCIA_1985_22" w:history="1">
        <w:r w:rsidRPr="009452A2">
          <w:rPr>
            <w:rStyle w:val="TextoNormalCaracter"/>
          </w:rPr>
          <w:t>22/1985</w:t>
        </w:r>
      </w:hyperlink>
      <w:r>
        <w:t>, VP.</w:t>
      </w:r>
    </w:p>
    <w:p w:rsidR="009452A2" w:rsidRDefault="009452A2" w:rsidP="009452A2">
      <w:pPr>
        <w:pStyle w:val="SangriaIzquierdaArticulo"/>
      </w:pPr>
      <w:r>
        <w:t xml:space="preserve">Auto </w:t>
      </w:r>
      <w:hyperlink w:anchor="AUTO_1985_225" w:history="1">
        <w:r w:rsidRPr="009452A2">
          <w:rPr>
            <w:rStyle w:val="TextoNormalCaracter"/>
          </w:rPr>
          <w:t>225/1985</w:t>
        </w:r>
      </w:hyperlink>
      <w:r>
        <w:t>.</w:t>
      </w:r>
    </w:p>
    <w:p w:rsidR="009452A2" w:rsidRDefault="009452A2" w:rsidP="009452A2">
      <w:pPr>
        <w:pStyle w:val="SangriaFrancesaArticulo"/>
      </w:pPr>
      <w:r w:rsidRPr="009452A2">
        <w:rPr>
          <w:rStyle w:val="TextoNormalNegritaCaracter"/>
        </w:rPr>
        <w:t>Artículo 12.</w:t>
      </w:r>
      <w:r w:rsidRPr="009452A2">
        <w:rPr>
          <w:rStyle w:val="TextoNormalCaracter"/>
        </w:rPr>
        <w:t>-</w:t>
      </w:r>
      <w:r>
        <w:t xml:space="preserve"> Auto </w:t>
      </w:r>
      <w:hyperlink w:anchor="AUTO_1985_3" w:history="1">
        <w:r w:rsidRPr="009452A2">
          <w:rPr>
            <w:rStyle w:val="TextoNormalCaracter"/>
          </w:rPr>
          <w:t>3/1985</w:t>
        </w:r>
      </w:hyperlink>
      <w:r>
        <w:t>.</w:t>
      </w:r>
    </w:p>
    <w:p w:rsidR="009452A2" w:rsidRDefault="009452A2" w:rsidP="009452A2">
      <w:pPr>
        <w:pStyle w:val="SangriaFrancesaArticulo"/>
      </w:pPr>
      <w:r w:rsidRPr="009452A2">
        <w:rPr>
          <w:rStyle w:val="TextoNormalNegritaCaracter"/>
        </w:rPr>
        <w:t>Artículo 50.</w:t>
      </w:r>
      <w:r w:rsidRPr="009452A2">
        <w:rPr>
          <w:rStyle w:val="TextoNormalCaracter"/>
        </w:rPr>
        <w:t>-</w:t>
      </w:r>
      <w:r>
        <w:t xml:space="preserve"> Sentencia </w:t>
      </w:r>
      <w:hyperlink w:anchor="SENTENCIA_1985_37" w:history="1">
        <w:r w:rsidRPr="009452A2">
          <w:rPr>
            <w:rStyle w:val="TextoNormalCaracter"/>
          </w:rPr>
          <w:t>37/1985</w:t>
        </w:r>
      </w:hyperlink>
      <w:r>
        <w:t>, f. 1.</w:t>
      </w:r>
    </w:p>
    <w:p w:rsidR="009452A2" w:rsidRDefault="009452A2" w:rsidP="009452A2">
      <w:pPr>
        <w:pStyle w:val="SangriaFrancesaArticulo"/>
      </w:pPr>
      <w:r w:rsidRPr="009452A2">
        <w:rPr>
          <w:rStyle w:val="TextoNormalNegritaCaracter"/>
        </w:rPr>
        <w:t>Artículo 76.</w:t>
      </w:r>
      <w:r w:rsidRPr="009452A2">
        <w:rPr>
          <w:rStyle w:val="TextoNormalCaracter"/>
        </w:rPr>
        <w:t>-</w:t>
      </w:r>
      <w:r>
        <w:t xml:space="preserve"> Auto </w:t>
      </w:r>
      <w:hyperlink w:anchor="AUTO_1985_280" w:history="1">
        <w:r w:rsidRPr="009452A2">
          <w:rPr>
            <w:rStyle w:val="TextoNormalCaracter"/>
          </w:rPr>
          <w:t>280/1985</w:t>
        </w:r>
      </w:hyperlink>
      <w:r>
        <w:t>.</w:t>
      </w:r>
    </w:p>
    <w:p w:rsidR="009452A2" w:rsidRDefault="009452A2" w:rsidP="009452A2">
      <w:pPr>
        <w:pStyle w:val="SangriaFrancesaArticulo"/>
      </w:pPr>
      <w:r w:rsidRPr="009452A2">
        <w:rPr>
          <w:rStyle w:val="TextoNormalNegritaCaracter"/>
        </w:rPr>
        <w:t>Artículo 93.</w:t>
      </w:r>
      <w:r w:rsidRPr="009452A2">
        <w:rPr>
          <w:rStyle w:val="TextoNormalCaracter"/>
        </w:rPr>
        <w:t>-</w:t>
      </w:r>
      <w:r>
        <w:t xml:space="preserve"> Auto </w:t>
      </w:r>
      <w:hyperlink w:anchor="AUTO_1985_225" w:history="1">
        <w:r w:rsidRPr="009452A2">
          <w:rPr>
            <w:rStyle w:val="TextoNormalCaracter"/>
          </w:rPr>
          <w:t>225/1985</w:t>
        </w:r>
      </w:hyperlink>
      <w:r>
        <w:t>.</w:t>
      </w:r>
    </w:p>
    <w:p w:rsidR="009452A2" w:rsidRDefault="009452A2" w:rsidP="009452A2">
      <w:pPr>
        <w:pStyle w:val="SangriaFrancesaArticulo"/>
      </w:pPr>
      <w:r w:rsidRPr="009452A2">
        <w:rPr>
          <w:rStyle w:val="TextoNormalNegritaCaracter"/>
        </w:rPr>
        <w:t>Artículo 97.</w:t>
      </w:r>
      <w:r w:rsidRPr="009452A2">
        <w:rPr>
          <w:rStyle w:val="TextoNormalCaracter"/>
        </w:rPr>
        <w:t>-</w:t>
      </w:r>
      <w:r>
        <w:t xml:space="preserve"> Sentencia </w:t>
      </w:r>
      <w:hyperlink w:anchor="SENTENCIA_1985_15" w:history="1">
        <w:r w:rsidRPr="009452A2">
          <w:rPr>
            <w:rStyle w:val="TextoNormalCaracter"/>
          </w:rPr>
          <w:t>15/1985</w:t>
        </w:r>
      </w:hyperlink>
      <w:r>
        <w:t>, f. 2.</w:t>
      </w:r>
    </w:p>
    <w:p w:rsidR="009452A2" w:rsidRDefault="009452A2" w:rsidP="009452A2">
      <w:pPr>
        <w:pStyle w:val="SangriaFrancesaArticulo"/>
      </w:pPr>
      <w:r w:rsidRPr="009452A2">
        <w:rPr>
          <w:rStyle w:val="TextoNormalNegritaCaracter"/>
        </w:rPr>
        <w:t>Artículo 102.</w:t>
      </w:r>
      <w:r w:rsidRPr="009452A2">
        <w:rPr>
          <w:rStyle w:val="TextoNormalCaracter"/>
        </w:rPr>
        <w:t>-</w:t>
      </w:r>
      <w:r>
        <w:t xml:space="preserve"> Sentencia </w:t>
      </w:r>
      <w:hyperlink w:anchor="SENTENCIA_1985_37" w:history="1">
        <w:r w:rsidRPr="009452A2">
          <w:rPr>
            <w:rStyle w:val="TextoNormalCaracter"/>
          </w:rPr>
          <w:t>37/1985</w:t>
        </w:r>
      </w:hyperlink>
      <w:r>
        <w:t>, f. 1.</w:t>
      </w:r>
    </w:p>
    <w:p w:rsidR="009452A2" w:rsidRDefault="009452A2" w:rsidP="009452A2">
      <w:pPr>
        <w:pStyle w:val="SangriaFrancesaArticulo"/>
      </w:pPr>
      <w:r w:rsidRPr="009452A2">
        <w:rPr>
          <w:rStyle w:val="TextoNormalNegritaCaracter"/>
        </w:rPr>
        <w:t>Artículo 105.</w:t>
      </w:r>
      <w:r w:rsidRPr="009452A2">
        <w:rPr>
          <w:rStyle w:val="TextoNormalCaracter"/>
        </w:rPr>
        <w:t>-</w:t>
      </w:r>
      <w:r>
        <w:t xml:space="preserve"> Auto </w:t>
      </w:r>
      <w:hyperlink w:anchor="AUTO_1985_273" w:history="1">
        <w:r w:rsidRPr="009452A2">
          <w:rPr>
            <w:rStyle w:val="TextoNormalCaracter"/>
          </w:rPr>
          <w:t>273/1985</w:t>
        </w:r>
      </w:hyperlink>
      <w:r>
        <w:t>.</w:t>
      </w:r>
    </w:p>
    <w:p w:rsidR="009452A2" w:rsidRDefault="009452A2" w:rsidP="009452A2">
      <w:pPr>
        <w:pStyle w:val="SangriaFrancesaArticulo"/>
      </w:pPr>
      <w:r w:rsidRPr="009452A2">
        <w:rPr>
          <w:rStyle w:val="TextoNormalNegritaCaracter"/>
        </w:rPr>
        <w:t>Artículo 132.</w:t>
      </w:r>
      <w:r w:rsidRPr="009452A2">
        <w:rPr>
          <w:rStyle w:val="TextoNormalCaracter"/>
        </w:rPr>
        <w:t>-</w:t>
      </w:r>
      <w:r>
        <w:t xml:space="preserve"> Sentencia </w:t>
      </w:r>
      <w:hyperlink w:anchor="SENTENCIA_1985_21" w:history="1">
        <w:r w:rsidRPr="009452A2">
          <w:rPr>
            <w:rStyle w:val="TextoNormalCaracter"/>
          </w:rPr>
          <w:t>21/1985</w:t>
        </w:r>
      </w:hyperlink>
      <w:r>
        <w:t>, f. 1.</w:t>
      </w:r>
    </w:p>
    <w:p w:rsidR="009452A2" w:rsidRDefault="009452A2" w:rsidP="009452A2">
      <w:pPr>
        <w:pStyle w:val="SangriaFrancesaArticulo"/>
      </w:pPr>
      <w:r w:rsidRPr="009452A2">
        <w:rPr>
          <w:rStyle w:val="TextoNormalNegritaCaracter"/>
        </w:rPr>
        <w:t>Artículo 137.</w:t>
      </w:r>
      <w:r w:rsidRPr="009452A2">
        <w:rPr>
          <w:rStyle w:val="TextoNormalCaracter"/>
        </w:rPr>
        <w:t>-</w:t>
      </w:r>
      <w:r>
        <w:t xml:space="preserve"> Auto </w:t>
      </w:r>
      <w:hyperlink w:anchor="AUTO_1985_273" w:history="1">
        <w:r w:rsidRPr="009452A2">
          <w:rPr>
            <w:rStyle w:val="TextoNormalCaracter"/>
          </w:rPr>
          <w:t>273/1985</w:t>
        </w:r>
      </w:hyperlink>
      <w:r>
        <w:t>.</w:t>
      </w:r>
    </w:p>
    <w:p w:rsidR="009452A2" w:rsidRDefault="009452A2" w:rsidP="009452A2">
      <w:pPr>
        <w:pStyle w:val="SangriaFrancesaArticulo"/>
      </w:pPr>
      <w:r w:rsidRPr="009452A2">
        <w:rPr>
          <w:rStyle w:val="TextoNormalNegritaCaracter"/>
        </w:rPr>
        <w:t>Artículo 151.</w:t>
      </w:r>
      <w:r w:rsidRPr="009452A2">
        <w:rPr>
          <w:rStyle w:val="TextoNormalCaracter"/>
        </w:rPr>
        <w:t>-</w:t>
      </w:r>
      <w:r>
        <w:t xml:space="preserve"> Auto </w:t>
      </w:r>
      <w:hyperlink w:anchor="AUTO_1985_225" w:history="1">
        <w:r w:rsidRPr="009452A2">
          <w:rPr>
            <w:rStyle w:val="TextoNormalCaracter"/>
          </w:rPr>
          <w:t>225/1985</w:t>
        </w:r>
      </w:hyperlink>
      <w:r>
        <w:t>.</w:t>
      </w:r>
    </w:p>
    <w:p w:rsidR="009452A2" w:rsidRDefault="009452A2" w:rsidP="009452A2">
      <w:pPr>
        <w:pStyle w:val="SangriaFrancesaArticulo"/>
      </w:pPr>
      <w:r w:rsidRPr="009452A2">
        <w:rPr>
          <w:rStyle w:val="TextoNormalNegritaCaracter"/>
        </w:rPr>
        <w:t>Artículo 152.1.</w:t>
      </w:r>
      <w:r w:rsidRPr="009452A2">
        <w:rPr>
          <w:rStyle w:val="TextoNormalCaracter"/>
        </w:rPr>
        <w:t>-</w:t>
      </w:r>
      <w:r>
        <w:t xml:space="preserve"> Auto </w:t>
      </w:r>
      <w:hyperlink w:anchor="AUTO_1985_97" w:history="1">
        <w:r w:rsidRPr="009452A2">
          <w:rPr>
            <w:rStyle w:val="TextoNormalCaracter"/>
          </w:rPr>
          <w:t>97/1985</w:t>
        </w:r>
      </w:hyperlink>
      <w:r>
        <w:t>.</w:t>
      </w:r>
    </w:p>
    <w:p w:rsidR="009452A2" w:rsidRDefault="009452A2" w:rsidP="009452A2">
      <w:pPr>
        <w:pStyle w:val="SangriaFrancesaArticulo"/>
      </w:pPr>
      <w:r w:rsidRPr="009452A2">
        <w:rPr>
          <w:rStyle w:val="TextoNormalNegritaCaracter"/>
        </w:rPr>
        <w:t>Artículo 152.1.3.</w:t>
      </w:r>
      <w:r w:rsidRPr="009452A2">
        <w:rPr>
          <w:rStyle w:val="TextoNormalCaracter"/>
        </w:rPr>
        <w:t>-</w:t>
      </w:r>
      <w:r>
        <w:t xml:space="preserve"> Auto </w:t>
      </w:r>
      <w:hyperlink w:anchor="AUTO_1985_97" w:history="1">
        <w:r w:rsidRPr="009452A2">
          <w:rPr>
            <w:rStyle w:val="TextoNormalCaracter"/>
          </w:rPr>
          <w:t>97/1985</w:t>
        </w:r>
      </w:hyperlink>
      <w:r>
        <w:t>.</w:t>
      </w:r>
    </w:p>
    <w:p w:rsidR="009452A2" w:rsidRDefault="009452A2" w:rsidP="009452A2">
      <w:pPr>
        <w:pStyle w:val="SangriaFrancesaArticulo"/>
      </w:pPr>
      <w:r w:rsidRPr="009452A2">
        <w:rPr>
          <w:rStyle w:val="TextoNormalNegritaCaracter"/>
        </w:rPr>
        <w:lastRenderedPageBreak/>
        <w:t>Artículo 152.2 e).</w:t>
      </w:r>
      <w:r w:rsidRPr="009452A2">
        <w:rPr>
          <w:rStyle w:val="TextoNormalCaracter"/>
        </w:rPr>
        <w:t>-</w:t>
      </w:r>
      <w:r>
        <w:t xml:space="preserve"> Auto </w:t>
      </w:r>
      <w:hyperlink w:anchor="AUTO_1985_97" w:history="1">
        <w:r w:rsidRPr="009452A2">
          <w:rPr>
            <w:rStyle w:val="TextoNormalCaracter"/>
          </w:rPr>
          <w:t>97/1985</w:t>
        </w:r>
      </w:hyperlink>
      <w:r>
        <w:t>.</w:t>
      </w:r>
    </w:p>
    <w:p w:rsidR="009452A2" w:rsidRDefault="009452A2" w:rsidP="009452A2">
      <w:pPr>
        <w:pStyle w:val="SangriaFrancesaArticulo"/>
      </w:pPr>
      <w:r w:rsidRPr="009452A2">
        <w:rPr>
          <w:rStyle w:val="TextoNormalNegritaCaracter"/>
        </w:rPr>
        <w:t>Artículo 152.3.</w:t>
      </w:r>
      <w:r w:rsidRPr="009452A2">
        <w:rPr>
          <w:rStyle w:val="TextoNormalCaracter"/>
        </w:rPr>
        <w:t>-</w:t>
      </w:r>
      <w:r>
        <w:t xml:space="preserve"> Auto </w:t>
      </w:r>
      <w:hyperlink w:anchor="AUTO_1985_97" w:history="1">
        <w:r w:rsidRPr="009452A2">
          <w:rPr>
            <w:rStyle w:val="TextoNormalCaracter"/>
          </w:rPr>
          <w:t>97/1985</w:t>
        </w:r>
      </w:hyperlink>
      <w:r>
        <w:t>.</w:t>
      </w:r>
    </w:p>
    <w:p w:rsidR="009452A2" w:rsidRDefault="009452A2" w:rsidP="009452A2">
      <w:pPr>
        <w:pStyle w:val="SangriaFrancesaArticulo"/>
      </w:pPr>
      <w:r w:rsidRPr="009452A2">
        <w:rPr>
          <w:rStyle w:val="TextoNormalNegritaCaracter"/>
        </w:rPr>
        <w:t>Artículo 153.1.</w:t>
      </w:r>
      <w:r w:rsidRPr="009452A2">
        <w:rPr>
          <w:rStyle w:val="TextoNormalCaracter"/>
        </w:rPr>
        <w:t>-</w:t>
      </w:r>
      <w:r>
        <w:t xml:space="preserve"> Auto </w:t>
      </w:r>
      <w:hyperlink w:anchor="AUTO_1985_84" w:history="1">
        <w:r w:rsidRPr="009452A2">
          <w:rPr>
            <w:rStyle w:val="TextoNormalCaracter"/>
          </w:rPr>
          <w:t>84/1985</w:t>
        </w:r>
      </w:hyperlink>
      <w:r>
        <w:t>.</w:t>
      </w:r>
    </w:p>
    <w:p w:rsidR="009452A2" w:rsidRDefault="009452A2" w:rsidP="009452A2">
      <w:pPr>
        <w:pStyle w:val="SangriaFrancesaArticulo"/>
      </w:pPr>
      <w:r w:rsidRPr="009452A2">
        <w:rPr>
          <w:rStyle w:val="TextoNormalNegritaCaracter"/>
        </w:rPr>
        <w:t>Artículo 154.</w:t>
      </w:r>
      <w:r w:rsidRPr="009452A2">
        <w:rPr>
          <w:rStyle w:val="TextoNormalCaracter"/>
        </w:rPr>
        <w:t>-</w:t>
      </w:r>
      <w:r>
        <w:t xml:space="preserve"> Autos </w:t>
      </w:r>
      <w:hyperlink w:anchor="AUTO_1985_42" w:history="1">
        <w:r w:rsidRPr="009452A2">
          <w:rPr>
            <w:rStyle w:val="TextoNormalCaracter"/>
          </w:rPr>
          <w:t>42/1985</w:t>
        </w:r>
      </w:hyperlink>
      <w:r>
        <w:t xml:space="preserve">; </w:t>
      </w:r>
      <w:hyperlink w:anchor="AUTO_1985_163" w:history="1">
        <w:r w:rsidRPr="009452A2">
          <w:rPr>
            <w:rStyle w:val="TextoNormalCaracter"/>
          </w:rPr>
          <w:t>163/1985</w:t>
        </w:r>
      </w:hyperlink>
      <w:r>
        <w:t>.</w:t>
      </w:r>
    </w:p>
    <w:p w:rsidR="009452A2" w:rsidRDefault="009452A2" w:rsidP="009452A2">
      <w:pPr>
        <w:pStyle w:val="SangriaFrancesaArticulo"/>
      </w:pPr>
      <w:r w:rsidRPr="009452A2">
        <w:rPr>
          <w:rStyle w:val="TextoNormalNegritaCaracter"/>
        </w:rPr>
        <w:t>Artículo 167.</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IzquierdaArticulo"/>
      </w:pPr>
      <w:r>
        <w:t xml:space="preserve">Auto </w:t>
      </w:r>
      <w:hyperlink w:anchor="AUTO_1985_52" w:history="1">
        <w:r w:rsidRPr="009452A2">
          <w:rPr>
            <w:rStyle w:val="TextoNormalCaracter"/>
          </w:rPr>
          <w:t>52/1985</w:t>
        </w:r>
      </w:hyperlink>
      <w:r>
        <w:t>.</w:t>
      </w:r>
    </w:p>
    <w:p w:rsidR="009452A2" w:rsidRDefault="009452A2" w:rsidP="009452A2">
      <w:pPr>
        <w:pStyle w:val="SangriaFrancesaArticulo"/>
      </w:pPr>
      <w:r w:rsidRPr="009452A2">
        <w:rPr>
          <w:rStyle w:val="TextoNormalNegritaCaracter"/>
        </w:rPr>
        <w:t>Artículo 167.1.</w:t>
      </w:r>
      <w:r w:rsidRPr="009452A2">
        <w:rPr>
          <w:rStyle w:val="TextoNormalCaracter"/>
        </w:rPr>
        <w:t>-</w:t>
      </w:r>
      <w:r>
        <w:t xml:space="preserve"> Sentencias </w:t>
      </w:r>
      <w:hyperlink w:anchor="SENTENCIA_1985_17" w:history="1">
        <w:r w:rsidRPr="009452A2">
          <w:rPr>
            <w:rStyle w:val="TextoNormalCaracter"/>
          </w:rPr>
          <w:t>17/1985</w:t>
        </w:r>
      </w:hyperlink>
      <w:r>
        <w:t xml:space="preserve">, f. 4; </w:t>
      </w:r>
      <w:hyperlink w:anchor="SENTENCIA_1985_57" w:history="1">
        <w:r w:rsidRPr="009452A2">
          <w:rPr>
            <w:rStyle w:val="TextoNormalCaracter"/>
          </w:rPr>
          <w:t>57/1985</w:t>
        </w:r>
      </w:hyperlink>
      <w:r>
        <w:t>, f. 4.</w:t>
      </w:r>
    </w:p>
    <w:p w:rsidR="009452A2" w:rsidRDefault="009452A2" w:rsidP="009452A2">
      <w:pPr>
        <w:pStyle w:val="SangriaFrancesaArticulo"/>
      </w:pPr>
      <w:r w:rsidRPr="009452A2">
        <w:rPr>
          <w:rStyle w:val="TextoNormalNegritaCaracter"/>
        </w:rPr>
        <w:t>Artículo 167.5.</w:t>
      </w:r>
      <w:r w:rsidRPr="009452A2">
        <w:rPr>
          <w:rStyle w:val="TextoNormalCaracter"/>
        </w:rPr>
        <w:t>-</w:t>
      </w:r>
      <w:r>
        <w:t xml:space="preserve"> Sentencia </w:t>
      </w:r>
      <w:hyperlink w:anchor="SENTENCIA_1985_57" w:history="1">
        <w:r w:rsidRPr="009452A2">
          <w:rPr>
            <w:rStyle w:val="TextoNormalCaracter"/>
          </w:rPr>
          <w:t>57/1985</w:t>
        </w:r>
      </w:hyperlink>
      <w:r>
        <w:t>, f. 4.</w:t>
      </w:r>
    </w:p>
    <w:p w:rsidR="009452A2" w:rsidRDefault="009452A2" w:rsidP="009452A2">
      <w:pPr>
        <w:pStyle w:val="SangriaFrancesaArticulo"/>
      </w:pPr>
      <w:r w:rsidRPr="009452A2">
        <w:rPr>
          <w:rStyle w:val="TextoNormalNegritaCaracter"/>
        </w:rPr>
        <w:t>Artículo 178.</w:t>
      </w:r>
      <w:r w:rsidRPr="009452A2">
        <w:rPr>
          <w:rStyle w:val="TextoNormalCaracter"/>
        </w:rPr>
        <w:t>-</w:t>
      </w:r>
      <w:r>
        <w:t xml:space="preserve"> Auto </w:t>
      </w:r>
      <w:hyperlink w:anchor="AUTO_1985_117" w:history="1">
        <w:r w:rsidRPr="009452A2">
          <w:rPr>
            <w:rStyle w:val="TextoNormalCaracter"/>
          </w:rPr>
          <w:t>117/1985</w:t>
        </w:r>
      </w:hyperlink>
      <w:r>
        <w:t>.</w:t>
      </w:r>
    </w:p>
    <w:p w:rsidR="009452A2" w:rsidRDefault="009452A2" w:rsidP="009452A2">
      <w:pPr>
        <w:pStyle w:val="SangriaFrancesaArticulo"/>
      </w:pPr>
      <w:r w:rsidRPr="009452A2">
        <w:rPr>
          <w:rStyle w:val="TextoNormalNegritaCaracter"/>
        </w:rPr>
        <w:t>Artículo 178.3.</w:t>
      </w:r>
      <w:r w:rsidRPr="009452A2">
        <w:rPr>
          <w:rStyle w:val="TextoNormalCaracter"/>
        </w:rPr>
        <w:t>-</w:t>
      </w:r>
      <w:r>
        <w:t xml:space="preserve"> Auto </w:t>
      </w:r>
      <w:hyperlink w:anchor="AUTO_1985_117" w:history="1">
        <w:r w:rsidRPr="009452A2">
          <w:rPr>
            <w:rStyle w:val="TextoNormalCaracter"/>
          </w:rPr>
          <w:t>117/1985</w:t>
        </w:r>
      </w:hyperlink>
      <w:r>
        <w:t>.</w:t>
      </w:r>
    </w:p>
    <w:p w:rsidR="009452A2" w:rsidRDefault="009452A2" w:rsidP="009452A2">
      <w:pPr>
        <w:pStyle w:val="SangriaFrancesaArticulo"/>
      </w:pPr>
      <w:r w:rsidRPr="009452A2">
        <w:rPr>
          <w:rStyle w:val="TextoNormalNegritaCaracter"/>
        </w:rPr>
        <w:t>Artículo 209.</w:t>
      </w:r>
      <w:r w:rsidRPr="009452A2">
        <w:rPr>
          <w:rStyle w:val="TextoNormalCaracter"/>
        </w:rPr>
        <w:t>-</w:t>
      </w:r>
      <w:r>
        <w:t xml:space="preserve"> Auto </w:t>
      </w:r>
      <w:hyperlink w:anchor="AUTO_1985_190" w:history="1">
        <w:r w:rsidRPr="009452A2">
          <w:rPr>
            <w:rStyle w:val="TextoNormalCaracter"/>
          </w:rPr>
          <w:t>190/1985</w:t>
        </w:r>
      </w:hyperlink>
      <w:r>
        <w:t>.</w:t>
      </w:r>
    </w:p>
    <w:p w:rsidR="009452A2" w:rsidRDefault="009452A2" w:rsidP="009452A2">
      <w:pPr>
        <w:pStyle w:val="TextoNormal"/>
      </w:pPr>
    </w:p>
    <w:p w:rsidR="009452A2" w:rsidRDefault="009452A2" w:rsidP="009452A2">
      <w:pPr>
        <w:pStyle w:val="SangriaFrancesaArticulo"/>
      </w:pPr>
      <w:bookmarkStart w:id="356" w:name="INDICE22848"/>
    </w:p>
    <w:bookmarkEnd w:id="356"/>
    <w:p w:rsidR="009452A2" w:rsidRDefault="009452A2" w:rsidP="009452A2">
      <w:pPr>
        <w:pStyle w:val="TextoIndiceNivel2"/>
        <w:suppressAutoHyphens/>
      </w:pPr>
      <w:r>
        <w:t>G) Reales Decretos-leyes</w:t>
      </w:r>
    </w:p>
    <w:p w:rsidR="009452A2" w:rsidRDefault="009452A2" w:rsidP="009452A2">
      <w:pPr>
        <w:pStyle w:val="TextoIndiceNivel2"/>
      </w:pPr>
    </w:p>
    <w:p w:rsidR="009452A2" w:rsidRDefault="009452A2" w:rsidP="009452A2">
      <w:pPr>
        <w:pStyle w:val="TextoNormalNegritaCursivandice"/>
      </w:pPr>
      <w:r>
        <w:t>Real Decreto-ley 7/1981, de 24 de abril. Seguridad Social agraria: Aplazamiento excepcional del pago de determinadas cuotas empresariales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55" w:history="1">
        <w:r w:rsidRPr="009452A2">
          <w:rPr>
            <w:rStyle w:val="TextoNormalCaracter"/>
          </w:rPr>
          <w:t>255/1985</w:t>
        </w:r>
      </w:hyperlink>
      <w:r>
        <w:t>.</w:t>
      </w:r>
    </w:p>
    <w:p w:rsidR="009452A2" w:rsidRDefault="009452A2" w:rsidP="009452A2">
      <w:pPr>
        <w:pStyle w:val="SangriaFrancesaArticulo"/>
      </w:pPr>
    </w:p>
    <w:p w:rsidR="009452A2" w:rsidRDefault="009452A2" w:rsidP="009452A2">
      <w:pPr>
        <w:pStyle w:val="TextoNormalNegritaCursivandice"/>
      </w:pPr>
      <w:r>
        <w:t>Real Decreto-ley 22/1982, de 7 de diciembre. Medidas urgentes de reforma administrativa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2" w:history="1">
        <w:r w:rsidRPr="009452A2">
          <w:rPr>
            <w:rStyle w:val="TextoNormalCaracter"/>
          </w:rPr>
          <w:t>42/1985</w:t>
        </w:r>
      </w:hyperlink>
      <w:r>
        <w:t>, f. 3.</w:t>
      </w:r>
    </w:p>
    <w:p w:rsidR="009452A2" w:rsidRDefault="009452A2" w:rsidP="009452A2">
      <w:pPr>
        <w:pStyle w:val="SangriaFrancesaArticulo"/>
      </w:pPr>
    </w:p>
    <w:p w:rsidR="009452A2" w:rsidRDefault="009452A2" w:rsidP="009452A2">
      <w:pPr>
        <w:pStyle w:val="TextoNormalNegritaCursivandice"/>
      </w:pPr>
      <w:r>
        <w:t>Real Decreto-ley 2/1983, de 23 de febrero. Expropiación por razones de utilidad pública e interés social, de los bancos y otras sociedades que componen el grupo «Rumasa, S.A.»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21" w:history="1">
        <w:r w:rsidRPr="009452A2">
          <w:rPr>
            <w:rStyle w:val="TextoNormalCaracter"/>
          </w:rPr>
          <w:t>121/1985</w:t>
        </w:r>
      </w:hyperlink>
      <w:r>
        <w:t>.</w:t>
      </w:r>
    </w:p>
    <w:p w:rsidR="009452A2" w:rsidRDefault="009452A2" w:rsidP="009452A2">
      <w:pPr>
        <w:pStyle w:val="SangriaFrancesaArticulo"/>
      </w:pPr>
    </w:p>
    <w:p w:rsidR="009452A2" w:rsidRDefault="009452A2" w:rsidP="009452A2">
      <w:pPr>
        <w:pStyle w:val="TextoNormalNegritaCursivandice"/>
      </w:pPr>
      <w:r>
        <w:t>Real Decreto-ley 8/1983, de 30 de noviembre. Reconversión y reindustrialización de industrias en general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84" w:history="1">
        <w:r w:rsidRPr="009452A2">
          <w:rPr>
            <w:rStyle w:val="TextoNormalCaracter"/>
          </w:rPr>
          <w:t>284/1985</w:t>
        </w:r>
      </w:hyperlink>
      <w:r>
        <w:t>.</w:t>
      </w:r>
    </w:p>
    <w:p w:rsidR="009452A2" w:rsidRDefault="009452A2" w:rsidP="009452A2">
      <w:pPr>
        <w:pStyle w:val="TextoNormal"/>
      </w:pPr>
    </w:p>
    <w:p w:rsidR="009452A2" w:rsidRDefault="009452A2" w:rsidP="009452A2">
      <w:pPr>
        <w:pStyle w:val="SangriaFrancesaArticulo"/>
      </w:pPr>
      <w:bookmarkStart w:id="357" w:name="INDICE22849"/>
    </w:p>
    <w:bookmarkEnd w:id="357"/>
    <w:p w:rsidR="009452A2" w:rsidRDefault="009452A2" w:rsidP="009452A2">
      <w:pPr>
        <w:pStyle w:val="TextoIndiceNivel2"/>
        <w:suppressAutoHyphens/>
      </w:pPr>
      <w:r>
        <w:t>H) Reales Decretos y otras disposiciones generales del Estado</w:t>
      </w:r>
    </w:p>
    <w:p w:rsidR="009452A2" w:rsidRDefault="009452A2" w:rsidP="009452A2">
      <w:pPr>
        <w:pStyle w:val="TextoIndiceNivel2"/>
      </w:pPr>
    </w:p>
    <w:p w:rsidR="009452A2" w:rsidRDefault="009452A2" w:rsidP="009452A2">
      <w:pPr>
        <w:pStyle w:val="TextoNormalNegritaCursivandice"/>
      </w:pPr>
      <w:r>
        <w:t>Real Decreto 561/1979, de 16 de marzo. Normas para constitución de las Corporaciones locales</w:t>
      </w:r>
    </w:p>
    <w:p w:rsidR="009452A2" w:rsidRDefault="009452A2" w:rsidP="009452A2">
      <w:pPr>
        <w:pStyle w:val="SangriaFrancesaArticulo"/>
      </w:pPr>
      <w:r w:rsidRPr="009452A2">
        <w:rPr>
          <w:rStyle w:val="TextoNormalNegritaCaracter"/>
        </w:rPr>
        <w:t>Artículo 4 b).</w:t>
      </w:r>
      <w:r w:rsidRPr="009452A2">
        <w:rPr>
          <w:rStyle w:val="TextoNormalCaracter"/>
        </w:rPr>
        <w:t>-</w:t>
      </w:r>
      <w:r>
        <w:t xml:space="preserve"> Sentencia </w:t>
      </w:r>
      <w:hyperlink w:anchor="SENTENCIA_1985_32" w:history="1">
        <w:r w:rsidRPr="009452A2">
          <w:rPr>
            <w:rStyle w:val="TextoNormalCaracter"/>
          </w:rPr>
          <w:t>32/1985</w:t>
        </w:r>
      </w:hyperlink>
      <w:r>
        <w:t>, f. 4.</w:t>
      </w:r>
    </w:p>
    <w:p w:rsidR="009452A2" w:rsidRDefault="009452A2" w:rsidP="009452A2">
      <w:pPr>
        <w:pStyle w:val="SangriaFrancesaArticulo"/>
      </w:pPr>
    </w:p>
    <w:p w:rsidR="009452A2" w:rsidRDefault="009452A2" w:rsidP="009452A2">
      <w:pPr>
        <w:pStyle w:val="TextoNormalNegritaCursivandice"/>
      </w:pPr>
      <w:r>
        <w:t>Real Decreto 707/1979, de 5 de abril. Juramento: Fórmula para toma de posesión de cargos o funciones públicas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8" w:history="1">
        <w:r w:rsidRPr="009452A2">
          <w:rPr>
            <w:rStyle w:val="TextoNormalCaracter"/>
          </w:rPr>
          <w:t>8/1985</w:t>
        </w:r>
      </w:hyperlink>
      <w:r>
        <w:t>, f. 4.</w:t>
      </w:r>
    </w:p>
    <w:p w:rsidR="009452A2" w:rsidRDefault="009452A2" w:rsidP="009452A2">
      <w:pPr>
        <w:pStyle w:val="SangriaFrancesaArticulo"/>
      </w:pPr>
    </w:p>
    <w:p w:rsidR="009452A2" w:rsidRDefault="009452A2" w:rsidP="009452A2">
      <w:pPr>
        <w:pStyle w:val="TextoNormalNegritaCursivandice"/>
      </w:pPr>
      <w:r>
        <w:lastRenderedPageBreak/>
        <w:t>Real Decreto 2808/1980, de 26 de septiembre. País Vasco. Traspaso de servicios del Estado en materia de enseñanza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8" w:history="1">
        <w:r w:rsidRPr="009452A2">
          <w:rPr>
            <w:rStyle w:val="TextoNormalCaracter"/>
          </w:rPr>
          <w:t>48/1985</w:t>
        </w:r>
      </w:hyperlink>
      <w:r>
        <w:t>, ff. 4, 5.</w:t>
      </w:r>
    </w:p>
    <w:p w:rsidR="009452A2" w:rsidRDefault="009452A2" w:rsidP="009452A2">
      <w:pPr>
        <w:pStyle w:val="SangriaFrancesaArticulo"/>
      </w:pPr>
      <w:r w:rsidRPr="009452A2">
        <w:rPr>
          <w:rStyle w:val="TextoNormalNegritaCaracter"/>
        </w:rPr>
        <w:t>Anexo I.5.1.</w:t>
      </w:r>
      <w:r w:rsidRPr="009452A2">
        <w:rPr>
          <w:rStyle w:val="TextoNormalCaracter"/>
        </w:rPr>
        <w:t>-</w:t>
      </w:r>
      <w:r>
        <w:t xml:space="preserve"> Sentencia </w:t>
      </w:r>
      <w:hyperlink w:anchor="SENTENCIA_1985_48" w:history="1">
        <w:r w:rsidRPr="009452A2">
          <w:rPr>
            <w:rStyle w:val="TextoNormalCaracter"/>
          </w:rPr>
          <w:t>48/1985</w:t>
        </w:r>
      </w:hyperlink>
      <w:r>
        <w:t>, f. 5.</w:t>
      </w:r>
    </w:p>
    <w:p w:rsidR="009452A2" w:rsidRDefault="009452A2" w:rsidP="009452A2">
      <w:pPr>
        <w:pStyle w:val="SangriaFrancesaArticulo"/>
      </w:pPr>
    </w:p>
    <w:p w:rsidR="009452A2" w:rsidRDefault="009452A2" w:rsidP="009452A2">
      <w:pPr>
        <w:pStyle w:val="TextoNormalNegritaCursivandice"/>
      </w:pPr>
      <w:r>
        <w:t>Real Decreto 2303/1980, de 17 de octubre. Aplicación del Estatuto de los Trabajadores en materia de contratación temporal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9" w:history="1">
        <w:r w:rsidRPr="009452A2">
          <w:rPr>
            <w:rStyle w:val="TextoNormalCaracter"/>
          </w:rPr>
          <w:t>49/1985</w:t>
        </w:r>
      </w:hyperlink>
      <w:r>
        <w:t>, f. 1.</w:t>
      </w:r>
    </w:p>
    <w:p w:rsidR="009452A2" w:rsidRDefault="009452A2" w:rsidP="009452A2">
      <w:pPr>
        <w:pStyle w:val="SangriaFrancesaArticulo"/>
      </w:pPr>
    </w:p>
    <w:p w:rsidR="009452A2" w:rsidRDefault="009452A2" w:rsidP="009452A2">
      <w:pPr>
        <w:pStyle w:val="TextoNormalNegritaCursivandice"/>
      </w:pPr>
      <w:r>
        <w:t>Real Decreto 3195/1980, de 30 de diciembre. Traspaso de servicios del Estado al País Vasco en materia de enseñanza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8" w:history="1">
        <w:r w:rsidRPr="009452A2">
          <w:rPr>
            <w:rStyle w:val="TextoNormalCaracter"/>
          </w:rPr>
          <w:t>48/1985</w:t>
        </w:r>
      </w:hyperlink>
      <w:r>
        <w:t>, ff. 4, 5.</w:t>
      </w:r>
    </w:p>
    <w:p w:rsidR="009452A2" w:rsidRDefault="009452A2" w:rsidP="009452A2">
      <w:pPr>
        <w:pStyle w:val="SangriaFrancesaArticulo"/>
      </w:pPr>
    </w:p>
    <w:p w:rsidR="009452A2" w:rsidRDefault="009452A2" w:rsidP="009452A2">
      <w:pPr>
        <w:pStyle w:val="TextoNormalNegritaCursivandice"/>
      </w:pPr>
      <w:r>
        <w:t>Real Decreto 229/1981, de 5 de febrero. Procedimiento de acceso a los cuerpos de funcionarios del Ministerio de Educación</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8" w:history="1">
        <w:r w:rsidRPr="009452A2">
          <w:rPr>
            <w:rStyle w:val="TextoNormalCaracter"/>
          </w:rPr>
          <w:t>48/1985</w:t>
        </w:r>
      </w:hyperlink>
      <w:r>
        <w:t>, f. 6.</w:t>
      </w:r>
    </w:p>
    <w:p w:rsidR="009452A2" w:rsidRDefault="009452A2" w:rsidP="009452A2">
      <w:pPr>
        <w:pStyle w:val="SangriaFrancesaArticulo"/>
      </w:pPr>
    </w:p>
    <w:p w:rsidR="009452A2" w:rsidRDefault="009452A2" w:rsidP="009452A2">
      <w:pPr>
        <w:pStyle w:val="TextoNormalNegritaCursivandice"/>
      </w:pPr>
      <w:r>
        <w:t>Real Decreto 920/1981, de 24 de abril. Reglamento de prestaciones por desempleo</w:t>
      </w:r>
    </w:p>
    <w:p w:rsidR="009452A2" w:rsidRDefault="009452A2" w:rsidP="009452A2">
      <w:pPr>
        <w:pStyle w:val="SangriaFrancesaArticulo"/>
      </w:pPr>
      <w:r w:rsidRPr="009452A2">
        <w:rPr>
          <w:rStyle w:val="TextoNormalNegritaCaracter"/>
        </w:rPr>
        <w:t>Artículo 14.</w:t>
      </w:r>
      <w:r w:rsidRPr="009452A2">
        <w:rPr>
          <w:rStyle w:val="TextoNormalCaracter"/>
        </w:rPr>
        <w:t>-</w:t>
      </w:r>
      <w:r>
        <w:t xml:space="preserve"> Autos </w:t>
      </w:r>
      <w:hyperlink w:anchor="AUTO_1985_67" w:history="1">
        <w:r w:rsidRPr="009452A2">
          <w:rPr>
            <w:rStyle w:val="TextoNormalCaracter"/>
          </w:rPr>
          <w:t>67/1985</w:t>
        </w:r>
      </w:hyperlink>
      <w:r>
        <w:t xml:space="preserve">; </w:t>
      </w:r>
      <w:hyperlink w:anchor="AUTO_1985_152" w:history="1">
        <w:r w:rsidRPr="009452A2">
          <w:rPr>
            <w:rStyle w:val="TextoNormalCaracter"/>
          </w:rPr>
          <w:t>152/1985</w:t>
        </w:r>
      </w:hyperlink>
      <w:r>
        <w:t>.</w:t>
      </w:r>
    </w:p>
    <w:p w:rsidR="009452A2" w:rsidRDefault="009452A2" w:rsidP="009452A2">
      <w:pPr>
        <w:pStyle w:val="SangriaFrancesaArticulo"/>
      </w:pPr>
      <w:r w:rsidRPr="009452A2">
        <w:rPr>
          <w:rStyle w:val="TextoNormalNegritaCaracter"/>
        </w:rPr>
        <w:t>Artículo 14.4.</w:t>
      </w:r>
      <w:r w:rsidRPr="009452A2">
        <w:rPr>
          <w:rStyle w:val="TextoNormalCaracter"/>
        </w:rPr>
        <w:t>-</w:t>
      </w:r>
      <w:r>
        <w:t xml:space="preserve"> Auto </w:t>
      </w:r>
      <w:hyperlink w:anchor="AUTO_1985_46" w:history="1">
        <w:r w:rsidRPr="009452A2">
          <w:rPr>
            <w:rStyle w:val="TextoNormalCaracter"/>
          </w:rPr>
          <w:t>46/1985</w:t>
        </w:r>
      </w:hyperlink>
      <w:r>
        <w:t>.</w:t>
      </w:r>
    </w:p>
    <w:p w:rsidR="009452A2" w:rsidRDefault="009452A2" w:rsidP="009452A2">
      <w:pPr>
        <w:pStyle w:val="SangriaFrancesaArticulo"/>
      </w:pPr>
    </w:p>
    <w:p w:rsidR="009452A2" w:rsidRDefault="009452A2" w:rsidP="009452A2">
      <w:pPr>
        <w:pStyle w:val="TextoNormalNegritaCursivandice"/>
      </w:pPr>
      <w:r>
        <w:t>Real Decreto 2819/1981, de 27 de noviembre. Fiestas laborales de ámbito nacional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7" w:history="1">
        <w:r w:rsidRPr="009452A2">
          <w:rPr>
            <w:rStyle w:val="TextoNormalCaracter"/>
          </w:rPr>
          <w:t>7/1985</w:t>
        </w:r>
      </w:hyperlink>
      <w:r>
        <w:t>, ff. 1, 8.</w:t>
      </w:r>
    </w:p>
    <w:p w:rsidR="009452A2" w:rsidRDefault="009452A2" w:rsidP="009452A2">
      <w:pPr>
        <w:pStyle w:val="SangriaFrancesaArticulo"/>
      </w:pPr>
    </w:p>
    <w:p w:rsidR="009452A2" w:rsidRDefault="009452A2" w:rsidP="009452A2">
      <w:pPr>
        <w:pStyle w:val="TextoNormalNegritaCursivandice"/>
      </w:pPr>
      <w:r>
        <w:t>Real Decreto 2820/1981, de 27 de noviembre. Calendario de fiestas laborales para 1982 y 1983</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7" w:history="1">
        <w:r w:rsidRPr="009452A2">
          <w:rPr>
            <w:rStyle w:val="TextoNormalCaracter"/>
          </w:rPr>
          <w:t>7/1985</w:t>
        </w:r>
      </w:hyperlink>
      <w:r>
        <w:t>, ff. 1, 8.</w:t>
      </w:r>
    </w:p>
    <w:p w:rsidR="009452A2" w:rsidRDefault="009452A2" w:rsidP="009452A2">
      <w:pPr>
        <w:pStyle w:val="SangriaFrancesaArticulo"/>
      </w:pPr>
      <w:r w:rsidRPr="009452A2">
        <w:rPr>
          <w:rStyle w:val="TextoNormalNegritaCaracter"/>
        </w:rPr>
        <w:t>Artículo 2.</w:t>
      </w:r>
      <w:r w:rsidRPr="009452A2">
        <w:rPr>
          <w:rStyle w:val="TextoNormalCaracter"/>
        </w:rPr>
        <w:t>-</w:t>
      </w:r>
      <w:r>
        <w:t xml:space="preserve"> Sentencia </w:t>
      </w:r>
      <w:hyperlink w:anchor="SENTENCIA_1985_7" w:history="1">
        <w:r w:rsidRPr="009452A2">
          <w:rPr>
            <w:rStyle w:val="TextoNormalCaracter"/>
          </w:rPr>
          <w:t>7/1985</w:t>
        </w:r>
      </w:hyperlink>
      <w:r>
        <w:t>, f. 8.</w:t>
      </w:r>
    </w:p>
    <w:p w:rsidR="009452A2" w:rsidRDefault="009452A2" w:rsidP="009452A2">
      <w:pPr>
        <w:pStyle w:val="SangriaFrancesaArticulo"/>
      </w:pPr>
    </w:p>
    <w:p w:rsidR="009452A2" w:rsidRDefault="009452A2" w:rsidP="009452A2">
      <w:pPr>
        <w:pStyle w:val="TextoNormalNegritaCursivandice"/>
      </w:pPr>
      <w:r>
        <w:t>Real Decreto 3217/1981, de 27 de noviembre. Día de la Hispanidad. Celebración del 12 de octubre</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7" w:history="1">
        <w:r w:rsidRPr="009452A2">
          <w:rPr>
            <w:rStyle w:val="TextoNormalCaracter"/>
          </w:rPr>
          <w:t>7/1985</w:t>
        </w:r>
      </w:hyperlink>
      <w:r>
        <w:t>, ff. 1, 8.</w:t>
      </w:r>
    </w:p>
    <w:p w:rsidR="009452A2" w:rsidRDefault="009452A2" w:rsidP="009452A2">
      <w:pPr>
        <w:pStyle w:val="SangriaFrancesaArticulo"/>
      </w:pPr>
    </w:p>
    <w:p w:rsidR="009452A2" w:rsidRDefault="009452A2" w:rsidP="009452A2">
      <w:pPr>
        <w:pStyle w:val="TextoNormalNegritaCursivandice"/>
      </w:pPr>
      <w:r>
        <w:t>Real Decreto 3266/1981, de 29 de diciembre. Prorroga vigencia del Real Decreto 229/1981, sobre procedimiento de acceso a los cuerpos de funcionarios del Ministerio de Educación y Ciencia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8" w:history="1">
        <w:r w:rsidRPr="009452A2">
          <w:rPr>
            <w:rStyle w:val="TextoNormalCaracter"/>
          </w:rPr>
          <w:t>48/1985</w:t>
        </w:r>
      </w:hyperlink>
      <w:r>
        <w:t>, f. 6.</w:t>
      </w:r>
    </w:p>
    <w:p w:rsidR="009452A2" w:rsidRDefault="009452A2" w:rsidP="009452A2">
      <w:pPr>
        <w:pStyle w:val="SangriaFrancesaArticulo"/>
      </w:pPr>
    </w:p>
    <w:p w:rsidR="009452A2" w:rsidRDefault="009452A2" w:rsidP="009452A2">
      <w:pPr>
        <w:pStyle w:val="TextoNormalNegritaCursivandice"/>
      </w:pPr>
      <w:r>
        <w:t>Real Decreto 657/1982, de 17 de marzo. Formación Profesional. Regulación de la Inspección Técnica del Estado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8" w:history="1">
        <w:r w:rsidRPr="009452A2">
          <w:rPr>
            <w:rStyle w:val="TextoNormalCaracter"/>
          </w:rPr>
          <w:t>48/1985</w:t>
        </w:r>
      </w:hyperlink>
      <w:r>
        <w:t>, ff. 1, 3.</w:t>
      </w:r>
    </w:p>
    <w:p w:rsidR="009452A2" w:rsidRDefault="009452A2" w:rsidP="009452A2">
      <w:pPr>
        <w:pStyle w:val="SangriaFrancesaArticulo"/>
      </w:pPr>
      <w:r w:rsidRPr="009452A2">
        <w:rPr>
          <w:rStyle w:val="TextoNormalNegritaCaracter"/>
        </w:rPr>
        <w:t>Artículo 4.</w:t>
      </w:r>
      <w:r w:rsidRPr="009452A2">
        <w:rPr>
          <w:rStyle w:val="TextoNormalCaracter"/>
        </w:rPr>
        <w:t>-</w:t>
      </w:r>
      <w:r>
        <w:t xml:space="preserve"> Sentencia </w:t>
      </w:r>
      <w:hyperlink w:anchor="SENTENCIA_1985_48" w:history="1">
        <w:r w:rsidRPr="009452A2">
          <w:rPr>
            <w:rStyle w:val="TextoNormalCaracter"/>
          </w:rPr>
          <w:t>48/1985</w:t>
        </w:r>
      </w:hyperlink>
      <w:r>
        <w:t>, f. 1.</w:t>
      </w:r>
    </w:p>
    <w:p w:rsidR="009452A2" w:rsidRDefault="009452A2" w:rsidP="009452A2">
      <w:pPr>
        <w:pStyle w:val="SangriaFrancesaArticulo"/>
      </w:pPr>
      <w:r w:rsidRPr="009452A2">
        <w:rPr>
          <w:rStyle w:val="TextoNormalNegritaCaracter"/>
        </w:rPr>
        <w:t>Artículo 18.1.</w:t>
      </w:r>
      <w:r w:rsidRPr="009452A2">
        <w:rPr>
          <w:rStyle w:val="TextoNormalCaracter"/>
        </w:rPr>
        <w:t>-</w:t>
      </w:r>
      <w:r>
        <w:t xml:space="preserve"> Sentencia </w:t>
      </w:r>
      <w:hyperlink w:anchor="SENTENCIA_1985_48" w:history="1">
        <w:r w:rsidRPr="009452A2">
          <w:rPr>
            <w:rStyle w:val="TextoNormalCaracter"/>
          </w:rPr>
          <w:t>48/1985</w:t>
        </w:r>
      </w:hyperlink>
      <w:r>
        <w:t>, f. 1.</w:t>
      </w:r>
    </w:p>
    <w:p w:rsidR="009452A2" w:rsidRDefault="009452A2" w:rsidP="009452A2">
      <w:pPr>
        <w:pStyle w:val="SangriaFrancesaArticulo"/>
      </w:pPr>
      <w:r w:rsidRPr="009452A2">
        <w:rPr>
          <w:rStyle w:val="TextoNormalNegritaCaracter"/>
        </w:rPr>
        <w:t>Artículo 18.2.</w:t>
      </w:r>
      <w:r w:rsidRPr="009452A2">
        <w:rPr>
          <w:rStyle w:val="TextoNormalCaracter"/>
        </w:rPr>
        <w:t>-</w:t>
      </w:r>
      <w:r>
        <w:t xml:space="preserve"> Sentencia </w:t>
      </w:r>
      <w:hyperlink w:anchor="SENTENCIA_1985_48" w:history="1">
        <w:r w:rsidRPr="009452A2">
          <w:rPr>
            <w:rStyle w:val="TextoNormalCaracter"/>
          </w:rPr>
          <w:t>48/1985</w:t>
        </w:r>
      </w:hyperlink>
      <w:r>
        <w:t>, f. 1.</w:t>
      </w:r>
    </w:p>
    <w:p w:rsidR="009452A2" w:rsidRDefault="009452A2" w:rsidP="009452A2">
      <w:pPr>
        <w:pStyle w:val="SangriaFrancesaArticulo"/>
      </w:pPr>
    </w:p>
    <w:p w:rsidR="009452A2" w:rsidRDefault="009452A2" w:rsidP="009452A2">
      <w:pPr>
        <w:pStyle w:val="TextoNormalNegritaCursivandice"/>
      </w:pPr>
      <w:r>
        <w:t>Real Decreto 924/1982, de 17 de abril. Despidos. Reclamaciones al Estado por salarios de tramitación en juicio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79" w:history="1">
        <w:r w:rsidRPr="009452A2">
          <w:rPr>
            <w:rStyle w:val="TextoNormalCaracter"/>
          </w:rPr>
          <w:t>179/1985</w:t>
        </w:r>
      </w:hyperlink>
      <w:r>
        <w:t>.</w:t>
      </w:r>
    </w:p>
    <w:p w:rsidR="009452A2" w:rsidRDefault="009452A2" w:rsidP="009452A2">
      <w:pPr>
        <w:pStyle w:val="SangriaFrancesaArticulo"/>
      </w:pPr>
    </w:p>
    <w:p w:rsidR="009452A2" w:rsidRDefault="009452A2" w:rsidP="009452A2">
      <w:pPr>
        <w:pStyle w:val="TextoNormalNegritaCursivandice"/>
      </w:pPr>
      <w:r>
        <w:t>Real Decreto 1126/1982, de 28 de mayo. Modifica varios artículos del Reglamento notarial</w:t>
      </w:r>
    </w:p>
    <w:p w:rsidR="009452A2" w:rsidRDefault="009452A2" w:rsidP="009452A2">
      <w:pPr>
        <w:pStyle w:val="SangriaFrancesaArticulo"/>
      </w:pPr>
      <w:r w:rsidRPr="009452A2">
        <w:rPr>
          <w:rStyle w:val="TextoNormalNegritaCaracter"/>
        </w:rPr>
        <w:t>Artículo 165.</w:t>
      </w:r>
      <w:r w:rsidRPr="009452A2">
        <w:rPr>
          <w:rStyle w:val="TextoNormalCaracter"/>
        </w:rPr>
        <w:t>-</w:t>
      </w:r>
      <w:r>
        <w:t xml:space="preserve"> Auto </w:t>
      </w:r>
      <w:hyperlink w:anchor="AUTO_1985_264" w:history="1">
        <w:r w:rsidRPr="009452A2">
          <w:rPr>
            <w:rStyle w:val="TextoNormalCaracter"/>
          </w:rPr>
          <w:t>264/1985</w:t>
        </w:r>
      </w:hyperlink>
      <w:r>
        <w:t>.</w:t>
      </w:r>
    </w:p>
    <w:p w:rsidR="009452A2" w:rsidRDefault="009452A2" w:rsidP="009452A2">
      <w:pPr>
        <w:pStyle w:val="SangriaFrancesaArticulo"/>
      </w:pPr>
      <w:r w:rsidRPr="009452A2">
        <w:rPr>
          <w:rStyle w:val="TextoNormalNegritaCaracter"/>
        </w:rPr>
        <w:t>Artículo 166.</w:t>
      </w:r>
      <w:r w:rsidRPr="009452A2">
        <w:rPr>
          <w:rStyle w:val="TextoNormalCaracter"/>
        </w:rPr>
        <w:t>-</w:t>
      </w:r>
      <w:r>
        <w:t xml:space="preserve"> Auto </w:t>
      </w:r>
      <w:hyperlink w:anchor="AUTO_1985_264" w:history="1">
        <w:r w:rsidRPr="009452A2">
          <w:rPr>
            <w:rStyle w:val="TextoNormalCaracter"/>
          </w:rPr>
          <w:t>264/1985</w:t>
        </w:r>
      </w:hyperlink>
      <w:r>
        <w:t>.</w:t>
      </w:r>
    </w:p>
    <w:p w:rsidR="009452A2" w:rsidRDefault="009452A2" w:rsidP="009452A2">
      <w:pPr>
        <w:pStyle w:val="SangriaFrancesaArticulo"/>
      </w:pPr>
      <w:r w:rsidRPr="009452A2">
        <w:rPr>
          <w:rStyle w:val="TextoNormalNegritaCaracter"/>
        </w:rPr>
        <w:t>Artículo 265.</w:t>
      </w:r>
      <w:r w:rsidRPr="009452A2">
        <w:rPr>
          <w:rStyle w:val="TextoNormalCaracter"/>
        </w:rPr>
        <w:t>-</w:t>
      </w:r>
      <w:r>
        <w:t xml:space="preserve"> Auto </w:t>
      </w:r>
      <w:hyperlink w:anchor="AUTO_1985_264" w:history="1">
        <w:r w:rsidRPr="009452A2">
          <w:rPr>
            <w:rStyle w:val="TextoNormalCaracter"/>
          </w:rPr>
          <w:t>264/1985</w:t>
        </w:r>
      </w:hyperlink>
      <w:r>
        <w:t>.</w:t>
      </w:r>
    </w:p>
    <w:p w:rsidR="009452A2" w:rsidRDefault="009452A2" w:rsidP="009452A2">
      <w:pPr>
        <w:pStyle w:val="SangriaFrancesaArticulo"/>
      </w:pPr>
    </w:p>
    <w:p w:rsidR="009452A2" w:rsidRDefault="009452A2" w:rsidP="009452A2">
      <w:pPr>
        <w:pStyle w:val="TextoNormalNegritaCursivandice"/>
      </w:pPr>
      <w:r>
        <w:t>Orden del Ministerio de Educación y Ciencia, de 30 de julio de 1982. Convoca concurso de méritos para proveer plazas vacantes en la plantilla del Cuerpo Especial de Inspectores Técnicos de Formación Profesional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8" w:history="1">
        <w:r w:rsidRPr="009452A2">
          <w:rPr>
            <w:rStyle w:val="TextoNormalCaracter"/>
          </w:rPr>
          <w:t>48/1985</w:t>
        </w:r>
      </w:hyperlink>
      <w:r>
        <w:t>, ff. 1, 4 a 7.</w:t>
      </w:r>
    </w:p>
    <w:p w:rsidR="009452A2" w:rsidRDefault="009452A2" w:rsidP="009452A2">
      <w:pPr>
        <w:pStyle w:val="SangriaFrancesaArticulo"/>
      </w:pPr>
      <w:r w:rsidRPr="009452A2">
        <w:rPr>
          <w:rStyle w:val="TextoNormalNegritaCaracter"/>
        </w:rPr>
        <w:t>Artículo 8.</w:t>
      </w:r>
      <w:r w:rsidRPr="009452A2">
        <w:rPr>
          <w:rStyle w:val="TextoNormalCaracter"/>
        </w:rPr>
        <w:t>-</w:t>
      </w:r>
      <w:r>
        <w:t xml:space="preserve"> Sentencia </w:t>
      </w:r>
      <w:hyperlink w:anchor="SENTENCIA_1985_48" w:history="1">
        <w:r w:rsidRPr="009452A2">
          <w:rPr>
            <w:rStyle w:val="TextoNormalCaracter"/>
          </w:rPr>
          <w:t>48/1985</w:t>
        </w:r>
      </w:hyperlink>
      <w:r>
        <w:t>, f. 3.</w:t>
      </w:r>
    </w:p>
    <w:p w:rsidR="009452A2" w:rsidRDefault="009452A2" w:rsidP="009452A2">
      <w:pPr>
        <w:pStyle w:val="SangriaFrancesaArticulo"/>
      </w:pPr>
    </w:p>
    <w:p w:rsidR="009452A2" w:rsidRDefault="009452A2" w:rsidP="009452A2">
      <w:pPr>
        <w:pStyle w:val="TextoNormalNegritaCursivandice"/>
      </w:pPr>
      <w:r>
        <w:t>Real Decreto 2816/1982, de 27 de agosto. Reglamento general de policía de espectáculos públicos y actividades recreativas</w:t>
      </w:r>
    </w:p>
    <w:p w:rsidR="009452A2" w:rsidRDefault="009452A2" w:rsidP="009452A2">
      <w:pPr>
        <w:pStyle w:val="SangriaFrancesaArticulo"/>
      </w:pPr>
      <w:r w:rsidRPr="009452A2">
        <w:rPr>
          <w:rStyle w:val="TextoNormalNegritaCaracter"/>
        </w:rPr>
        <w:t>Artículo 81.38.</w:t>
      </w:r>
      <w:r w:rsidRPr="009452A2">
        <w:rPr>
          <w:rStyle w:val="TextoNormalCaracter"/>
        </w:rPr>
        <w:t>-</w:t>
      </w:r>
      <w:r>
        <w:t xml:space="preserve"> Auto </w:t>
      </w:r>
      <w:hyperlink w:anchor="AUTO_1985_265" w:history="1">
        <w:r w:rsidRPr="009452A2">
          <w:rPr>
            <w:rStyle w:val="TextoNormalCaracter"/>
          </w:rPr>
          <w:t>265/1985</w:t>
        </w:r>
      </w:hyperlink>
      <w:r>
        <w:t>.</w:t>
      </w:r>
    </w:p>
    <w:p w:rsidR="009452A2" w:rsidRDefault="009452A2" w:rsidP="009452A2">
      <w:pPr>
        <w:pStyle w:val="SangriaFrancesaArticulo"/>
      </w:pPr>
      <w:r w:rsidRPr="009452A2">
        <w:rPr>
          <w:rStyle w:val="TextoNormalNegritaCaracter"/>
        </w:rPr>
        <w:t>Artículo 82.</w:t>
      </w:r>
      <w:r w:rsidRPr="009452A2">
        <w:rPr>
          <w:rStyle w:val="TextoNormalCaracter"/>
        </w:rPr>
        <w:t>-</w:t>
      </w:r>
      <w:r>
        <w:t xml:space="preserve"> Auto </w:t>
      </w:r>
      <w:hyperlink w:anchor="AUTO_1985_265" w:history="1">
        <w:r w:rsidRPr="009452A2">
          <w:rPr>
            <w:rStyle w:val="TextoNormalCaracter"/>
          </w:rPr>
          <w:t>265/1985</w:t>
        </w:r>
      </w:hyperlink>
      <w:r>
        <w:t>.</w:t>
      </w:r>
    </w:p>
    <w:p w:rsidR="009452A2" w:rsidRDefault="009452A2" w:rsidP="009452A2">
      <w:pPr>
        <w:pStyle w:val="SangriaFrancesaArticulo"/>
      </w:pPr>
    </w:p>
    <w:p w:rsidR="009452A2" w:rsidRDefault="009452A2" w:rsidP="009452A2">
      <w:pPr>
        <w:pStyle w:val="TextoNormalNegritaCursivandice"/>
      </w:pPr>
      <w:r>
        <w:t>Real Decreto 93/1983, de 19 de enero. Revalorización, mejora y cuantías mínimas de pensiones de la Seguridad Social</w:t>
      </w:r>
    </w:p>
    <w:p w:rsidR="009452A2" w:rsidRDefault="009452A2" w:rsidP="009452A2">
      <w:pPr>
        <w:pStyle w:val="SangriaFrancesaArticulo"/>
      </w:pPr>
      <w:r w:rsidRPr="009452A2">
        <w:rPr>
          <w:rStyle w:val="TextoNormalNegritaCaracter"/>
        </w:rPr>
        <w:t>Artículo 6.2.</w:t>
      </w:r>
      <w:r w:rsidRPr="009452A2">
        <w:rPr>
          <w:rStyle w:val="TextoNormalCaracter"/>
        </w:rPr>
        <w:t>-</w:t>
      </w:r>
      <w:r>
        <w:t xml:space="preserve"> Auto </w:t>
      </w:r>
      <w:hyperlink w:anchor="AUTO_1985_4" w:history="1">
        <w:r w:rsidRPr="009452A2">
          <w:rPr>
            <w:rStyle w:val="TextoNormalCaracter"/>
          </w:rPr>
          <w:t>4/1985</w:t>
        </w:r>
      </w:hyperlink>
      <w:r>
        <w:t>.</w:t>
      </w:r>
    </w:p>
    <w:p w:rsidR="009452A2" w:rsidRDefault="009452A2" w:rsidP="009452A2">
      <w:pPr>
        <w:pStyle w:val="SangriaFrancesaArticulo"/>
      </w:pPr>
    </w:p>
    <w:p w:rsidR="009452A2" w:rsidRDefault="009452A2" w:rsidP="009452A2">
      <w:pPr>
        <w:pStyle w:val="TextoNormalNegritaCursivandice"/>
      </w:pPr>
      <w:r>
        <w:t>Real Decreto 1896/1983, de 15 de junio. Modificación del artículo 153 del texto refundido de la Ley de procedimiento laboral sobre cuantía mínima para recurso de suplicación</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84" w:history="1">
        <w:r w:rsidRPr="009452A2">
          <w:rPr>
            <w:rStyle w:val="TextoNormalCaracter"/>
          </w:rPr>
          <w:t>84/1985</w:t>
        </w:r>
      </w:hyperlink>
      <w:r>
        <w:t>.</w:t>
      </w:r>
    </w:p>
    <w:p w:rsidR="009452A2" w:rsidRDefault="009452A2" w:rsidP="009452A2">
      <w:pPr>
        <w:pStyle w:val="SangriaFrancesaArticulo"/>
      </w:pPr>
    </w:p>
    <w:p w:rsidR="009452A2" w:rsidRDefault="009452A2" w:rsidP="009452A2">
      <w:pPr>
        <w:pStyle w:val="TextoNormalNegritaCursivandice"/>
      </w:pPr>
      <w:r>
        <w:t>Real Decreto 2001/1983, de 28 de julio. Jornadas, horas extraordinarias y descanso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04" w:history="1">
        <w:r w:rsidRPr="009452A2">
          <w:rPr>
            <w:rStyle w:val="TextoNormalCaracter"/>
          </w:rPr>
          <w:t>104/1985</w:t>
        </w:r>
      </w:hyperlink>
      <w:r>
        <w:t>.</w:t>
      </w:r>
    </w:p>
    <w:p w:rsidR="009452A2" w:rsidRDefault="009452A2" w:rsidP="009452A2">
      <w:pPr>
        <w:pStyle w:val="SangriaFrancesaArticulo"/>
      </w:pPr>
    </w:p>
    <w:p w:rsidR="009452A2" w:rsidRDefault="009452A2" w:rsidP="009452A2">
      <w:pPr>
        <w:pStyle w:val="TextoNormalNegritaCursivandice"/>
      </w:pPr>
      <w:r>
        <w:t>Real Decreto 2099/1983, de 4 de agosto. Reglamento de ordenación general de precedencias en el Estado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2" w:history="1">
        <w:r w:rsidRPr="009452A2">
          <w:rPr>
            <w:rStyle w:val="TextoNormalCaracter"/>
          </w:rPr>
          <w:t>12/1985</w:t>
        </w:r>
      </w:hyperlink>
      <w:r>
        <w:t>, ff. 1, 2.</w:t>
      </w:r>
    </w:p>
    <w:p w:rsidR="009452A2" w:rsidRDefault="009452A2" w:rsidP="009452A2">
      <w:pPr>
        <w:pStyle w:val="SangriaFrancesaArticulo"/>
      </w:pPr>
      <w:r w:rsidRPr="009452A2">
        <w:rPr>
          <w:rStyle w:val="TextoNormalNegritaCaracter"/>
        </w:rPr>
        <w:t>Artículo 2.1.</w:t>
      </w:r>
      <w:r w:rsidRPr="009452A2">
        <w:rPr>
          <w:rStyle w:val="TextoNormalCaracter"/>
        </w:rPr>
        <w:t>-</w:t>
      </w:r>
      <w:r>
        <w:t xml:space="preserve"> Sentencia </w:t>
      </w:r>
      <w:hyperlink w:anchor="SENTENCIA_1985_12" w:history="1">
        <w:r w:rsidRPr="009452A2">
          <w:rPr>
            <w:rStyle w:val="TextoNormalCaracter"/>
          </w:rPr>
          <w:t>12/1985</w:t>
        </w:r>
      </w:hyperlink>
      <w:r>
        <w:t>, f. 4.</w:t>
      </w:r>
    </w:p>
    <w:p w:rsidR="009452A2" w:rsidRDefault="009452A2" w:rsidP="009452A2">
      <w:pPr>
        <w:pStyle w:val="SangriaFrancesaArticulo"/>
      </w:pPr>
      <w:r w:rsidRPr="009452A2">
        <w:rPr>
          <w:rStyle w:val="TextoNormalNegritaCaracter"/>
        </w:rPr>
        <w:t>Artículo 3.</w:t>
      </w:r>
      <w:r w:rsidRPr="009452A2">
        <w:rPr>
          <w:rStyle w:val="TextoNormalCaracter"/>
        </w:rPr>
        <w:t>-</w:t>
      </w:r>
      <w:r>
        <w:t xml:space="preserve"> Sentencia </w:t>
      </w:r>
      <w:hyperlink w:anchor="SENTENCIA_1985_12" w:history="1">
        <w:r w:rsidRPr="009452A2">
          <w:rPr>
            <w:rStyle w:val="TextoNormalCaracter"/>
          </w:rPr>
          <w:t>12/1985</w:t>
        </w:r>
      </w:hyperlink>
      <w:r>
        <w:t>, f. 4.</w:t>
      </w:r>
    </w:p>
    <w:p w:rsidR="009452A2" w:rsidRDefault="009452A2" w:rsidP="009452A2">
      <w:pPr>
        <w:pStyle w:val="SangriaFrancesaArticulo"/>
      </w:pPr>
      <w:r w:rsidRPr="009452A2">
        <w:rPr>
          <w:rStyle w:val="TextoNormalNegritaCaracter"/>
        </w:rPr>
        <w:t>Artículo 5.2.</w:t>
      </w:r>
      <w:r w:rsidRPr="009452A2">
        <w:rPr>
          <w:rStyle w:val="TextoNormalCaracter"/>
        </w:rPr>
        <w:t>-</w:t>
      </w:r>
      <w:r>
        <w:t xml:space="preserve"> Sentencia </w:t>
      </w:r>
      <w:hyperlink w:anchor="SENTENCIA_1985_12" w:history="1">
        <w:r w:rsidRPr="009452A2">
          <w:rPr>
            <w:rStyle w:val="TextoNormalCaracter"/>
          </w:rPr>
          <w:t>12/1985</w:t>
        </w:r>
      </w:hyperlink>
      <w:r>
        <w:t>, f. 4.</w:t>
      </w:r>
    </w:p>
    <w:p w:rsidR="009452A2" w:rsidRDefault="009452A2" w:rsidP="009452A2">
      <w:pPr>
        <w:pStyle w:val="SangriaFrancesaArticulo"/>
      </w:pPr>
      <w:r w:rsidRPr="009452A2">
        <w:rPr>
          <w:rStyle w:val="TextoNormalNegritaCaracter"/>
        </w:rPr>
        <w:t>Artículo 13.</w:t>
      </w:r>
      <w:r w:rsidRPr="009452A2">
        <w:rPr>
          <w:rStyle w:val="TextoNormalCaracter"/>
        </w:rPr>
        <w:t>-</w:t>
      </w:r>
      <w:r>
        <w:t xml:space="preserve"> Sentencia </w:t>
      </w:r>
      <w:hyperlink w:anchor="SENTENCIA_1985_12" w:history="1">
        <w:r w:rsidRPr="009452A2">
          <w:rPr>
            <w:rStyle w:val="TextoNormalCaracter"/>
          </w:rPr>
          <w:t>12/1985</w:t>
        </w:r>
      </w:hyperlink>
      <w:r>
        <w:t>, f. 4.</w:t>
      </w:r>
    </w:p>
    <w:p w:rsidR="009452A2" w:rsidRDefault="009452A2" w:rsidP="009452A2">
      <w:pPr>
        <w:pStyle w:val="SangriaFrancesaArticulo"/>
      </w:pPr>
    </w:p>
    <w:p w:rsidR="009452A2" w:rsidRDefault="009452A2" w:rsidP="009452A2">
      <w:pPr>
        <w:pStyle w:val="TextoNormalNegritaCursivandice"/>
      </w:pPr>
      <w:r>
        <w:t>Real Decreto 2570/1983, de 21 de septiembre. Regulación del gravamen complementario de la tasa fiscal sobre los juegos de suerte, envite o azar realizados con máquinas o aparatos automáticos</w:t>
      </w:r>
    </w:p>
    <w:p w:rsidR="009452A2" w:rsidRDefault="009452A2" w:rsidP="009452A2">
      <w:pPr>
        <w:pStyle w:val="SangriaFrancesaArticulo"/>
      </w:pPr>
      <w:r w:rsidRPr="009452A2">
        <w:rPr>
          <w:rStyle w:val="TextoNormalNegritaCaracter"/>
        </w:rPr>
        <w:lastRenderedPageBreak/>
        <w:t>En general.</w:t>
      </w:r>
      <w:r w:rsidRPr="009452A2">
        <w:rPr>
          <w:rStyle w:val="TextoNormalCaracter"/>
        </w:rPr>
        <w:t>-</w:t>
      </w:r>
      <w:r>
        <w:t xml:space="preserve"> Auto </w:t>
      </w:r>
      <w:hyperlink w:anchor="AUTO_1985_204" w:history="1">
        <w:r w:rsidRPr="009452A2">
          <w:rPr>
            <w:rStyle w:val="TextoNormalCaracter"/>
          </w:rPr>
          <w:t>204/1985</w:t>
        </w:r>
      </w:hyperlink>
      <w:r>
        <w:t>.</w:t>
      </w:r>
    </w:p>
    <w:p w:rsidR="009452A2" w:rsidRDefault="009452A2" w:rsidP="009452A2">
      <w:pPr>
        <w:pStyle w:val="SangriaFrancesaArticulo"/>
      </w:pPr>
    </w:p>
    <w:p w:rsidR="009452A2" w:rsidRDefault="009452A2" w:rsidP="009452A2">
      <w:pPr>
        <w:pStyle w:val="TextoNormalNegritaCursivandice"/>
      </w:pPr>
      <w:r>
        <w:t>Orden del Ministerio de Agricultura, Pesca y Alimentación, de 23 de septiembre de 1983. Suprime las comisiones central y de zonas de cultivadores de remolacha y fabricantes de azúcar, y se crea la Comisión nacional azucarera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27" w:history="1">
        <w:r w:rsidRPr="009452A2">
          <w:rPr>
            <w:rStyle w:val="TextoNormalCaracter"/>
          </w:rPr>
          <w:t>127/1985</w:t>
        </w:r>
      </w:hyperlink>
      <w:r>
        <w:t>.</w:t>
      </w:r>
    </w:p>
    <w:p w:rsidR="009452A2" w:rsidRDefault="009452A2" w:rsidP="009452A2">
      <w:pPr>
        <w:pStyle w:val="SangriaFrancesaArticulo"/>
      </w:pPr>
    </w:p>
    <w:p w:rsidR="009452A2" w:rsidRDefault="009452A2" w:rsidP="009452A2">
      <w:pPr>
        <w:pStyle w:val="TextoNormalNegritaCursivandice"/>
      </w:pPr>
      <w:r>
        <w:t>Real Decreto 1271/1984, de 13 de junio. Medidas de reconversión del sector de construcción naval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84" w:history="1">
        <w:r w:rsidRPr="009452A2">
          <w:rPr>
            <w:rStyle w:val="TextoNormalCaracter"/>
          </w:rPr>
          <w:t>284/1985</w:t>
        </w:r>
      </w:hyperlink>
      <w:r>
        <w:t>.</w:t>
      </w:r>
    </w:p>
    <w:p w:rsidR="009452A2" w:rsidRDefault="009452A2" w:rsidP="009452A2">
      <w:pPr>
        <w:pStyle w:val="SangriaFrancesaArticulo"/>
      </w:pPr>
    </w:p>
    <w:p w:rsidR="009452A2" w:rsidRDefault="009452A2" w:rsidP="009452A2">
      <w:pPr>
        <w:pStyle w:val="TextoNormalNegritaCursivandice"/>
      </w:pPr>
      <w:r>
        <w:t>Real Decreto 1344/1984, de 4 de julio. Indemnizaciones a funcionarios públicos por razón de servicio</w:t>
      </w:r>
    </w:p>
    <w:p w:rsidR="009452A2" w:rsidRDefault="009452A2" w:rsidP="009452A2">
      <w:pPr>
        <w:pStyle w:val="SangriaFrancesaArticulo"/>
      </w:pPr>
      <w:r w:rsidRPr="009452A2">
        <w:rPr>
          <w:rStyle w:val="TextoNormalNegritaCaracter"/>
        </w:rPr>
        <w:t>Artículo 20.4.</w:t>
      </w:r>
      <w:r w:rsidRPr="009452A2">
        <w:rPr>
          <w:rStyle w:val="TextoNormalCaracter"/>
        </w:rPr>
        <w:t>-</w:t>
      </w:r>
      <w:r>
        <w:t xml:space="preserve"> Auto </w:t>
      </w:r>
      <w:hyperlink w:anchor="AUTO_1985_78" w:history="1">
        <w:r w:rsidRPr="009452A2">
          <w:rPr>
            <w:rStyle w:val="TextoNormalCaracter"/>
          </w:rPr>
          <w:t>78/1985</w:t>
        </w:r>
      </w:hyperlink>
      <w:r>
        <w:t>.</w:t>
      </w:r>
    </w:p>
    <w:p w:rsidR="009452A2" w:rsidRDefault="009452A2" w:rsidP="009452A2">
      <w:pPr>
        <w:pStyle w:val="SangriaFrancesaArticulo"/>
      </w:pPr>
    </w:p>
    <w:p w:rsidR="009452A2" w:rsidRDefault="009452A2" w:rsidP="009452A2">
      <w:pPr>
        <w:pStyle w:val="TextoNormalNegritaCursivandice"/>
      </w:pPr>
      <w:r>
        <w:t>Orden del Ministerio de Transportes, Turismo y Comunicaciones, de 19 de julio de 1984. Convocatoria concurso de subvenciones a fondo perdido para la promoción y comercialización del turismo rural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26" w:history="1">
        <w:r w:rsidRPr="009452A2">
          <w:rPr>
            <w:rStyle w:val="TextoNormalCaracter"/>
          </w:rPr>
          <w:t>126/1985</w:t>
        </w:r>
      </w:hyperlink>
      <w:r>
        <w:t>.</w:t>
      </w:r>
    </w:p>
    <w:p w:rsidR="009452A2" w:rsidRDefault="009452A2" w:rsidP="009452A2">
      <w:pPr>
        <w:pStyle w:val="SangriaFrancesaArticulo"/>
      </w:pPr>
    </w:p>
    <w:p w:rsidR="009452A2" w:rsidRDefault="009452A2" w:rsidP="009452A2">
      <w:pPr>
        <w:pStyle w:val="TextoNormalNegritaCursivandice"/>
      </w:pPr>
      <w:r>
        <w:t>Real Decreto 2137/1984, de 17 de octubre. Actualización de pensiones de determinados cuerpos y escalas de funcionarios de Correos y comunicaciones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43" w:history="1">
        <w:r w:rsidRPr="009452A2">
          <w:rPr>
            <w:rStyle w:val="TextoNormalCaracter"/>
          </w:rPr>
          <w:t>43/1985</w:t>
        </w:r>
      </w:hyperlink>
      <w:r>
        <w:t>.</w:t>
      </w:r>
    </w:p>
    <w:p w:rsidR="009452A2" w:rsidRDefault="009452A2" w:rsidP="009452A2">
      <w:pPr>
        <w:pStyle w:val="TextoNormal"/>
      </w:pPr>
    </w:p>
    <w:p w:rsidR="009452A2" w:rsidRDefault="009452A2" w:rsidP="009452A2">
      <w:pPr>
        <w:pStyle w:val="SangriaFrancesaArticulo"/>
      </w:pPr>
      <w:bookmarkStart w:id="358" w:name="INDICE22850"/>
    </w:p>
    <w:bookmarkEnd w:id="358"/>
    <w:p w:rsidR="009452A2" w:rsidRDefault="009452A2" w:rsidP="009452A2">
      <w:pPr>
        <w:pStyle w:val="TextoIndiceNivel2"/>
        <w:suppressAutoHyphens/>
      </w:pPr>
      <w:r>
        <w:t>I) Legislación preconstitucional</w:t>
      </w:r>
    </w:p>
    <w:p w:rsidR="009452A2" w:rsidRDefault="009452A2" w:rsidP="009452A2">
      <w:pPr>
        <w:pStyle w:val="TextoIndiceNivel2"/>
      </w:pPr>
    </w:p>
    <w:p w:rsidR="009452A2" w:rsidRDefault="009452A2" w:rsidP="009452A2">
      <w:pPr>
        <w:pStyle w:val="TextoNormalNegritaCursivandice"/>
      </w:pPr>
      <w:r>
        <w:t>Ley de 15 de septiembre de 1870. Orgánica del Poder judicial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43" w:history="1">
        <w:r w:rsidRPr="009452A2">
          <w:rPr>
            <w:rStyle w:val="TextoNormalCaracter"/>
          </w:rPr>
          <w:t>43/1985</w:t>
        </w:r>
      </w:hyperlink>
      <w:r>
        <w:t>.</w:t>
      </w:r>
    </w:p>
    <w:p w:rsidR="009452A2" w:rsidRDefault="009452A2" w:rsidP="009452A2">
      <w:pPr>
        <w:pStyle w:val="SangriaFrancesaArticulo"/>
      </w:pPr>
      <w:r w:rsidRPr="009452A2">
        <w:rPr>
          <w:rStyle w:val="TextoNormalNegritaCaracter"/>
        </w:rPr>
        <w:t>Artículo 481.4.</w:t>
      </w:r>
      <w:r w:rsidRPr="009452A2">
        <w:rPr>
          <w:rStyle w:val="TextoNormalCaracter"/>
        </w:rPr>
        <w:t>-</w:t>
      </w:r>
      <w:r>
        <w:t xml:space="preserve"> Sentencia </w:t>
      </w:r>
      <w:hyperlink w:anchor="SENTENCIA_1985_41" w:history="1">
        <w:r w:rsidRPr="009452A2">
          <w:rPr>
            <w:rStyle w:val="TextoNormalCaracter"/>
          </w:rPr>
          <w:t>41/1985</w:t>
        </w:r>
      </w:hyperlink>
      <w:r>
        <w:t>, f. 3.</w:t>
      </w:r>
    </w:p>
    <w:p w:rsidR="009452A2" w:rsidRDefault="009452A2" w:rsidP="009452A2">
      <w:pPr>
        <w:pStyle w:val="SangriaFrancesaArticulo"/>
      </w:pPr>
    </w:p>
    <w:p w:rsidR="009452A2" w:rsidRDefault="009452A2" w:rsidP="009452A2">
      <w:pPr>
        <w:pStyle w:val="TextoNormalNegritaCursivandice"/>
      </w:pPr>
      <w:r>
        <w:t>Real Decreto de 3 de febrero de 1881. Ley de enjuiciamiento civil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Autos </w:t>
      </w:r>
      <w:hyperlink w:anchor="AUTO_1985_43" w:history="1">
        <w:r w:rsidRPr="009452A2">
          <w:rPr>
            <w:rStyle w:val="TextoNormalCaracter"/>
          </w:rPr>
          <w:t>43/1985</w:t>
        </w:r>
      </w:hyperlink>
      <w:r>
        <w:t xml:space="preserve">; </w:t>
      </w:r>
      <w:hyperlink w:anchor="AUTO_1985_124" w:history="1">
        <w:r w:rsidRPr="009452A2">
          <w:rPr>
            <w:rStyle w:val="TextoNormalCaracter"/>
          </w:rPr>
          <w:t>124/1985</w:t>
        </w:r>
      </w:hyperlink>
      <w:r>
        <w:t xml:space="preserve">; </w:t>
      </w:r>
      <w:hyperlink w:anchor="AUTO_1985_211" w:history="1">
        <w:r w:rsidRPr="009452A2">
          <w:rPr>
            <w:rStyle w:val="TextoNormalCaracter"/>
          </w:rPr>
          <w:t>211/1985</w:t>
        </w:r>
      </w:hyperlink>
      <w:r>
        <w:t xml:space="preserve">; </w:t>
      </w:r>
      <w:hyperlink w:anchor="AUTO_1985_232" w:history="1">
        <w:r w:rsidRPr="009452A2">
          <w:rPr>
            <w:rStyle w:val="TextoNormalCaracter"/>
          </w:rPr>
          <w:t>232/1985</w:t>
        </w:r>
      </w:hyperlink>
      <w:r>
        <w:t xml:space="preserve">; </w:t>
      </w:r>
      <w:hyperlink w:anchor="AUTO_1985_249" w:history="1">
        <w:r w:rsidRPr="009452A2">
          <w:rPr>
            <w:rStyle w:val="TextoNormalCaracter"/>
          </w:rPr>
          <w:t>249/1985</w:t>
        </w:r>
      </w:hyperlink>
      <w:r>
        <w:t xml:space="preserve">; </w:t>
      </w:r>
      <w:hyperlink w:anchor="AUTO_1985_264" w:history="1">
        <w:r w:rsidRPr="009452A2">
          <w:rPr>
            <w:rStyle w:val="TextoNormalCaracter"/>
          </w:rPr>
          <w:t>264/1985</w:t>
        </w:r>
      </w:hyperlink>
      <w:r>
        <w:t>.</w:t>
      </w:r>
    </w:p>
    <w:p w:rsidR="009452A2" w:rsidRDefault="009452A2" w:rsidP="009452A2">
      <w:pPr>
        <w:pStyle w:val="SangriaFrancesaArticulo"/>
      </w:pPr>
      <w:r w:rsidRPr="009452A2">
        <w:rPr>
          <w:rStyle w:val="TextoNormalNegritaCaracter"/>
        </w:rPr>
        <w:t>Artículo 10.</w:t>
      </w:r>
      <w:r w:rsidRPr="009452A2">
        <w:rPr>
          <w:rStyle w:val="TextoNormalCaracter"/>
        </w:rPr>
        <w:t>-</w:t>
      </w:r>
      <w:r>
        <w:t xml:space="preserve"> Auto </w:t>
      </w:r>
      <w:hyperlink w:anchor="AUTO_1985_72" w:history="1">
        <w:r w:rsidRPr="009452A2">
          <w:rPr>
            <w:rStyle w:val="TextoNormalCaracter"/>
          </w:rPr>
          <w:t>72/1985</w:t>
        </w:r>
      </w:hyperlink>
      <w:r>
        <w:t>.</w:t>
      </w:r>
    </w:p>
    <w:p w:rsidR="009452A2" w:rsidRDefault="009452A2" w:rsidP="009452A2">
      <w:pPr>
        <w:pStyle w:val="SangriaFrancesaArticulo"/>
      </w:pPr>
      <w:r w:rsidRPr="009452A2">
        <w:rPr>
          <w:rStyle w:val="TextoNormalNegritaCaracter"/>
        </w:rPr>
        <w:t>Artículo 54.</w:t>
      </w:r>
      <w:r w:rsidRPr="009452A2">
        <w:rPr>
          <w:rStyle w:val="TextoNormalCaracter"/>
        </w:rPr>
        <w:t>-</w:t>
      </w:r>
      <w:r>
        <w:t xml:space="preserve"> Sentencia </w:t>
      </w:r>
      <w:hyperlink w:anchor="SENTENCIA_1985_39" w:history="1">
        <w:r w:rsidRPr="009452A2">
          <w:rPr>
            <w:rStyle w:val="TextoNormalCaracter"/>
          </w:rPr>
          <w:t>39/1985</w:t>
        </w:r>
      </w:hyperlink>
      <w:r>
        <w:t>, VP.</w:t>
      </w:r>
    </w:p>
    <w:p w:rsidR="009452A2" w:rsidRDefault="009452A2" w:rsidP="009452A2">
      <w:pPr>
        <w:pStyle w:val="SangriaFrancesaArticulo"/>
      </w:pPr>
      <w:r w:rsidRPr="009452A2">
        <w:rPr>
          <w:rStyle w:val="TextoNormalNegritaCaracter"/>
        </w:rPr>
        <w:t>Artículo 155.</w:t>
      </w:r>
      <w:r w:rsidRPr="009452A2">
        <w:rPr>
          <w:rStyle w:val="TextoNormalCaracter"/>
        </w:rPr>
        <w:t>-</w:t>
      </w:r>
      <w:r>
        <w:t xml:space="preserve"> Sentencia </w:t>
      </w:r>
      <w:hyperlink w:anchor="SENTENCIA_1985_39" w:history="1">
        <w:r w:rsidRPr="009452A2">
          <w:rPr>
            <w:rStyle w:val="TextoNormalCaracter"/>
          </w:rPr>
          <w:t>39/1985</w:t>
        </w:r>
      </w:hyperlink>
      <w:r>
        <w:t>, VP.</w:t>
      </w:r>
    </w:p>
    <w:p w:rsidR="009452A2" w:rsidRDefault="009452A2" w:rsidP="009452A2">
      <w:pPr>
        <w:pStyle w:val="SangriaFrancesaArticulo"/>
      </w:pPr>
      <w:r w:rsidRPr="009452A2">
        <w:rPr>
          <w:rStyle w:val="TextoNormalNegritaCaracter"/>
        </w:rPr>
        <w:t>Artículo 156.</w:t>
      </w:r>
      <w:r w:rsidRPr="009452A2">
        <w:rPr>
          <w:rStyle w:val="TextoNormalCaracter"/>
        </w:rPr>
        <w:t>-</w:t>
      </w:r>
      <w:r>
        <w:t xml:space="preserve"> Sentencia </w:t>
      </w:r>
      <w:hyperlink w:anchor="SENTENCIA_1985_14" w:history="1">
        <w:r w:rsidRPr="009452A2">
          <w:rPr>
            <w:rStyle w:val="TextoNormalCaracter"/>
          </w:rPr>
          <w:t>14/1985</w:t>
        </w:r>
      </w:hyperlink>
      <w:r>
        <w:t>, f. 3.</w:t>
      </w:r>
    </w:p>
    <w:p w:rsidR="009452A2" w:rsidRDefault="009452A2" w:rsidP="009452A2">
      <w:pPr>
        <w:pStyle w:val="SangriaFrancesaArticulo"/>
      </w:pPr>
      <w:r w:rsidRPr="009452A2">
        <w:rPr>
          <w:rStyle w:val="TextoNormalNegritaCaracter"/>
        </w:rPr>
        <w:t>Artículo 187.</w:t>
      </w:r>
      <w:r w:rsidRPr="009452A2">
        <w:rPr>
          <w:rStyle w:val="TextoNormalCaracter"/>
        </w:rPr>
        <w:t>-</w:t>
      </w:r>
      <w:r>
        <w:t xml:space="preserve"> Auto </w:t>
      </w:r>
      <w:hyperlink w:anchor="AUTO_1985_12" w:history="1">
        <w:r w:rsidRPr="009452A2">
          <w:rPr>
            <w:rStyle w:val="TextoNormalCaracter"/>
          </w:rPr>
          <w:t>12/1985</w:t>
        </w:r>
      </w:hyperlink>
      <w:r>
        <w:t>.</w:t>
      </w:r>
    </w:p>
    <w:p w:rsidR="009452A2" w:rsidRDefault="009452A2" w:rsidP="009452A2">
      <w:pPr>
        <w:pStyle w:val="SangriaFrancesaArticulo"/>
      </w:pPr>
      <w:r w:rsidRPr="009452A2">
        <w:rPr>
          <w:rStyle w:val="TextoNormalNegritaCaracter"/>
        </w:rPr>
        <w:t>Artículo 250.</w:t>
      </w:r>
      <w:r w:rsidRPr="009452A2">
        <w:rPr>
          <w:rStyle w:val="TextoNormalCaracter"/>
        </w:rPr>
        <w:t>-</w:t>
      </w:r>
      <w:r>
        <w:t xml:space="preserve"> Sentencia </w:t>
      </w:r>
      <w:hyperlink w:anchor="SENTENCIA_1985_41" w:history="1">
        <w:r w:rsidRPr="009452A2">
          <w:rPr>
            <w:rStyle w:val="TextoNormalCaracter"/>
          </w:rPr>
          <w:t>41/1985</w:t>
        </w:r>
      </w:hyperlink>
      <w:r>
        <w:t>, f. 3.</w:t>
      </w:r>
    </w:p>
    <w:p w:rsidR="009452A2" w:rsidRDefault="009452A2" w:rsidP="009452A2">
      <w:pPr>
        <w:pStyle w:val="SangriaFrancesaArticulo"/>
      </w:pPr>
      <w:r w:rsidRPr="009452A2">
        <w:rPr>
          <w:rStyle w:val="TextoNormalNegritaCaracter"/>
        </w:rPr>
        <w:t>Artículo 281.</w:t>
      </w:r>
      <w:r w:rsidRPr="009452A2">
        <w:rPr>
          <w:rStyle w:val="TextoNormalCaracter"/>
        </w:rPr>
        <w:t>-</w:t>
      </w:r>
      <w:r>
        <w:t xml:space="preserve"> Sentencia </w:t>
      </w:r>
      <w:hyperlink w:anchor="SENTENCIA_1985_21" w:history="1">
        <w:r w:rsidRPr="009452A2">
          <w:rPr>
            <w:rStyle w:val="TextoNormalCaracter"/>
          </w:rPr>
          <w:t>21/1985</w:t>
        </w:r>
      </w:hyperlink>
      <w:r>
        <w:t>, f. 1.</w:t>
      </w:r>
    </w:p>
    <w:p w:rsidR="009452A2" w:rsidRDefault="009452A2" w:rsidP="009452A2">
      <w:pPr>
        <w:pStyle w:val="SangriaFrancesaArticulo"/>
      </w:pPr>
      <w:r w:rsidRPr="009452A2">
        <w:rPr>
          <w:rStyle w:val="TextoNormalNegritaCaracter"/>
        </w:rPr>
        <w:t>Artículo 359.</w:t>
      </w:r>
      <w:r w:rsidRPr="009452A2">
        <w:rPr>
          <w:rStyle w:val="TextoNormalCaracter"/>
        </w:rPr>
        <w:t>-</w:t>
      </w:r>
      <w:r>
        <w:t xml:space="preserve"> Auto </w:t>
      </w:r>
      <w:hyperlink w:anchor="AUTO_1985_95" w:history="1">
        <w:r w:rsidRPr="009452A2">
          <w:rPr>
            <w:rStyle w:val="TextoNormalCaracter"/>
          </w:rPr>
          <w:t>95/1985</w:t>
        </w:r>
      </w:hyperlink>
      <w:r>
        <w:t>.</w:t>
      </w:r>
    </w:p>
    <w:p w:rsidR="009452A2" w:rsidRDefault="009452A2" w:rsidP="009452A2">
      <w:pPr>
        <w:pStyle w:val="SangriaFrancesaArticulo"/>
      </w:pPr>
      <w:r w:rsidRPr="009452A2">
        <w:rPr>
          <w:rStyle w:val="TextoNormalNegritaCaracter"/>
        </w:rPr>
        <w:t>Artículo 363.</w:t>
      </w:r>
      <w:r w:rsidRPr="009452A2">
        <w:rPr>
          <w:rStyle w:val="TextoNormalCaracter"/>
        </w:rPr>
        <w:t>-</w:t>
      </w:r>
      <w:r>
        <w:t xml:space="preserve"> Auto </w:t>
      </w:r>
      <w:hyperlink w:anchor="AUTO_1985_80" w:history="1">
        <w:r w:rsidRPr="009452A2">
          <w:rPr>
            <w:rStyle w:val="TextoNormalCaracter"/>
          </w:rPr>
          <w:t>80/1985</w:t>
        </w:r>
      </w:hyperlink>
      <w:r>
        <w:t>.</w:t>
      </w:r>
    </w:p>
    <w:p w:rsidR="009452A2" w:rsidRDefault="009452A2" w:rsidP="009452A2">
      <w:pPr>
        <w:pStyle w:val="SangriaFrancesaArticulo"/>
      </w:pPr>
      <w:r w:rsidRPr="009452A2">
        <w:rPr>
          <w:rStyle w:val="TextoNormalNegritaCaracter"/>
        </w:rPr>
        <w:t>Artículo 372.</w:t>
      </w:r>
      <w:r w:rsidRPr="009452A2">
        <w:rPr>
          <w:rStyle w:val="TextoNormalCaracter"/>
        </w:rPr>
        <w:t>-</w:t>
      </w:r>
      <w:r>
        <w:t xml:space="preserve"> Sentencia </w:t>
      </w:r>
      <w:hyperlink w:anchor="SENTENCIA_1985_5" w:history="1">
        <w:r w:rsidRPr="009452A2">
          <w:rPr>
            <w:rStyle w:val="TextoNormalCaracter"/>
          </w:rPr>
          <w:t>5/1985</w:t>
        </w:r>
      </w:hyperlink>
      <w:r>
        <w:t>, f. 8.</w:t>
      </w:r>
    </w:p>
    <w:p w:rsidR="009452A2" w:rsidRDefault="009452A2" w:rsidP="009452A2">
      <w:pPr>
        <w:pStyle w:val="SangriaFrancesaArticulo"/>
      </w:pPr>
      <w:r w:rsidRPr="009452A2">
        <w:rPr>
          <w:rStyle w:val="TextoNormalNegritaCaracter"/>
        </w:rPr>
        <w:t>Artículo 372.2.</w:t>
      </w:r>
      <w:r w:rsidRPr="009452A2">
        <w:rPr>
          <w:rStyle w:val="TextoNormalCaracter"/>
        </w:rPr>
        <w:t>-</w:t>
      </w:r>
      <w:r>
        <w:t xml:space="preserve"> Sentencia </w:t>
      </w:r>
      <w:hyperlink w:anchor="SENTENCIA_1985_5" w:history="1">
        <w:r w:rsidRPr="009452A2">
          <w:rPr>
            <w:rStyle w:val="TextoNormalCaracter"/>
          </w:rPr>
          <w:t>5/1985</w:t>
        </w:r>
      </w:hyperlink>
      <w:r>
        <w:t>, VP.</w:t>
      </w:r>
    </w:p>
    <w:p w:rsidR="009452A2" w:rsidRDefault="009452A2" w:rsidP="009452A2">
      <w:pPr>
        <w:pStyle w:val="SangriaFrancesaArticulo"/>
      </w:pPr>
      <w:r w:rsidRPr="009452A2">
        <w:rPr>
          <w:rStyle w:val="TextoNormalNegritaCaracter"/>
        </w:rPr>
        <w:t>Artículos 398 a 400.</w:t>
      </w:r>
      <w:r w:rsidRPr="009452A2">
        <w:rPr>
          <w:rStyle w:val="TextoNormalCaracter"/>
        </w:rPr>
        <w:t>-</w:t>
      </w:r>
      <w:r>
        <w:t xml:space="preserve"> Auto </w:t>
      </w:r>
      <w:hyperlink w:anchor="AUTO_1985_134" w:history="1">
        <w:r w:rsidRPr="009452A2">
          <w:rPr>
            <w:rStyle w:val="TextoNormalCaracter"/>
          </w:rPr>
          <w:t>134/1985</w:t>
        </w:r>
      </w:hyperlink>
      <w:r>
        <w:t>.</w:t>
      </w:r>
    </w:p>
    <w:p w:rsidR="009452A2" w:rsidRDefault="009452A2" w:rsidP="009452A2">
      <w:pPr>
        <w:pStyle w:val="SangriaFrancesaArticulo"/>
      </w:pPr>
      <w:r w:rsidRPr="009452A2">
        <w:rPr>
          <w:rStyle w:val="TextoNormalNegritaCaracter"/>
        </w:rPr>
        <w:t>Artículo 402.</w:t>
      </w:r>
      <w:r w:rsidRPr="009452A2">
        <w:rPr>
          <w:rStyle w:val="TextoNormalCaracter"/>
        </w:rPr>
        <w:t>-</w:t>
      </w:r>
      <w:r>
        <w:t xml:space="preserve"> Auto </w:t>
      </w:r>
      <w:hyperlink w:anchor="AUTO_1985_270" w:history="1">
        <w:r w:rsidRPr="009452A2">
          <w:rPr>
            <w:rStyle w:val="TextoNormalCaracter"/>
          </w:rPr>
          <w:t>270/1985</w:t>
        </w:r>
      </w:hyperlink>
      <w:r>
        <w:t>.</w:t>
      </w:r>
    </w:p>
    <w:p w:rsidR="009452A2" w:rsidRDefault="009452A2" w:rsidP="009452A2">
      <w:pPr>
        <w:pStyle w:val="SangriaFrancesaArticulo"/>
      </w:pPr>
      <w:r w:rsidRPr="009452A2">
        <w:rPr>
          <w:rStyle w:val="TextoNormalNegritaCaracter"/>
        </w:rPr>
        <w:lastRenderedPageBreak/>
        <w:t>Artículo 403.</w:t>
      </w:r>
      <w:r w:rsidRPr="009452A2">
        <w:rPr>
          <w:rStyle w:val="TextoNormalCaracter"/>
        </w:rPr>
        <w:t>-</w:t>
      </w:r>
      <w:r>
        <w:t xml:space="preserve"> Auto </w:t>
      </w:r>
      <w:hyperlink w:anchor="AUTO_1985_270" w:history="1">
        <w:r w:rsidRPr="009452A2">
          <w:rPr>
            <w:rStyle w:val="TextoNormalCaracter"/>
          </w:rPr>
          <w:t>270/1985</w:t>
        </w:r>
      </w:hyperlink>
      <w:r>
        <w:t>.</w:t>
      </w:r>
    </w:p>
    <w:p w:rsidR="009452A2" w:rsidRDefault="009452A2" w:rsidP="009452A2">
      <w:pPr>
        <w:pStyle w:val="SangriaFrancesaArticulo"/>
      </w:pPr>
      <w:r w:rsidRPr="009452A2">
        <w:rPr>
          <w:rStyle w:val="TextoNormalNegritaCaracter"/>
        </w:rPr>
        <w:t>Artículo 483.</w:t>
      </w:r>
      <w:r w:rsidRPr="009452A2">
        <w:rPr>
          <w:rStyle w:val="TextoNormalCaracter"/>
        </w:rPr>
        <w:t>-</w:t>
      </w:r>
      <w:r>
        <w:t xml:space="preserve"> Auto </w:t>
      </w:r>
      <w:hyperlink w:anchor="AUTO_1985_227" w:history="1">
        <w:r w:rsidRPr="009452A2">
          <w:rPr>
            <w:rStyle w:val="TextoNormalCaracter"/>
          </w:rPr>
          <w:t>227/1985</w:t>
        </w:r>
      </w:hyperlink>
      <w:r>
        <w:t>.</w:t>
      </w:r>
    </w:p>
    <w:p w:rsidR="009452A2" w:rsidRDefault="009452A2" w:rsidP="009452A2">
      <w:pPr>
        <w:pStyle w:val="SangriaFrancesaArticulo"/>
      </w:pPr>
      <w:r w:rsidRPr="009452A2">
        <w:rPr>
          <w:rStyle w:val="TextoNormalNegritaCaracter"/>
        </w:rPr>
        <w:t>Artículo 484.</w:t>
      </w:r>
      <w:r w:rsidRPr="009452A2">
        <w:rPr>
          <w:rStyle w:val="TextoNormalCaracter"/>
        </w:rPr>
        <w:t>-</w:t>
      </w:r>
      <w:r>
        <w:t xml:space="preserve"> Auto </w:t>
      </w:r>
      <w:hyperlink w:anchor="AUTO_1985_227" w:history="1">
        <w:r w:rsidRPr="009452A2">
          <w:rPr>
            <w:rStyle w:val="TextoNormalCaracter"/>
          </w:rPr>
          <w:t>227/1985</w:t>
        </w:r>
      </w:hyperlink>
      <w:r>
        <w:t>.</w:t>
      </w:r>
    </w:p>
    <w:p w:rsidR="009452A2" w:rsidRDefault="009452A2" w:rsidP="009452A2">
      <w:pPr>
        <w:pStyle w:val="SangriaFrancesaArticulo"/>
      </w:pPr>
      <w:r w:rsidRPr="009452A2">
        <w:rPr>
          <w:rStyle w:val="TextoNormalNegritaCaracter"/>
        </w:rPr>
        <w:t>Artículo 565.</w:t>
      </w:r>
      <w:r w:rsidRPr="009452A2">
        <w:rPr>
          <w:rStyle w:val="TextoNormalCaracter"/>
        </w:rPr>
        <w:t>-</w:t>
      </w:r>
      <w:r>
        <w:t xml:space="preserve"> Auto </w:t>
      </w:r>
      <w:hyperlink w:anchor="AUTO_1985_257" w:history="1">
        <w:r w:rsidRPr="009452A2">
          <w:rPr>
            <w:rStyle w:val="TextoNormalCaracter"/>
          </w:rPr>
          <w:t>257/1985</w:t>
        </w:r>
      </w:hyperlink>
      <w:r>
        <w:t>.</w:t>
      </w:r>
    </w:p>
    <w:p w:rsidR="009452A2" w:rsidRDefault="009452A2" w:rsidP="009452A2">
      <w:pPr>
        <w:pStyle w:val="SangriaFrancesaArticulo"/>
      </w:pPr>
      <w:r w:rsidRPr="009452A2">
        <w:rPr>
          <w:rStyle w:val="TextoNormalNegritaCaracter"/>
        </w:rPr>
        <w:t>Artículo 566.</w:t>
      </w:r>
      <w:r w:rsidRPr="009452A2">
        <w:rPr>
          <w:rStyle w:val="TextoNormalCaracter"/>
        </w:rPr>
        <w:t>-</w:t>
      </w:r>
      <w:r>
        <w:t xml:space="preserve"> Auto </w:t>
      </w:r>
      <w:hyperlink w:anchor="AUTO_1985_257" w:history="1">
        <w:r w:rsidRPr="009452A2">
          <w:rPr>
            <w:rStyle w:val="TextoNormalCaracter"/>
          </w:rPr>
          <w:t>257/1985</w:t>
        </w:r>
      </w:hyperlink>
      <w:r>
        <w:t>.</w:t>
      </w:r>
    </w:p>
    <w:p w:rsidR="009452A2" w:rsidRDefault="009452A2" w:rsidP="009452A2">
      <w:pPr>
        <w:pStyle w:val="SangriaFrancesaArticulo"/>
      </w:pPr>
      <w:r w:rsidRPr="009452A2">
        <w:rPr>
          <w:rStyle w:val="TextoNormalNegritaCaracter"/>
        </w:rPr>
        <w:t>Artículo 567.</w:t>
      </w:r>
      <w:r w:rsidRPr="009452A2">
        <w:rPr>
          <w:rStyle w:val="TextoNormalCaracter"/>
        </w:rPr>
        <w:t>-</w:t>
      </w:r>
      <w:r>
        <w:t xml:space="preserve"> Autos </w:t>
      </w:r>
      <w:hyperlink w:anchor="AUTO_1985_70" w:history="1">
        <w:r w:rsidRPr="009452A2">
          <w:rPr>
            <w:rStyle w:val="TextoNormalCaracter"/>
          </w:rPr>
          <w:t>70/1985</w:t>
        </w:r>
      </w:hyperlink>
      <w:r>
        <w:t xml:space="preserve">; </w:t>
      </w:r>
      <w:hyperlink w:anchor="AUTO_1985_249" w:history="1">
        <w:r w:rsidRPr="009452A2">
          <w:rPr>
            <w:rStyle w:val="TextoNormalCaracter"/>
          </w:rPr>
          <w:t>249/1985</w:t>
        </w:r>
      </w:hyperlink>
      <w:r>
        <w:t>.</w:t>
      </w:r>
    </w:p>
    <w:p w:rsidR="009452A2" w:rsidRDefault="009452A2" w:rsidP="009452A2">
      <w:pPr>
        <w:pStyle w:val="SangriaFrancesaArticulo"/>
      </w:pPr>
      <w:r w:rsidRPr="009452A2">
        <w:rPr>
          <w:rStyle w:val="TextoNormalNegritaCaracter"/>
        </w:rPr>
        <w:t>Artículo 593.</w:t>
      </w:r>
      <w:r w:rsidRPr="009452A2">
        <w:rPr>
          <w:rStyle w:val="TextoNormalCaracter"/>
        </w:rPr>
        <w:t>-</w:t>
      </w:r>
      <w:r>
        <w:t xml:space="preserve"> Auto </w:t>
      </w:r>
      <w:hyperlink w:anchor="AUTO_1985_168" w:history="1">
        <w:r w:rsidRPr="009452A2">
          <w:rPr>
            <w:rStyle w:val="TextoNormalCaracter"/>
          </w:rPr>
          <w:t>168/1985</w:t>
        </w:r>
      </w:hyperlink>
      <w:r>
        <w:t>.</w:t>
      </w:r>
    </w:p>
    <w:p w:rsidR="009452A2" w:rsidRDefault="009452A2" w:rsidP="009452A2">
      <w:pPr>
        <w:pStyle w:val="SangriaFrancesaArticulo"/>
      </w:pPr>
      <w:r w:rsidRPr="009452A2">
        <w:rPr>
          <w:rStyle w:val="TextoNormalNegritaCaracter"/>
        </w:rPr>
        <w:t>Artículo 678.</w:t>
      </w:r>
      <w:r w:rsidRPr="009452A2">
        <w:rPr>
          <w:rStyle w:val="TextoNormalCaracter"/>
        </w:rPr>
        <w:t>-</w:t>
      </w:r>
      <w:r>
        <w:t xml:space="preserve"> Sentencia </w:t>
      </w:r>
      <w:hyperlink w:anchor="SENTENCIA_1985_5" w:history="1">
        <w:r w:rsidRPr="009452A2">
          <w:rPr>
            <w:rStyle w:val="TextoNormalCaracter"/>
          </w:rPr>
          <w:t>5/1985</w:t>
        </w:r>
      </w:hyperlink>
      <w:r>
        <w:t>, f. 8.</w:t>
      </w:r>
    </w:p>
    <w:p w:rsidR="009452A2" w:rsidRDefault="009452A2" w:rsidP="009452A2">
      <w:pPr>
        <w:pStyle w:val="SangriaFrancesaArticulo"/>
      </w:pPr>
      <w:r w:rsidRPr="009452A2">
        <w:rPr>
          <w:rStyle w:val="TextoNormalNegritaCaracter"/>
        </w:rPr>
        <w:t>Artículo 741.</w:t>
      </w:r>
      <w:r w:rsidRPr="009452A2">
        <w:rPr>
          <w:rStyle w:val="TextoNormalCaracter"/>
        </w:rPr>
        <w:t>-</w:t>
      </w:r>
      <w:r>
        <w:t xml:space="preserve"> Auto </w:t>
      </w:r>
      <w:hyperlink w:anchor="AUTO_1985_161" w:history="1">
        <w:r w:rsidRPr="009452A2">
          <w:rPr>
            <w:rStyle w:val="TextoNormalCaracter"/>
          </w:rPr>
          <w:t>161/1985</w:t>
        </w:r>
      </w:hyperlink>
      <w:r>
        <w:t>.</w:t>
      </w:r>
    </w:p>
    <w:p w:rsidR="009452A2" w:rsidRDefault="009452A2" w:rsidP="009452A2">
      <w:pPr>
        <w:pStyle w:val="SangriaFrancesaArticulo"/>
      </w:pPr>
      <w:r w:rsidRPr="009452A2">
        <w:rPr>
          <w:rStyle w:val="TextoNormalNegritaCaracter"/>
        </w:rPr>
        <w:t>Artículo 867.</w:t>
      </w:r>
      <w:r w:rsidRPr="009452A2">
        <w:rPr>
          <w:rStyle w:val="TextoNormalCaracter"/>
        </w:rPr>
        <w:t>-</w:t>
      </w:r>
      <w:r>
        <w:t xml:space="preserve"> Auto </w:t>
      </w:r>
      <w:hyperlink w:anchor="AUTO_1985_169" w:history="1">
        <w:r w:rsidRPr="009452A2">
          <w:rPr>
            <w:rStyle w:val="TextoNormalCaracter"/>
          </w:rPr>
          <w:t>169/1985</w:t>
        </w:r>
      </w:hyperlink>
      <w:r>
        <w:t>.</w:t>
      </w:r>
    </w:p>
    <w:p w:rsidR="009452A2" w:rsidRDefault="009452A2" w:rsidP="009452A2">
      <w:pPr>
        <w:pStyle w:val="SangriaFrancesaArticulo"/>
      </w:pPr>
      <w:r w:rsidRPr="009452A2">
        <w:rPr>
          <w:rStyle w:val="TextoNormalNegritaCaracter"/>
        </w:rPr>
        <w:t>Artículo 920.</w:t>
      </w:r>
      <w:r w:rsidRPr="009452A2">
        <w:rPr>
          <w:rStyle w:val="TextoNormalCaracter"/>
        </w:rPr>
        <w:t>-</w:t>
      </w:r>
      <w:r>
        <w:t xml:space="preserve"> Auto </w:t>
      </w:r>
      <w:hyperlink w:anchor="AUTO_1985_52" w:history="1">
        <w:r w:rsidRPr="009452A2">
          <w:rPr>
            <w:rStyle w:val="TextoNormalCaracter"/>
          </w:rPr>
          <w:t>52/1985</w:t>
        </w:r>
      </w:hyperlink>
      <w:r>
        <w:t>.</w:t>
      </w:r>
    </w:p>
    <w:p w:rsidR="009452A2" w:rsidRDefault="009452A2" w:rsidP="009452A2">
      <w:pPr>
        <w:pStyle w:val="SangriaFrancesaArticulo"/>
      </w:pPr>
      <w:r w:rsidRPr="009452A2">
        <w:rPr>
          <w:rStyle w:val="TextoNormalNegritaCaracter"/>
        </w:rPr>
        <w:t>Artículo 1373.</w:t>
      </w:r>
      <w:r w:rsidRPr="009452A2">
        <w:rPr>
          <w:rStyle w:val="TextoNormalCaracter"/>
        </w:rPr>
        <w:t>-</w:t>
      </w:r>
      <w:r>
        <w:t xml:space="preserve"> Auto </w:t>
      </w:r>
      <w:hyperlink w:anchor="AUTO_1985_161" w:history="1">
        <w:r w:rsidRPr="009452A2">
          <w:rPr>
            <w:rStyle w:val="TextoNormalCaracter"/>
          </w:rPr>
          <w:t>161/1985</w:t>
        </w:r>
      </w:hyperlink>
      <w:r>
        <w:t>.</w:t>
      </w:r>
    </w:p>
    <w:p w:rsidR="009452A2" w:rsidRDefault="009452A2" w:rsidP="009452A2">
      <w:pPr>
        <w:pStyle w:val="SangriaFrancesaArticulo"/>
      </w:pPr>
      <w:r w:rsidRPr="009452A2">
        <w:rPr>
          <w:rStyle w:val="TextoNormalNegritaCaracter"/>
        </w:rPr>
        <w:t>Artículo 1429.4.</w:t>
      </w:r>
      <w:r w:rsidRPr="009452A2">
        <w:rPr>
          <w:rStyle w:val="TextoNormalCaracter"/>
        </w:rPr>
        <w:t>-</w:t>
      </w:r>
      <w:r>
        <w:t xml:space="preserve"> Sentencia </w:t>
      </w:r>
      <w:hyperlink w:anchor="SENTENCIA_1985_21" w:history="1">
        <w:r w:rsidRPr="009452A2">
          <w:rPr>
            <w:rStyle w:val="TextoNormalCaracter"/>
          </w:rPr>
          <w:t>21/1985</w:t>
        </w:r>
      </w:hyperlink>
      <w:r>
        <w:t>, f. 4.</w:t>
      </w:r>
    </w:p>
    <w:p w:rsidR="009452A2" w:rsidRDefault="009452A2" w:rsidP="009452A2">
      <w:pPr>
        <w:pStyle w:val="SangriaFrancesaArticulo"/>
      </w:pPr>
      <w:r w:rsidRPr="009452A2">
        <w:rPr>
          <w:rStyle w:val="TextoNormalNegritaCaracter"/>
        </w:rPr>
        <w:t>Artículo 1459.</w:t>
      </w:r>
      <w:r w:rsidRPr="009452A2">
        <w:rPr>
          <w:rStyle w:val="TextoNormalCaracter"/>
        </w:rPr>
        <w:t>-</w:t>
      </w:r>
      <w:r>
        <w:t xml:space="preserve"> Sentencia </w:t>
      </w:r>
      <w:hyperlink w:anchor="SENTENCIA_1985_21" w:history="1">
        <w:r w:rsidRPr="009452A2">
          <w:rPr>
            <w:rStyle w:val="TextoNormalCaracter"/>
          </w:rPr>
          <w:t>21/1985</w:t>
        </w:r>
      </w:hyperlink>
      <w:r>
        <w:t>, f. 4.</w:t>
      </w:r>
    </w:p>
    <w:p w:rsidR="009452A2" w:rsidRDefault="009452A2" w:rsidP="009452A2">
      <w:pPr>
        <w:pStyle w:val="SangriaFrancesaArticulo"/>
      </w:pPr>
      <w:r w:rsidRPr="009452A2">
        <w:rPr>
          <w:rStyle w:val="TextoNormalNegritaCaracter"/>
        </w:rPr>
        <w:t>Artículo 1461.</w:t>
      </w:r>
      <w:r w:rsidRPr="009452A2">
        <w:rPr>
          <w:rStyle w:val="TextoNormalCaracter"/>
        </w:rPr>
        <w:t>-</w:t>
      </w:r>
      <w:r>
        <w:t xml:space="preserve"> Sentencia </w:t>
      </w:r>
      <w:hyperlink w:anchor="SENTENCIA_1985_21" w:history="1">
        <w:r w:rsidRPr="009452A2">
          <w:rPr>
            <w:rStyle w:val="TextoNormalCaracter"/>
          </w:rPr>
          <w:t>21/1985</w:t>
        </w:r>
      </w:hyperlink>
      <w:r>
        <w:t>, f. 1.</w:t>
      </w:r>
    </w:p>
    <w:p w:rsidR="009452A2" w:rsidRDefault="009452A2" w:rsidP="009452A2">
      <w:pPr>
        <w:pStyle w:val="SangriaFrancesaArticulo"/>
      </w:pPr>
      <w:r w:rsidRPr="009452A2">
        <w:rPr>
          <w:rStyle w:val="TextoNormalNegritaCaracter"/>
        </w:rPr>
        <w:t>Artículo 1462.</w:t>
      </w:r>
      <w:r w:rsidRPr="009452A2">
        <w:rPr>
          <w:rStyle w:val="TextoNormalCaracter"/>
        </w:rPr>
        <w:t>-</w:t>
      </w:r>
      <w:r>
        <w:t xml:space="preserve"> Sentencia </w:t>
      </w:r>
      <w:hyperlink w:anchor="SENTENCIA_1985_21" w:history="1">
        <w:r w:rsidRPr="009452A2">
          <w:rPr>
            <w:rStyle w:val="TextoNormalCaracter"/>
          </w:rPr>
          <w:t>21/1985</w:t>
        </w:r>
      </w:hyperlink>
      <w:r>
        <w:t>, f. 1.</w:t>
      </w:r>
    </w:p>
    <w:p w:rsidR="009452A2" w:rsidRDefault="009452A2" w:rsidP="009452A2">
      <w:pPr>
        <w:pStyle w:val="SangriaFrancesaArticulo"/>
      </w:pPr>
      <w:r w:rsidRPr="009452A2">
        <w:rPr>
          <w:rStyle w:val="TextoNormalNegritaCaracter"/>
        </w:rPr>
        <w:t>Artículo 1464.1.</w:t>
      </w:r>
      <w:r w:rsidRPr="009452A2">
        <w:rPr>
          <w:rStyle w:val="TextoNormalCaracter"/>
        </w:rPr>
        <w:t>-</w:t>
      </w:r>
      <w:r>
        <w:t xml:space="preserve"> Sentencia </w:t>
      </w:r>
      <w:hyperlink w:anchor="SENTENCIA_1985_21" w:history="1">
        <w:r w:rsidRPr="009452A2">
          <w:rPr>
            <w:rStyle w:val="TextoNormalCaracter"/>
          </w:rPr>
          <w:t>21/1985</w:t>
        </w:r>
      </w:hyperlink>
      <w:r>
        <w:t>, f. 4.</w:t>
      </w:r>
    </w:p>
    <w:p w:rsidR="009452A2" w:rsidRDefault="009452A2" w:rsidP="009452A2">
      <w:pPr>
        <w:pStyle w:val="SangriaFrancesaArticulo"/>
      </w:pPr>
      <w:r w:rsidRPr="009452A2">
        <w:rPr>
          <w:rStyle w:val="TextoNormalNegritaCaracter"/>
        </w:rPr>
        <w:t>Artículo 1465.</w:t>
      </w:r>
      <w:r w:rsidRPr="009452A2">
        <w:rPr>
          <w:rStyle w:val="TextoNormalCaracter"/>
        </w:rPr>
        <w:t>-</w:t>
      </w:r>
      <w:r>
        <w:t xml:space="preserve"> Sentencia </w:t>
      </w:r>
      <w:hyperlink w:anchor="SENTENCIA_1985_21" w:history="1">
        <w:r w:rsidRPr="009452A2">
          <w:rPr>
            <w:rStyle w:val="TextoNormalCaracter"/>
          </w:rPr>
          <w:t>21/1985</w:t>
        </w:r>
      </w:hyperlink>
      <w:r>
        <w:t>, f. 4.</w:t>
      </w:r>
    </w:p>
    <w:p w:rsidR="009452A2" w:rsidRDefault="009452A2" w:rsidP="009452A2">
      <w:pPr>
        <w:pStyle w:val="SangriaFrancesaArticulo"/>
      </w:pPr>
      <w:r w:rsidRPr="009452A2">
        <w:rPr>
          <w:rStyle w:val="TextoNormalNegritaCaracter"/>
        </w:rPr>
        <w:t>Artículo 1480.</w:t>
      </w:r>
      <w:r w:rsidRPr="009452A2">
        <w:rPr>
          <w:rStyle w:val="TextoNormalCaracter"/>
        </w:rPr>
        <w:t>-</w:t>
      </w:r>
      <w:r>
        <w:t xml:space="preserve"> Auto </w:t>
      </w:r>
      <w:hyperlink w:anchor="AUTO_1985_161" w:history="1">
        <w:r w:rsidRPr="009452A2">
          <w:rPr>
            <w:rStyle w:val="TextoNormalCaracter"/>
          </w:rPr>
          <w:t>161/1985</w:t>
        </w:r>
      </w:hyperlink>
      <w:r>
        <w:t>.</w:t>
      </w:r>
    </w:p>
    <w:p w:rsidR="009452A2" w:rsidRDefault="009452A2" w:rsidP="009452A2">
      <w:pPr>
        <w:pStyle w:val="SangriaFrancesaArticulo"/>
      </w:pPr>
      <w:r w:rsidRPr="009452A2">
        <w:rPr>
          <w:rStyle w:val="TextoNormalNegritaCaracter"/>
        </w:rPr>
        <w:t>Artículo 1566.</w:t>
      </w:r>
      <w:r w:rsidRPr="009452A2">
        <w:rPr>
          <w:rStyle w:val="TextoNormalCaracter"/>
        </w:rPr>
        <w:t>-</w:t>
      </w:r>
      <w:r>
        <w:t xml:space="preserve"> Sentencia </w:t>
      </w:r>
      <w:hyperlink w:anchor="SENTENCIA_1985_29" w:history="1">
        <w:r w:rsidRPr="009452A2">
          <w:rPr>
            <w:rStyle w:val="TextoNormalCaracter"/>
          </w:rPr>
          <w:t>29/1985</w:t>
        </w:r>
      </w:hyperlink>
      <w:r>
        <w:t>, f. 2.</w:t>
      </w:r>
    </w:p>
    <w:p w:rsidR="009452A2" w:rsidRDefault="009452A2" w:rsidP="009452A2">
      <w:pPr>
        <w:pStyle w:val="SangriaFrancesaArticulo"/>
      </w:pPr>
      <w:r w:rsidRPr="009452A2">
        <w:rPr>
          <w:rStyle w:val="TextoNormalNegritaCaracter"/>
        </w:rPr>
        <w:t>Artículo 1567.</w:t>
      </w:r>
      <w:r w:rsidRPr="009452A2">
        <w:rPr>
          <w:rStyle w:val="TextoNormalCaracter"/>
        </w:rPr>
        <w:t>-</w:t>
      </w:r>
      <w:r>
        <w:t xml:space="preserve"> Sentencia </w:t>
      </w:r>
      <w:hyperlink w:anchor="SENTENCIA_1985_29" w:history="1">
        <w:r w:rsidRPr="009452A2">
          <w:rPr>
            <w:rStyle w:val="TextoNormalCaracter"/>
          </w:rPr>
          <w:t>29/1985</w:t>
        </w:r>
      </w:hyperlink>
      <w:r>
        <w:t>, f. 2, VP.</w:t>
      </w:r>
    </w:p>
    <w:p w:rsidR="009452A2" w:rsidRDefault="009452A2" w:rsidP="009452A2">
      <w:pPr>
        <w:pStyle w:val="SangriaFrancesaArticulo"/>
      </w:pPr>
      <w:r w:rsidRPr="009452A2">
        <w:rPr>
          <w:rStyle w:val="TextoNormalNegritaCaracter"/>
        </w:rPr>
        <w:t>Artículo 1567.2.</w:t>
      </w:r>
      <w:r w:rsidRPr="009452A2">
        <w:rPr>
          <w:rStyle w:val="TextoNormalCaracter"/>
        </w:rPr>
        <w:t>-</w:t>
      </w:r>
      <w:r>
        <w:t xml:space="preserve"> Sentencia </w:t>
      </w:r>
      <w:hyperlink w:anchor="SENTENCIA_1985_29" w:history="1">
        <w:r w:rsidRPr="009452A2">
          <w:rPr>
            <w:rStyle w:val="TextoNormalCaracter"/>
          </w:rPr>
          <w:t>29/1985</w:t>
        </w:r>
      </w:hyperlink>
      <w:r>
        <w:t>, ff. 1, 3, VP.</w:t>
      </w:r>
    </w:p>
    <w:p w:rsidR="009452A2" w:rsidRDefault="009452A2" w:rsidP="009452A2">
      <w:pPr>
        <w:pStyle w:val="SangriaFrancesaArticulo"/>
      </w:pPr>
      <w:r w:rsidRPr="009452A2">
        <w:rPr>
          <w:rStyle w:val="TextoNormalNegritaCaracter"/>
        </w:rPr>
        <w:t>Artículo 1687.1.</w:t>
      </w:r>
      <w:r w:rsidRPr="009452A2">
        <w:rPr>
          <w:rStyle w:val="TextoNormalCaracter"/>
        </w:rPr>
        <w:t>-</w:t>
      </w:r>
      <w:r>
        <w:t xml:space="preserve"> Auto </w:t>
      </w:r>
      <w:hyperlink w:anchor="AUTO_1985_279" w:history="1">
        <w:r w:rsidRPr="009452A2">
          <w:rPr>
            <w:rStyle w:val="TextoNormalCaracter"/>
          </w:rPr>
          <w:t>279/1985</w:t>
        </w:r>
      </w:hyperlink>
      <w:r>
        <w:t>.</w:t>
      </w:r>
    </w:p>
    <w:p w:rsidR="009452A2" w:rsidRDefault="009452A2" w:rsidP="009452A2">
      <w:pPr>
        <w:pStyle w:val="SangriaFrancesaArticulo"/>
      </w:pPr>
      <w:r w:rsidRPr="009452A2">
        <w:rPr>
          <w:rStyle w:val="TextoNormalNegritaCaracter"/>
        </w:rPr>
        <w:t>Artículo 1691.</w:t>
      </w:r>
      <w:r w:rsidRPr="009452A2">
        <w:rPr>
          <w:rStyle w:val="TextoNormalCaracter"/>
        </w:rPr>
        <w:t>-</w:t>
      </w:r>
      <w:r>
        <w:t xml:space="preserve"> Sentencia </w:t>
      </w:r>
      <w:hyperlink w:anchor="SENTENCIA_1985_57" w:history="1">
        <w:r w:rsidRPr="009452A2">
          <w:rPr>
            <w:rStyle w:val="TextoNormalCaracter"/>
          </w:rPr>
          <w:t>57/1985</w:t>
        </w:r>
      </w:hyperlink>
      <w:r>
        <w:t>, f. 4.</w:t>
      </w:r>
    </w:p>
    <w:p w:rsidR="009452A2" w:rsidRDefault="009452A2" w:rsidP="009452A2">
      <w:pPr>
        <w:pStyle w:val="SangriaFrancesaArticulo"/>
      </w:pPr>
      <w:r w:rsidRPr="009452A2">
        <w:rPr>
          <w:rStyle w:val="TextoNormalNegritaCaracter"/>
        </w:rPr>
        <w:t>Artículo 1692.</w:t>
      </w:r>
      <w:r w:rsidRPr="009452A2">
        <w:rPr>
          <w:rStyle w:val="TextoNormalCaracter"/>
        </w:rPr>
        <w:t>-</w:t>
      </w:r>
      <w:r>
        <w:t xml:space="preserve"> Sentencias </w:t>
      </w:r>
      <w:hyperlink w:anchor="SENTENCIA_1985_17" w:history="1">
        <w:r w:rsidRPr="009452A2">
          <w:rPr>
            <w:rStyle w:val="TextoNormalCaracter"/>
          </w:rPr>
          <w:t>17/1985</w:t>
        </w:r>
      </w:hyperlink>
      <w:r>
        <w:t xml:space="preserve">, f. 4; </w:t>
      </w:r>
      <w:hyperlink w:anchor="SENTENCIA_1985_57" w:history="1">
        <w:r w:rsidRPr="009452A2">
          <w:rPr>
            <w:rStyle w:val="TextoNormalCaracter"/>
          </w:rPr>
          <w:t>57/1985</w:t>
        </w:r>
      </w:hyperlink>
      <w:r>
        <w:t>, f. 4.</w:t>
      </w:r>
    </w:p>
    <w:p w:rsidR="009452A2" w:rsidRDefault="009452A2" w:rsidP="009452A2">
      <w:pPr>
        <w:pStyle w:val="SangriaFrancesaArticulo"/>
      </w:pPr>
      <w:r w:rsidRPr="009452A2">
        <w:rPr>
          <w:rStyle w:val="TextoNormalNegritaCaracter"/>
        </w:rPr>
        <w:t>Artículo 1692.1.</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r w:rsidRPr="009452A2">
        <w:rPr>
          <w:rStyle w:val="TextoNormalNegritaCaracter"/>
        </w:rPr>
        <w:t>Artículo 1695.</w:t>
      </w:r>
      <w:r w:rsidRPr="009452A2">
        <w:rPr>
          <w:rStyle w:val="TextoNormalCaracter"/>
        </w:rPr>
        <w:t>-</w:t>
      </w:r>
      <w:r>
        <w:t xml:space="preserve"> Auto </w:t>
      </w:r>
      <w:hyperlink w:anchor="AUTO_1985_52" w:history="1">
        <w:r w:rsidRPr="009452A2">
          <w:rPr>
            <w:rStyle w:val="TextoNormalCaracter"/>
          </w:rPr>
          <w:t>52/1985</w:t>
        </w:r>
      </w:hyperlink>
      <w:r>
        <w:t>.</w:t>
      </w:r>
    </w:p>
    <w:p w:rsidR="009452A2" w:rsidRDefault="009452A2" w:rsidP="009452A2">
      <w:pPr>
        <w:pStyle w:val="SangriaFrancesaArticulo"/>
      </w:pPr>
      <w:r w:rsidRPr="009452A2">
        <w:rPr>
          <w:rStyle w:val="TextoNormalNegritaCaracter"/>
        </w:rPr>
        <w:t>Artículo 1707.</w:t>
      </w:r>
      <w:r w:rsidRPr="009452A2">
        <w:rPr>
          <w:rStyle w:val="TextoNormalCaracter"/>
        </w:rPr>
        <w:t>-</w:t>
      </w:r>
      <w:r>
        <w:t xml:space="preserve"> Sentencia </w:t>
      </w:r>
      <w:hyperlink w:anchor="SENTENCIA_1985_57" w:history="1">
        <w:r w:rsidRPr="009452A2">
          <w:rPr>
            <w:rStyle w:val="TextoNormalCaracter"/>
          </w:rPr>
          <w:t>57/1985</w:t>
        </w:r>
      </w:hyperlink>
      <w:r>
        <w:t>, f. 2.</w:t>
      </w:r>
    </w:p>
    <w:p w:rsidR="009452A2" w:rsidRDefault="009452A2" w:rsidP="009452A2">
      <w:pPr>
        <w:pStyle w:val="SangriaFrancesaArticulo"/>
      </w:pPr>
      <w:r w:rsidRPr="009452A2">
        <w:rPr>
          <w:rStyle w:val="TextoNormalNegritaCaracter"/>
        </w:rPr>
        <w:t>Artículo 1720.</w:t>
      </w:r>
      <w:r w:rsidRPr="009452A2">
        <w:rPr>
          <w:rStyle w:val="TextoNormalCaracter"/>
        </w:rPr>
        <w:t>-</w:t>
      </w:r>
      <w:r>
        <w:t xml:space="preserve"> Sentencias </w:t>
      </w:r>
      <w:hyperlink w:anchor="SENTENCIA_1985_17" w:history="1">
        <w:r w:rsidRPr="009452A2">
          <w:rPr>
            <w:rStyle w:val="TextoNormalCaracter"/>
          </w:rPr>
          <w:t>17/1985</w:t>
        </w:r>
      </w:hyperlink>
      <w:r>
        <w:t xml:space="preserve">, f. 4; </w:t>
      </w:r>
      <w:hyperlink w:anchor="SENTENCIA_1985_57" w:history="1">
        <w:r w:rsidRPr="009452A2">
          <w:rPr>
            <w:rStyle w:val="TextoNormalCaracter"/>
          </w:rPr>
          <w:t>57/1985</w:t>
        </w:r>
      </w:hyperlink>
      <w:r>
        <w:t>, ff. 1, 2, 4.</w:t>
      </w:r>
    </w:p>
    <w:p w:rsidR="009452A2" w:rsidRDefault="009452A2" w:rsidP="009452A2">
      <w:pPr>
        <w:pStyle w:val="SangriaFrancesaArticulo"/>
      </w:pPr>
      <w:r w:rsidRPr="009452A2">
        <w:rPr>
          <w:rStyle w:val="TextoNormalNegritaCaracter"/>
        </w:rPr>
        <w:t>Artículo 1720.2.</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r w:rsidRPr="009452A2">
        <w:rPr>
          <w:rStyle w:val="TextoNormalNegritaCaracter"/>
        </w:rPr>
        <w:t>Artículo 1728.</w:t>
      </w:r>
      <w:r w:rsidRPr="009452A2">
        <w:rPr>
          <w:rStyle w:val="TextoNormalCaracter"/>
        </w:rPr>
        <w:t>-</w:t>
      </w:r>
      <w:r>
        <w:t xml:space="preserve"> Auto </w:t>
      </w:r>
      <w:hyperlink w:anchor="AUTO_1985_264" w:history="1">
        <w:r w:rsidRPr="009452A2">
          <w:rPr>
            <w:rStyle w:val="TextoNormalCaracter"/>
          </w:rPr>
          <w:t>264/1985</w:t>
        </w:r>
      </w:hyperlink>
      <w:r>
        <w:t>.</w:t>
      </w:r>
    </w:p>
    <w:p w:rsidR="009452A2" w:rsidRDefault="009452A2" w:rsidP="009452A2">
      <w:pPr>
        <w:pStyle w:val="SangriaFrancesaArticulo"/>
      </w:pPr>
      <w:r w:rsidRPr="009452A2">
        <w:rPr>
          <w:rStyle w:val="TextoNormalNegritaCaracter"/>
        </w:rPr>
        <w:t>Artículo 1729.2.</w:t>
      </w:r>
      <w:r w:rsidRPr="009452A2">
        <w:rPr>
          <w:rStyle w:val="TextoNormalCaracter"/>
        </w:rPr>
        <w:t>-</w:t>
      </w:r>
      <w:r>
        <w:t xml:space="preserve"> Auto </w:t>
      </w:r>
      <w:hyperlink w:anchor="AUTO_1985_264" w:history="1">
        <w:r w:rsidRPr="009452A2">
          <w:rPr>
            <w:rStyle w:val="TextoNormalCaracter"/>
          </w:rPr>
          <w:t>264/1985</w:t>
        </w:r>
      </w:hyperlink>
      <w:r>
        <w:t>.</w:t>
      </w:r>
    </w:p>
    <w:p w:rsidR="009452A2" w:rsidRDefault="009452A2" w:rsidP="009452A2">
      <w:pPr>
        <w:pStyle w:val="SangriaFrancesaArticulo"/>
      </w:pPr>
      <w:r w:rsidRPr="009452A2">
        <w:rPr>
          <w:rStyle w:val="TextoNormalNegritaCaracter"/>
        </w:rPr>
        <w:t>Artículo 1729.4.</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r w:rsidRPr="009452A2">
        <w:rPr>
          <w:rStyle w:val="TextoNormalNegritaCaracter"/>
        </w:rPr>
        <w:t>Artículo 1729.6.</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r w:rsidRPr="009452A2">
        <w:rPr>
          <w:rStyle w:val="TextoNormalNegritaCaracter"/>
        </w:rPr>
        <w:t>Artículo 1817.</w:t>
      </w:r>
      <w:r w:rsidRPr="009452A2">
        <w:rPr>
          <w:rStyle w:val="TextoNormalCaracter"/>
        </w:rPr>
        <w:t>-</w:t>
      </w:r>
      <w:r>
        <w:t xml:space="preserve"> Auto </w:t>
      </w:r>
      <w:hyperlink w:anchor="AUTO_1985_86" w:history="1">
        <w:r w:rsidRPr="009452A2">
          <w:rPr>
            <w:rStyle w:val="TextoNormalCaracter"/>
          </w:rPr>
          <w:t>86/1985</w:t>
        </w:r>
      </w:hyperlink>
      <w:r>
        <w:t>.</w:t>
      </w:r>
    </w:p>
    <w:p w:rsidR="009452A2" w:rsidRDefault="009452A2" w:rsidP="009452A2">
      <w:pPr>
        <w:pStyle w:val="SangriaFrancesaArticulo"/>
      </w:pPr>
      <w:r w:rsidRPr="009452A2">
        <w:rPr>
          <w:rStyle w:val="TextoNormalNegritaCaracter"/>
        </w:rPr>
        <w:t>Artículo 1824.</w:t>
      </w:r>
      <w:r w:rsidRPr="009452A2">
        <w:rPr>
          <w:rStyle w:val="TextoNormalCaracter"/>
        </w:rPr>
        <w:t>-</w:t>
      </w:r>
      <w:r>
        <w:t xml:space="preserve"> Auto </w:t>
      </w:r>
      <w:hyperlink w:anchor="AUTO_1985_86" w:history="1">
        <w:r w:rsidRPr="009452A2">
          <w:rPr>
            <w:rStyle w:val="TextoNormalCaracter"/>
          </w:rPr>
          <w:t>86/1985</w:t>
        </w:r>
      </w:hyperlink>
      <w:r>
        <w:t>.</w:t>
      </w:r>
    </w:p>
    <w:p w:rsidR="009452A2" w:rsidRDefault="009452A2" w:rsidP="009452A2">
      <w:pPr>
        <w:pStyle w:val="SangriaFrancesaArticulo"/>
      </w:pPr>
    </w:p>
    <w:p w:rsidR="009452A2" w:rsidRDefault="009452A2" w:rsidP="009452A2">
      <w:pPr>
        <w:pStyle w:val="TextoNormalNegritaCursivandice"/>
      </w:pPr>
      <w:r>
        <w:t>Real Decreto de 14 de septiembre de 1882. Ley de enjuiciamiento criminal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Sentencias </w:t>
      </w:r>
      <w:hyperlink w:anchor="SENTENCIA_1985_1" w:history="1">
        <w:r w:rsidRPr="009452A2">
          <w:rPr>
            <w:rStyle w:val="TextoNormalCaracter"/>
          </w:rPr>
          <w:t>1/1985</w:t>
        </w:r>
      </w:hyperlink>
      <w:r>
        <w:t xml:space="preserve">, ff. 2, 4; </w:t>
      </w:r>
      <w:hyperlink w:anchor="SENTENCIA_1985_13" w:history="1">
        <w:r w:rsidRPr="009452A2">
          <w:rPr>
            <w:rStyle w:val="TextoNormalCaracter"/>
          </w:rPr>
          <w:t>13/1985</w:t>
        </w:r>
      </w:hyperlink>
      <w:r>
        <w:t xml:space="preserve">, f. 2; </w:t>
      </w:r>
      <w:hyperlink w:anchor="SENTENCIA_1985_54" w:history="1">
        <w:r w:rsidRPr="009452A2">
          <w:rPr>
            <w:rStyle w:val="TextoNormalCaracter"/>
          </w:rPr>
          <w:t>54/1985</w:t>
        </w:r>
      </w:hyperlink>
      <w:r>
        <w:t>, f. 4.</w:t>
      </w:r>
    </w:p>
    <w:p w:rsidR="009452A2" w:rsidRDefault="009452A2" w:rsidP="009452A2">
      <w:pPr>
        <w:pStyle w:val="SangriaIzquierdaArticulo"/>
      </w:pPr>
      <w:r>
        <w:t xml:space="preserve">Auto </w:t>
      </w:r>
      <w:hyperlink w:anchor="AUTO_1985_145" w:history="1">
        <w:r w:rsidRPr="009452A2">
          <w:rPr>
            <w:rStyle w:val="TextoNormalCaracter"/>
          </w:rPr>
          <w:t>145/1985</w:t>
        </w:r>
      </w:hyperlink>
      <w:r>
        <w:t>.</w:t>
      </w:r>
    </w:p>
    <w:p w:rsidR="009452A2" w:rsidRDefault="009452A2" w:rsidP="009452A2">
      <w:pPr>
        <w:pStyle w:val="SangriaFrancesaArticulo"/>
      </w:pPr>
      <w:r w:rsidRPr="009452A2">
        <w:rPr>
          <w:rStyle w:val="TextoNormalNegritaCaracter"/>
        </w:rPr>
        <w:t>Artículo 3.</w:t>
      </w:r>
      <w:r w:rsidRPr="009452A2">
        <w:rPr>
          <w:rStyle w:val="TextoNormalCaracter"/>
        </w:rPr>
        <w:t>-</w:t>
      </w:r>
      <w:r>
        <w:t xml:space="preserve"> Auto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52.</w:t>
      </w:r>
      <w:r w:rsidRPr="009452A2">
        <w:rPr>
          <w:rStyle w:val="TextoNormalCaracter"/>
        </w:rPr>
        <w:t>-</w:t>
      </w:r>
      <w:r>
        <w:t xml:space="preserve"> Sentencia </w:t>
      </w:r>
      <w:hyperlink w:anchor="SENTENCIA_1985_44" w:history="1">
        <w:r w:rsidRPr="009452A2">
          <w:rPr>
            <w:rStyle w:val="TextoNormalCaracter"/>
          </w:rPr>
          <w:t>44/1985</w:t>
        </w:r>
      </w:hyperlink>
      <w:r>
        <w:t>, f. 4.</w:t>
      </w:r>
    </w:p>
    <w:p w:rsidR="009452A2" w:rsidRDefault="009452A2" w:rsidP="009452A2">
      <w:pPr>
        <w:pStyle w:val="SangriaFrancesaArticulo"/>
      </w:pPr>
      <w:r w:rsidRPr="009452A2">
        <w:rPr>
          <w:rStyle w:val="TextoNormalNegritaCaracter"/>
        </w:rPr>
        <w:t>Artículo 54.1.</w:t>
      </w:r>
      <w:r w:rsidRPr="009452A2">
        <w:rPr>
          <w:rStyle w:val="TextoNormalCaracter"/>
        </w:rPr>
        <w:t>-</w:t>
      </w:r>
      <w:r>
        <w:t xml:space="preserve"> Sentencia </w:t>
      </w:r>
      <w:hyperlink w:anchor="SENTENCIA_1985_44" w:history="1">
        <w:r w:rsidRPr="009452A2">
          <w:rPr>
            <w:rStyle w:val="TextoNormalCaracter"/>
          </w:rPr>
          <w:t>44/1985</w:t>
        </w:r>
      </w:hyperlink>
      <w:r>
        <w:t>, f. 4.</w:t>
      </w:r>
    </w:p>
    <w:p w:rsidR="009452A2" w:rsidRDefault="009452A2" w:rsidP="009452A2">
      <w:pPr>
        <w:pStyle w:val="SangriaFrancesaArticulo"/>
      </w:pPr>
      <w:r w:rsidRPr="009452A2">
        <w:rPr>
          <w:rStyle w:val="TextoNormalNegritaCaracter"/>
        </w:rPr>
        <w:t>Artículo 55.</w:t>
      </w:r>
      <w:r w:rsidRPr="009452A2">
        <w:rPr>
          <w:rStyle w:val="TextoNormalCaracter"/>
        </w:rPr>
        <w:t>-</w:t>
      </w:r>
      <w:r>
        <w:t xml:space="preserve"> Sentencia </w:t>
      </w:r>
      <w:hyperlink w:anchor="SENTENCIA_1985_44" w:history="1">
        <w:r w:rsidRPr="009452A2">
          <w:rPr>
            <w:rStyle w:val="TextoNormalCaracter"/>
          </w:rPr>
          <w:t>44/1985</w:t>
        </w:r>
      </w:hyperlink>
      <w:r>
        <w:t>, f. 4.</w:t>
      </w:r>
    </w:p>
    <w:p w:rsidR="009452A2" w:rsidRDefault="009452A2" w:rsidP="009452A2">
      <w:pPr>
        <w:pStyle w:val="SangriaFrancesaArticulo"/>
      </w:pPr>
      <w:r w:rsidRPr="009452A2">
        <w:rPr>
          <w:rStyle w:val="TextoNormalNegritaCaracter"/>
        </w:rPr>
        <w:t>Artículo 100.</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 101.</w:t>
      </w:r>
      <w:r w:rsidRPr="009452A2">
        <w:rPr>
          <w:rStyle w:val="TextoNormalCaracter"/>
        </w:rPr>
        <w:t>-</w:t>
      </w:r>
      <w:r>
        <w:t xml:space="preserve"> Sentencias </w:t>
      </w:r>
      <w:hyperlink w:anchor="SENTENCIA_1985_1" w:history="1">
        <w:r w:rsidRPr="009452A2">
          <w:rPr>
            <w:rStyle w:val="TextoNormalCaracter"/>
          </w:rPr>
          <w:t>1/1985</w:t>
        </w:r>
      </w:hyperlink>
      <w:r>
        <w:t xml:space="preserve">, f. 2;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 105.</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 110.</w:t>
      </w:r>
      <w:r w:rsidRPr="009452A2">
        <w:rPr>
          <w:rStyle w:val="TextoNormalCaracter"/>
        </w:rPr>
        <w:t>-</w:t>
      </w:r>
      <w:r>
        <w:t xml:space="preserve"> Sentencia </w:t>
      </w:r>
      <w:hyperlink w:anchor="SENTENCIA_1985_1" w:history="1">
        <w:r w:rsidRPr="009452A2">
          <w:rPr>
            <w:rStyle w:val="TextoNormalCaracter"/>
          </w:rPr>
          <w:t>1/1985</w:t>
        </w:r>
      </w:hyperlink>
      <w:r>
        <w:t>, ff. 2 a 4.</w:t>
      </w:r>
    </w:p>
    <w:p w:rsidR="009452A2" w:rsidRDefault="009452A2" w:rsidP="009452A2">
      <w:pPr>
        <w:pStyle w:val="SangriaFrancesaArticulo"/>
      </w:pPr>
      <w:r w:rsidRPr="009452A2">
        <w:rPr>
          <w:rStyle w:val="TextoNormalNegritaCaracter"/>
        </w:rPr>
        <w:lastRenderedPageBreak/>
        <w:t>Artículo 118</w:t>
      </w:r>
      <w:r>
        <w:t xml:space="preserve"> </w:t>
      </w:r>
      <w:r w:rsidRPr="009452A2">
        <w:rPr>
          <w:rStyle w:val="TextoNormalCaracter"/>
        </w:rPr>
        <w:t>(redactado por la Ley 53/1978, de 4 de diciembre)</w:t>
      </w:r>
      <w:r w:rsidRPr="009452A2">
        <w:rPr>
          <w:rStyle w:val="TextoNormalNegritaCaracter"/>
        </w:rPr>
        <w:t>.</w:t>
      </w:r>
      <w:r w:rsidRPr="009452A2">
        <w:rPr>
          <w:rStyle w:val="TextoNormalCaracter"/>
        </w:rPr>
        <w:t>-</w:t>
      </w:r>
      <w:r>
        <w:t xml:space="preserve"> Sentencia </w:t>
      </w:r>
      <w:hyperlink w:anchor="SENTENCIA_1985_44" w:history="1">
        <w:r w:rsidRPr="009452A2">
          <w:rPr>
            <w:rStyle w:val="TextoNormalCaracter"/>
          </w:rPr>
          <w:t>44/1985</w:t>
        </w:r>
      </w:hyperlink>
      <w:r>
        <w:t>, f. 3.</w:t>
      </w:r>
    </w:p>
    <w:p w:rsidR="009452A2" w:rsidRDefault="009452A2" w:rsidP="009452A2">
      <w:pPr>
        <w:pStyle w:val="SangriaFrancesaArticulo"/>
      </w:pPr>
      <w:r w:rsidRPr="009452A2">
        <w:rPr>
          <w:rStyle w:val="TextoNormalNegritaCaracter"/>
        </w:rPr>
        <w:t>Artículo 118.1.</w:t>
      </w:r>
      <w:r w:rsidRPr="009452A2">
        <w:rPr>
          <w:rStyle w:val="TextoNormalCaracter"/>
        </w:rPr>
        <w:t>-</w:t>
      </w:r>
      <w:r>
        <w:t xml:space="preserve"> 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118.2.</w:t>
      </w:r>
      <w:r w:rsidRPr="009452A2">
        <w:rPr>
          <w:rStyle w:val="TextoNormalCaracter"/>
        </w:rPr>
        <w:t>-</w:t>
      </w:r>
      <w:r>
        <w:t xml:space="preserve"> 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160.</w:t>
      </w:r>
      <w:r w:rsidRPr="009452A2">
        <w:rPr>
          <w:rStyle w:val="TextoNormalCaracter"/>
        </w:rPr>
        <w:t>-</w:t>
      </w:r>
      <w:r>
        <w:t xml:space="preserve"> Autos </w:t>
      </w:r>
      <w:hyperlink w:anchor="AUTO_1985_21" w:history="1">
        <w:r w:rsidRPr="009452A2">
          <w:rPr>
            <w:rStyle w:val="TextoNormalCaracter"/>
          </w:rPr>
          <w:t>21/1985</w:t>
        </w:r>
      </w:hyperlink>
      <w:r>
        <w:t xml:space="preserve">; </w:t>
      </w:r>
      <w:hyperlink w:anchor="AUTO_1985_186" w:history="1">
        <w:r w:rsidRPr="009452A2">
          <w:rPr>
            <w:rStyle w:val="TextoNormalCaracter"/>
          </w:rPr>
          <w:t>186/1985</w:t>
        </w:r>
      </w:hyperlink>
      <w:r>
        <w:t xml:space="preserve">; </w:t>
      </w:r>
      <w:hyperlink w:anchor="AUTO_1985_234" w:history="1">
        <w:r w:rsidRPr="009452A2">
          <w:rPr>
            <w:rStyle w:val="TextoNormalCaracter"/>
          </w:rPr>
          <w:t>234/1985</w:t>
        </w:r>
      </w:hyperlink>
      <w:r>
        <w:t>.</w:t>
      </w:r>
    </w:p>
    <w:p w:rsidR="009452A2" w:rsidRDefault="009452A2" w:rsidP="009452A2">
      <w:pPr>
        <w:pStyle w:val="SangriaFrancesaArticulo"/>
      </w:pPr>
      <w:r w:rsidRPr="009452A2">
        <w:rPr>
          <w:rStyle w:val="TextoNormalNegritaCaracter"/>
        </w:rPr>
        <w:t>Artículo 182.</w:t>
      </w:r>
      <w:r w:rsidRPr="009452A2">
        <w:rPr>
          <w:rStyle w:val="TextoNormalCaracter"/>
        </w:rPr>
        <w:t>-</w:t>
      </w:r>
      <w:r>
        <w:t xml:space="preserve"> Autos </w:t>
      </w:r>
      <w:hyperlink w:anchor="AUTO_1985_21" w:history="1">
        <w:r w:rsidRPr="009452A2">
          <w:rPr>
            <w:rStyle w:val="TextoNormalCaracter"/>
          </w:rPr>
          <w:t>21/1985</w:t>
        </w:r>
      </w:hyperlink>
      <w:r>
        <w:t xml:space="preserve">; </w:t>
      </w:r>
      <w:hyperlink w:anchor="AUTO_1985_186" w:history="1">
        <w:r w:rsidRPr="009452A2">
          <w:rPr>
            <w:rStyle w:val="TextoNormalCaracter"/>
          </w:rPr>
          <w:t>186/1985</w:t>
        </w:r>
      </w:hyperlink>
      <w:r>
        <w:t>.</w:t>
      </w:r>
    </w:p>
    <w:p w:rsidR="009452A2" w:rsidRDefault="009452A2" w:rsidP="009452A2">
      <w:pPr>
        <w:pStyle w:val="SangriaFrancesaArticulo"/>
      </w:pPr>
      <w:r w:rsidRPr="009452A2">
        <w:rPr>
          <w:rStyle w:val="TextoNormalNegritaCaracter"/>
        </w:rPr>
        <w:t>Artículo 206.</w:t>
      </w:r>
      <w:r w:rsidRPr="009452A2">
        <w:rPr>
          <w:rStyle w:val="TextoNormalCaracter"/>
        </w:rPr>
        <w:t>-</w:t>
      </w:r>
      <w:r>
        <w:t xml:space="preserve"> Sentencia </w:t>
      </w:r>
      <w:hyperlink w:anchor="SENTENCIA_1985_41" w:history="1">
        <w:r w:rsidRPr="009452A2">
          <w:rPr>
            <w:rStyle w:val="TextoNormalCaracter"/>
          </w:rPr>
          <w:t>41/1985</w:t>
        </w:r>
      </w:hyperlink>
      <w:r>
        <w:t>, f. 3.</w:t>
      </w:r>
    </w:p>
    <w:p w:rsidR="009452A2" w:rsidRDefault="009452A2" w:rsidP="009452A2">
      <w:pPr>
        <w:pStyle w:val="SangriaFrancesaArticulo"/>
      </w:pPr>
      <w:r w:rsidRPr="009452A2">
        <w:rPr>
          <w:rStyle w:val="TextoNormalNegritaCaracter"/>
        </w:rPr>
        <w:t>Artículo 236.</w:t>
      </w:r>
      <w:r w:rsidRPr="009452A2">
        <w:rPr>
          <w:rStyle w:val="TextoNormalCaracter"/>
        </w:rPr>
        <w:t>-</w:t>
      </w:r>
      <w:r>
        <w:t xml:space="preserve"> Autos </w:t>
      </w:r>
      <w:hyperlink w:anchor="AUTO_1985_196" w:history="1">
        <w:r w:rsidRPr="009452A2">
          <w:rPr>
            <w:rStyle w:val="TextoNormalCaracter"/>
          </w:rPr>
          <w:t>196/1985</w:t>
        </w:r>
      </w:hyperlink>
      <w:r>
        <w:t xml:space="preserve">; </w:t>
      </w:r>
      <w:hyperlink w:anchor="AUTO_1985_271" w:history="1">
        <w:r w:rsidRPr="009452A2">
          <w:rPr>
            <w:rStyle w:val="TextoNormalCaracter"/>
          </w:rPr>
          <w:t>271/1985</w:t>
        </w:r>
      </w:hyperlink>
      <w:r>
        <w:t>.</w:t>
      </w:r>
    </w:p>
    <w:p w:rsidR="009452A2" w:rsidRDefault="009452A2" w:rsidP="009452A2">
      <w:pPr>
        <w:pStyle w:val="SangriaFrancesaArticulo"/>
      </w:pPr>
      <w:r w:rsidRPr="009452A2">
        <w:rPr>
          <w:rStyle w:val="TextoNormalNegritaCaracter"/>
        </w:rPr>
        <w:t>Artículo 237.</w:t>
      </w:r>
      <w:r w:rsidRPr="009452A2">
        <w:rPr>
          <w:rStyle w:val="TextoNormalCaracter"/>
        </w:rPr>
        <w:t>-</w:t>
      </w:r>
      <w:r>
        <w:t xml:space="preserve"> Auto </w:t>
      </w:r>
      <w:hyperlink w:anchor="AUTO_1985_196" w:history="1">
        <w:r w:rsidRPr="009452A2">
          <w:rPr>
            <w:rStyle w:val="TextoNormalCaracter"/>
          </w:rPr>
          <w:t>196/1985</w:t>
        </w:r>
      </w:hyperlink>
      <w:r>
        <w:t>.</w:t>
      </w:r>
    </w:p>
    <w:p w:rsidR="009452A2" w:rsidRDefault="009452A2" w:rsidP="009452A2">
      <w:pPr>
        <w:pStyle w:val="SangriaFrancesaArticulo"/>
      </w:pPr>
      <w:r w:rsidRPr="009452A2">
        <w:rPr>
          <w:rStyle w:val="TextoNormalNegritaCaracter"/>
        </w:rPr>
        <w:t>Artículo 269.</w:t>
      </w:r>
      <w:r w:rsidRPr="009452A2">
        <w:rPr>
          <w:rStyle w:val="TextoNormalCaracter"/>
        </w:rPr>
        <w:t>-</w:t>
      </w:r>
      <w:r>
        <w:t xml:space="preserve"> Sentencia </w:t>
      </w:r>
      <w:hyperlink w:anchor="SENTENCIA_1985_1" w:history="1">
        <w:r w:rsidRPr="009452A2">
          <w:rPr>
            <w:rStyle w:val="TextoNormalCaracter"/>
          </w:rPr>
          <w:t>1/1985</w:t>
        </w:r>
      </w:hyperlink>
      <w:r>
        <w:t>, f. 4.</w:t>
      </w:r>
    </w:p>
    <w:p w:rsidR="009452A2" w:rsidRDefault="009452A2" w:rsidP="009452A2">
      <w:pPr>
        <w:pStyle w:val="SangriaFrancesaArticulo"/>
      </w:pPr>
      <w:r w:rsidRPr="009452A2">
        <w:rPr>
          <w:rStyle w:val="TextoNormalNegritaCaracter"/>
        </w:rPr>
        <w:t>Artículo 297.</w:t>
      </w:r>
      <w:r w:rsidRPr="009452A2">
        <w:rPr>
          <w:rStyle w:val="TextoNormalCaracter"/>
        </w:rPr>
        <w:t>-</w:t>
      </w:r>
      <w:r>
        <w:t xml:space="preserve"> Sentencia </w:t>
      </w:r>
      <w:hyperlink w:anchor="SENTENCIA_1985_36" w:history="1">
        <w:r w:rsidRPr="009452A2">
          <w:rPr>
            <w:rStyle w:val="TextoNormalCaracter"/>
          </w:rPr>
          <w:t>36/1985</w:t>
        </w:r>
      </w:hyperlink>
      <w:r>
        <w:t>, f. 3.</w:t>
      </w:r>
    </w:p>
    <w:p w:rsidR="009452A2" w:rsidRDefault="009452A2" w:rsidP="009452A2">
      <w:pPr>
        <w:pStyle w:val="SangriaFrancesaArticulo"/>
      </w:pPr>
      <w:r w:rsidRPr="009452A2">
        <w:rPr>
          <w:rStyle w:val="TextoNormalNegritaCaracter"/>
        </w:rPr>
        <w:t>Artículo 299.</w:t>
      </w:r>
      <w:r w:rsidRPr="009452A2">
        <w:rPr>
          <w:rStyle w:val="TextoNormalCaracter"/>
        </w:rPr>
        <w:t>-</w:t>
      </w:r>
      <w:r>
        <w:t xml:space="preserve"> Sentencia </w:t>
      </w:r>
      <w:hyperlink w:anchor="SENTENCIA_1985_13" w:history="1">
        <w:r w:rsidRPr="009452A2">
          <w:rPr>
            <w:rStyle w:val="TextoNormalCaracter"/>
          </w:rPr>
          <w:t>13/1985</w:t>
        </w:r>
      </w:hyperlink>
      <w:r>
        <w:t>, f. 3.</w:t>
      </w:r>
    </w:p>
    <w:p w:rsidR="009452A2" w:rsidRDefault="009452A2" w:rsidP="009452A2">
      <w:pPr>
        <w:pStyle w:val="SangriaFrancesaArticulo"/>
      </w:pPr>
      <w:r w:rsidRPr="009452A2">
        <w:rPr>
          <w:rStyle w:val="TextoNormalNegritaCaracter"/>
        </w:rPr>
        <w:t>Artículos 299 a 749.</w:t>
      </w:r>
      <w:r w:rsidRPr="009452A2">
        <w:rPr>
          <w:rStyle w:val="TextoNormalCaracter"/>
        </w:rPr>
        <w:t>-</w:t>
      </w:r>
      <w:r>
        <w:t xml:space="preserve"> Sentencia </w:t>
      </w:r>
      <w:hyperlink w:anchor="SENTENCIA_1985_54" w:history="1">
        <w:r w:rsidRPr="009452A2">
          <w:rPr>
            <w:rStyle w:val="TextoNormalCaracter"/>
          </w:rPr>
          <w:t>54/1985</w:t>
        </w:r>
      </w:hyperlink>
      <w:r>
        <w:t>, f. 4.</w:t>
      </w:r>
    </w:p>
    <w:p w:rsidR="009452A2" w:rsidRDefault="009452A2" w:rsidP="009452A2">
      <w:pPr>
        <w:pStyle w:val="SangriaFrancesaArticulo"/>
      </w:pPr>
      <w:r w:rsidRPr="009452A2">
        <w:rPr>
          <w:rStyle w:val="TextoNormalNegritaCaracter"/>
        </w:rPr>
        <w:t>Artículo 301.</w:t>
      </w:r>
      <w:r w:rsidRPr="009452A2">
        <w:rPr>
          <w:rStyle w:val="TextoNormalCaracter"/>
        </w:rPr>
        <w:t>-</w:t>
      </w:r>
      <w:r>
        <w:t xml:space="preserve"> Sentencia </w:t>
      </w:r>
      <w:hyperlink w:anchor="SENTENCIA_1985_13" w:history="1">
        <w:r w:rsidRPr="009452A2">
          <w:rPr>
            <w:rStyle w:val="TextoNormalCaracter"/>
          </w:rPr>
          <w:t>13/1985</w:t>
        </w:r>
      </w:hyperlink>
      <w:r>
        <w:t>, f. 3.</w:t>
      </w:r>
    </w:p>
    <w:p w:rsidR="009452A2" w:rsidRDefault="009452A2" w:rsidP="009452A2">
      <w:pPr>
        <w:pStyle w:val="SangriaFrancesaArticulo"/>
      </w:pPr>
      <w:r w:rsidRPr="009452A2">
        <w:rPr>
          <w:rStyle w:val="TextoNormalNegritaCaracter"/>
        </w:rPr>
        <w:t>Artículo 301.2.</w:t>
      </w:r>
      <w:r w:rsidRPr="009452A2">
        <w:rPr>
          <w:rStyle w:val="TextoNormalCaracter"/>
        </w:rPr>
        <w:t>-</w:t>
      </w:r>
      <w:r>
        <w:t xml:space="preserve"> Sentencia </w:t>
      </w:r>
      <w:hyperlink w:anchor="SENTENCIA_1985_13" w:history="1">
        <w:r w:rsidRPr="009452A2">
          <w:rPr>
            <w:rStyle w:val="TextoNormalCaracter"/>
          </w:rPr>
          <w:t>13/1985</w:t>
        </w:r>
      </w:hyperlink>
      <w:r>
        <w:t>, f. 3.</w:t>
      </w:r>
    </w:p>
    <w:p w:rsidR="009452A2" w:rsidRDefault="009452A2" w:rsidP="009452A2">
      <w:pPr>
        <w:pStyle w:val="SangriaFrancesaArticulo"/>
      </w:pPr>
      <w:r w:rsidRPr="009452A2">
        <w:rPr>
          <w:rStyle w:val="TextoNormalNegritaCaracter"/>
        </w:rPr>
        <w:t>Artículo 302.</w:t>
      </w:r>
      <w:r w:rsidRPr="009452A2">
        <w:rPr>
          <w:rStyle w:val="TextoNormalCaracter"/>
        </w:rPr>
        <w:t>-</w:t>
      </w:r>
      <w:r>
        <w:t xml:space="preserve"> Sentencia </w:t>
      </w:r>
      <w:hyperlink w:anchor="SENTENCIA_1985_13" w:history="1">
        <w:r w:rsidRPr="009452A2">
          <w:rPr>
            <w:rStyle w:val="TextoNormalCaracter"/>
          </w:rPr>
          <w:t>13/1985</w:t>
        </w:r>
      </w:hyperlink>
      <w:r>
        <w:t>, f. 3.</w:t>
      </w:r>
    </w:p>
    <w:p w:rsidR="009452A2" w:rsidRDefault="009452A2" w:rsidP="009452A2">
      <w:pPr>
        <w:pStyle w:val="SangriaFrancesaArticulo"/>
      </w:pPr>
      <w:r w:rsidRPr="009452A2">
        <w:rPr>
          <w:rStyle w:val="TextoNormalNegritaCaracter"/>
        </w:rPr>
        <w:t>Artículo 312.</w:t>
      </w:r>
      <w:r w:rsidRPr="009452A2">
        <w:rPr>
          <w:rStyle w:val="TextoNormalCaracter"/>
        </w:rPr>
        <w:t>-</w:t>
      </w:r>
      <w:r>
        <w:t xml:space="preserve"> Sentencia </w:t>
      </w:r>
      <w:hyperlink w:anchor="SENTENCIA_1985_1" w:history="1">
        <w:r w:rsidRPr="009452A2">
          <w:rPr>
            <w:rStyle w:val="TextoNormalCaracter"/>
          </w:rPr>
          <w:t>1/1985</w:t>
        </w:r>
      </w:hyperlink>
      <w:r>
        <w:t>, f. 4.</w:t>
      </w:r>
    </w:p>
    <w:p w:rsidR="009452A2" w:rsidRDefault="009452A2" w:rsidP="009452A2">
      <w:pPr>
        <w:pStyle w:val="SangriaFrancesaArticulo"/>
      </w:pPr>
      <w:r w:rsidRPr="009452A2">
        <w:rPr>
          <w:rStyle w:val="TextoNormalNegritaCaracter"/>
        </w:rPr>
        <w:t>Artículo 313.</w:t>
      </w:r>
      <w:r w:rsidRPr="009452A2">
        <w:rPr>
          <w:rStyle w:val="TextoNormalCaracter"/>
        </w:rPr>
        <w:t>-</w:t>
      </w:r>
      <w:r>
        <w:t xml:space="preserve"> Sentencia </w:t>
      </w:r>
      <w:hyperlink w:anchor="SENTENCIA_1985_1" w:history="1">
        <w:r w:rsidRPr="009452A2">
          <w:rPr>
            <w:rStyle w:val="TextoNormalCaracter"/>
          </w:rPr>
          <w:t>1/1985</w:t>
        </w:r>
      </w:hyperlink>
      <w:r>
        <w:t>, f. 4.</w:t>
      </w:r>
    </w:p>
    <w:p w:rsidR="009452A2" w:rsidRDefault="009452A2" w:rsidP="009452A2">
      <w:pPr>
        <w:pStyle w:val="SangriaFrancesaArticulo"/>
      </w:pPr>
      <w:r w:rsidRPr="009452A2">
        <w:rPr>
          <w:rStyle w:val="TextoNormalNegritaCaracter"/>
        </w:rPr>
        <w:t>Artículo 326.</w:t>
      </w:r>
      <w:r w:rsidRPr="009452A2">
        <w:rPr>
          <w:rStyle w:val="TextoNormalCaracter"/>
        </w:rPr>
        <w:t>-</w:t>
      </w:r>
      <w:r>
        <w:t xml:space="preserve"> Sentencia </w:t>
      </w:r>
      <w:hyperlink w:anchor="SENTENCIA_1985_13" w:history="1">
        <w:r w:rsidRPr="009452A2">
          <w:rPr>
            <w:rStyle w:val="TextoNormalCaracter"/>
          </w:rPr>
          <w:t>13/1985</w:t>
        </w:r>
      </w:hyperlink>
      <w:r>
        <w:t>, f. 3.</w:t>
      </w:r>
    </w:p>
    <w:p w:rsidR="009452A2" w:rsidRDefault="009452A2" w:rsidP="009452A2">
      <w:pPr>
        <w:pStyle w:val="SangriaFrancesaArticulo"/>
      </w:pPr>
      <w:r w:rsidRPr="009452A2">
        <w:rPr>
          <w:rStyle w:val="TextoNormalNegritaCaracter"/>
        </w:rPr>
        <w:t>Artículo 384.</w:t>
      </w:r>
      <w:r w:rsidRPr="009452A2">
        <w:rPr>
          <w:rStyle w:val="TextoNormalCaracter"/>
        </w:rPr>
        <w:t>-</w:t>
      </w:r>
      <w:r>
        <w:t xml:space="preserve"> Sentencia </w:t>
      </w:r>
      <w:hyperlink w:anchor="SENTENCIA_1985_30" w:history="1">
        <w:r w:rsidRPr="009452A2">
          <w:rPr>
            <w:rStyle w:val="TextoNormalCaracter"/>
          </w:rPr>
          <w:t>30/1985</w:t>
        </w:r>
      </w:hyperlink>
      <w:r>
        <w:t>, ff. 1, 2.</w:t>
      </w:r>
    </w:p>
    <w:p w:rsidR="009452A2" w:rsidRDefault="009452A2" w:rsidP="009452A2">
      <w:pPr>
        <w:pStyle w:val="SangriaIzquierdaArticulo"/>
      </w:pPr>
      <w:r>
        <w:t xml:space="preserve">Auto </w:t>
      </w:r>
      <w:hyperlink w:anchor="AUTO_1985_83" w:history="1">
        <w:r w:rsidRPr="009452A2">
          <w:rPr>
            <w:rStyle w:val="TextoNormalCaracter"/>
          </w:rPr>
          <w:t>83/1985</w:t>
        </w:r>
      </w:hyperlink>
      <w:r>
        <w:t>.</w:t>
      </w:r>
    </w:p>
    <w:p w:rsidR="009452A2" w:rsidRDefault="009452A2" w:rsidP="009452A2">
      <w:pPr>
        <w:pStyle w:val="SangriaFrancesaArticulo"/>
      </w:pPr>
      <w:r w:rsidRPr="009452A2">
        <w:rPr>
          <w:rStyle w:val="TextoNormalNegritaCaracter"/>
        </w:rPr>
        <w:t>Artículo 406.</w:t>
      </w:r>
      <w:r w:rsidRPr="009452A2">
        <w:rPr>
          <w:rStyle w:val="TextoNormalCaracter"/>
        </w:rPr>
        <w:t>-</w:t>
      </w:r>
      <w:r>
        <w:t xml:space="preserve"> 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410.</w:t>
      </w:r>
      <w:r w:rsidRPr="009452A2">
        <w:rPr>
          <w:rStyle w:val="TextoNormalCaracter"/>
        </w:rPr>
        <w:t>-</w:t>
      </w:r>
      <w:r>
        <w:t xml:space="preserve"> Auto </w:t>
      </w:r>
      <w:hyperlink w:anchor="AUTO_1985_120" w:history="1">
        <w:r w:rsidRPr="009452A2">
          <w:rPr>
            <w:rStyle w:val="TextoNormalCaracter"/>
          </w:rPr>
          <w:t>120/1985</w:t>
        </w:r>
      </w:hyperlink>
      <w:r>
        <w:t>.</w:t>
      </w:r>
    </w:p>
    <w:p w:rsidR="009452A2" w:rsidRDefault="009452A2" w:rsidP="009452A2">
      <w:pPr>
        <w:pStyle w:val="SangriaFrancesaArticulo"/>
      </w:pPr>
      <w:r w:rsidRPr="009452A2">
        <w:rPr>
          <w:rStyle w:val="TextoNormalNegritaCaracter"/>
        </w:rPr>
        <w:t>Artículo 504</w:t>
      </w:r>
      <w:r>
        <w:t xml:space="preserve"> </w:t>
      </w:r>
      <w:r w:rsidRPr="009452A2">
        <w:rPr>
          <w:rStyle w:val="TextoNormalCaracter"/>
        </w:rPr>
        <w:t>(redactado por la Ley 7/1983, de 23 de abril)</w:t>
      </w:r>
      <w:r w:rsidRPr="009452A2">
        <w:rPr>
          <w:rStyle w:val="TextoNormalNegritaCaracter"/>
        </w:rPr>
        <w:t>.</w:t>
      </w:r>
      <w:r w:rsidRPr="009452A2">
        <w:rPr>
          <w:rStyle w:val="TextoNormalCaracter"/>
        </w:rPr>
        <w:t>-</w:t>
      </w:r>
      <w:r>
        <w:t xml:space="preserve"> Sentencia </w:t>
      </w:r>
      <w:hyperlink w:anchor="SENTENCIA_1985_28" w:history="1">
        <w:r w:rsidRPr="009452A2">
          <w:rPr>
            <w:rStyle w:val="TextoNormalCaracter"/>
          </w:rPr>
          <w:t>28/1985</w:t>
        </w:r>
      </w:hyperlink>
      <w:r>
        <w:t>, ff. 1 a 4, 6.</w:t>
      </w:r>
    </w:p>
    <w:p w:rsidR="009452A2" w:rsidRDefault="009452A2" w:rsidP="009452A2">
      <w:pPr>
        <w:pStyle w:val="SangriaFrancesaArticulo"/>
      </w:pPr>
      <w:r w:rsidRPr="009452A2">
        <w:rPr>
          <w:rStyle w:val="TextoNormalNegritaCaracter"/>
        </w:rPr>
        <w:t>Artículo 504.3.</w:t>
      </w:r>
      <w:r w:rsidRPr="009452A2">
        <w:rPr>
          <w:rStyle w:val="TextoNormalCaracter"/>
        </w:rPr>
        <w:t>-</w:t>
      </w:r>
      <w:r>
        <w:t xml:space="preserve"> Auto </w:t>
      </w:r>
      <w:hyperlink w:anchor="AUTO_1985_20" w:history="1">
        <w:r w:rsidRPr="009452A2">
          <w:rPr>
            <w:rStyle w:val="TextoNormalCaracter"/>
          </w:rPr>
          <w:t>20/1985</w:t>
        </w:r>
      </w:hyperlink>
      <w:r>
        <w:t>.</w:t>
      </w:r>
    </w:p>
    <w:p w:rsidR="009452A2" w:rsidRDefault="009452A2" w:rsidP="009452A2">
      <w:pPr>
        <w:pStyle w:val="SangriaFrancesaArticulo"/>
      </w:pPr>
      <w:r w:rsidRPr="009452A2">
        <w:rPr>
          <w:rStyle w:val="TextoNormalNegritaCaracter"/>
        </w:rPr>
        <w:t>Artículo 528.</w:t>
      </w:r>
      <w:r w:rsidRPr="009452A2">
        <w:rPr>
          <w:rStyle w:val="TextoNormalCaracter"/>
        </w:rPr>
        <w:t>-</w:t>
      </w:r>
      <w:r>
        <w:t xml:space="preserve"> Sentencia </w:t>
      </w:r>
      <w:hyperlink w:anchor="SENTENCIA_1985_11" w:history="1">
        <w:r w:rsidRPr="009452A2">
          <w:rPr>
            <w:rStyle w:val="TextoNormalCaracter"/>
          </w:rPr>
          <w:t>11/1985</w:t>
        </w:r>
      </w:hyperlink>
      <w:r>
        <w:t>, f. 6.</w:t>
      </w:r>
    </w:p>
    <w:p w:rsidR="009452A2" w:rsidRDefault="009452A2" w:rsidP="009452A2">
      <w:pPr>
        <w:pStyle w:val="SangriaFrancesaArticulo"/>
      </w:pPr>
      <w:r w:rsidRPr="009452A2">
        <w:rPr>
          <w:rStyle w:val="TextoNormalNegritaCaracter"/>
        </w:rPr>
        <w:t>Artículo 545.</w:t>
      </w:r>
      <w:r w:rsidRPr="009452A2">
        <w:rPr>
          <w:rStyle w:val="TextoNormalCaracter"/>
        </w:rPr>
        <w:t>-</w:t>
      </w:r>
      <w:r>
        <w:t xml:space="preserve"> Sentencia </w:t>
      </w:r>
      <w:hyperlink w:anchor="SENTENCIA_1985_1" w:history="1">
        <w:r w:rsidRPr="009452A2">
          <w:rPr>
            <w:rStyle w:val="TextoNormalCaracter"/>
          </w:rPr>
          <w:t>1/1985</w:t>
        </w:r>
      </w:hyperlink>
      <w:r>
        <w:t>, ff. 3, 4.</w:t>
      </w:r>
    </w:p>
    <w:p w:rsidR="009452A2" w:rsidRDefault="009452A2" w:rsidP="009452A2">
      <w:pPr>
        <w:pStyle w:val="SangriaFrancesaArticulo"/>
      </w:pPr>
      <w:r w:rsidRPr="009452A2">
        <w:rPr>
          <w:rStyle w:val="TextoNormalNegritaCaracter"/>
        </w:rPr>
        <w:t>Artículo 546.</w:t>
      </w:r>
      <w:r w:rsidRPr="009452A2">
        <w:rPr>
          <w:rStyle w:val="TextoNormalCaracter"/>
        </w:rPr>
        <w:t>-</w:t>
      </w:r>
      <w:r>
        <w:t xml:space="preserve"> Sentencia </w:t>
      </w:r>
      <w:hyperlink w:anchor="SENTENCIA_1985_1" w:history="1">
        <w:r w:rsidRPr="009452A2">
          <w:rPr>
            <w:rStyle w:val="TextoNormalCaracter"/>
          </w:rPr>
          <w:t>1/1985</w:t>
        </w:r>
      </w:hyperlink>
      <w:r>
        <w:t>, ff. 3, 4.</w:t>
      </w:r>
    </w:p>
    <w:p w:rsidR="009452A2" w:rsidRDefault="009452A2" w:rsidP="009452A2">
      <w:pPr>
        <w:pStyle w:val="SangriaFrancesaArticulo"/>
      </w:pPr>
      <w:r w:rsidRPr="009452A2">
        <w:rPr>
          <w:rStyle w:val="TextoNormalNegritaCaracter"/>
        </w:rPr>
        <w:t>Artículo 623.</w:t>
      </w:r>
      <w:r w:rsidRPr="009452A2">
        <w:rPr>
          <w:rStyle w:val="TextoNormalCaracter"/>
        </w:rPr>
        <w:t>-</w:t>
      </w:r>
      <w:r>
        <w:t xml:space="preserve"> Sentencia </w:t>
      </w:r>
      <w:hyperlink w:anchor="SENTENCIA_1985_44" w:history="1">
        <w:r w:rsidRPr="009452A2">
          <w:rPr>
            <w:rStyle w:val="TextoNormalCaracter"/>
          </w:rPr>
          <w:t>44/1985</w:t>
        </w:r>
      </w:hyperlink>
      <w:r>
        <w:t>, f. 3.</w:t>
      </w:r>
    </w:p>
    <w:p w:rsidR="009452A2" w:rsidRDefault="009452A2" w:rsidP="009452A2">
      <w:pPr>
        <w:pStyle w:val="SangriaFrancesaArticulo"/>
      </w:pPr>
      <w:r w:rsidRPr="009452A2">
        <w:rPr>
          <w:rStyle w:val="TextoNormalNegritaCaracter"/>
        </w:rPr>
        <w:t>Artículo 641.</w:t>
      </w:r>
      <w:r w:rsidRPr="009452A2">
        <w:rPr>
          <w:rStyle w:val="TextoNormalCaracter"/>
        </w:rPr>
        <w:t>-</w:t>
      </w:r>
      <w:r>
        <w:t xml:space="preserve"> Sentencia </w:t>
      </w:r>
      <w:hyperlink w:anchor="SENTENCIA_1985_30" w:history="1">
        <w:r w:rsidRPr="009452A2">
          <w:rPr>
            <w:rStyle w:val="TextoNormalCaracter"/>
          </w:rPr>
          <w:t>30/1985</w:t>
        </w:r>
      </w:hyperlink>
      <w:r>
        <w:t>, f. 2.</w:t>
      </w:r>
    </w:p>
    <w:p w:rsidR="009452A2" w:rsidRDefault="009452A2" w:rsidP="009452A2">
      <w:pPr>
        <w:pStyle w:val="SangriaFrancesaArticulo"/>
      </w:pPr>
      <w:r w:rsidRPr="009452A2">
        <w:rPr>
          <w:rStyle w:val="TextoNormalNegritaCaracter"/>
        </w:rPr>
        <w:t>Artículo 641.2.</w:t>
      </w:r>
      <w:r w:rsidRPr="009452A2">
        <w:rPr>
          <w:rStyle w:val="TextoNormalCaracter"/>
        </w:rPr>
        <w:t>-</w:t>
      </w:r>
      <w:r>
        <w:t xml:space="preserve"> Sentencia </w:t>
      </w:r>
      <w:hyperlink w:anchor="SENTENCIA_1985_30" w:history="1">
        <w:r w:rsidRPr="009452A2">
          <w:rPr>
            <w:rStyle w:val="TextoNormalCaracter"/>
          </w:rPr>
          <w:t>30/1985</w:t>
        </w:r>
      </w:hyperlink>
      <w:r>
        <w:t>, f. 1.</w:t>
      </w:r>
    </w:p>
    <w:p w:rsidR="009452A2" w:rsidRDefault="009452A2" w:rsidP="009452A2">
      <w:pPr>
        <w:pStyle w:val="SangriaFrancesaArticulo"/>
      </w:pPr>
      <w:r w:rsidRPr="009452A2">
        <w:rPr>
          <w:rStyle w:val="TextoNormalNegritaCaracter"/>
        </w:rPr>
        <w:t>Artículo 644.</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 652.</w:t>
      </w:r>
      <w:r w:rsidRPr="009452A2">
        <w:rPr>
          <w:rStyle w:val="TextoNormalCaracter"/>
        </w:rPr>
        <w:t>-</w:t>
      </w:r>
      <w:r>
        <w:t xml:space="preserve"> Sentencia </w:t>
      </w:r>
      <w:hyperlink w:anchor="SENTENCIA_1985_18" w:history="1">
        <w:r w:rsidRPr="009452A2">
          <w:rPr>
            <w:rStyle w:val="TextoNormalCaracter"/>
          </w:rPr>
          <w:t>18/1985</w:t>
        </w:r>
      </w:hyperlink>
      <w:r>
        <w:t>, f. 2.</w:t>
      </w:r>
    </w:p>
    <w:p w:rsidR="009452A2" w:rsidRDefault="009452A2" w:rsidP="009452A2">
      <w:pPr>
        <w:pStyle w:val="SangriaFrancesaArticulo"/>
      </w:pPr>
      <w:r w:rsidRPr="009452A2">
        <w:rPr>
          <w:rStyle w:val="TextoNormalNegritaCaracter"/>
        </w:rPr>
        <w:t>Artículo 659.</w:t>
      </w:r>
      <w:r w:rsidRPr="009452A2">
        <w:rPr>
          <w:rStyle w:val="TextoNormalCaracter"/>
        </w:rPr>
        <w:t>-</w:t>
      </w:r>
      <w:r>
        <w:t xml:space="preserve"> Sentencia </w:t>
      </w:r>
      <w:hyperlink w:anchor="SENTENCIA_1985_51" w:history="1">
        <w:r w:rsidRPr="009452A2">
          <w:rPr>
            <w:rStyle w:val="TextoNormalCaracter"/>
          </w:rPr>
          <w:t>51/1985</w:t>
        </w:r>
      </w:hyperlink>
      <w:r>
        <w:t>, f. 9.</w:t>
      </w:r>
    </w:p>
    <w:p w:rsidR="009452A2" w:rsidRDefault="009452A2" w:rsidP="009452A2">
      <w:pPr>
        <w:pStyle w:val="SangriaIzquierdaArticulo"/>
      </w:pPr>
      <w:r>
        <w:t xml:space="preserve">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666.1.</w:t>
      </w:r>
      <w:r w:rsidRPr="009452A2">
        <w:rPr>
          <w:rStyle w:val="TextoNormalCaracter"/>
        </w:rPr>
        <w:t>-</w:t>
      </w:r>
      <w:r>
        <w:t xml:space="preserve"> Auto </w:t>
      </w:r>
      <w:hyperlink w:anchor="AUTO_1985_242" w:history="1">
        <w:r w:rsidRPr="009452A2">
          <w:rPr>
            <w:rStyle w:val="TextoNormalCaracter"/>
          </w:rPr>
          <w:t>242/1985</w:t>
        </w:r>
      </w:hyperlink>
      <w:r>
        <w:t>.</w:t>
      </w:r>
    </w:p>
    <w:p w:rsidR="009452A2" w:rsidRDefault="009452A2" w:rsidP="009452A2">
      <w:pPr>
        <w:pStyle w:val="SangriaFrancesaArticulo"/>
      </w:pPr>
      <w:r w:rsidRPr="009452A2">
        <w:rPr>
          <w:rStyle w:val="TextoNormalNegritaCaracter"/>
        </w:rPr>
        <w:t>Artículo 676.</w:t>
      </w:r>
      <w:r w:rsidRPr="009452A2">
        <w:rPr>
          <w:rStyle w:val="TextoNormalCaracter"/>
        </w:rPr>
        <w:t>-</w:t>
      </w:r>
      <w:r>
        <w:t xml:space="preserve"> Auto </w:t>
      </w:r>
      <w:hyperlink w:anchor="AUTO_1985_242" w:history="1">
        <w:r w:rsidRPr="009452A2">
          <w:rPr>
            <w:rStyle w:val="TextoNormalCaracter"/>
          </w:rPr>
          <w:t>242/1985</w:t>
        </w:r>
      </w:hyperlink>
      <w:r>
        <w:t>.</w:t>
      </w:r>
    </w:p>
    <w:p w:rsidR="009452A2" w:rsidRDefault="009452A2" w:rsidP="009452A2">
      <w:pPr>
        <w:pStyle w:val="SangriaFrancesaArticulo"/>
      </w:pPr>
      <w:r w:rsidRPr="009452A2">
        <w:rPr>
          <w:rStyle w:val="TextoNormalNegritaCaracter"/>
        </w:rPr>
        <w:t>Artículo 678.</w:t>
      </w:r>
      <w:r w:rsidRPr="009452A2">
        <w:rPr>
          <w:rStyle w:val="TextoNormalCaracter"/>
        </w:rPr>
        <w:t>-</w:t>
      </w:r>
      <w:r>
        <w:t xml:space="preserve"> Auto </w:t>
      </w:r>
      <w:hyperlink w:anchor="AUTO_1985_242" w:history="1">
        <w:r w:rsidRPr="009452A2">
          <w:rPr>
            <w:rStyle w:val="TextoNormalCaracter"/>
          </w:rPr>
          <w:t>242/1985</w:t>
        </w:r>
      </w:hyperlink>
      <w:r>
        <w:t>.</w:t>
      </w:r>
    </w:p>
    <w:p w:rsidR="009452A2" w:rsidRDefault="009452A2" w:rsidP="009452A2">
      <w:pPr>
        <w:pStyle w:val="SangriaFrancesaArticulo"/>
      </w:pPr>
      <w:r w:rsidRPr="009452A2">
        <w:rPr>
          <w:rStyle w:val="TextoNormalNegritaCaracter"/>
        </w:rPr>
        <w:t>Artículo 680.</w:t>
      </w:r>
      <w:r w:rsidRPr="009452A2">
        <w:rPr>
          <w:rStyle w:val="TextoNormalCaracter"/>
        </w:rPr>
        <w:t>-</w:t>
      </w:r>
      <w:r>
        <w:t xml:space="preserve"> Autos </w:t>
      </w:r>
      <w:hyperlink w:anchor="AUTO_1985_21" w:history="1">
        <w:r w:rsidRPr="009452A2">
          <w:rPr>
            <w:rStyle w:val="TextoNormalCaracter"/>
          </w:rPr>
          <w:t>21/1985</w:t>
        </w:r>
      </w:hyperlink>
      <w:r>
        <w:t xml:space="preserve">; </w:t>
      </w:r>
      <w:hyperlink w:anchor="AUTO_1985_64" w:history="1">
        <w:r w:rsidRPr="009452A2">
          <w:rPr>
            <w:rStyle w:val="TextoNormalCaracter"/>
          </w:rPr>
          <w:t>64/1985</w:t>
        </w:r>
      </w:hyperlink>
      <w:r>
        <w:t>.</w:t>
      </w:r>
    </w:p>
    <w:p w:rsidR="009452A2" w:rsidRDefault="009452A2" w:rsidP="009452A2">
      <w:pPr>
        <w:pStyle w:val="SangriaFrancesaArticulo"/>
      </w:pPr>
      <w:r w:rsidRPr="009452A2">
        <w:rPr>
          <w:rStyle w:val="TextoNormalNegritaCaracter"/>
        </w:rPr>
        <w:t>Artículo 701.</w:t>
      </w:r>
      <w:r w:rsidRPr="009452A2">
        <w:rPr>
          <w:rStyle w:val="TextoNormalCaracter"/>
        </w:rPr>
        <w:t>-</w:t>
      </w:r>
      <w:r>
        <w:t xml:space="preserve"> Auto </w:t>
      </w:r>
      <w:hyperlink w:anchor="AUTO_1985_64" w:history="1">
        <w:r w:rsidRPr="009452A2">
          <w:rPr>
            <w:rStyle w:val="TextoNormalCaracter"/>
          </w:rPr>
          <w:t>64/1985</w:t>
        </w:r>
      </w:hyperlink>
      <w:r>
        <w:t>.</w:t>
      </w:r>
    </w:p>
    <w:p w:rsidR="009452A2" w:rsidRDefault="009452A2" w:rsidP="009452A2">
      <w:pPr>
        <w:pStyle w:val="SangriaFrancesaArticulo"/>
      </w:pPr>
      <w:r w:rsidRPr="009452A2">
        <w:rPr>
          <w:rStyle w:val="TextoNormalNegritaCaracter"/>
        </w:rPr>
        <w:t>Artículo 702.</w:t>
      </w:r>
      <w:r w:rsidRPr="009452A2">
        <w:rPr>
          <w:rStyle w:val="TextoNormalCaracter"/>
        </w:rPr>
        <w:t>-</w:t>
      </w:r>
      <w:r>
        <w:t xml:space="preserve"> Auto </w:t>
      </w:r>
      <w:hyperlink w:anchor="AUTO_1985_120" w:history="1">
        <w:r w:rsidRPr="009452A2">
          <w:rPr>
            <w:rStyle w:val="TextoNormalCaracter"/>
          </w:rPr>
          <w:t>120/1985</w:t>
        </w:r>
      </w:hyperlink>
      <w:r>
        <w:t>.</w:t>
      </w:r>
    </w:p>
    <w:p w:rsidR="009452A2" w:rsidRDefault="009452A2" w:rsidP="009452A2">
      <w:pPr>
        <w:pStyle w:val="SangriaFrancesaArticulo"/>
      </w:pPr>
      <w:r w:rsidRPr="009452A2">
        <w:rPr>
          <w:rStyle w:val="TextoNormalNegritaCaracter"/>
        </w:rPr>
        <w:t>Artículo 733.</w:t>
      </w:r>
      <w:r w:rsidRPr="009452A2">
        <w:rPr>
          <w:rStyle w:val="TextoNormalCaracter"/>
        </w:rPr>
        <w:t>-</w:t>
      </w:r>
      <w:r>
        <w:t xml:space="preserve"> Sentencia </w:t>
      </w:r>
      <w:hyperlink w:anchor="SENTENCIA_1985_54" w:history="1">
        <w:r w:rsidRPr="009452A2">
          <w:rPr>
            <w:rStyle w:val="TextoNormalCaracter"/>
          </w:rPr>
          <w:t>54/1985</w:t>
        </w:r>
      </w:hyperlink>
      <w:r>
        <w:t>, ff. 5, 6.</w:t>
      </w:r>
    </w:p>
    <w:p w:rsidR="009452A2" w:rsidRDefault="009452A2" w:rsidP="009452A2">
      <w:pPr>
        <w:pStyle w:val="SangriaIzquierdaArticulo"/>
      </w:pPr>
      <w:r>
        <w:t xml:space="preserve">Auto </w:t>
      </w:r>
      <w:hyperlink w:anchor="AUTO_1985_187" w:history="1">
        <w:r w:rsidRPr="009452A2">
          <w:rPr>
            <w:rStyle w:val="TextoNormalCaracter"/>
          </w:rPr>
          <w:t>187/1985</w:t>
        </w:r>
      </w:hyperlink>
      <w:r>
        <w:t>.</w:t>
      </w:r>
    </w:p>
    <w:p w:rsidR="009452A2" w:rsidRDefault="009452A2" w:rsidP="009452A2">
      <w:pPr>
        <w:pStyle w:val="SangriaFrancesaArticulo"/>
      </w:pPr>
      <w:r w:rsidRPr="009452A2">
        <w:rPr>
          <w:rStyle w:val="TextoNormalNegritaCaracter"/>
        </w:rPr>
        <w:t>Artículo 741.</w:t>
      </w:r>
      <w:r w:rsidRPr="009452A2">
        <w:rPr>
          <w:rStyle w:val="TextoNormalCaracter"/>
        </w:rPr>
        <w:t>-</w:t>
      </w:r>
      <w:r>
        <w:t xml:space="preserve"> Sentencia </w:t>
      </w:r>
      <w:hyperlink w:anchor="SENTENCIA_1985_25" w:history="1">
        <w:r w:rsidRPr="009452A2">
          <w:rPr>
            <w:rStyle w:val="TextoNormalCaracter"/>
          </w:rPr>
          <w:t>25/1985</w:t>
        </w:r>
      </w:hyperlink>
      <w:r>
        <w:t>, f. 2.</w:t>
      </w:r>
    </w:p>
    <w:p w:rsidR="009452A2" w:rsidRDefault="009452A2" w:rsidP="009452A2">
      <w:pPr>
        <w:pStyle w:val="SangriaIzquierdaArticulo"/>
      </w:pPr>
      <w:r>
        <w:t xml:space="preserve">Autos </w:t>
      </w:r>
      <w:hyperlink w:anchor="AUTO_1985_21" w:history="1">
        <w:r w:rsidRPr="009452A2">
          <w:rPr>
            <w:rStyle w:val="TextoNormalCaracter"/>
          </w:rPr>
          <w:t>21/1985</w:t>
        </w:r>
      </w:hyperlink>
      <w:r>
        <w:t xml:space="preserve">; </w:t>
      </w:r>
      <w:hyperlink w:anchor="AUTO_1985_120" w:history="1">
        <w:r w:rsidRPr="009452A2">
          <w:rPr>
            <w:rStyle w:val="TextoNormalCaracter"/>
          </w:rPr>
          <w:t>120/1985</w:t>
        </w:r>
      </w:hyperlink>
      <w:r>
        <w:t xml:space="preserve">; </w:t>
      </w:r>
      <w:hyperlink w:anchor="AUTO_1985_180" w:history="1">
        <w:r w:rsidRPr="009452A2">
          <w:rPr>
            <w:rStyle w:val="TextoNormalCaracter"/>
          </w:rPr>
          <w:t>180/1985</w:t>
        </w:r>
      </w:hyperlink>
      <w:r>
        <w:t xml:space="preserve">;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746.3.</w:t>
      </w:r>
      <w:r w:rsidRPr="009452A2">
        <w:rPr>
          <w:rStyle w:val="TextoNormalCaracter"/>
        </w:rPr>
        <w:t>-</w:t>
      </w:r>
      <w:r>
        <w:t xml:space="preserve"> Auto </w:t>
      </w:r>
      <w:hyperlink w:anchor="AUTO_1985_73" w:history="1">
        <w:r w:rsidRPr="009452A2">
          <w:rPr>
            <w:rStyle w:val="TextoNormalCaracter"/>
          </w:rPr>
          <w:t>73/1985</w:t>
        </w:r>
      </w:hyperlink>
      <w:r>
        <w:t>.</w:t>
      </w:r>
    </w:p>
    <w:p w:rsidR="009452A2" w:rsidRDefault="009452A2" w:rsidP="009452A2">
      <w:pPr>
        <w:pStyle w:val="SangriaFrancesaArticulo"/>
      </w:pPr>
      <w:r w:rsidRPr="009452A2">
        <w:rPr>
          <w:rStyle w:val="TextoNormalNegritaCaracter"/>
        </w:rPr>
        <w:t>Artículo 748.</w:t>
      </w:r>
      <w:r w:rsidRPr="009452A2">
        <w:rPr>
          <w:rStyle w:val="TextoNormalCaracter"/>
        </w:rPr>
        <w:t>-</w:t>
      </w:r>
      <w:r>
        <w:t xml:space="preserve"> 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lastRenderedPageBreak/>
        <w:t>Artículo 749.</w:t>
      </w:r>
      <w:r w:rsidRPr="009452A2">
        <w:rPr>
          <w:rStyle w:val="TextoNormalCaracter"/>
        </w:rPr>
        <w:t>-</w:t>
      </w:r>
      <w:r>
        <w:t xml:space="preserve"> Sentencia </w:t>
      </w:r>
      <w:hyperlink w:anchor="SENTENCIA_1985_54" w:history="1">
        <w:r w:rsidRPr="009452A2">
          <w:rPr>
            <w:rStyle w:val="TextoNormalCaracter"/>
          </w:rPr>
          <w:t>54/1985</w:t>
        </w:r>
      </w:hyperlink>
      <w:r>
        <w:t>, f. 4.</w:t>
      </w:r>
    </w:p>
    <w:p w:rsidR="009452A2" w:rsidRDefault="009452A2" w:rsidP="009452A2">
      <w:pPr>
        <w:pStyle w:val="SangriaFrancesaArticulo"/>
      </w:pPr>
      <w:r w:rsidRPr="009452A2">
        <w:rPr>
          <w:rStyle w:val="TextoNormalNegritaCaracter"/>
        </w:rPr>
        <w:t>Artículo 789.</w:t>
      </w:r>
      <w:r w:rsidRPr="009452A2">
        <w:rPr>
          <w:rStyle w:val="TextoNormalCaracter"/>
        </w:rPr>
        <w:t>-</w:t>
      </w:r>
      <w:r>
        <w:t xml:space="preserve"> Sentencia </w:t>
      </w:r>
      <w:hyperlink w:anchor="SENTENCIA_1985_1" w:history="1">
        <w:r w:rsidRPr="009452A2">
          <w:rPr>
            <w:rStyle w:val="TextoNormalCaracter"/>
          </w:rPr>
          <w:t>1/1985</w:t>
        </w:r>
      </w:hyperlink>
      <w:r>
        <w:t>, f. 4.</w:t>
      </w:r>
    </w:p>
    <w:p w:rsidR="009452A2" w:rsidRDefault="009452A2" w:rsidP="009452A2">
      <w:pPr>
        <w:pStyle w:val="SangriaFrancesaArticulo"/>
      </w:pPr>
      <w:r w:rsidRPr="009452A2">
        <w:rPr>
          <w:rStyle w:val="TextoNormalNegritaCaracter"/>
        </w:rPr>
        <w:t>Artículo 789.1.</w:t>
      </w:r>
      <w:r w:rsidRPr="009452A2">
        <w:rPr>
          <w:rStyle w:val="TextoNormalCaracter"/>
        </w:rPr>
        <w:t>-</w:t>
      </w:r>
      <w:r>
        <w:t xml:space="preserve"> Sentencia </w:t>
      </w:r>
      <w:hyperlink w:anchor="SENTENCIA_1985_1" w:history="1">
        <w:r w:rsidRPr="009452A2">
          <w:rPr>
            <w:rStyle w:val="TextoNormalCaracter"/>
          </w:rPr>
          <w:t>1/1985</w:t>
        </w:r>
      </w:hyperlink>
      <w:r>
        <w:t>, f. 2.</w:t>
      </w:r>
    </w:p>
    <w:p w:rsidR="009452A2" w:rsidRDefault="009452A2" w:rsidP="009452A2">
      <w:pPr>
        <w:pStyle w:val="SangriaIzquierdaArticulo"/>
      </w:pPr>
      <w:r>
        <w:t xml:space="preserve">Auto </w:t>
      </w:r>
      <w:hyperlink w:anchor="AUTO_1985_145" w:history="1">
        <w:r w:rsidRPr="009452A2">
          <w:rPr>
            <w:rStyle w:val="TextoNormalCaracter"/>
          </w:rPr>
          <w:t>145/1985</w:t>
        </w:r>
      </w:hyperlink>
      <w:r>
        <w:t>.</w:t>
      </w:r>
    </w:p>
    <w:p w:rsidR="009452A2" w:rsidRDefault="009452A2" w:rsidP="009452A2">
      <w:pPr>
        <w:pStyle w:val="SangriaFrancesaArticulo"/>
      </w:pPr>
      <w:r w:rsidRPr="009452A2">
        <w:rPr>
          <w:rStyle w:val="TextoNormalNegritaCaracter"/>
        </w:rPr>
        <w:t>Artículo 790.</w:t>
      </w:r>
      <w:r w:rsidRPr="009452A2">
        <w:rPr>
          <w:rStyle w:val="TextoNormalCaracter"/>
        </w:rPr>
        <w:t>-</w:t>
      </w:r>
      <w:r>
        <w:t xml:space="preserve"> 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791.</w:t>
      </w:r>
      <w:r w:rsidRPr="009452A2">
        <w:rPr>
          <w:rStyle w:val="TextoNormalCaracter"/>
        </w:rPr>
        <w:t>-</w:t>
      </w:r>
      <w:r>
        <w:t xml:space="preserve"> 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791.7.</w:t>
      </w:r>
      <w:r w:rsidRPr="009452A2">
        <w:rPr>
          <w:rStyle w:val="TextoNormalCaracter"/>
        </w:rPr>
        <w:t>-</w:t>
      </w:r>
      <w:r>
        <w:t xml:space="preserve"> Sentencia </w:t>
      </w:r>
      <w:hyperlink w:anchor="SENTENCIA_1985_18" w:history="1">
        <w:r w:rsidRPr="009452A2">
          <w:rPr>
            <w:rStyle w:val="TextoNormalCaracter"/>
          </w:rPr>
          <w:t>18/1985</w:t>
        </w:r>
      </w:hyperlink>
      <w:r>
        <w:t>, f. 2.</w:t>
      </w:r>
    </w:p>
    <w:p w:rsidR="009452A2" w:rsidRDefault="009452A2" w:rsidP="009452A2">
      <w:pPr>
        <w:pStyle w:val="SangriaFrancesaArticulo"/>
      </w:pPr>
      <w:r w:rsidRPr="009452A2">
        <w:rPr>
          <w:rStyle w:val="TextoNormalNegritaCaracter"/>
        </w:rPr>
        <w:t>Artículo 791.8.</w:t>
      </w:r>
      <w:r w:rsidRPr="009452A2">
        <w:rPr>
          <w:rStyle w:val="TextoNormalCaracter"/>
        </w:rPr>
        <w:t>-</w:t>
      </w:r>
      <w:r>
        <w:t xml:space="preserve"> Autos </w:t>
      </w:r>
      <w:hyperlink w:anchor="AUTO_1985_64" w:history="1">
        <w:r w:rsidRPr="009452A2">
          <w:rPr>
            <w:rStyle w:val="TextoNormalCaracter"/>
          </w:rPr>
          <w:t>64/1985</w:t>
        </w:r>
      </w:hyperlink>
      <w:r>
        <w:t xml:space="preserve">; </w:t>
      </w:r>
      <w:hyperlink w:anchor="AUTO_1985_73" w:history="1">
        <w:r w:rsidRPr="009452A2">
          <w:rPr>
            <w:rStyle w:val="TextoNormalCaracter"/>
          </w:rPr>
          <w:t>73/1985</w:t>
        </w:r>
      </w:hyperlink>
      <w:r>
        <w:t>.</w:t>
      </w:r>
    </w:p>
    <w:p w:rsidR="009452A2" w:rsidRDefault="009452A2" w:rsidP="009452A2">
      <w:pPr>
        <w:pStyle w:val="SangriaFrancesaArticulo"/>
      </w:pPr>
      <w:r w:rsidRPr="009452A2">
        <w:rPr>
          <w:rStyle w:val="TextoNormalNegritaCaracter"/>
        </w:rPr>
        <w:t>Artículo 792.</w:t>
      </w:r>
      <w:r w:rsidRPr="009452A2">
        <w:rPr>
          <w:rStyle w:val="TextoNormalCaracter"/>
        </w:rPr>
        <w:t>-</w:t>
      </w:r>
      <w:r>
        <w:t xml:space="preserve"> Autos </w:t>
      </w:r>
      <w:hyperlink w:anchor="AUTO_1985_21" w:history="1">
        <w:r w:rsidRPr="009452A2">
          <w:rPr>
            <w:rStyle w:val="TextoNormalCaracter"/>
          </w:rPr>
          <w:t>21/1985</w:t>
        </w:r>
      </w:hyperlink>
      <w:r>
        <w:t xml:space="preserve">; </w:t>
      </w:r>
      <w:hyperlink w:anchor="AUTO_1985_73" w:history="1">
        <w:r w:rsidRPr="009452A2">
          <w:rPr>
            <w:rStyle w:val="TextoNormalCaracter"/>
          </w:rPr>
          <w:t>73/1985</w:t>
        </w:r>
      </w:hyperlink>
      <w:r>
        <w:t>.</w:t>
      </w:r>
    </w:p>
    <w:p w:rsidR="009452A2" w:rsidRDefault="009452A2" w:rsidP="009452A2">
      <w:pPr>
        <w:pStyle w:val="SangriaFrancesaArticulo"/>
      </w:pPr>
      <w:r w:rsidRPr="009452A2">
        <w:rPr>
          <w:rStyle w:val="TextoNormalNegritaCaracter"/>
        </w:rPr>
        <w:t>Artículo 792.2.</w:t>
      </w:r>
      <w:r w:rsidRPr="009452A2">
        <w:rPr>
          <w:rStyle w:val="TextoNormalCaracter"/>
        </w:rPr>
        <w:t>-</w:t>
      </w:r>
      <w:r>
        <w:t xml:space="preserve"> Sentencia </w:t>
      </w:r>
      <w:hyperlink w:anchor="SENTENCIA_1985_23" w:history="1">
        <w:r w:rsidRPr="009452A2">
          <w:rPr>
            <w:rStyle w:val="TextoNormalCaracter"/>
          </w:rPr>
          <w:t>23/1985</w:t>
        </w:r>
      </w:hyperlink>
      <w:r>
        <w:t>, f. 3.</w:t>
      </w:r>
    </w:p>
    <w:p w:rsidR="009452A2" w:rsidRDefault="009452A2" w:rsidP="009452A2">
      <w:pPr>
        <w:pStyle w:val="SangriaFrancesaArticulo"/>
      </w:pPr>
      <w:r w:rsidRPr="009452A2">
        <w:rPr>
          <w:rStyle w:val="TextoNormalNegritaCaracter"/>
        </w:rPr>
        <w:t>Artículo 795.</w:t>
      </w:r>
      <w:r w:rsidRPr="009452A2">
        <w:rPr>
          <w:rStyle w:val="TextoNormalCaracter"/>
        </w:rPr>
        <w:t>-</w:t>
      </w:r>
      <w:r>
        <w:t xml:space="preserve"> Sentencia </w:t>
      </w:r>
      <w:hyperlink w:anchor="SENTENCIA_1985_30" w:history="1">
        <w:r w:rsidRPr="009452A2">
          <w:rPr>
            <w:rStyle w:val="TextoNormalCaracter"/>
          </w:rPr>
          <w:t>30/1985</w:t>
        </w:r>
      </w:hyperlink>
      <w:r>
        <w:t>, f. 2.</w:t>
      </w:r>
    </w:p>
    <w:p w:rsidR="009452A2" w:rsidRDefault="009452A2" w:rsidP="009452A2">
      <w:pPr>
        <w:pStyle w:val="SangriaFrancesaArticulo"/>
      </w:pPr>
      <w:r w:rsidRPr="009452A2">
        <w:rPr>
          <w:rStyle w:val="TextoNormalNegritaCaracter"/>
        </w:rPr>
        <w:t>Artículos 797 a 802.</w:t>
      </w:r>
      <w:r w:rsidRPr="009452A2">
        <w:rPr>
          <w:rStyle w:val="TextoNormalCaracter"/>
        </w:rPr>
        <w:t>-</w:t>
      </w:r>
      <w:r>
        <w:t xml:space="preserve"> 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799.</w:t>
      </w:r>
      <w:r w:rsidRPr="009452A2">
        <w:rPr>
          <w:rStyle w:val="TextoNormalCaracter"/>
        </w:rPr>
        <w:t>-</w:t>
      </w:r>
      <w:r>
        <w:t xml:space="preserve"> 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801.</w:t>
      </w:r>
      <w:r w:rsidRPr="009452A2">
        <w:rPr>
          <w:rStyle w:val="TextoNormalCaracter"/>
        </w:rPr>
        <w:t>-</w:t>
      </w:r>
      <w:r>
        <w:t xml:space="preserve"> Auto </w:t>
      </w:r>
      <w:hyperlink w:anchor="AUTO_1985_73" w:history="1">
        <w:r w:rsidRPr="009452A2">
          <w:rPr>
            <w:rStyle w:val="TextoNormalCaracter"/>
          </w:rPr>
          <w:t>73/1985</w:t>
        </w:r>
      </w:hyperlink>
      <w:r>
        <w:t>.</w:t>
      </w:r>
    </w:p>
    <w:p w:rsidR="009452A2" w:rsidRDefault="009452A2" w:rsidP="009452A2">
      <w:pPr>
        <w:pStyle w:val="SangriaFrancesaArticulo"/>
      </w:pPr>
      <w:r w:rsidRPr="009452A2">
        <w:rPr>
          <w:rStyle w:val="TextoNormalNegritaCaracter"/>
        </w:rPr>
        <w:t>Artículo 830.</w:t>
      </w:r>
      <w:r w:rsidRPr="009452A2">
        <w:rPr>
          <w:rStyle w:val="TextoNormalCaracter"/>
        </w:rPr>
        <w:t>-</w:t>
      </w:r>
      <w:r>
        <w:t xml:space="preserve"> Auto </w:t>
      </w:r>
      <w:hyperlink w:anchor="AUTO_1985_196" w:history="1">
        <w:r w:rsidRPr="009452A2">
          <w:rPr>
            <w:rStyle w:val="TextoNormalCaracter"/>
          </w:rPr>
          <w:t>196/1985</w:t>
        </w:r>
      </w:hyperlink>
      <w:r>
        <w:t>.</w:t>
      </w:r>
    </w:p>
    <w:p w:rsidR="009452A2" w:rsidRDefault="009452A2" w:rsidP="009452A2">
      <w:pPr>
        <w:pStyle w:val="SangriaFrancesaArticulo"/>
      </w:pPr>
      <w:r w:rsidRPr="009452A2">
        <w:rPr>
          <w:rStyle w:val="TextoNormalNegritaCaracter"/>
        </w:rPr>
        <w:t>Artículo 847.</w:t>
      </w:r>
      <w:r w:rsidRPr="009452A2">
        <w:rPr>
          <w:rStyle w:val="TextoNormalCaracter"/>
        </w:rPr>
        <w:t>-</w:t>
      </w:r>
      <w:r>
        <w:t xml:space="preserve"> Sentencia </w:t>
      </w:r>
      <w:hyperlink w:anchor="SENTENCIA_1985_51" w:history="1">
        <w:r w:rsidRPr="009452A2">
          <w:rPr>
            <w:rStyle w:val="TextoNormalCaracter"/>
          </w:rPr>
          <w:t>51/1985</w:t>
        </w:r>
      </w:hyperlink>
      <w:r>
        <w:t>, f. 3.</w:t>
      </w:r>
    </w:p>
    <w:p w:rsidR="009452A2" w:rsidRDefault="009452A2" w:rsidP="009452A2">
      <w:pPr>
        <w:pStyle w:val="SangriaFrancesaArticulo"/>
      </w:pPr>
      <w:r w:rsidRPr="009452A2">
        <w:rPr>
          <w:rStyle w:val="TextoNormalNegritaCaracter"/>
        </w:rPr>
        <w:t>Artículo 855.4.</w:t>
      </w:r>
      <w:r w:rsidRPr="009452A2">
        <w:rPr>
          <w:rStyle w:val="TextoNormalCaracter"/>
        </w:rPr>
        <w:t>-</w:t>
      </w:r>
      <w:r>
        <w:t xml:space="preserve"> Auto </w:t>
      </w:r>
      <w:hyperlink w:anchor="AUTO_1985_187" w:history="1">
        <w:r w:rsidRPr="009452A2">
          <w:rPr>
            <w:rStyle w:val="TextoNormalCaracter"/>
          </w:rPr>
          <w:t>187/1985</w:t>
        </w:r>
      </w:hyperlink>
      <w:r>
        <w:t>.</w:t>
      </w:r>
    </w:p>
    <w:p w:rsidR="009452A2" w:rsidRDefault="009452A2" w:rsidP="009452A2">
      <w:pPr>
        <w:pStyle w:val="SangriaFrancesaArticulo"/>
      </w:pPr>
      <w:r w:rsidRPr="009452A2">
        <w:rPr>
          <w:rStyle w:val="TextoNormalNegritaCaracter"/>
        </w:rPr>
        <w:t>Artículo 861.</w:t>
      </w:r>
      <w:r w:rsidRPr="009452A2">
        <w:rPr>
          <w:rStyle w:val="TextoNormalCaracter"/>
        </w:rPr>
        <w:t>-</w:t>
      </w:r>
      <w:r>
        <w:t xml:space="preserve"> Sentencia </w:t>
      </w:r>
      <w:hyperlink w:anchor="SENTENCIA_1985_27" w:history="1">
        <w:r w:rsidRPr="009452A2">
          <w:rPr>
            <w:rStyle w:val="TextoNormalCaracter"/>
          </w:rPr>
          <w:t>27/1985</w:t>
        </w:r>
      </w:hyperlink>
      <w:r>
        <w:t>, f. 3.</w:t>
      </w:r>
    </w:p>
    <w:p w:rsidR="009452A2" w:rsidRDefault="009452A2" w:rsidP="009452A2">
      <w:pPr>
        <w:pStyle w:val="SangriaFrancesaArticulo"/>
      </w:pPr>
      <w:r w:rsidRPr="009452A2">
        <w:rPr>
          <w:rStyle w:val="TextoNormalNegritaCaracter"/>
        </w:rPr>
        <w:t>Artículo 878.</w:t>
      </w:r>
      <w:r w:rsidRPr="009452A2">
        <w:rPr>
          <w:rStyle w:val="TextoNormalCaracter"/>
        </w:rPr>
        <w:t>-</w:t>
      </w:r>
      <w:r>
        <w:t xml:space="preserve"> Auto </w:t>
      </w:r>
      <w:hyperlink w:anchor="AUTO_1985_271" w:history="1">
        <w:r w:rsidRPr="009452A2">
          <w:rPr>
            <w:rStyle w:val="TextoNormalCaracter"/>
          </w:rPr>
          <w:t>271/1985</w:t>
        </w:r>
      </w:hyperlink>
      <w:r>
        <w:t>.</w:t>
      </w:r>
    </w:p>
    <w:p w:rsidR="009452A2" w:rsidRDefault="009452A2" w:rsidP="009452A2">
      <w:pPr>
        <w:pStyle w:val="SangriaFrancesaArticulo"/>
      </w:pPr>
      <w:r w:rsidRPr="009452A2">
        <w:rPr>
          <w:rStyle w:val="TextoNormalNegritaCaracter"/>
        </w:rPr>
        <w:t>Artículo 892.</w:t>
      </w:r>
      <w:r w:rsidRPr="009452A2">
        <w:rPr>
          <w:rStyle w:val="TextoNormalCaracter"/>
        </w:rPr>
        <w:t>-</w:t>
      </w:r>
      <w:r>
        <w:t xml:space="preserve"> Auto </w:t>
      </w:r>
      <w:hyperlink w:anchor="AUTO_1985_11" w:history="1">
        <w:r w:rsidRPr="009452A2">
          <w:rPr>
            <w:rStyle w:val="TextoNormalCaracter"/>
          </w:rPr>
          <w:t>11/1985</w:t>
        </w:r>
      </w:hyperlink>
      <w:r>
        <w:t>.</w:t>
      </w:r>
    </w:p>
    <w:p w:rsidR="009452A2" w:rsidRDefault="009452A2" w:rsidP="009452A2">
      <w:pPr>
        <w:pStyle w:val="SangriaFrancesaArticulo"/>
      </w:pPr>
      <w:r w:rsidRPr="009452A2">
        <w:rPr>
          <w:rStyle w:val="TextoNormalNegritaCaracter"/>
        </w:rPr>
        <w:t>Artículo 893 bis a).</w:t>
      </w:r>
      <w:r w:rsidRPr="009452A2">
        <w:rPr>
          <w:rStyle w:val="TextoNormalCaracter"/>
        </w:rPr>
        <w:t>-</w:t>
      </w:r>
      <w:r>
        <w:t xml:space="preserve"> Auto </w:t>
      </w:r>
      <w:hyperlink w:anchor="AUTO_1985_21" w:history="1">
        <w:r w:rsidRPr="009452A2">
          <w:rPr>
            <w:rStyle w:val="TextoNormalCaracter"/>
          </w:rPr>
          <w:t>21/1985</w:t>
        </w:r>
      </w:hyperlink>
      <w:r>
        <w:t>.</w:t>
      </w:r>
    </w:p>
    <w:p w:rsidR="009452A2" w:rsidRDefault="009452A2" w:rsidP="009452A2">
      <w:pPr>
        <w:pStyle w:val="SangriaFrancesaArticulo"/>
      </w:pPr>
      <w:r w:rsidRPr="009452A2">
        <w:rPr>
          <w:rStyle w:val="TextoNormalNegritaCaracter"/>
        </w:rPr>
        <w:t>Artículo 902.</w:t>
      </w:r>
      <w:r w:rsidRPr="009452A2">
        <w:rPr>
          <w:rStyle w:val="TextoNormalCaracter"/>
        </w:rPr>
        <w:t>-</w:t>
      </w:r>
      <w:r>
        <w:t xml:space="preserve"> Sentencia </w:t>
      </w:r>
      <w:hyperlink w:anchor="SENTENCIA_1985_54" w:history="1">
        <w:r w:rsidRPr="009452A2">
          <w:rPr>
            <w:rStyle w:val="TextoNormalCaracter"/>
          </w:rPr>
          <w:t>54/1985</w:t>
        </w:r>
      </w:hyperlink>
      <w:r>
        <w:t>, f. 7.</w:t>
      </w:r>
    </w:p>
    <w:p w:rsidR="009452A2" w:rsidRDefault="009452A2" w:rsidP="009452A2">
      <w:pPr>
        <w:pStyle w:val="SangriaFrancesaArticulo"/>
      </w:pPr>
      <w:r w:rsidRPr="009452A2">
        <w:rPr>
          <w:rStyle w:val="TextoNormalNegritaCaracter"/>
        </w:rPr>
        <w:t>Artículo 903.</w:t>
      </w:r>
      <w:r w:rsidRPr="009452A2">
        <w:rPr>
          <w:rStyle w:val="TextoNormalCaracter"/>
        </w:rPr>
        <w:t>-</w:t>
      </w:r>
      <w:r>
        <w:t xml:space="preserve"> Auto </w:t>
      </w:r>
      <w:hyperlink w:anchor="AUTO_1985_187" w:history="1">
        <w:r w:rsidRPr="009452A2">
          <w:rPr>
            <w:rStyle w:val="TextoNormalCaracter"/>
          </w:rPr>
          <w:t>187/1985</w:t>
        </w:r>
      </w:hyperlink>
      <w:r>
        <w:t>.</w:t>
      </w:r>
    </w:p>
    <w:p w:rsidR="009452A2" w:rsidRDefault="009452A2" w:rsidP="009452A2">
      <w:pPr>
        <w:pStyle w:val="SangriaFrancesaArticulo"/>
      </w:pPr>
      <w:r w:rsidRPr="009452A2">
        <w:rPr>
          <w:rStyle w:val="TextoNormalNegritaCaracter"/>
        </w:rPr>
        <w:t>Artículo 962.</w:t>
      </w:r>
      <w:r w:rsidRPr="009452A2">
        <w:rPr>
          <w:rStyle w:val="TextoNormalCaracter"/>
        </w:rPr>
        <w:t>-</w:t>
      </w:r>
      <w:r>
        <w:t xml:space="preserve"> Sentencias </w:t>
      </w:r>
      <w:hyperlink w:anchor="SENTENCIA_1985_34" w:history="1">
        <w:r w:rsidRPr="009452A2">
          <w:rPr>
            <w:rStyle w:val="TextoNormalCaracter"/>
          </w:rPr>
          <w:t>34/1985</w:t>
        </w:r>
      </w:hyperlink>
      <w:r>
        <w:t xml:space="preserve">, f. 2; </w:t>
      </w:r>
      <w:hyperlink w:anchor="SENTENCIA_1985_54" w:history="1">
        <w:r w:rsidRPr="009452A2">
          <w:rPr>
            <w:rStyle w:val="TextoNormalCaracter"/>
          </w:rPr>
          <w:t>54/1985</w:t>
        </w:r>
      </w:hyperlink>
      <w:r>
        <w:t>, f. 6.</w:t>
      </w:r>
    </w:p>
    <w:p w:rsidR="009452A2" w:rsidRDefault="009452A2" w:rsidP="009452A2">
      <w:pPr>
        <w:pStyle w:val="SangriaFrancesaArticulo"/>
      </w:pPr>
      <w:r w:rsidRPr="009452A2">
        <w:rPr>
          <w:rStyle w:val="TextoNormalNegritaCaracter"/>
        </w:rPr>
        <w:t>Artículos 962 a 982.</w:t>
      </w:r>
      <w:r w:rsidRPr="009452A2">
        <w:rPr>
          <w:rStyle w:val="TextoNormalCaracter"/>
        </w:rPr>
        <w:t>-</w:t>
      </w:r>
      <w:r>
        <w:t xml:space="preserve"> Sentencia </w:t>
      </w:r>
      <w:hyperlink w:anchor="SENTENCIA_1985_54" w:history="1">
        <w:r w:rsidRPr="009452A2">
          <w:rPr>
            <w:rStyle w:val="TextoNormalCaracter"/>
          </w:rPr>
          <w:t>54/1985</w:t>
        </w:r>
      </w:hyperlink>
      <w:r>
        <w:t>, f. 3.</w:t>
      </w:r>
    </w:p>
    <w:p w:rsidR="009452A2" w:rsidRDefault="009452A2" w:rsidP="009452A2">
      <w:pPr>
        <w:pStyle w:val="SangriaFrancesaArticulo"/>
      </w:pPr>
      <w:r w:rsidRPr="009452A2">
        <w:rPr>
          <w:rStyle w:val="TextoNormalNegritaCaracter"/>
        </w:rPr>
        <w:t>Artículo 965.</w:t>
      </w:r>
      <w:r w:rsidRPr="009452A2">
        <w:rPr>
          <w:rStyle w:val="TextoNormalCaracter"/>
        </w:rPr>
        <w:t>-</w:t>
      </w:r>
      <w:r>
        <w:t xml:space="preserve"> Sentencias </w:t>
      </w:r>
      <w:hyperlink w:anchor="SENTENCIA_1985_34" w:history="1">
        <w:r w:rsidRPr="009452A2">
          <w:rPr>
            <w:rStyle w:val="TextoNormalCaracter"/>
          </w:rPr>
          <w:t>34/1985</w:t>
        </w:r>
      </w:hyperlink>
      <w:r>
        <w:t xml:space="preserve">, ff. 2, 6; </w:t>
      </w:r>
      <w:hyperlink w:anchor="SENTENCIA_1985_54" w:history="1">
        <w:r w:rsidRPr="009452A2">
          <w:rPr>
            <w:rStyle w:val="TextoNormalCaracter"/>
          </w:rPr>
          <w:t>54/1985</w:t>
        </w:r>
      </w:hyperlink>
      <w:r>
        <w:t>, f. 6.</w:t>
      </w:r>
    </w:p>
    <w:p w:rsidR="009452A2" w:rsidRDefault="009452A2" w:rsidP="009452A2">
      <w:pPr>
        <w:pStyle w:val="SangriaFrancesaArticulo"/>
      </w:pPr>
      <w:r w:rsidRPr="009452A2">
        <w:rPr>
          <w:rStyle w:val="TextoNormalNegritaCaracter"/>
        </w:rPr>
        <w:t>Artículo 967.</w:t>
      </w:r>
      <w:r w:rsidRPr="009452A2">
        <w:rPr>
          <w:rStyle w:val="TextoNormalCaracter"/>
        </w:rPr>
        <w:t>-</w:t>
      </w:r>
      <w:r>
        <w:t xml:space="preserve"> Sentencia </w:t>
      </w:r>
      <w:hyperlink w:anchor="SENTENCIA_1985_34" w:history="1">
        <w:r w:rsidRPr="009452A2">
          <w:rPr>
            <w:rStyle w:val="TextoNormalCaracter"/>
          </w:rPr>
          <w:t>34/1985</w:t>
        </w:r>
      </w:hyperlink>
      <w:r>
        <w:t>, f. 2.</w:t>
      </w:r>
    </w:p>
    <w:p w:rsidR="009452A2" w:rsidRDefault="009452A2" w:rsidP="009452A2">
      <w:pPr>
        <w:pStyle w:val="SangriaFrancesaArticulo"/>
      </w:pPr>
      <w:r w:rsidRPr="009452A2">
        <w:rPr>
          <w:rStyle w:val="TextoNormalNegritaCaracter"/>
        </w:rPr>
        <w:t>Artículo 969.</w:t>
      </w:r>
      <w:r w:rsidRPr="009452A2">
        <w:rPr>
          <w:rStyle w:val="TextoNormalCaracter"/>
        </w:rPr>
        <w:t>-</w:t>
      </w:r>
      <w:r>
        <w:t xml:space="preserve"> Sentencias </w:t>
      </w:r>
      <w:hyperlink w:anchor="SENTENCIA_1985_34" w:history="1">
        <w:r w:rsidRPr="009452A2">
          <w:rPr>
            <w:rStyle w:val="TextoNormalCaracter"/>
          </w:rPr>
          <w:t>34/1985</w:t>
        </w:r>
      </w:hyperlink>
      <w:r>
        <w:t xml:space="preserve">, f. 2; </w:t>
      </w:r>
      <w:hyperlink w:anchor="SENTENCIA_1985_54" w:history="1">
        <w:r w:rsidRPr="009452A2">
          <w:rPr>
            <w:rStyle w:val="TextoNormalCaracter"/>
          </w:rPr>
          <w:t>54/1985</w:t>
        </w:r>
      </w:hyperlink>
      <w:r>
        <w:t>, ff. 4 a 6.</w:t>
      </w:r>
    </w:p>
    <w:p w:rsidR="009452A2" w:rsidRDefault="009452A2" w:rsidP="009452A2">
      <w:pPr>
        <w:pStyle w:val="SangriaFrancesaArticulo"/>
      </w:pPr>
      <w:r w:rsidRPr="009452A2">
        <w:rPr>
          <w:rStyle w:val="TextoNormalNegritaCaracter"/>
        </w:rPr>
        <w:t>Artículo 970.</w:t>
      </w:r>
      <w:r w:rsidRPr="009452A2">
        <w:rPr>
          <w:rStyle w:val="TextoNormalCaracter"/>
        </w:rPr>
        <w:t>-</w:t>
      </w:r>
      <w:r>
        <w:t xml:space="preserve"> Sentencia </w:t>
      </w:r>
      <w:hyperlink w:anchor="SENTENCIA_1985_34" w:history="1">
        <w:r w:rsidRPr="009452A2">
          <w:rPr>
            <w:rStyle w:val="TextoNormalCaracter"/>
          </w:rPr>
          <w:t>34/1985</w:t>
        </w:r>
      </w:hyperlink>
      <w:r>
        <w:t>, f. 2.</w:t>
      </w:r>
    </w:p>
    <w:p w:rsidR="009452A2" w:rsidRDefault="009452A2" w:rsidP="009452A2">
      <w:pPr>
        <w:pStyle w:val="SangriaFrancesaArticulo"/>
      </w:pPr>
      <w:r w:rsidRPr="009452A2">
        <w:rPr>
          <w:rStyle w:val="TextoNormalNegritaCaracter"/>
        </w:rPr>
        <w:t>Artículo 971.</w:t>
      </w:r>
      <w:r w:rsidRPr="009452A2">
        <w:rPr>
          <w:rStyle w:val="TextoNormalCaracter"/>
        </w:rPr>
        <w:t>-</w:t>
      </w:r>
      <w:r>
        <w:t xml:space="preserve"> Sentencia </w:t>
      </w:r>
      <w:hyperlink w:anchor="SENTENCIA_1985_34" w:history="1">
        <w:r w:rsidRPr="009452A2">
          <w:rPr>
            <w:rStyle w:val="TextoNormalCaracter"/>
          </w:rPr>
          <w:t>34/1985</w:t>
        </w:r>
      </w:hyperlink>
      <w:r>
        <w:t>, f. 2.</w:t>
      </w:r>
    </w:p>
    <w:p w:rsidR="009452A2" w:rsidRDefault="009452A2" w:rsidP="009452A2">
      <w:pPr>
        <w:pStyle w:val="SangriaFrancesaArticulo"/>
      </w:pPr>
      <w:r w:rsidRPr="009452A2">
        <w:rPr>
          <w:rStyle w:val="TextoNormalNegritaCaracter"/>
        </w:rPr>
        <w:t>Artículo 973.</w:t>
      </w:r>
      <w:r w:rsidRPr="009452A2">
        <w:rPr>
          <w:rStyle w:val="TextoNormalCaracter"/>
        </w:rPr>
        <w:t>-</w:t>
      </w:r>
      <w:r>
        <w:t xml:space="preserve"> Sentencias </w:t>
      </w:r>
      <w:hyperlink w:anchor="SENTENCIA_1985_34" w:history="1">
        <w:r w:rsidRPr="009452A2">
          <w:rPr>
            <w:rStyle w:val="TextoNormalCaracter"/>
          </w:rPr>
          <w:t>34/1985</w:t>
        </w:r>
      </w:hyperlink>
      <w:r>
        <w:t xml:space="preserve">, f. 2; </w:t>
      </w:r>
      <w:hyperlink w:anchor="SENTENCIA_1985_54" w:history="1">
        <w:r w:rsidRPr="009452A2">
          <w:rPr>
            <w:rStyle w:val="TextoNormalCaracter"/>
          </w:rPr>
          <w:t>54/1985</w:t>
        </w:r>
      </w:hyperlink>
      <w:r>
        <w:t>, f. 4.</w:t>
      </w:r>
    </w:p>
    <w:p w:rsidR="009452A2" w:rsidRDefault="009452A2" w:rsidP="009452A2">
      <w:pPr>
        <w:pStyle w:val="SangriaFrancesaArticulo"/>
      </w:pPr>
      <w:r w:rsidRPr="009452A2">
        <w:rPr>
          <w:rStyle w:val="TextoNormalNegritaCaracter"/>
        </w:rPr>
        <w:t>Artículo 975.</w:t>
      </w:r>
      <w:r w:rsidRPr="009452A2">
        <w:rPr>
          <w:rStyle w:val="TextoNormalCaracter"/>
        </w:rPr>
        <w:t>-</w:t>
      </w:r>
      <w:r>
        <w:t xml:space="preserve"> Sentencia </w:t>
      </w:r>
      <w:hyperlink w:anchor="SENTENCIA_1985_54" w:history="1">
        <w:r w:rsidRPr="009452A2">
          <w:rPr>
            <w:rStyle w:val="TextoNormalCaracter"/>
          </w:rPr>
          <w:t>54/1985</w:t>
        </w:r>
      </w:hyperlink>
      <w:r>
        <w:t>, f. 7.</w:t>
      </w:r>
    </w:p>
    <w:p w:rsidR="009452A2" w:rsidRDefault="009452A2" w:rsidP="009452A2">
      <w:pPr>
        <w:pStyle w:val="SangriaFrancesaArticulo"/>
      </w:pPr>
      <w:r w:rsidRPr="009452A2">
        <w:rPr>
          <w:rStyle w:val="TextoNormalNegritaCaracter"/>
        </w:rPr>
        <w:t>Artículo 977.</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 978.</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 979.</w:t>
      </w:r>
      <w:r w:rsidRPr="009452A2">
        <w:rPr>
          <w:rStyle w:val="TextoNormalCaracter"/>
        </w:rPr>
        <w:t>-</w:t>
      </w:r>
      <w:r>
        <w:t xml:space="preserve"> Auto </w:t>
      </w:r>
      <w:hyperlink w:anchor="AUTO_1985_180" w:history="1">
        <w:r w:rsidRPr="009452A2">
          <w:rPr>
            <w:rStyle w:val="TextoNormalCaracter"/>
          </w:rPr>
          <w:t>180/1985</w:t>
        </w:r>
      </w:hyperlink>
      <w:r>
        <w:t>.</w:t>
      </w:r>
    </w:p>
    <w:p w:rsidR="009452A2" w:rsidRDefault="009452A2" w:rsidP="009452A2">
      <w:pPr>
        <w:pStyle w:val="SangriaFrancesaArticulo"/>
      </w:pPr>
    </w:p>
    <w:p w:rsidR="009452A2" w:rsidRDefault="009452A2" w:rsidP="009452A2">
      <w:pPr>
        <w:pStyle w:val="TextoNormalNegritaCursivandice"/>
      </w:pPr>
      <w:r>
        <w:t>Ley de 14 de octubre de 1882. Adicional a la Ley Orgánica del Poder judicial</w:t>
      </w:r>
    </w:p>
    <w:p w:rsidR="009452A2" w:rsidRDefault="009452A2" w:rsidP="009452A2">
      <w:pPr>
        <w:pStyle w:val="SangriaFrancesaArticulo"/>
      </w:pPr>
      <w:r w:rsidRPr="009452A2">
        <w:rPr>
          <w:rStyle w:val="TextoNormalNegritaCaracter"/>
        </w:rPr>
        <w:t>Artículo 8.</w:t>
      </w:r>
      <w:r w:rsidRPr="009452A2">
        <w:rPr>
          <w:rStyle w:val="TextoNormalCaracter"/>
        </w:rPr>
        <w:t>-</w:t>
      </w:r>
      <w:r>
        <w:t xml:space="preserve"> Auto </w:t>
      </w:r>
      <w:hyperlink w:anchor="AUTO_1985_196" w:history="1">
        <w:r w:rsidRPr="009452A2">
          <w:rPr>
            <w:rStyle w:val="TextoNormalCaracter"/>
          </w:rPr>
          <w:t>196/1985</w:t>
        </w:r>
      </w:hyperlink>
      <w:r>
        <w:t>.</w:t>
      </w:r>
    </w:p>
    <w:p w:rsidR="009452A2" w:rsidRDefault="009452A2" w:rsidP="009452A2">
      <w:pPr>
        <w:pStyle w:val="SangriaFrancesaArticulo"/>
      </w:pPr>
    </w:p>
    <w:p w:rsidR="009452A2" w:rsidRDefault="009452A2" w:rsidP="009452A2">
      <w:pPr>
        <w:pStyle w:val="TextoNormalNegritaCursivandice"/>
      </w:pPr>
      <w:r>
        <w:t>Real Decreto de 22 de agosto de 1885. Código de comercio</w:t>
      </w:r>
    </w:p>
    <w:p w:rsidR="009452A2" w:rsidRDefault="009452A2" w:rsidP="009452A2">
      <w:pPr>
        <w:pStyle w:val="SangriaFrancesaArticulo"/>
      </w:pPr>
      <w:r w:rsidRPr="009452A2">
        <w:rPr>
          <w:rStyle w:val="TextoNormalNegritaCaracter"/>
        </w:rPr>
        <w:t>Artículo 49.</w:t>
      </w:r>
      <w:r w:rsidRPr="009452A2">
        <w:rPr>
          <w:rStyle w:val="TextoNormalCaracter"/>
        </w:rPr>
        <w:t>-</w:t>
      </w:r>
      <w:r>
        <w:t xml:space="preserve"> Auto </w:t>
      </w:r>
      <w:hyperlink w:anchor="AUTO_1985_257" w:history="1">
        <w:r w:rsidRPr="009452A2">
          <w:rPr>
            <w:rStyle w:val="TextoNormalCaracter"/>
          </w:rPr>
          <w:t>257/1985</w:t>
        </w:r>
      </w:hyperlink>
      <w:r>
        <w:t>.</w:t>
      </w:r>
    </w:p>
    <w:p w:rsidR="009452A2" w:rsidRDefault="009452A2" w:rsidP="009452A2">
      <w:pPr>
        <w:pStyle w:val="SangriaFrancesaArticulo"/>
      </w:pPr>
      <w:r w:rsidRPr="009452A2">
        <w:rPr>
          <w:rStyle w:val="TextoNormalNegritaCaracter"/>
        </w:rPr>
        <w:t>Artículo 306.</w:t>
      </w:r>
      <w:r w:rsidRPr="009452A2">
        <w:rPr>
          <w:rStyle w:val="TextoNormalCaracter"/>
        </w:rPr>
        <w:t>-</w:t>
      </w:r>
      <w:r>
        <w:t xml:space="preserve"> Auto </w:t>
      </w:r>
      <w:hyperlink w:anchor="AUTO_1985_245" w:history="1">
        <w:r w:rsidRPr="009452A2">
          <w:rPr>
            <w:rStyle w:val="TextoNormalCaracter"/>
          </w:rPr>
          <w:t>245/1985</w:t>
        </w:r>
      </w:hyperlink>
      <w:r>
        <w:t>.</w:t>
      </w:r>
    </w:p>
    <w:p w:rsidR="009452A2" w:rsidRDefault="009452A2" w:rsidP="009452A2">
      <w:pPr>
        <w:pStyle w:val="SangriaFrancesaArticulo"/>
      </w:pPr>
      <w:r w:rsidRPr="009452A2">
        <w:rPr>
          <w:rStyle w:val="TextoNormalNegritaCaracter"/>
        </w:rPr>
        <w:t>Artículo 444.</w:t>
      </w:r>
      <w:r w:rsidRPr="009452A2">
        <w:rPr>
          <w:rStyle w:val="TextoNormalCaracter"/>
        </w:rPr>
        <w:t>-</w:t>
      </w:r>
      <w:r>
        <w:t xml:space="preserve"> Sentencia </w:t>
      </w:r>
      <w:hyperlink w:anchor="SENTENCIA_1985_21" w:history="1">
        <w:r w:rsidRPr="009452A2">
          <w:rPr>
            <w:rStyle w:val="TextoNormalCaracter"/>
          </w:rPr>
          <w:t>21/1985</w:t>
        </w:r>
      </w:hyperlink>
      <w:r>
        <w:t>, f. 4.</w:t>
      </w:r>
    </w:p>
    <w:p w:rsidR="009452A2" w:rsidRDefault="009452A2" w:rsidP="009452A2">
      <w:pPr>
        <w:pStyle w:val="SangriaFrancesaArticulo"/>
      </w:pPr>
      <w:r w:rsidRPr="009452A2">
        <w:rPr>
          <w:rStyle w:val="TextoNormalNegritaCaracter"/>
        </w:rPr>
        <w:t>Artículo 446.</w:t>
      </w:r>
      <w:r w:rsidRPr="009452A2">
        <w:rPr>
          <w:rStyle w:val="TextoNormalCaracter"/>
        </w:rPr>
        <w:t>-</w:t>
      </w:r>
      <w:r>
        <w:t xml:space="preserve"> Sentencia </w:t>
      </w:r>
      <w:hyperlink w:anchor="SENTENCIA_1985_21" w:history="1">
        <w:r w:rsidRPr="009452A2">
          <w:rPr>
            <w:rStyle w:val="TextoNormalCaracter"/>
          </w:rPr>
          <w:t>21/1985</w:t>
        </w:r>
      </w:hyperlink>
      <w:r>
        <w:t>, f. 4.</w:t>
      </w:r>
    </w:p>
    <w:p w:rsidR="009452A2" w:rsidRDefault="009452A2" w:rsidP="009452A2">
      <w:pPr>
        <w:pStyle w:val="SangriaFrancesaArticulo"/>
      </w:pPr>
      <w:r w:rsidRPr="009452A2">
        <w:rPr>
          <w:rStyle w:val="TextoNormalNegritaCaracter"/>
        </w:rPr>
        <w:t>Artículo 478.</w:t>
      </w:r>
      <w:r w:rsidRPr="009452A2">
        <w:rPr>
          <w:rStyle w:val="TextoNormalCaracter"/>
        </w:rPr>
        <w:t>-</w:t>
      </w:r>
      <w:r>
        <w:t xml:space="preserve"> Sentencia </w:t>
      </w:r>
      <w:hyperlink w:anchor="SENTENCIA_1985_21" w:history="1">
        <w:r w:rsidRPr="009452A2">
          <w:rPr>
            <w:rStyle w:val="TextoNormalCaracter"/>
          </w:rPr>
          <w:t>21/1985</w:t>
        </w:r>
      </w:hyperlink>
      <w:r>
        <w:t>, f. 4.</w:t>
      </w:r>
    </w:p>
    <w:p w:rsidR="009452A2" w:rsidRDefault="009452A2" w:rsidP="009452A2">
      <w:pPr>
        <w:pStyle w:val="SangriaFrancesaArticulo"/>
      </w:pPr>
      <w:r w:rsidRPr="009452A2">
        <w:rPr>
          <w:rStyle w:val="TextoNormalNegritaCaracter"/>
        </w:rPr>
        <w:t>Artículo 504</w:t>
      </w:r>
      <w:r>
        <w:t xml:space="preserve"> </w:t>
      </w:r>
      <w:r w:rsidRPr="009452A2">
        <w:rPr>
          <w:rStyle w:val="TextoNormalCaracter"/>
        </w:rPr>
        <w:t>(redactado por la Ley 47/1967, de 22 de julio)</w:t>
      </w:r>
      <w:r w:rsidRPr="009452A2">
        <w:rPr>
          <w:rStyle w:val="TextoNormalNegritaCaracter"/>
        </w:rPr>
        <w:t>.</w:t>
      </w:r>
      <w:r w:rsidRPr="009452A2">
        <w:rPr>
          <w:rStyle w:val="TextoNormalCaracter"/>
        </w:rPr>
        <w:t>-</w:t>
      </w:r>
      <w:r>
        <w:t xml:space="preserve"> Sentencia </w:t>
      </w:r>
      <w:hyperlink w:anchor="SENTENCIA_1985_21" w:history="1">
        <w:r w:rsidRPr="009452A2">
          <w:rPr>
            <w:rStyle w:val="TextoNormalCaracter"/>
          </w:rPr>
          <w:t>21/1985</w:t>
        </w:r>
      </w:hyperlink>
      <w:r>
        <w:t>, ff. 2, 4.</w:t>
      </w:r>
    </w:p>
    <w:p w:rsidR="009452A2" w:rsidRDefault="009452A2" w:rsidP="009452A2">
      <w:pPr>
        <w:pStyle w:val="SangriaFrancesaArticulo"/>
      </w:pPr>
      <w:r w:rsidRPr="009452A2">
        <w:rPr>
          <w:rStyle w:val="TextoNormalNegritaCaracter"/>
        </w:rPr>
        <w:t>Artículo 504.1</w:t>
      </w:r>
      <w:r>
        <w:t xml:space="preserve"> </w:t>
      </w:r>
      <w:r w:rsidRPr="009452A2">
        <w:rPr>
          <w:rStyle w:val="TextoNormalCaracter"/>
        </w:rPr>
        <w:t>(redactado por la Ley 47/1967, de 22 de julio)</w:t>
      </w:r>
      <w:r w:rsidRPr="009452A2">
        <w:rPr>
          <w:rStyle w:val="TextoNormalNegritaCaracter"/>
        </w:rPr>
        <w:t>.</w:t>
      </w:r>
      <w:r w:rsidRPr="009452A2">
        <w:rPr>
          <w:rStyle w:val="TextoNormalCaracter"/>
        </w:rPr>
        <w:t>-</w:t>
      </w:r>
      <w:r>
        <w:t xml:space="preserve"> Sentencia </w:t>
      </w:r>
      <w:hyperlink w:anchor="SENTENCIA_1985_21" w:history="1">
        <w:r w:rsidRPr="009452A2">
          <w:rPr>
            <w:rStyle w:val="TextoNormalCaracter"/>
          </w:rPr>
          <w:t>21/1985</w:t>
        </w:r>
      </w:hyperlink>
      <w:r>
        <w:t>, f. 2.</w:t>
      </w:r>
    </w:p>
    <w:p w:rsidR="009452A2" w:rsidRDefault="009452A2" w:rsidP="009452A2">
      <w:pPr>
        <w:pStyle w:val="SangriaFrancesaArticulo"/>
      </w:pPr>
      <w:r w:rsidRPr="009452A2">
        <w:rPr>
          <w:rStyle w:val="TextoNormalNegritaCaracter"/>
        </w:rPr>
        <w:lastRenderedPageBreak/>
        <w:t>Artículo 504.2.2</w:t>
      </w:r>
      <w:r>
        <w:t xml:space="preserve"> </w:t>
      </w:r>
      <w:r w:rsidRPr="009452A2">
        <w:rPr>
          <w:rStyle w:val="TextoNormalCaracter"/>
        </w:rPr>
        <w:t>(redactado por la Ley 47/1967, de 22 de julio)</w:t>
      </w:r>
      <w:r w:rsidRPr="009452A2">
        <w:rPr>
          <w:rStyle w:val="TextoNormalNegritaCaracter"/>
        </w:rPr>
        <w:t>.</w:t>
      </w:r>
      <w:r w:rsidRPr="009452A2">
        <w:rPr>
          <w:rStyle w:val="TextoNormalCaracter"/>
        </w:rPr>
        <w:t>-</w:t>
      </w:r>
      <w:r>
        <w:t xml:space="preserve"> Sentencia </w:t>
      </w:r>
      <w:hyperlink w:anchor="SENTENCIA_1985_21" w:history="1">
        <w:r w:rsidRPr="009452A2">
          <w:rPr>
            <w:rStyle w:val="TextoNormalCaracter"/>
          </w:rPr>
          <w:t>21/1985</w:t>
        </w:r>
      </w:hyperlink>
      <w:r>
        <w:t>, f. 2.</w:t>
      </w:r>
    </w:p>
    <w:p w:rsidR="009452A2" w:rsidRDefault="009452A2" w:rsidP="009452A2">
      <w:pPr>
        <w:pStyle w:val="SangriaFrancesaArticulo"/>
      </w:pPr>
      <w:r w:rsidRPr="009452A2">
        <w:rPr>
          <w:rStyle w:val="TextoNormalNegritaCaracter"/>
        </w:rPr>
        <w:t>Artículo 504.2.3</w:t>
      </w:r>
      <w:r>
        <w:t xml:space="preserve"> </w:t>
      </w:r>
      <w:r w:rsidRPr="009452A2">
        <w:rPr>
          <w:rStyle w:val="TextoNormalCaracter"/>
        </w:rPr>
        <w:t>(redactado por la Ley 47/1967, de 22 de julio)</w:t>
      </w:r>
      <w:r w:rsidRPr="009452A2">
        <w:rPr>
          <w:rStyle w:val="TextoNormalNegritaCaracter"/>
        </w:rPr>
        <w:t>.</w:t>
      </w:r>
      <w:r w:rsidRPr="009452A2">
        <w:rPr>
          <w:rStyle w:val="TextoNormalCaracter"/>
        </w:rPr>
        <w:t>-</w:t>
      </w:r>
      <w:r>
        <w:t xml:space="preserve"> Sentencia </w:t>
      </w:r>
      <w:hyperlink w:anchor="SENTENCIA_1985_21" w:history="1">
        <w:r w:rsidRPr="009452A2">
          <w:rPr>
            <w:rStyle w:val="TextoNormalCaracter"/>
          </w:rPr>
          <w:t>21/1985</w:t>
        </w:r>
      </w:hyperlink>
      <w:r>
        <w:t>, f. 2.</w:t>
      </w:r>
    </w:p>
    <w:p w:rsidR="009452A2" w:rsidRDefault="009452A2" w:rsidP="009452A2">
      <w:pPr>
        <w:pStyle w:val="SangriaFrancesaArticulo"/>
      </w:pPr>
      <w:r w:rsidRPr="009452A2">
        <w:rPr>
          <w:rStyle w:val="TextoNormalNegritaCaracter"/>
        </w:rPr>
        <w:t>Artículo 504.3</w:t>
      </w:r>
      <w:r>
        <w:t xml:space="preserve"> </w:t>
      </w:r>
      <w:r w:rsidRPr="009452A2">
        <w:rPr>
          <w:rStyle w:val="TextoNormalCaracter"/>
        </w:rPr>
        <w:t>(redactado por la Ley 47/1967, de 22 de julio)</w:t>
      </w:r>
      <w:r w:rsidRPr="009452A2">
        <w:rPr>
          <w:rStyle w:val="TextoNormalNegritaCaracter"/>
        </w:rPr>
        <w:t>.</w:t>
      </w:r>
      <w:r w:rsidRPr="009452A2">
        <w:rPr>
          <w:rStyle w:val="TextoNormalCaracter"/>
        </w:rPr>
        <w:t>-</w:t>
      </w:r>
      <w:r>
        <w:t xml:space="preserve"> Sentencia </w:t>
      </w:r>
      <w:hyperlink w:anchor="SENTENCIA_1985_21" w:history="1">
        <w:r w:rsidRPr="009452A2">
          <w:rPr>
            <w:rStyle w:val="TextoNormalCaracter"/>
          </w:rPr>
          <w:t>21/1985</w:t>
        </w:r>
      </w:hyperlink>
      <w:r>
        <w:t>, ff. 2 a 4.</w:t>
      </w:r>
    </w:p>
    <w:p w:rsidR="009452A2" w:rsidRDefault="009452A2" w:rsidP="009452A2">
      <w:pPr>
        <w:pStyle w:val="SangriaFrancesaArticulo"/>
      </w:pPr>
      <w:r w:rsidRPr="009452A2">
        <w:rPr>
          <w:rStyle w:val="TextoNormalNegritaCaracter"/>
        </w:rPr>
        <w:t>Artículo 506.1.</w:t>
      </w:r>
      <w:r w:rsidRPr="009452A2">
        <w:rPr>
          <w:rStyle w:val="TextoNormalCaracter"/>
        </w:rPr>
        <w:t>-</w:t>
      </w:r>
      <w:r>
        <w:t xml:space="preserve"> Sentencia </w:t>
      </w:r>
      <w:hyperlink w:anchor="SENTENCIA_1985_21" w:history="1">
        <w:r w:rsidRPr="009452A2">
          <w:rPr>
            <w:rStyle w:val="TextoNormalCaracter"/>
          </w:rPr>
          <w:t>21/1985</w:t>
        </w:r>
      </w:hyperlink>
      <w:r>
        <w:t>, f. 4.</w:t>
      </w:r>
    </w:p>
    <w:p w:rsidR="009452A2" w:rsidRDefault="009452A2" w:rsidP="009452A2">
      <w:pPr>
        <w:pStyle w:val="SangriaFrancesaArticulo"/>
      </w:pPr>
      <w:r w:rsidRPr="009452A2">
        <w:rPr>
          <w:rStyle w:val="TextoNormalNegritaCaracter"/>
        </w:rPr>
        <w:t>Artículo 521.3.</w:t>
      </w:r>
      <w:r w:rsidRPr="009452A2">
        <w:rPr>
          <w:rStyle w:val="TextoNormalCaracter"/>
        </w:rPr>
        <w:t>-</w:t>
      </w:r>
      <w:r>
        <w:t xml:space="preserve"> Sentencia </w:t>
      </w:r>
      <w:hyperlink w:anchor="SENTENCIA_1985_21" w:history="1">
        <w:r w:rsidRPr="009452A2">
          <w:rPr>
            <w:rStyle w:val="TextoNormalCaracter"/>
          </w:rPr>
          <w:t>21/1985</w:t>
        </w:r>
      </w:hyperlink>
      <w:r>
        <w:t>, f. 4.</w:t>
      </w:r>
    </w:p>
    <w:p w:rsidR="009452A2" w:rsidRDefault="009452A2" w:rsidP="009452A2">
      <w:pPr>
        <w:pStyle w:val="SangriaFrancesaArticulo"/>
      </w:pPr>
    </w:p>
    <w:p w:rsidR="009452A2" w:rsidRDefault="009452A2" w:rsidP="009452A2">
      <w:pPr>
        <w:pStyle w:val="TextoNormalNegritaCursivandice"/>
      </w:pPr>
      <w:r>
        <w:t>Real Decreto de 24 de julio de 1889. Código civil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49" w:history="1">
        <w:r w:rsidRPr="009452A2">
          <w:rPr>
            <w:rStyle w:val="TextoNormalCaracter"/>
          </w:rPr>
          <w:t>249/1985</w:t>
        </w:r>
      </w:hyperlink>
      <w:r>
        <w:t>.</w:t>
      </w:r>
    </w:p>
    <w:p w:rsidR="009452A2" w:rsidRDefault="009452A2" w:rsidP="009452A2">
      <w:pPr>
        <w:pStyle w:val="SangriaFrancesaArticulo"/>
      </w:pPr>
      <w:r w:rsidRPr="009452A2">
        <w:rPr>
          <w:rStyle w:val="TextoNormalNegritaCaracter"/>
        </w:rPr>
        <w:t>Título preliminar.</w:t>
      </w:r>
      <w:r w:rsidRPr="009452A2">
        <w:rPr>
          <w:rStyle w:val="TextoNormalCaracter"/>
        </w:rPr>
        <w:t>-</w:t>
      </w:r>
      <w:r>
        <w:t xml:space="preserve"> Auto </w:t>
      </w:r>
      <w:hyperlink w:anchor="AUTO_1985_43" w:history="1">
        <w:r w:rsidRPr="009452A2">
          <w:rPr>
            <w:rStyle w:val="TextoNormalCaracter"/>
          </w:rPr>
          <w:t>43/1985</w:t>
        </w:r>
      </w:hyperlink>
      <w:r>
        <w:t>.</w:t>
      </w:r>
    </w:p>
    <w:p w:rsidR="009452A2" w:rsidRDefault="009452A2" w:rsidP="009452A2">
      <w:pPr>
        <w:pStyle w:val="SangriaFrancesaArticulo"/>
      </w:pPr>
      <w:r w:rsidRPr="009452A2">
        <w:rPr>
          <w:rStyle w:val="TextoNormalNegritaCaracter"/>
        </w:rPr>
        <w:t>Artículo 1.7.</w:t>
      </w:r>
      <w:r w:rsidRPr="009452A2">
        <w:rPr>
          <w:rStyle w:val="TextoNormalCaracter"/>
        </w:rPr>
        <w:t>-</w:t>
      </w:r>
      <w:r>
        <w:t xml:space="preserve"> Sentencia </w:t>
      </w:r>
      <w:hyperlink w:anchor="SENTENCIA_1985_5" w:history="1">
        <w:r w:rsidRPr="009452A2">
          <w:rPr>
            <w:rStyle w:val="TextoNormalCaracter"/>
          </w:rPr>
          <w:t>5/1985</w:t>
        </w:r>
      </w:hyperlink>
      <w:r>
        <w:t>, f. 7.</w:t>
      </w:r>
    </w:p>
    <w:p w:rsidR="009452A2" w:rsidRDefault="009452A2" w:rsidP="009452A2">
      <w:pPr>
        <w:pStyle w:val="SangriaFrancesaArticulo"/>
      </w:pPr>
      <w:r w:rsidRPr="009452A2">
        <w:rPr>
          <w:rStyle w:val="TextoNormalNegritaCaracter"/>
        </w:rPr>
        <w:t>Artículo 6.1.</w:t>
      </w:r>
      <w:r w:rsidRPr="009452A2">
        <w:rPr>
          <w:rStyle w:val="TextoNormalCaracter"/>
        </w:rPr>
        <w:t>-</w:t>
      </w:r>
      <w:r>
        <w:t xml:space="preserve"> Sentencia </w:t>
      </w:r>
      <w:hyperlink w:anchor="SENTENCIA_1985_41" w:history="1">
        <w:r w:rsidRPr="009452A2">
          <w:rPr>
            <w:rStyle w:val="TextoNormalCaracter"/>
          </w:rPr>
          <w:t>41/1985</w:t>
        </w:r>
      </w:hyperlink>
      <w:r>
        <w:t>, f. 4.</w:t>
      </w:r>
    </w:p>
    <w:p w:rsidR="009452A2" w:rsidRDefault="009452A2" w:rsidP="009452A2">
      <w:pPr>
        <w:pStyle w:val="SangriaFrancesaArticulo"/>
      </w:pPr>
      <w:r w:rsidRPr="009452A2">
        <w:rPr>
          <w:rStyle w:val="TextoNormalNegritaCaracter"/>
        </w:rPr>
        <w:t>Artículo 7.</w:t>
      </w:r>
      <w:r w:rsidRPr="009452A2">
        <w:rPr>
          <w:rStyle w:val="TextoNormalCaracter"/>
        </w:rPr>
        <w:t>-</w:t>
      </w:r>
      <w:r>
        <w:t xml:space="preserve"> Auto </w:t>
      </w:r>
      <w:hyperlink w:anchor="AUTO_1985_171" w:history="1">
        <w:r w:rsidRPr="009452A2">
          <w:rPr>
            <w:rStyle w:val="TextoNormalCaracter"/>
          </w:rPr>
          <w:t>171/1985</w:t>
        </w:r>
      </w:hyperlink>
      <w:r>
        <w:t>.</w:t>
      </w:r>
    </w:p>
    <w:p w:rsidR="009452A2" w:rsidRDefault="009452A2" w:rsidP="009452A2">
      <w:pPr>
        <w:pStyle w:val="SangriaFrancesaArticulo"/>
      </w:pPr>
      <w:r w:rsidRPr="009452A2">
        <w:rPr>
          <w:rStyle w:val="TextoNormalNegritaCaracter"/>
        </w:rPr>
        <w:t>Artículo 7.2.</w:t>
      </w:r>
      <w:r w:rsidRPr="009452A2">
        <w:rPr>
          <w:rStyle w:val="TextoNormalCaracter"/>
        </w:rPr>
        <w:t>-</w:t>
      </w:r>
      <w:r>
        <w:t xml:space="preserve"> Auto </w:t>
      </w:r>
      <w:hyperlink w:anchor="AUTO_1985_188" w:history="1">
        <w:r w:rsidRPr="009452A2">
          <w:rPr>
            <w:rStyle w:val="TextoNormalCaracter"/>
          </w:rPr>
          <w:t>188/1985</w:t>
        </w:r>
      </w:hyperlink>
      <w:r>
        <w:t>.</w:t>
      </w:r>
    </w:p>
    <w:p w:rsidR="009452A2" w:rsidRDefault="009452A2" w:rsidP="009452A2">
      <w:pPr>
        <w:pStyle w:val="SangriaFrancesaArticulo"/>
      </w:pPr>
      <w:r w:rsidRPr="009452A2">
        <w:rPr>
          <w:rStyle w:val="TextoNormalNegritaCaracter"/>
        </w:rPr>
        <w:t>Artículo 103.</w:t>
      </w:r>
      <w:r w:rsidRPr="009452A2">
        <w:rPr>
          <w:rStyle w:val="TextoNormalCaracter"/>
        </w:rPr>
        <w:t>-</w:t>
      </w:r>
      <w:r>
        <w:t xml:space="preserve"> Auto </w:t>
      </w:r>
      <w:hyperlink w:anchor="AUTO_1985_249" w:history="1">
        <w:r w:rsidRPr="009452A2">
          <w:rPr>
            <w:rStyle w:val="TextoNormalCaracter"/>
          </w:rPr>
          <w:t>249/1985</w:t>
        </w:r>
      </w:hyperlink>
      <w:r>
        <w:t>.</w:t>
      </w:r>
    </w:p>
    <w:p w:rsidR="009452A2" w:rsidRDefault="009452A2" w:rsidP="009452A2">
      <w:pPr>
        <w:pStyle w:val="SangriaFrancesaArticulo"/>
      </w:pPr>
      <w:r w:rsidRPr="009452A2">
        <w:rPr>
          <w:rStyle w:val="TextoNormalNegritaCaracter"/>
        </w:rPr>
        <w:t>Artículo 156.</w:t>
      </w:r>
      <w:r w:rsidRPr="009452A2">
        <w:rPr>
          <w:rStyle w:val="TextoNormalCaracter"/>
        </w:rPr>
        <w:t>-</w:t>
      </w:r>
      <w:r>
        <w:t xml:space="preserve"> Auto </w:t>
      </w:r>
      <w:hyperlink w:anchor="AUTO_1985_86" w:history="1">
        <w:r w:rsidRPr="009452A2">
          <w:rPr>
            <w:rStyle w:val="TextoNormalCaracter"/>
          </w:rPr>
          <w:t>86/1985</w:t>
        </w:r>
      </w:hyperlink>
      <w:r>
        <w:t>.</w:t>
      </w:r>
    </w:p>
    <w:p w:rsidR="009452A2" w:rsidRDefault="009452A2" w:rsidP="009452A2">
      <w:pPr>
        <w:pStyle w:val="SangriaFrancesaArticulo"/>
      </w:pPr>
      <w:r w:rsidRPr="009452A2">
        <w:rPr>
          <w:rStyle w:val="TextoNormalNegritaCaracter"/>
        </w:rPr>
        <w:t>Artículo 159.</w:t>
      </w:r>
      <w:r w:rsidRPr="009452A2">
        <w:rPr>
          <w:rStyle w:val="TextoNormalCaracter"/>
        </w:rPr>
        <w:t>-</w:t>
      </w:r>
      <w:r>
        <w:t xml:space="preserve"> Auto </w:t>
      </w:r>
      <w:hyperlink w:anchor="AUTO_1985_86" w:history="1">
        <w:r w:rsidRPr="009452A2">
          <w:rPr>
            <w:rStyle w:val="TextoNormalCaracter"/>
          </w:rPr>
          <w:t>86/1985</w:t>
        </w:r>
      </w:hyperlink>
      <w:r>
        <w:t>.</w:t>
      </w:r>
    </w:p>
    <w:p w:rsidR="009452A2" w:rsidRDefault="009452A2" w:rsidP="009452A2">
      <w:pPr>
        <w:pStyle w:val="SangriaFrancesaArticulo"/>
      </w:pPr>
      <w:r w:rsidRPr="009452A2">
        <w:rPr>
          <w:rStyle w:val="TextoNormalNegritaCaracter"/>
        </w:rPr>
        <w:t>Artículo 460.1.</w:t>
      </w:r>
      <w:r w:rsidRPr="009452A2">
        <w:rPr>
          <w:rStyle w:val="TextoNormalCaracter"/>
        </w:rPr>
        <w:t>-</w:t>
      </w:r>
      <w:r>
        <w:t xml:space="preserve"> Auto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609.</w:t>
      </w:r>
      <w:r w:rsidRPr="009452A2">
        <w:rPr>
          <w:rStyle w:val="TextoNormalCaracter"/>
        </w:rPr>
        <w:t>-</w:t>
      </w:r>
      <w:r>
        <w:t xml:space="preserve"> Auto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1101.</w:t>
      </w:r>
      <w:r w:rsidRPr="009452A2">
        <w:rPr>
          <w:rStyle w:val="TextoNormalCaracter"/>
        </w:rPr>
        <w:t>-</w:t>
      </w:r>
      <w:r>
        <w:t xml:space="preserve"> Auto </w:t>
      </w:r>
      <w:hyperlink w:anchor="AUTO_1985_245" w:history="1">
        <w:r w:rsidRPr="009452A2">
          <w:rPr>
            <w:rStyle w:val="TextoNormalCaracter"/>
          </w:rPr>
          <w:t>245/1985</w:t>
        </w:r>
      </w:hyperlink>
      <w:r>
        <w:t>.</w:t>
      </w:r>
    </w:p>
    <w:p w:rsidR="009452A2" w:rsidRDefault="009452A2" w:rsidP="009452A2">
      <w:pPr>
        <w:pStyle w:val="SangriaFrancesaArticulo"/>
      </w:pPr>
      <w:r w:rsidRPr="009452A2">
        <w:rPr>
          <w:rStyle w:val="TextoNormalNegritaCaracter"/>
        </w:rPr>
        <w:t>Artículo 1195.</w:t>
      </w:r>
      <w:r w:rsidRPr="009452A2">
        <w:rPr>
          <w:rStyle w:val="TextoNormalCaracter"/>
        </w:rPr>
        <w:t>-</w:t>
      </w:r>
      <w:r>
        <w:t xml:space="preserve"> Auto </w:t>
      </w:r>
      <w:hyperlink w:anchor="AUTO_1985_89" w:history="1">
        <w:r w:rsidRPr="009452A2">
          <w:rPr>
            <w:rStyle w:val="TextoNormalCaracter"/>
          </w:rPr>
          <w:t>89/1985</w:t>
        </w:r>
      </w:hyperlink>
      <w:r>
        <w:t>.</w:t>
      </w:r>
    </w:p>
    <w:p w:rsidR="009452A2" w:rsidRDefault="009452A2" w:rsidP="009452A2">
      <w:pPr>
        <w:pStyle w:val="SangriaFrancesaArticulo"/>
      </w:pPr>
      <w:r w:rsidRPr="009452A2">
        <w:rPr>
          <w:rStyle w:val="TextoNormalNegritaCaracter"/>
        </w:rPr>
        <w:t>Artículo 1196.</w:t>
      </w:r>
      <w:r w:rsidRPr="009452A2">
        <w:rPr>
          <w:rStyle w:val="TextoNormalCaracter"/>
        </w:rPr>
        <w:t>-</w:t>
      </w:r>
      <w:r>
        <w:t xml:space="preserve"> Auto </w:t>
      </w:r>
      <w:hyperlink w:anchor="AUTO_1985_89" w:history="1">
        <w:r w:rsidRPr="009452A2">
          <w:rPr>
            <w:rStyle w:val="TextoNormalCaracter"/>
          </w:rPr>
          <w:t>89/1985</w:t>
        </w:r>
      </w:hyperlink>
      <w:r>
        <w:t>.</w:t>
      </w:r>
    </w:p>
    <w:p w:rsidR="009452A2" w:rsidRDefault="009452A2" w:rsidP="009452A2">
      <w:pPr>
        <w:pStyle w:val="SangriaFrancesaArticulo"/>
      </w:pPr>
      <w:r w:rsidRPr="009452A2">
        <w:rPr>
          <w:rStyle w:val="TextoNormalNegritaCaracter"/>
        </w:rPr>
        <w:t>Artículo 1202.</w:t>
      </w:r>
      <w:r w:rsidRPr="009452A2">
        <w:rPr>
          <w:rStyle w:val="TextoNormalCaracter"/>
        </w:rPr>
        <w:t>-</w:t>
      </w:r>
      <w:r>
        <w:t xml:space="preserve"> Auto </w:t>
      </w:r>
      <w:hyperlink w:anchor="AUTO_1985_89" w:history="1">
        <w:r w:rsidRPr="009452A2">
          <w:rPr>
            <w:rStyle w:val="TextoNormalCaracter"/>
          </w:rPr>
          <w:t>89/1985</w:t>
        </w:r>
      </w:hyperlink>
      <w:r>
        <w:t>.</w:t>
      </w:r>
    </w:p>
    <w:p w:rsidR="009452A2" w:rsidRDefault="009452A2" w:rsidP="009452A2">
      <w:pPr>
        <w:pStyle w:val="SangriaFrancesaArticulo"/>
      </w:pPr>
      <w:r w:rsidRPr="009452A2">
        <w:rPr>
          <w:rStyle w:val="TextoNormalNegritaCaracter"/>
        </w:rPr>
        <w:t>Artículo 1231.</w:t>
      </w:r>
      <w:r w:rsidRPr="009452A2">
        <w:rPr>
          <w:rStyle w:val="TextoNormalCaracter"/>
        </w:rPr>
        <w:t>-</w:t>
      </w:r>
      <w:r>
        <w:t xml:space="preserve"> Sentencia </w:t>
      </w:r>
      <w:hyperlink w:anchor="SENTENCIA_1985_36" w:history="1">
        <w:r w:rsidRPr="009452A2">
          <w:rPr>
            <w:rStyle w:val="TextoNormalCaracter"/>
          </w:rPr>
          <w:t>36/1985</w:t>
        </w:r>
      </w:hyperlink>
      <w:r>
        <w:t>, f. 3.</w:t>
      </w:r>
    </w:p>
    <w:p w:rsidR="009452A2" w:rsidRDefault="009452A2" w:rsidP="009452A2">
      <w:pPr>
        <w:pStyle w:val="SangriaFrancesaArticulo"/>
      </w:pPr>
      <w:r w:rsidRPr="009452A2">
        <w:rPr>
          <w:rStyle w:val="TextoNormalNegritaCaracter"/>
        </w:rPr>
        <w:t>Artículo 1239.</w:t>
      </w:r>
      <w:r w:rsidRPr="009452A2">
        <w:rPr>
          <w:rStyle w:val="TextoNormalCaracter"/>
        </w:rPr>
        <w:t>-</w:t>
      </w:r>
      <w:r>
        <w:t xml:space="preserve"> Sentencia </w:t>
      </w:r>
      <w:hyperlink w:anchor="SENTENCIA_1985_36" w:history="1">
        <w:r w:rsidRPr="009452A2">
          <w:rPr>
            <w:rStyle w:val="TextoNormalCaracter"/>
          </w:rPr>
          <w:t>36/1985</w:t>
        </w:r>
      </w:hyperlink>
      <w:r>
        <w:t>, f. 3.</w:t>
      </w:r>
    </w:p>
    <w:p w:rsidR="009452A2" w:rsidRDefault="009452A2" w:rsidP="009452A2">
      <w:pPr>
        <w:pStyle w:val="SangriaFrancesaArticulo"/>
      </w:pPr>
      <w:r w:rsidRPr="009452A2">
        <w:rPr>
          <w:rStyle w:val="TextoNormalNegritaCaracter"/>
        </w:rPr>
        <w:t>Artículo 1713.</w:t>
      </w:r>
      <w:r w:rsidRPr="009452A2">
        <w:rPr>
          <w:rStyle w:val="TextoNormalCaracter"/>
        </w:rPr>
        <w:t>-</w:t>
      </w:r>
      <w:r>
        <w:t xml:space="preserve"> Sentencia </w:t>
      </w:r>
      <w:hyperlink w:anchor="SENTENCIA_1985_58" w:history="1">
        <w:r w:rsidRPr="009452A2">
          <w:rPr>
            <w:rStyle w:val="TextoNormalCaracter"/>
          </w:rPr>
          <w:t>58/1985</w:t>
        </w:r>
      </w:hyperlink>
      <w:r>
        <w:t>, f. 4.</w:t>
      </w:r>
    </w:p>
    <w:p w:rsidR="009452A2" w:rsidRDefault="009452A2" w:rsidP="009452A2">
      <w:pPr>
        <w:pStyle w:val="SangriaFrancesaArticulo"/>
      </w:pPr>
      <w:r w:rsidRPr="009452A2">
        <w:rPr>
          <w:rStyle w:val="TextoNormalNegritaCaracter"/>
        </w:rPr>
        <w:t>Artículo 1939.</w:t>
      </w:r>
      <w:r w:rsidRPr="009452A2">
        <w:rPr>
          <w:rStyle w:val="TextoNormalCaracter"/>
        </w:rPr>
        <w:t>-</w:t>
      </w:r>
      <w:r>
        <w:t xml:space="preserve"> Sentencia </w:t>
      </w:r>
      <w:hyperlink w:anchor="SENTENCIA_1985_10" w:history="1">
        <w:r w:rsidRPr="009452A2">
          <w:rPr>
            <w:rStyle w:val="TextoNormalCaracter"/>
          </w:rPr>
          <w:t>10/1985</w:t>
        </w:r>
      </w:hyperlink>
      <w:r>
        <w:t>, f. 4.</w:t>
      </w:r>
    </w:p>
    <w:p w:rsidR="009452A2" w:rsidRDefault="009452A2" w:rsidP="009452A2">
      <w:pPr>
        <w:pStyle w:val="SangriaFrancesaArticulo"/>
      </w:pPr>
    </w:p>
    <w:p w:rsidR="009452A2" w:rsidRDefault="009452A2" w:rsidP="009452A2">
      <w:pPr>
        <w:pStyle w:val="TextoNormalNegritaCursivandice"/>
      </w:pPr>
      <w:r>
        <w:t>Ley de 3 de marzo de 1904. Descanso dominical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9" w:history="1">
        <w:r w:rsidRPr="009452A2">
          <w:rPr>
            <w:rStyle w:val="TextoNormalCaracter"/>
          </w:rPr>
          <w:t>19/1985</w:t>
        </w:r>
      </w:hyperlink>
      <w:r>
        <w:t>, f. 4.</w:t>
      </w:r>
    </w:p>
    <w:p w:rsidR="009452A2" w:rsidRDefault="009452A2" w:rsidP="009452A2">
      <w:pPr>
        <w:pStyle w:val="SangriaFrancesaArticulo"/>
      </w:pPr>
    </w:p>
    <w:p w:rsidR="009452A2" w:rsidRDefault="009452A2" w:rsidP="009452A2">
      <w:pPr>
        <w:pStyle w:val="TextoNormalNegritaCursivandice"/>
      </w:pPr>
      <w:r>
        <w:t>Real Decreto-ley de 8 de junio de 1925. Descanso Dominical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9" w:history="1">
        <w:r w:rsidRPr="009452A2">
          <w:rPr>
            <w:rStyle w:val="TextoNormalCaracter"/>
          </w:rPr>
          <w:t>19/1985</w:t>
        </w:r>
      </w:hyperlink>
      <w:r>
        <w:t>, ff. 4, 5.</w:t>
      </w:r>
    </w:p>
    <w:p w:rsidR="009452A2" w:rsidRDefault="009452A2" w:rsidP="009452A2">
      <w:pPr>
        <w:pStyle w:val="SangriaFrancesaArticulo"/>
      </w:pPr>
    </w:p>
    <w:p w:rsidR="009452A2" w:rsidRDefault="009452A2" w:rsidP="009452A2">
      <w:pPr>
        <w:pStyle w:val="TextoNormalNegritaCursivandice"/>
      </w:pPr>
      <w:r>
        <w:t>Decreto de 1 de julio de 1931. Fijando en ocho horas la jornada legal de trabajo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9" w:history="1">
        <w:r w:rsidRPr="009452A2">
          <w:rPr>
            <w:rStyle w:val="TextoNormalCaracter"/>
          </w:rPr>
          <w:t>19/1985</w:t>
        </w:r>
      </w:hyperlink>
      <w:r>
        <w:t>, f. 4.</w:t>
      </w:r>
    </w:p>
    <w:p w:rsidR="009452A2" w:rsidRDefault="009452A2" w:rsidP="009452A2">
      <w:pPr>
        <w:pStyle w:val="SangriaFrancesaArticulo"/>
      </w:pPr>
      <w:r w:rsidRPr="009452A2">
        <w:rPr>
          <w:rStyle w:val="TextoNormalNegritaCaracter"/>
        </w:rPr>
        <w:t>Artículo 24.</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p>
    <w:p w:rsidR="009452A2" w:rsidRDefault="009452A2" w:rsidP="009452A2">
      <w:pPr>
        <w:pStyle w:val="TextoNormalNegritaCursivandice"/>
      </w:pPr>
      <w:r>
        <w:t>Ley de 13 de julio de 1940. Descanso Dominical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9" w:history="1">
        <w:r w:rsidRPr="009452A2">
          <w:rPr>
            <w:rStyle w:val="TextoNormalCaracter"/>
          </w:rPr>
          <w:t>19/1985</w:t>
        </w:r>
      </w:hyperlink>
      <w:r>
        <w:t>, f. 4.</w:t>
      </w:r>
    </w:p>
    <w:p w:rsidR="009452A2" w:rsidRDefault="009452A2" w:rsidP="009452A2">
      <w:pPr>
        <w:pStyle w:val="SangriaFrancesaArticulo"/>
      </w:pPr>
    </w:p>
    <w:p w:rsidR="009452A2" w:rsidRDefault="009452A2" w:rsidP="009452A2">
      <w:pPr>
        <w:pStyle w:val="TextoNormalNegritaCursivandice"/>
      </w:pPr>
      <w:r>
        <w:t>Ley de 19 de julio de 1944. Bases para la reforma de la justicia municipal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p>
    <w:p w:rsidR="009452A2" w:rsidRDefault="009452A2" w:rsidP="009452A2">
      <w:pPr>
        <w:pStyle w:val="TextoNormalNegritaCursivandice"/>
      </w:pPr>
      <w:r>
        <w:t>Ley de 25 de noviembre de 1944. Sanidad nacional. Bases para su organización</w:t>
      </w:r>
    </w:p>
    <w:p w:rsidR="009452A2" w:rsidRDefault="009452A2" w:rsidP="009452A2">
      <w:pPr>
        <w:pStyle w:val="SangriaFrancesaArticulo"/>
      </w:pPr>
      <w:r w:rsidRPr="009452A2">
        <w:rPr>
          <w:rStyle w:val="TextoNormalNegritaCaracter"/>
        </w:rPr>
        <w:t>Base 16.9.</w:t>
      </w:r>
      <w:r w:rsidRPr="009452A2">
        <w:rPr>
          <w:rStyle w:val="TextoNormalCaracter"/>
        </w:rPr>
        <w:t>-</w:t>
      </w:r>
      <w:r>
        <w:t xml:space="preserve"> Auto </w:t>
      </w:r>
      <w:hyperlink w:anchor="AUTO_1985_9" w:history="1">
        <w:r w:rsidRPr="009452A2">
          <w:rPr>
            <w:rStyle w:val="TextoNormalCaracter"/>
          </w:rPr>
          <w:t>9/1985</w:t>
        </w:r>
      </w:hyperlink>
      <w:r>
        <w:t>.</w:t>
      </w:r>
    </w:p>
    <w:p w:rsidR="009452A2" w:rsidRDefault="009452A2" w:rsidP="009452A2">
      <w:pPr>
        <w:pStyle w:val="SangriaFrancesaArticulo"/>
      </w:pPr>
    </w:p>
    <w:p w:rsidR="009452A2" w:rsidRDefault="009452A2" w:rsidP="009452A2">
      <w:pPr>
        <w:pStyle w:val="TextoNormalNegritaCursivandice"/>
      </w:pPr>
      <w:r>
        <w:t>Ley de 17 de julio de 1945. Código de justicia militar</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2" w:history="1">
        <w:r w:rsidRPr="009452A2">
          <w:rPr>
            <w:rStyle w:val="TextoNormalCaracter"/>
          </w:rPr>
          <w:t>52/1985</w:t>
        </w:r>
      </w:hyperlink>
      <w:r>
        <w:t>, f. 2.</w:t>
      </w:r>
    </w:p>
    <w:p w:rsidR="009452A2" w:rsidRDefault="009452A2" w:rsidP="009452A2">
      <w:pPr>
        <w:pStyle w:val="SangriaFrancesaArticulo"/>
      </w:pPr>
      <w:r w:rsidRPr="009452A2">
        <w:rPr>
          <w:rStyle w:val="TextoNormalNegritaCaracter"/>
        </w:rPr>
        <w:t>Artículo 107.6.</w:t>
      </w:r>
      <w:r w:rsidRPr="009452A2">
        <w:rPr>
          <w:rStyle w:val="TextoNormalCaracter"/>
        </w:rPr>
        <w:t>-</w:t>
      </w:r>
      <w:r>
        <w:t xml:space="preserve"> Sentencia </w:t>
      </w:r>
      <w:hyperlink w:anchor="SENTENCIA_1985_52" w:history="1">
        <w:r w:rsidRPr="009452A2">
          <w:rPr>
            <w:rStyle w:val="TextoNormalCaracter"/>
          </w:rPr>
          <w:t>52/1985</w:t>
        </w:r>
      </w:hyperlink>
      <w:r>
        <w:t>, f. 2.</w:t>
      </w:r>
    </w:p>
    <w:p w:rsidR="009452A2" w:rsidRDefault="009452A2" w:rsidP="009452A2">
      <w:pPr>
        <w:pStyle w:val="SangriaFrancesaArticulo"/>
      </w:pPr>
      <w:r w:rsidRPr="009452A2">
        <w:rPr>
          <w:rStyle w:val="TextoNormalNegritaCaracter"/>
        </w:rPr>
        <w:t>Artículo 154.</w:t>
      </w:r>
      <w:r w:rsidRPr="009452A2">
        <w:rPr>
          <w:rStyle w:val="TextoNormalCaracter"/>
        </w:rPr>
        <w:t>-</w:t>
      </w:r>
      <w:r>
        <w:t xml:space="preserve"> Auto </w:t>
      </w:r>
      <w:hyperlink w:anchor="AUTO_1985_51" w:history="1">
        <w:r w:rsidRPr="009452A2">
          <w:rPr>
            <w:rStyle w:val="TextoNormalCaracter"/>
          </w:rPr>
          <w:t>51/1985</w:t>
        </w:r>
      </w:hyperlink>
      <w:r>
        <w:t>.</w:t>
      </w:r>
    </w:p>
    <w:p w:rsidR="009452A2" w:rsidRDefault="009452A2" w:rsidP="009452A2">
      <w:pPr>
        <w:pStyle w:val="SangriaFrancesaArticulo"/>
      </w:pPr>
      <w:r w:rsidRPr="009452A2">
        <w:rPr>
          <w:rStyle w:val="TextoNormalNegritaCaracter"/>
        </w:rPr>
        <w:t>Artículo 352.</w:t>
      </w:r>
      <w:r w:rsidRPr="009452A2">
        <w:rPr>
          <w:rStyle w:val="TextoNormalCaracter"/>
        </w:rPr>
        <w:t>-</w:t>
      </w:r>
      <w:r>
        <w:t xml:space="preserve"> Sentencia </w:t>
      </w:r>
      <w:hyperlink w:anchor="SENTENCIA_1985_33" w:history="1">
        <w:r w:rsidRPr="009452A2">
          <w:rPr>
            <w:rStyle w:val="TextoNormalCaracter"/>
          </w:rPr>
          <w:t>33/1985</w:t>
        </w:r>
      </w:hyperlink>
      <w:r>
        <w:t>, f. 1.</w:t>
      </w:r>
    </w:p>
    <w:p w:rsidR="009452A2" w:rsidRDefault="009452A2" w:rsidP="009452A2">
      <w:pPr>
        <w:pStyle w:val="SangriaFrancesaArticulo"/>
      </w:pPr>
      <w:r w:rsidRPr="009452A2">
        <w:rPr>
          <w:rStyle w:val="TextoNormalNegritaCaracter"/>
        </w:rPr>
        <w:t>Artículo 420.</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r w:rsidRPr="009452A2">
        <w:rPr>
          <w:rStyle w:val="TextoNormalNegritaCaracter"/>
        </w:rPr>
        <w:t>Artículo 421.</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r w:rsidRPr="009452A2">
        <w:rPr>
          <w:rStyle w:val="TextoNormalNegritaCaracter"/>
        </w:rPr>
        <w:t>Artículo 437.8.</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r w:rsidRPr="009452A2">
        <w:rPr>
          <w:rStyle w:val="TextoNormalNegritaCaracter"/>
        </w:rPr>
        <w:t>Artículo 797.</w:t>
      </w:r>
      <w:r w:rsidRPr="009452A2">
        <w:rPr>
          <w:rStyle w:val="TextoNormalCaracter"/>
        </w:rPr>
        <w:t>-</w:t>
      </w:r>
      <w:r>
        <w:t xml:space="preserve"> Sentencia </w:t>
      </w:r>
      <w:hyperlink w:anchor="SENTENCIA_1985_52" w:history="1">
        <w:r w:rsidRPr="009452A2">
          <w:rPr>
            <w:rStyle w:val="TextoNormalCaracter"/>
          </w:rPr>
          <w:t>52/1985</w:t>
        </w:r>
      </w:hyperlink>
      <w:r>
        <w:t>, f. 2.</w:t>
      </w:r>
    </w:p>
    <w:p w:rsidR="009452A2" w:rsidRDefault="009452A2" w:rsidP="009452A2">
      <w:pPr>
        <w:pStyle w:val="SangriaFrancesaArticulo"/>
      </w:pPr>
      <w:r w:rsidRPr="009452A2">
        <w:rPr>
          <w:rStyle w:val="TextoNormalNegritaCaracter"/>
        </w:rPr>
        <w:t>Artículo 798.</w:t>
      </w:r>
      <w:r w:rsidRPr="009452A2">
        <w:rPr>
          <w:rStyle w:val="TextoNormalCaracter"/>
        </w:rPr>
        <w:t>-</w:t>
      </w:r>
      <w:r>
        <w:t xml:space="preserve"> Sentencia </w:t>
      </w:r>
      <w:hyperlink w:anchor="SENTENCIA_1985_27" w:history="1">
        <w:r w:rsidRPr="009452A2">
          <w:rPr>
            <w:rStyle w:val="TextoNormalCaracter"/>
          </w:rPr>
          <w:t>27/1985</w:t>
        </w:r>
      </w:hyperlink>
      <w:r>
        <w:t>, f. 1.</w:t>
      </w:r>
    </w:p>
    <w:p w:rsidR="009452A2" w:rsidRDefault="009452A2" w:rsidP="009452A2">
      <w:pPr>
        <w:pStyle w:val="SangriaFrancesaArticulo"/>
      </w:pPr>
      <w:r w:rsidRPr="009452A2">
        <w:rPr>
          <w:rStyle w:val="TextoNormalNegritaCaracter"/>
        </w:rPr>
        <w:t>Artículo 1003.</w:t>
      </w:r>
      <w:r w:rsidRPr="009452A2">
        <w:rPr>
          <w:rStyle w:val="TextoNormalCaracter"/>
        </w:rPr>
        <w:t>-</w:t>
      </w:r>
      <w:r>
        <w:t xml:space="preserve"> Sentencia </w:t>
      </w:r>
      <w:hyperlink w:anchor="SENTENCIA_1985_31" w:history="1">
        <w:r w:rsidRPr="009452A2">
          <w:rPr>
            <w:rStyle w:val="TextoNormalCaracter"/>
          </w:rPr>
          <w:t>31/1985</w:t>
        </w:r>
      </w:hyperlink>
      <w:r>
        <w:t>, f. 3.</w:t>
      </w:r>
    </w:p>
    <w:p w:rsidR="009452A2" w:rsidRDefault="009452A2" w:rsidP="009452A2">
      <w:pPr>
        <w:pStyle w:val="SangriaFrancesaArticulo"/>
      </w:pPr>
    </w:p>
    <w:p w:rsidR="009452A2" w:rsidRDefault="009452A2" w:rsidP="009452A2">
      <w:pPr>
        <w:pStyle w:val="TextoNormalNegritaCursivandice"/>
      </w:pPr>
      <w:r>
        <w:t>Decreto de 8 de febrero de 1946. Texto refundido de la Ley hipotecaria</w:t>
      </w:r>
    </w:p>
    <w:p w:rsidR="009452A2" w:rsidRDefault="009452A2" w:rsidP="009452A2">
      <w:pPr>
        <w:pStyle w:val="SangriaFrancesaArticulo"/>
      </w:pPr>
      <w:r w:rsidRPr="009452A2">
        <w:rPr>
          <w:rStyle w:val="TextoNormalNegritaCaracter"/>
        </w:rPr>
        <w:t>Artículo 41.</w:t>
      </w:r>
      <w:r w:rsidRPr="009452A2">
        <w:rPr>
          <w:rStyle w:val="TextoNormalCaracter"/>
        </w:rPr>
        <w:t>-</w:t>
      </w:r>
      <w:r>
        <w:t xml:space="preserve"> Autos </w:t>
      </w:r>
      <w:hyperlink w:anchor="AUTO_1985_109" w:history="1">
        <w:r w:rsidRPr="009452A2">
          <w:rPr>
            <w:rStyle w:val="TextoNormalCaracter"/>
          </w:rPr>
          <w:t>109/1985</w:t>
        </w:r>
      </w:hyperlink>
      <w:r>
        <w:t xml:space="preserve">; </w:t>
      </w:r>
      <w:hyperlink w:anchor="AUTO_1985_270" w:history="1">
        <w:r w:rsidRPr="009452A2">
          <w:rPr>
            <w:rStyle w:val="TextoNormalCaracter"/>
          </w:rPr>
          <w:t>270/1985</w:t>
        </w:r>
      </w:hyperlink>
      <w:r>
        <w:t>.</w:t>
      </w:r>
    </w:p>
    <w:p w:rsidR="009452A2" w:rsidRDefault="009452A2" w:rsidP="009452A2">
      <w:pPr>
        <w:pStyle w:val="SangriaFrancesaArticulo"/>
      </w:pPr>
      <w:r w:rsidRPr="009452A2">
        <w:rPr>
          <w:rStyle w:val="TextoNormalNegritaCaracter"/>
        </w:rPr>
        <w:t>Artículo 42.</w:t>
      </w:r>
      <w:r w:rsidRPr="009452A2">
        <w:rPr>
          <w:rStyle w:val="TextoNormalCaracter"/>
        </w:rPr>
        <w:t>-</w:t>
      </w:r>
      <w:r>
        <w:t xml:space="preserve"> Sentencia </w:t>
      </w:r>
      <w:hyperlink w:anchor="SENTENCIA_1985_5" w:history="1">
        <w:r w:rsidRPr="009452A2">
          <w:rPr>
            <w:rStyle w:val="TextoNormalCaracter"/>
          </w:rPr>
          <w:t>5/1985</w:t>
        </w:r>
      </w:hyperlink>
      <w:r>
        <w:t>, f. 8.</w:t>
      </w:r>
    </w:p>
    <w:p w:rsidR="009452A2" w:rsidRDefault="009452A2" w:rsidP="009452A2">
      <w:pPr>
        <w:pStyle w:val="SangriaFrancesaArticulo"/>
      </w:pPr>
      <w:r w:rsidRPr="009452A2">
        <w:rPr>
          <w:rStyle w:val="TextoNormalNegritaCaracter"/>
        </w:rPr>
        <w:t>Artículo 131.</w:t>
      </w:r>
      <w:r w:rsidRPr="009452A2">
        <w:rPr>
          <w:rStyle w:val="TextoNormalCaracter"/>
        </w:rPr>
        <w:t>-</w:t>
      </w:r>
      <w:r>
        <w:t xml:space="preserve"> Autos </w:t>
      </w:r>
      <w:hyperlink w:anchor="AUTO_1985_30" w:history="1">
        <w:r w:rsidRPr="009452A2">
          <w:rPr>
            <w:rStyle w:val="TextoNormalCaracter"/>
          </w:rPr>
          <w:t>30/1985</w:t>
        </w:r>
      </w:hyperlink>
      <w:r>
        <w:t xml:space="preserve">; </w:t>
      </w:r>
      <w:hyperlink w:anchor="AUTO_1985_50" w:history="1">
        <w:r w:rsidRPr="009452A2">
          <w:rPr>
            <w:rStyle w:val="TextoNormalCaracter"/>
          </w:rPr>
          <w:t>50/1985</w:t>
        </w:r>
      </w:hyperlink>
      <w:r>
        <w:t xml:space="preserve">; </w:t>
      </w:r>
      <w:hyperlink w:anchor="AUTO_1985_248" w:history="1">
        <w:r w:rsidRPr="009452A2">
          <w:rPr>
            <w:rStyle w:val="TextoNormalCaracter"/>
          </w:rPr>
          <w:t>248/1985</w:t>
        </w:r>
      </w:hyperlink>
      <w:r>
        <w:t>.</w:t>
      </w:r>
    </w:p>
    <w:p w:rsidR="009452A2" w:rsidRDefault="009452A2" w:rsidP="009452A2">
      <w:pPr>
        <w:pStyle w:val="SangriaFrancesaArticulo"/>
      </w:pPr>
      <w:r w:rsidRPr="009452A2">
        <w:rPr>
          <w:rStyle w:val="TextoNormalNegritaCaracter"/>
        </w:rPr>
        <w:t>Artículo 132.</w:t>
      </w:r>
      <w:r w:rsidRPr="009452A2">
        <w:rPr>
          <w:rStyle w:val="TextoNormalCaracter"/>
        </w:rPr>
        <w:t>-</w:t>
      </w:r>
      <w:r>
        <w:t xml:space="preserve"> Autos </w:t>
      </w:r>
      <w:hyperlink w:anchor="AUTO_1985_30" w:history="1">
        <w:r w:rsidRPr="009452A2">
          <w:rPr>
            <w:rStyle w:val="TextoNormalCaracter"/>
          </w:rPr>
          <w:t>30/1985</w:t>
        </w:r>
      </w:hyperlink>
      <w:r>
        <w:t xml:space="preserve">; </w:t>
      </w:r>
      <w:hyperlink w:anchor="AUTO_1985_248" w:history="1">
        <w:r w:rsidRPr="009452A2">
          <w:rPr>
            <w:rStyle w:val="TextoNormalCaracter"/>
          </w:rPr>
          <w:t>248/1985</w:t>
        </w:r>
      </w:hyperlink>
      <w:r>
        <w:t>.</w:t>
      </w:r>
    </w:p>
    <w:p w:rsidR="009452A2" w:rsidRDefault="009452A2" w:rsidP="009452A2">
      <w:pPr>
        <w:pStyle w:val="SangriaFrancesaArticulo"/>
      </w:pPr>
    </w:p>
    <w:p w:rsidR="009452A2" w:rsidRDefault="009452A2" w:rsidP="009452A2">
      <w:pPr>
        <w:pStyle w:val="TextoNormalNegritaCursivandice"/>
      </w:pPr>
      <w:r>
        <w:t>Decreto de 24 de enero de 1947. Normas sobre competencias de la justicia municipal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p>
    <w:p w:rsidR="009452A2" w:rsidRDefault="009452A2" w:rsidP="009452A2">
      <w:pPr>
        <w:pStyle w:val="TextoNormalNegritaCursivandice"/>
      </w:pPr>
      <w:r>
        <w:t>Decreto de 1</w:t>
      </w:r>
      <w:r w:rsidR="000F63E8">
        <w:fldChar w:fldCharType="begin"/>
      </w:r>
      <w:r w:rsidR="000F63E8">
        <w:instrText xml:space="preserve"> PAGEREF SUMARIOSINDICES \h </w:instrText>
      </w:r>
      <w:r w:rsidR="000F63E8">
        <w:fldChar w:fldCharType="separate"/>
      </w:r>
      <w:r w:rsidR="00CB2978">
        <w:rPr>
          <w:noProof/>
        </w:rPr>
        <w:t>2</w:t>
      </w:r>
      <w:r w:rsidR="000F63E8">
        <w:fldChar w:fldCharType="end"/>
      </w:r>
      <w:r>
        <w:t>4 de febrero de 1947. Reglamento hipotecario</w:t>
      </w:r>
    </w:p>
    <w:p w:rsidR="009452A2" w:rsidRDefault="009452A2" w:rsidP="009452A2">
      <w:pPr>
        <w:pStyle w:val="SangriaFrancesaArticulo"/>
      </w:pPr>
      <w:r w:rsidRPr="009452A2">
        <w:rPr>
          <w:rStyle w:val="TextoNormalNegritaCaracter"/>
        </w:rPr>
        <w:t>Artículo 137.11.</w:t>
      </w:r>
      <w:r w:rsidRPr="009452A2">
        <w:rPr>
          <w:rStyle w:val="TextoNormalCaracter"/>
        </w:rPr>
        <w:t>-</w:t>
      </w:r>
      <w:r>
        <w:t xml:space="preserve"> Auto </w:t>
      </w:r>
      <w:hyperlink w:anchor="AUTO_1985_109" w:history="1">
        <w:r w:rsidRPr="009452A2">
          <w:rPr>
            <w:rStyle w:val="TextoNormalCaracter"/>
          </w:rPr>
          <w:t>109/1985</w:t>
        </w:r>
      </w:hyperlink>
      <w:r>
        <w:t>.</w:t>
      </w:r>
    </w:p>
    <w:p w:rsidR="009452A2" w:rsidRDefault="009452A2" w:rsidP="009452A2">
      <w:pPr>
        <w:pStyle w:val="SangriaFrancesaArticulo"/>
      </w:pPr>
    </w:p>
    <w:p w:rsidR="009452A2" w:rsidRDefault="009452A2" w:rsidP="009452A2">
      <w:pPr>
        <w:pStyle w:val="TextoNormalNegritaCursivandice"/>
      </w:pPr>
      <w:r>
        <w:t>Ley de 17 de julio de 1948. Conflictos jurisdiccionales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5" w:history="1">
        <w:r w:rsidRPr="009452A2">
          <w:rPr>
            <w:rStyle w:val="TextoNormalCaracter"/>
          </w:rPr>
          <w:t>55/1985</w:t>
        </w:r>
      </w:hyperlink>
      <w:r>
        <w:t>, ff. 1, 2.</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Sentencia </w:t>
      </w:r>
      <w:hyperlink w:anchor="SENTENCIA_1985_55" w:history="1">
        <w:r w:rsidRPr="009452A2">
          <w:rPr>
            <w:rStyle w:val="TextoNormalCaracter"/>
          </w:rPr>
          <w:t>55/1985</w:t>
        </w:r>
      </w:hyperlink>
      <w:r>
        <w:t>, f. 3.</w:t>
      </w:r>
    </w:p>
    <w:p w:rsidR="009452A2" w:rsidRDefault="009452A2" w:rsidP="009452A2">
      <w:pPr>
        <w:pStyle w:val="SangriaFrancesaArticulo"/>
      </w:pPr>
    </w:p>
    <w:p w:rsidR="009452A2" w:rsidRDefault="009452A2" w:rsidP="009452A2">
      <w:pPr>
        <w:pStyle w:val="TextoNormalNegritaCursivandice"/>
      </w:pPr>
      <w:r>
        <w:t>Orden del Ministerio de Trabajo, de 27 de septiembre de 1950. Reglamento nacional de trabajo de cajas de ahorros</w:t>
      </w:r>
    </w:p>
    <w:p w:rsidR="009452A2" w:rsidRDefault="009452A2" w:rsidP="009452A2">
      <w:pPr>
        <w:pStyle w:val="SangriaFrancesaArticulo"/>
      </w:pPr>
      <w:r w:rsidRPr="009452A2">
        <w:rPr>
          <w:rStyle w:val="TextoNormalNegritaCaracter"/>
        </w:rPr>
        <w:t>Artículo 53.</w:t>
      </w:r>
      <w:r w:rsidRPr="009452A2">
        <w:rPr>
          <w:rStyle w:val="TextoNormalCaracter"/>
        </w:rPr>
        <w:t>-</w:t>
      </w:r>
      <w:r>
        <w:t xml:space="preserve"> Sentencia </w:t>
      </w:r>
      <w:hyperlink w:anchor="SENTENCIA_1985_15" w:history="1">
        <w:r w:rsidRPr="009452A2">
          <w:rPr>
            <w:rStyle w:val="TextoNormalCaracter"/>
          </w:rPr>
          <w:t>15/1985</w:t>
        </w:r>
      </w:hyperlink>
      <w:r>
        <w:t>, f. 1.</w:t>
      </w:r>
    </w:p>
    <w:p w:rsidR="009452A2" w:rsidRDefault="009452A2" w:rsidP="009452A2">
      <w:pPr>
        <w:pStyle w:val="SangriaFrancesaArticulo"/>
      </w:pPr>
    </w:p>
    <w:p w:rsidR="009452A2" w:rsidRDefault="009452A2" w:rsidP="009452A2">
      <w:pPr>
        <w:pStyle w:val="TextoNormalNegritaCursivandice"/>
      </w:pPr>
      <w:r>
        <w:t>Ley de 17 de julio de 1951. Sociedades anónimas</w:t>
      </w:r>
    </w:p>
    <w:p w:rsidR="009452A2" w:rsidRDefault="009452A2" w:rsidP="009452A2">
      <w:pPr>
        <w:pStyle w:val="SangriaFrancesaArticulo"/>
      </w:pPr>
      <w:r w:rsidRPr="009452A2">
        <w:rPr>
          <w:rStyle w:val="TextoNormalNegritaCaracter"/>
        </w:rPr>
        <w:t>Artículo 70.</w:t>
      </w:r>
      <w:r w:rsidRPr="009452A2">
        <w:rPr>
          <w:rStyle w:val="TextoNormalCaracter"/>
        </w:rPr>
        <w:t>-</w:t>
      </w:r>
      <w:r>
        <w:t xml:space="preserve"> Auto </w:t>
      </w:r>
      <w:hyperlink w:anchor="AUTO_1985_257" w:history="1">
        <w:r w:rsidRPr="009452A2">
          <w:rPr>
            <w:rStyle w:val="TextoNormalCaracter"/>
          </w:rPr>
          <w:t>257/1985</w:t>
        </w:r>
      </w:hyperlink>
      <w:r>
        <w:t>.</w:t>
      </w:r>
    </w:p>
    <w:p w:rsidR="009452A2" w:rsidRDefault="009452A2" w:rsidP="009452A2">
      <w:pPr>
        <w:pStyle w:val="SangriaFrancesaArticulo"/>
      </w:pPr>
    </w:p>
    <w:p w:rsidR="009452A2" w:rsidRDefault="009452A2" w:rsidP="009452A2">
      <w:pPr>
        <w:pStyle w:val="TextoNormalNegritaCursivandice"/>
      </w:pPr>
      <w:r>
        <w:t>Decreto de 17 de mayo de 1952. Reglamento de organización, funcionamiento y régimen jurídico de las Corporaciones locales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r w:rsidRPr="009452A2">
        <w:rPr>
          <w:rStyle w:val="TextoNormalNegritaCaracter"/>
        </w:rPr>
        <w:t>Artículo 10.</w:t>
      </w:r>
      <w:r w:rsidRPr="009452A2">
        <w:rPr>
          <w:rStyle w:val="TextoNormalCaracter"/>
        </w:rPr>
        <w:t>-</w:t>
      </w:r>
      <w:r>
        <w:t xml:space="preserve"> Sentencia </w:t>
      </w:r>
      <w:hyperlink w:anchor="SENTENCIA_1985_8" w:history="1">
        <w:r w:rsidRPr="009452A2">
          <w:rPr>
            <w:rStyle w:val="TextoNormalCaracter"/>
          </w:rPr>
          <w:t>8/1985</w:t>
        </w:r>
      </w:hyperlink>
      <w:r>
        <w:t>, f. 4.</w:t>
      </w:r>
    </w:p>
    <w:p w:rsidR="009452A2" w:rsidRDefault="009452A2" w:rsidP="009452A2">
      <w:pPr>
        <w:pStyle w:val="SangriaFrancesaArticulo"/>
      </w:pPr>
      <w:r w:rsidRPr="009452A2">
        <w:rPr>
          <w:rStyle w:val="TextoNormalNegritaCaracter"/>
        </w:rPr>
        <w:t>Artículo 84.3.</w:t>
      </w:r>
      <w:r w:rsidRPr="009452A2">
        <w:rPr>
          <w:rStyle w:val="TextoNormalCaracter"/>
        </w:rPr>
        <w:t>-</w:t>
      </w:r>
      <w:r>
        <w:t xml:space="preserve"> Sentencia </w:t>
      </w:r>
      <w:hyperlink w:anchor="SENTENCIA_1985_8" w:history="1">
        <w:r w:rsidRPr="009452A2">
          <w:rPr>
            <w:rStyle w:val="TextoNormalCaracter"/>
          </w:rPr>
          <w:t>8/1985</w:t>
        </w:r>
      </w:hyperlink>
      <w:r>
        <w:t>, f. 4.</w:t>
      </w:r>
    </w:p>
    <w:p w:rsidR="009452A2" w:rsidRDefault="009452A2" w:rsidP="009452A2">
      <w:pPr>
        <w:pStyle w:val="SangriaFrancesaArticulo"/>
      </w:pPr>
      <w:r w:rsidRPr="009452A2">
        <w:rPr>
          <w:rStyle w:val="TextoNormalNegritaCaracter"/>
        </w:rPr>
        <w:t>Artículo 91.</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r w:rsidRPr="009452A2">
        <w:rPr>
          <w:rStyle w:val="TextoNormalNegritaCaracter"/>
        </w:rPr>
        <w:t>Artículo 94.</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r w:rsidRPr="009452A2">
        <w:rPr>
          <w:rStyle w:val="TextoNormalNegritaCaracter"/>
        </w:rPr>
        <w:t>Artículo 124.</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r w:rsidRPr="009452A2">
        <w:rPr>
          <w:rStyle w:val="TextoNormalNegritaCaracter"/>
        </w:rPr>
        <w:t>Artículo 125.</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r w:rsidRPr="009452A2">
        <w:rPr>
          <w:rStyle w:val="TextoNormalNegritaCaracter"/>
        </w:rPr>
        <w:t>Artículo 126.</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r w:rsidRPr="009452A2">
        <w:rPr>
          <w:rStyle w:val="TextoNormalNegritaCaracter"/>
        </w:rPr>
        <w:lastRenderedPageBreak/>
        <w:t>Artículo 128.</w:t>
      </w:r>
      <w:r w:rsidRPr="009452A2">
        <w:rPr>
          <w:rStyle w:val="TextoNormalCaracter"/>
        </w:rPr>
        <w:t>-</w:t>
      </w:r>
      <w:r>
        <w:t xml:space="preserve"> Sentencia </w:t>
      </w:r>
      <w:hyperlink w:anchor="SENTENCIA_1985_32" w:history="1">
        <w:r w:rsidRPr="009452A2">
          <w:rPr>
            <w:rStyle w:val="TextoNormalCaracter"/>
          </w:rPr>
          <w:t>32/1985</w:t>
        </w:r>
      </w:hyperlink>
      <w:r>
        <w:t>, f. 2.</w:t>
      </w:r>
    </w:p>
    <w:p w:rsidR="009452A2" w:rsidRDefault="009452A2" w:rsidP="009452A2">
      <w:pPr>
        <w:pStyle w:val="SangriaFrancesaArticulo"/>
      </w:pPr>
    </w:p>
    <w:p w:rsidR="009452A2" w:rsidRDefault="009452A2" w:rsidP="009452A2">
      <w:pPr>
        <w:pStyle w:val="TextoNormalNegritaCursivandice"/>
      </w:pPr>
      <w:r>
        <w:t>Decreto de 4 de agosto de 1952. Reglamento de haciendas locales</w:t>
      </w:r>
    </w:p>
    <w:p w:rsidR="009452A2" w:rsidRDefault="009452A2" w:rsidP="009452A2">
      <w:pPr>
        <w:pStyle w:val="SangriaFrancesaArticulo"/>
      </w:pPr>
      <w:r w:rsidRPr="009452A2">
        <w:rPr>
          <w:rStyle w:val="TextoNormalNegritaCaracter"/>
        </w:rPr>
        <w:t>Artículo 109.</w:t>
      </w:r>
      <w:r w:rsidRPr="009452A2">
        <w:rPr>
          <w:rStyle w:val="TextoNormalCaracter"/>
        </w:rPr>
        <w:t>-</w:t>
      </w:r>
      <w:r>
        <w:t xml:space="preserve"> Auto </w:t>
      </w:r>
      <w:hyperlink w:anchor="AUTO_1985_81" w:history="1">
        <w:r w:rsidRPr="009452A2">
          <w:rPr>
            <w:rStyle w:val="TextoNormalCaracter"/>
          </w:rPr>
          <w:t>81/1985</w:t>
        </w:r>
      </w:hyperlink>
      <w:r>
        <w:t>.</w:t>
      </w:r>
    </w:p>
    <w:p w:rsidR="009452A2" w:rsidRDefault="009452A2" w:rsidP="009452A2">
      <w:pPr>
        <w:pStyle w:val="SangriaFrancesaArticulo"/>
      </w:pPr>
    </w:p>
    <w:p w:rsidR="009452A2" w:rsidRDefault="009452A2" w:rsidP="009452A2">
      <w:pPr>
        <w:pStyle w:val="TextoNormalNegritaCursivandice"/>
      </w:pPr>
      <w:r>
        <w:t>Decreto de 21 de noviembre de 1952. Justicia municipal. Normas procesales</w:t>
      </w:r>
    </w:p>
    <w:p w:rsidR="009452A2" w:rsidRDefault="009452A2" w:rsidP="009452A2">
      <w:pPr>
        <w:pStyle w:val="SangriaFrancesaArticulo"/>
      </w:pPr>
      <w:r w:rsidRPr="009452A2">
        <w:rPr>
          <w:rStyle w:val="TextoNormalNegritaCaracter"/>
        </w:rPr>
        <w:t>Norma 1.</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Norma 14.</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 6.</w:t>
      </w:r>
      <w:r w:rsidRPr="009452A2">
        <w:rPr>
          <w:rStyle w:val="TextoNormalCaracter"/>
        </w:rPr>
        <w:t>-</w:t>
      </w:r>
      <w:r>
        <w:t xml:space="preserve"> Sentencia </w:t>
      </w:r>
      <w:hyperlink w:anchor="SENTENCIA_1985_34" w:history="1">
        <w:r w:rsidRPr="009452A2">
          <w:rPr>
            <w:rStyle w:val="TextoNormalCaracter"/>
          </w:rPr>
          <w:t>34/1985</w:t>
        </w:r>
      </w:hyperlink>
      <w:r>
        <w:t>, f. 3.</w:t>
      </w:r>
    </w:p>
    <w:p w:rsidR="009452A2" w:rsidRDefault="009452A2" w:rsidP="009452A2">
      <w:pPr>
        <w:pStyle w:val="SangriaFrancesaArticulo"/>
      </w:pPr>
      <w:r w:rsidRPr="009452A2">
        <w:rPr>
          <w:rStyle w:val="TextoNormalNegritaCaracter"/>
        </w:rPr>
        <w:t>Norma 15.</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 11.</w:t>
      </w:r>
      <w:r w:rsidRPr="009452A2">
        <w:rPr>
          <w:rStyle w:val="TextoNormalCaracter"/>
        </w:rPr>
        <w:t>-</w:t>
      </w:r>
      <w:r>
        <w:t xml:space="preserve"> Auto </w:t>
      </w:r>
      <w:hyperlink w:anchor="AUTO_1985_120" w:history="1">
        <w:r w:rsidRPr="009452A2">
          <w:rPr>
            <w:rStyle w:val="TextoNormalCaracter"/>
          </w:rPr>
          <w:t>120/1985</w:t>
        </w:r>
      </w:hyperlink>
      <w:r>
        <w:t>.</w:t>
      </w:r>
    </w:p>
    <w:p w:rsidR="009452A2" w:rsidRDefault="009452A2" w:rsidP="009452A2">
      <w:pPr>
        <w:pStyle w:val="SangriaFrancesaArticulo"/>
      </w:pPr>
      <w:r w:rsidRPr="009452A2">
        <w:rPr>
          <w:rStyle w:val="TextoNormalNegritaCaracter"/>
        </w:rPr>
        <w:t>Norma 7.</w:t>
      </w:r>
      <w:r w:rsidRPr="009452A2">
        <w:rPr>
          <w:rStyle w:val="TextoNormalCaracter"/>
        </w:rPr>
        <w:t>-</w:t>
      </w:r>
      <w:r>
        <w:t xml:space="preserve"> Sentencia </w:t>
      </w:r>
      <w:hyperlink w:anchor="SENTENCIA_1985_54" w:history="1">
        <w:r w:rsidRPr="009452A2">
          <w:rPr>
            <w:rStyle w:val="TextoNormalCaracter"/>
          </w:rPr>
          <w:t>54/1985</w:t>
        </w:r>
      </w:hyperlink>
      <w:r>
        <w:t>, f. 5.</w:t>
      </w:r>
    </w:p>
    <w:p w:rsidR="009452A2" w:rsidRDefault="009452A2" w:rsidP="009452A2">
      <w:pPr>
        <w:pStyle w:val="SangriaFrancesaArticulo"/>
      </w:pPr>
      <w:r w:rsidRPr="009452A2">
        <w:rPr>
          <w:rStyle w:val="TextoNormalNegritaCaracter"/>
        </w:rPr>
        <w:t>Artículos 1 a 18.</w:t>
      </w:r>
      <w:r w:rsidRPr="009452A2">
        <w:rPr>
          <w:rStyle w:val="TextoNormalCaracter"/>
        </w:rPr>
        <w:t>-</w:t>
      </w:r>
      <w:r>
        <w:t xml:space="preserve"> Sentencia </w:t>
      </w:r>
      <w:hyperlink w:anchor="SENTENCIA_1985_54" w:history="1">
        <w:r w:rsidRPr="009452A2">
          <w:rPr>
            <w:rStyle w:val="TextoNormalCaracter"/>
          </w:rPr>
          <w:t>54/1985</w:t>
        </w:r>
      </w:hyperlink>
      <w:r>
        <w:t>, f. 3.</w:t>
      </w:r>
    </w:p>
    <w:p w:rsidR="009452A2" w:rsidRDefault="009452A2" w:rsidP="009452A2">
      <w:pPr>
        <w:pStyle w:val="SangriaFrancesaArticulo"/>
      </w:pPr>
    </w:p>
    <w:p w:rsidR="009452A2" w:rsidRDefault="009452A2" w:rsidP="009452A2">
      <w:pPr>
        <w:pStyle w:val="TextoNormalNegritaCursivandice"/>
      </w:pPr>
      <w:r>
        <w:t>Decreto de 24 de junio de 1955. Texto refundido de la Ley de régimen local</w:t>
      </w:r>
    </w:p>
    <w:p w:rsidR="009452A2" w:rsidRDefault="009452A2" w:rsidP="009452A2">
      <w:pPr>
        <w:pStyle w:val="SangriaFrancesaArticulo"/>
      </w:pPr>
      <w:r w:rsidRPr="009452A2">
        <w:rPr>
          <w:rStyle w:val="TextoNormalNegritaCaracter"/>
        </w:rPr>
        <w:t>Artículo 416.1.</w:t>
      </w:r>
      <w:r w:rsidRPr="009452A2">
        <w:rPr>
          <w:rStyle w:val="TextoNormalCaracter"/>
        </w:rPr>
        <w:t>-</w:t>
      </w:r>
      <w:r>
        <w:t xml:space="preserve"> Auto </w:t>
      </w:r>
      <w:hyperlink w:anchor="AUTO_1985_83" w:history="1">
        <w:r w:rsidRPr="009452A2">
          <w:rPr>
            <w:rStyle w:val="TextoNormalCaracter"/>
          </w:rPr>
          <w:t>83/1985</w:t>
        </w:r>
      </w:hyperlink>
      <w:r>
        <w:t>.</w:t>
      </w:r>
    </w:p>
    <w:p w:rsidR="009452A2" w:rsidRDefault="009452A2" w:rsidP="009452A2">
      <w:pPr>
        <w:pStyle w:val="SangriaFrancesaArticulo"/>
      </w:pPr>
      <w:r w:rsidRPr="009452A2">
        <w:rPr>
          <w:rStyle w:val="TextoNormalNegritaCaracter"/>
        </w:rPr>
        <w:t>Artículo 514.</w:t>
      </w:r>
      <w:r w:rsidRPr="009452A2">
        <w:rPr>
          <w:rStyle w:val="TextoNormalCaracter"/>
        </w:rPr>
        <w:t>-</w:t>
      </w:r>
      <w:r>
        <w:t xml:space="preserve"> Auto </w:t>
      </w:r>
      <w:hyperlink w:anchor="AUTO_1985_81" w:history="1">
        <w:r w:rsidRPr="009452A2">
          <w:rPr>
            <w:rStyle w:val="TextoNormalCaracter"/>
          </w:rPr>
          <w:t>81/1985</w:t>
        </w:r>
      </w:hyperlink>
      <w:r>
        <w:t>.</w:t>
      </w:r>
    </w:p>
    <w:p w:rsidR="009452A2" w:rsidRDefault="009452A2" w:rsidP="009452A2">
      <w:pPr>
        <w:pStyle w:val="SangriaFrancesaArticulo"/>
      </w:pPr>
      <w:r w:rsidRPr="009452A2">
        <w:rPr>
          <w:rStyle w:val="TextoNormalNegritaCaracter"/>
        </w:rPr>
        <w:t>Artículo 796.</w:t>
      </w:r>
      <w:r w:rsidRPr="009452A2">
        <w:rPr>
          <w:rStyle w:val="TextoNormalCaracter"/>
        </w:rPr>
        <w:t>-</w:t>
      </w:r>
      <w:r>
        <w:t xml:space="preserve"> Auto </w:t>
      </w:r>
      <w:hyperlink w:anchor="AUTO_1985_81" w:history="1">
        <w:r w:rsidRPr="009452A2">
          <w:rPr>
            <w:rStyle w:val="TextoNormalCaracter"/>
          </w:rPr>
          <w:t>81/1985</w:t>
        </w:r>
      </w:hyperlink>
      <w:r>
        <w:t>.</w:t>
      </w:r>
    </w:p>
    <w:p w:rsidR="009452A2" w:rsidRDefault="009452A2" w:rsidP="009452A2">
      <w:pPr>
        <w:pStyle w:val="SangriaFrancesaArticulo"/>
      </w:pPr>
      <w:r w:rsidRPr="009452A2">
        <w:rPr>
          <w:rStyle w:val="TextoNormalNegritaCaracter"/>
        </w:rPr>
        <w:t>Artículo 796.1.1 b).</w:t>
      </w:r>
      <w:r w:rsidRPr="009452A2">
        <w:rPr>
          <w:rStyle w:val="TextoNormalCaracter"/>
        </w:rPr>
        <w:t>-</w:t>
      </w:r>
      <w:r>
        <w:t xml:space="preserve"> Auto </w:t>
      </w:r>
      <w:hyperlink w:anchor="AUTO_1985_81" w:history="1">
        <w:r w:rsidRPr="009452A2">
          <w:rPr>
            <w:rStyle w:val="TextoNormalCaracter"/>
          </w:rPr>
          <w:t>81/1985</w:t>
        </w:r>
      </w:hyperlink>
      <w:r>
        <w:t>.</w:t>
      </w:r>
    </w:p>
    <w:p w:rsidR="009452A2" w:rsidRDefault="009452A2" w:rsidP="009452A2">
      <w:pPr>
        <w:pStyle w:val="SangriaFrancesaArticulo"/>
      </w:pPr>
    </w:p>
    <w:p w:rsidR="009452A2" w:rsidRDefault="009452A2" w:rsidP="009452A2">
      <w:pPr>
        <w:pStyle w:val="TextoNormalNegritaCursivandice"/>
      </w:pPr>
      <w:r>
        <w:t>Decreto de 2 de febrero de 1956. Reglamento de servicios de prisiones</w:t>
      </w:r>
    </w:p>
    <w:p w:rsidR="009452A2" w:rsidRDefault="009452A2" w:rsidP="009452A2">
      <w:pPr>
        <w:pStyle w:val="SangriaFrancesaArticulo"/>
      </w:pPr>
      <w:r w:rsidRPr="009452A2">
        <w:rPr>
          <w:rStyle w:val="TextoNormalNegritaCaracter"/>
        </w:rPr>
        <w:t>Artículo 96.4.</w:t>
      </w:r>
      <w:r w:rsidRPr="009452A2">
        <w:rPr>
          <w:rStyle w:val="TextoNormalCaracter"/>
        </w:rPr>
        <w:t>-</w:t>
      </w:r>
      <w:r>
        <w:t xml:space="preserve"> Auto </w:t>
      </w:r>
      <w:hyperlink w:anchor="AUTO_1985_198" w:history="1">
        <w:r w:rsidRPr="009452A2">
          <w:rPr>
            <w:rStyle w:val="TextoNormalCaracter"/>
          </w:rPr>
          <w:t>198/1985</w:t>
        </w:r>
      </w:hyperlink>
      <w:r>
        <w:t>.</w:t>
      </w:r>
    </w:p>
    <w:p w:rsidR="009452A2" w:rsidRDefault="009452A2" w:rsidP="009452A2">
      <w:pPr>
        <w:pStyle w:val="SangriaFrancesaArticulo"/>
      </w:pPr>
    </w:p>
    <w:p w:rsidR="009452A2" w:rsidRDefault="009452A2" w:rsidP="009452A2">
      <w:pPr>
        <w:pStyle w:val="TextoNormalNegritaCursivandice"/>
      </w:pPr>
      <w:r>
        <w:t>Ley de 27 de diciembre de 1956. Jurisdicción contencioso-administrativa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Sentencias </w:t>
      </w:r>
      <w:hyperlink w:anchor="SENTENCIA_1985_4" w:history="1">
        <w:r w:rsidRPr="009452A2">
          <w:rPr>
            <w:rStyle w:val="TextoNormalCaracter"/>
          </w:rPr>
          <w:t>4/1985</w:t>
        </w:r>
      </w:hyperlink>
      <w:r>
        <w:t xml:space="preserve">, f. 2; </w:t>
      </w:r>
      <w:hyperlink w:anchor="SENTENCIA_1985_22" w:history="1">
        <w:r w:rsidRPr="009452A2">
          <w:rPr>
            <w:rStyle w:val="TextoNormalCaracter"/>
          </w:rPr>
          <w:t>22/1985</w:t>
        </w:r>
      </w:hyperlink>
      <w:r>
        <w:t>, f. 4.</w:t>
      </w:r>
    </w:p>
    <w:p w:rsidR="009452A2" w:rsidRDefault="009452A2" w:rsidP="009452A2">
      <w:pPr>
        <w:pStyle w:val="SangriaIzquierdaArticulo"/>
      </w:pPr>
      <w:r>
        <w:t xml:space="preserve">Autos </w:t>
      </w:r>
      <w:hyperlink w:anchor="AUTO_1985_139" w:history="1">
        <w:r w:rsidRPr="009452A2">
          <w:rPr>
            <w:rStyle w:val="TextoNormalCaracter"/>
          </w:rPr>
          <w:t>139/1985</w:t>
        </w:r>
      </w:hyperlink>
      <w:r>
        <w:t xml:space="preserve">; </w:t>
      </w:r>
      <w:hyperlink w:anchor="AUTO_1985_217" w:history="1">
        <w:r w:rsidRPr="009452A2">
          <w:rPr>
            <w:rStyle w:val="TextoNormalCaracter"/>
          </w:rPr>
          <w:t>217/1985</w:t>
        </w:r>
      </w:hyperlink>
      <w:r>
        <w:t>.</w:t>
      </w:r>
    </w:p>
    <w:p w:rsidR="009452A2" w:rsidRDefault="009452A2" w:rsidP="009452A2">
      <w:pPr>
        <w:pStyle w:val="SangriaFrancesaArticulo"/>
      </w:pPr>
      <w:r w:rsidRPr="009452A2">
        <w:rPr>
          <w:rStyle w:val="TextoNormalNegritaCaracter"/>
        </w:rPr>
        <w:t>Artículo 8.</w:t>
      </w:r>
      <w:r w:rsidRPr="009452A2">
        <w:rPr>
          <w:rStyle w:val="TextoNormalCaracter"/>
        </w:rPr>
        <w:t>-</w:t>
      </w:r>
      <w:r>
        <w:t xml:space="preserve"> Sentencia </w:t>
      </w:r>
      <w:hyperlink w:anchor="SENTENCIA_1985_22" w:history="1">
        <w:r w:rsidRPr="009452A2">
          <w:rPr>
            <w:rStyle w:val="TextoNormalCaracter"/>
          </w:rPr>
          <w:t>22/1985</w:t>
        </w:r>
      </w:hyperlink>
      <w:r>
        <w:t>, f. 5, VP.</w:t>
      </w:r>
    </w:p>
    <w:p w:rsidR="009452A2" w:rsidRDefault="009452A2" w:rsidP="009452A2">
      <w:pPr>
        <w:pStyle w:val="SangriaFrancesaArticulo"/>
      </w:pPr>
      <w:r w:rsidRPr="009452A2">
        <w:rPr>
          <w:rStyle w:val="TextoNormalNegritaCaracter"/>
        </w:rPr>
        <w:t>Artículo 8.3.</w:t>
      </w:r>
      <w:r w:rsidRPr="009452A2">
        <w:rPr>
          <w:rStyle w:val="TextoNormalCaracter"/>
        </w:rPr>
        <w:t>-</w:t>
      </w:r>
      <w:r>
        <w:t xml:space="preserve"> Sentencias </w:t>
      </w:r>
      <w:hyperlink w:anchor="SENTENCIA_1985_22" w:history="1">
        <w:r w:rsidRPr="009452A2">
          <w:rPr>
            <w:rStyle w:val="TextoNormalCaracter"/>
          </w:rPr>
          <w:t>22/1985</w:t>
        </w:r>
      </w:hyperlink>
      <w:r>
        <w:t xml:space="preserve">, ff. 4, 5; </w:t>
      </w:r>
      <w:hyperlink w:anchor="SENTENCIA_1985_39" w:history="1">
        <w:r w:rsidRPr="009452A2">
          <w:rPr>
            <w:rStyle w:val="TextoNormalCaracter"/>
          </w:rPr>
          <w:t>39/1985</w:t>
        </w:r>
      </w:hyperlink>
      <w:r>
        <w:t>, ff. 2 a 4.</w:t>
      </w:r>
    </w:p>
    <w:p w:rsidR="009452A2" w:rsidRDefault="009452A2" w:rsidP="009452A2">
      <w:pPr>
        <w:pStyle w:val="SangriaFrancesaArticulo"/>
      </w:pPr>
      <w:r w:rsidRPr="009452A2">
        <w:rPr>
          <w:rStyle w:val="TextoNormalNegritaCaracter"/>
        </w:rPr>
        <w:t>Artículo 10.1 b).</w:t>
      </w:r>
      <w:r w:rsidRPr="009452A2">
        <w:rPr>
          <w:rStyle w:val="TextoNormalCaracter"/>
        </w:rPr>
        <w:t>-</w:t>
      </w:r>
      <w:r>
        <w:t xml:space="preserve"> Sentencia </w:t>
      </w:r>
      <w:hyperlink w:anchor="SENTENCIA_1985_39" w:history="1">
        <w:r w:rsidRPr="009452A2">
          <w:rPr>
            <w:rStyle w:val="TextoNormalCaracter"/>
          </w:rPr>
          <w:t>39/1985</w:t>
        </w:r>
      </w:hyperlink>
      <w:r>
        <w:t>, f. 2.</w:t>
      </w:r>
    </w:p>
    <w:p w:rsidR="009452A2" w:rsidRDefault="009452A2" w:rsidP="009452A2">
      <w:pPr>
        <w:pStyle w:val="SangriaFrancesaArticulo"/>
      </w:pPr>
      <w:r w:rsidRPr="009452A2">
        <w:rPr>
          <w:rStyle w:val="TextoNormalNegritaCaracter"/>
        </w:rPr>
        <w:t>Artículo 14.1 b).</w:t>
      </w:r>
      <w:r w:rsidRPr="009452A2">
        <w:rPr>
          <w:rStyle w:val="TextoNormalCaracter"/>
        </w:rPr>
        <w:t>-</w:t>
      </w:r>
      <w:r>
        <w:t xml:space="preserve"> Sentencia </w:t>
      </w:r>
      <w:hyperlink w:anchor="SENTENCIA_1985_39" w:history="1">
        <w:r w:rsidRPr="009452A2">
          <w:rPr>
            <w:rStyle w:val="TextoNormalCaracter"/>
          </w:rPr>
          <w:t>39/1985</w:t>
        </w:r>
      </w:hyperlink>
      <w:r>
        <w:t>, f. 4.</w:t>
      </w:r>
    </w:p>
    <w:p w:rsidR="009452A2" w:rsidRDefault="009452A2" w:rsidP="009452A2">
      <w:pPr>
        <w:pStyle w:val="SangriaFrancesaArticulo"/>
      </w:pPr>
      <w:r w:rsidRPr="009452A2">
        <w:rPr>
          <w:rStyle w:val="TextoNormalNegritaCaracter"/>
        </w:rPr>
        <w:t>Artículo 29.1 b).</w:t>
      </w:r>
      <w:r w:rsidRPr="009452A2">
        <w:rPr>
          <w:rStyle w:val="TextoNormalCaracter"/>
        </w:rPr>
        <w:t>-</w:t>
      </w:r>
      <w:r>
        <w:t xml:space="preserve"> Sentencias </w:t>
      </w:r>
      <w:hyperlink w:anchor="SENTENCIA_1985_50" w:history="1">
        <w:r w:rsidRPr="009452A2">
          <w:rPr>
            <w:rStyle w:val="TextoNormalCaracter"/>
          </w:rPr>
          <w:t>50/1985</w:t>
        </w:r>
      </w:hyperlink>
      <w:r>
        <w:t xml:space="preserve">, f. 1; </w:t>
      </w:r>
      <w:hyperlink w:anchor="SENTENCIA_1985_56" w:history="1">
        <w:r w:rsidRPr="009452A2">
          <w:rPr>
            <w:rStyle w:val="TextoNormalCaracter"/>
          </w:rPr>
          <w:t>56/1985</w:t>
        </w:r>
      </w:hyperlink>
      <w:r>
        <w:t>, f. 2.</w:t>
      </w:r>
    </w:p>
    <w:p w:rsidR="009452A2" w:rsidRDefault="009452A2" w:rsidP="009452A2">
      <w:pPr>
        <w:pStyle w:val="SangriaFrancesaArticulo"/>
      </w:pPr>
      <w:r w:rsidRPr="009452A2">
        <w:rPr>
          <w:rStyle w:val="TextoNormalNegritaCaracter"/>
        </w:rPr>
        <w:t>Artículo 31.</w:t>
      </w:r>
      <w:r w:rsidRPr="009452A2">
        <w:rPr>
          <w:rStyle w:val="TextoNormalCaracter"/>
        </w:rPr>
        <w:t>-</w:t>
      </w:r>
      <w:r>
        <w:t xml:space="preserve"> Sentencia </w:t>
      </w:r>
      <w:hyperlink w:anchor="SENTENCIA_1985_4" w:history="1">
        <w:r w:rsidRPr="009452A2">
          <w:rPr>
            <w:rStyle w:val="TextoNormalCaracter"/>
          </w:rPr>
          <w:t>4/1985</w:t>
        </w:r>
      </w:hyperlink>
      <w:r>
        <w:t>, f. 2.</w:t>
      </w:r>
    </w:p>
    <w:p w:rsidR="009452A2" w:rsidRDefault="009452A2" w:rsidP="009452A2">
      <w:pPr>
        <w:pStyle w:val="SangriaFrancesaArticulo"/>
      </w:pPr>
      <w:r w:rsidRPr="009452A2">
        <w:rPr>
          <w:rStyle w:val="TextoNormalNegritaCaracter"/>
        </w:rPr>
        <w:t>Artículo 35.1.</w:t>
      </w:r>
      <w:r w:rsidRPr="009452A2">
        <w:rPr>
          <w:rStyle w:val="TextoNormalCaracter"/>
        </w:rPr>
        <w:t>-</w:t>
      </w:r>
      <w:r>
        <w:t xml:space="preserve"> Auto </w:t>
      </w:r>
      <w:hyperlink w:anchor="AUTO_1985_218" w:history="1">
        <w:r w:rsidRPr="009452A2">
          <w:rPr>
            <w:rStyle w:val="TextoNormalCaracter"/>
          </w:rPr>
          <w:t>218/1985</w:t>
        </w:r>
      </w:hyperlink>
      <w:r>
        <w:t>.</w:t>
      </w:r>
    </w:p>
    <w:p w:rsidR="009452A2" w:rsidRDefault="009452A2" w:rsidP="009452A2">
      <w:pPr>
        <w:pStyle w:val="SangriaFrancesaArticulo"/>
      </w:pPr>
      <w:r w:rsidRPr="009452A2">
        <w:rPr>
          <w:rStyle w:val="TextoNormalNegritaCaracter"/>
        </w:rPr>
        <w:t>Artículo 37.</w:t>
      </w:r>
      <w:r w:rsidRPr="009452A2">
        <w:rPr>
          <w:rStyle w:val="TextoNormalCaracter"/>
        </w:rPr>
        <w:t>-</w:t>
      </w:r>
      <w:r>
        <w:t xml:space="preserve"> Auto </w:t>
      </w:r>
      <w:hyperlink w:anchor="AUTO_1985_138" w:history="1">
        <w:r w:rsidRPr="009452A2">
          <w:rPr>
            <w:rStyle w:val="TextoNormalCaracter"/>
          </w:rPr>
          <w:t>138/1985</w:t>
        </w:r>
      </w:hyperlink>
      <w:r>
        <w:t>.</w:t>
      </w:r>
    </w:p>
    <w:p w:rsidR="009452A2" w:rsidRDefault="009452A2" w:rsidP="009452A2">
      <w:pPr>
        <w:pStyle w:val="SangriaFrancesaArticulo"/>
      </w:pPr>
      <w:r w:rsidRPr="009452A2">
        <w:rPr>
          <w:rStyle w:val="TextoNormalNegritaCaracter"/>
        </w:rPr>
        <w:t>Artículo 44.</w:t>
      </w:r>
      <w:r w:rsidRPr="009452A2">
        <w:rPr>
          <w:rStyle w:val="TextoNormalCaracter"/>
        </w:rPr>
        <w:t>-</w:t>
      </w:r>
      <w:r>
        <w:t xml:space="preserve"> Auto </w:t>
      </w:r>
      <w:hyperlink w:anchor="AUTO_1985_121" w:history="1">
        <w:r w:rsidRPr="009452A2">
          <w:rPr>
            <w:rStyle w:val="TextoNormalCaracter"/>
          </w:rPr>
          <w:t>121/1985</w:t>
        </w:r>
      </w:hyperlink>
      <w:r>
        <w:t>.</w:t>
      </w:r>
    </w:p>
    <w:p w:rsidR="009452A2" w:rsidRDefault="009452A2" w:rsidP="009452A2">
      <w:pPr>
        <w:pStyle w:val="SangriaFrancesaArticulo"/>
      </w:pPr>
      <w:r w:rsidRPr="009452A2">
        <w:rPr>
          <w:rStyle w:val="TextoNormalNegritaCaracter"/>
        </w:rPr>
        <w:t>Artículo 45.2.</w:t>
      </w:r>
      <w:r w:rsidRPr="009452A2">
        <w:rPr>
          <w:rStyle w:val="TextoNormalCaracter"/>
        </w:rPr>
        <w:t>-</w:t>
      </w:r>
      <w:r>
        <w:t xml:space="preserve"> Auto </w:t>
      </w:r>
      <w:hyperlink w:anchor="AUTO_1985_121" w:history="1">
        <w:r w:rsidRPr="009452A2">
          <w:rPr>
            <w:rStyle w:val="TextoNormalCaracter"/>
          </w:rPr>
          <w:t>121/1985</w:t>
        </w:r>
      </w:hyperlink>
      <w:r>
        <w:t>.</w:t>
      </w:r>
    </w:p>
    <w:p w:rsidR="009452A2" w:rsidRDefault="009452A2" w:rsidP="009452A2">
      <w:pPr>
        <w:pStyle w:val="SangriaFrancesaArticulo"/>
      </w:pPr>
      <w:r w:rsidRPr="009452A2">
        <w:rPr>
          <w:rStyle w:val="TextoNormalNegritaCaracter"/>
        </w:rPr>
        <w:t>Artículo 58.</w:t>
      </w:r>
      <w:r w:rsidRPr="009452A2">
        <w:rPr>
          <w:rStyle w:val="TextoNormalCaracter"/>
        </w:rPr>
        <w:t>-</w:t>
      </w:r>
      <w:r>
        <w:t xml:space="preserve"> Sentencia </w:t>
      </w:r>
      <w:hyperlink w:anchor="SENTENCIA_1985_22" w:history="1">
        <w:r w:rsidRPr="009452A2">
          <w:rPr>
            <w:rStyle w:val="TextoNormalCaracter"/>
          </w:rPr>
          <w:t>22/1985</w:t>
        </w:r>
      </w:hyperlink>
      <w:r>
        <w:t>, f. 4.</w:t>
      </w:r>
    </w:p>
    <w:p w:rsidR="009452A2" w:rsidRDefault="009452A2" w:rsidP="009452A2">
      <w:pPr>
        <w:pStyle w:val="SangriaFrancesaArticulo"/>
      </w:pPr>
      <w:r w:rsidRPr="009452A2">
        <w:rPr>
          <w:rStyle w:val="TextoNormalNegritaCaracter"/>
        </w:rPr>
        <w:t>Artículo 62.</w:t>
      </w:r>
      <w:r w:rsidRPr="009452A2">
        <w:rPr>
          <w:rStyle w:val="TextoNormalCaracter"/>
        </w:rPr>
        <w:t>-</w:t>
      </w:r>
      <w:r>
        <w:t xml:space="preserve"> Sentencia </w:t>
      </w:r>
      <w:hyperlink w:anchor="SENTENCIA_1985_22" w:history="1">
        <w:r w:rsidRPr="009452A2">
          <w:rPr>
            <w:rStyle w:val="TextoNormalCaracter"/>
          </w:rPr>
          <w:t>22/1985</w:t>
        </w:r>
      </w:hyperlink>
      <w:r>
        <w:t>, f. 4.</w:t>
      </w:r>
    </w:p>
    <w:p w:rsidR="009452A2" w:rsidRDefault="009452A2" w:rsidP="009452A2">
      <w:pPr>
        <w:pStyle w:val="SangriaFrancesaArticulo"/>
      </w:pPr>
      <w:r w:rsidRPr="009452A2">
        <w:rPr>
          <w:rStyle w:val="TextoNormalNegritaCaracter"/>
        </w:rPr>
        <w:t>Artículo 62.1 a).</w:t>
      </w:r>
      <w:r w:rsidRPr="009452A2">
        <w:rPr>
          <w:rStyle w:val="TextoNormalCaracter"/>
        </w:rPr>
        <w:t>-</w:t>
      </w:r>
      <w:r>
        <w:t xml:space="preserve"> Sentencia </w:t>
      </w:r>
      <w:hyperlink w:anchor="SENTENCIA_1985_39" w:history="1">
        <w:r w:rsidRPr="009452A2">
          <w:rPr>
            <w:rStyle w:val="TextoNormalCaracter"/>
          </w:rPr>
          <w:t>39/1985</w:t>
        </w:r>
      </w:hyperlink>
      <w:r>
        <w:t>, f. 2.</w:t>
      </w:r>
    </w:p>
    <w:p w:rsidR="009452A2" w:rsidRDefault="009452A2" w:rsidP="009452A2">
      <w:pPr>
        <w:pStyle w:val="SangriaFrancesaArticulo"/>
      </w:pPr>
      <w:r w:rsidRPr="009452A2">
        <w:rPr>
          <w:rStyle w:val="TextoNormalNegritaCaracter"/>
        </w:rPr>
        <w:t>Artículo 64.</w:t>
      </w:r>
      <w:r w:rsidRPr="009452A2">
        <w:rPr>
          <w:rStyle w:val="TextoNormalCaracter"/>
        </w:rPr>
        <w:t>-</w:t>
      </w:r>
      <w:r>
        <w:t xml:space="preserve"> Sentencias </w:t>
      </w:r>
      <w:hyperlink w:anchor="SENTENCIA_1985_45" w:history="1">
        <w:r w:rsidRPr="009452A2">
          <w:rPr>
            <w:rStyle w:val="TextoNormalCaracter"/>
          </w:rPr>
          <w:t>45/1985</w:t>
        </w:r>
      </w:hyperlink>
      <w:r>
        <w:t xml:space="preserve">, f. 2; </w:t>
      </w:r>
      <w:hyperlink w:anchor="SENTENCIA_1985_50" w:history="1">
        <w:r w:rsidRPr="009452A2">
          <w:rPr>
            <w:rStyle w:val="TextoNormalCaracter"/>
          </w:rPr>
          <w:t>50/1985</w:t>
        </w:r>
      </w:hyperlink>
      <w:r>
        <w:t xml:space="preserve">, ff. 1, 3; </w:t>
      </w:r>
      <w:hyperlink w:anchor="SENTENCIA_1985_56" w:history="1">
        <w:r w:rsidRPr="009452A2">
          <w:rPr>
            <w:rStyle w:val="TextoNormalCaracter"/>
          </w:rPr>
          <w:t>56/1985</w:t>
        </w:r>
      </w:hyperlink>
      <w:r>
        <w:t>, f. 2.</w:t>
      </w:r>
    </w:p>
    <w:p w:rsidR="009452A2" w:rsidRDefault="009452A2" w:rsidP="009452A2">
      <w:pPr>
        <w:pStyle w:val="SangriaFrancesaArticulo"/>
      </w:pPr>
      <w:r w:rsidRPr="009452A2">
        <w:rPr>
          <w:rStyle w:val="TextoNormalNegritaCaracter"/>
        </w:rPr>
        <w:t>Artículo 64.1.</w:t>
      </w:r>
      <w:r w:rsidRPr="009452A2">
        <w:rPr>
          <w:rStyle w:val="TextoNormalCaracter"/>
        </w:rPr>
        <w:t>-</w:t>
      </w:r>
      <w:r>
        <w:t xml:space="preserve"> Sentencias </w:t>
      </w:r>
      <w:hyperlink w:anchor="SENTENCIA_1985_2" w:history="1">
        <w:r w:rsidRPr="009452A2">
          <w:rPr>
            <w:rStyle w:val="TextoNormalCaracter"/>
          </w:rPr>
          <w:t>2/1985</w:t>
        </w:r>
      </w:hyperlink>
      <w:r>
        <w:t xml:space="preserve">, f. 1; </w:t>
      </w:r>
      <w:hyperlink w:anchor="SENTENCIA_1985_3" w:history="1">
        <w:r w:rsidRPr="009452A2">
          <w:rPr>
            <w:rStyle w:val="TextoNormalCaracter"/>
          </w:rPr>
          <w:t>3/1985</w:t>
        </w:r>
      </w:hyperlink>
      <w:r>
        <w:t xml:space="preserve">, f. 1; </w:t>
      </w:r>
      <w:hyperlink w:anchor="SENTENCIA_1985_6" w:history="1">
        <w:r w:rsidRPr="009452A2">
          <w:rPr>
            <w:rStyle w:val="TextoNormalCaracter"/>
          </w:rPr>
          <w:t>6/1985</w:t>
        </w:r>
      </w:hyperlink>
      <w:r>
        <w:t>, f. 1.</w:t>
      </w:r>
    </w:p>
    <w:p w:rsidR="009452A2" w:rsidRDefault="009452A2" w:rsidP="009452A2">
      <w:pPr>
        <w:pStyle w:val="SangriaFrancesaArticulo"/>
      </w:pPr>
      <w:r w:rsidRPr="009452A2">
        <w:rPr>
          <w:rStyle w:val="TextoNormalNegritaCaracter"/>
        </w:rPr>
        <w:t>Artículo 70.</w:t>
      </w:r>
      <w:r w:rsidRPr="009452A2">
        <w:rPr>
          <w:rStyle w:val="TextoNormalCaracter"/>
        </w:rPr>
        <w:t>-</w:t>
      </w:r>
      <w:r>
        <w:t xml:space="preserve"> Auto </w:t>
      </w:r>
      <w:hyperlink w:anchor="AUTO_1985_134" w:history="1">
        <w:r w:rsidRPr="009452A2">
          <w:rPr>
            <w:rStyle w:val="TextoNormalCaracter"/>
          </w:rPr>
          <w:t>134/1985</w:t>
        </w:r>
      </w:hyperlink>
      <w:r>
        <w:t>.</w:t>
      </w:r>
    </w:p>
    <w:p w:rsidR="009452A2" w:rsidRDefault="009452A2" w:rsidP="009452A2">
      <w:pPr>
        <w:pStyle w:val="SangriaFrancesaArticulo"/>
      </w:pPr>
      <w:r w:rsidRPr="009452A2">
        <w:rPr>
          <w:rStyle w:val="TextoNormalNegritaCaracter"/>
        </w:rPr>
        <w:t>Artículo 71.</w:t>
      </w:r>
      <w:r w:rsidRPr="009452A2">
        <w:rPr>
          <w:rStyle w:val="TextoNormalCaracter"/>
        </w:rPr>
        <w:t>-</w:t>
      </w:r>
      <w:r>
        <w:t xml:space="preserve"> Sentencia </w:t>
      </w:r>
      <w:hyperlink w:anchor="SENTENCIA_1985_22" w:history="1">
        <w:r w:rsidRPr="009452A2">
          <w:rPr>
            <w:rStyle w:val="TextoNormalCaracter"/>
          </w:rPr>
          <w:t>22/1985</w:t>
        </w:r>
      </w:hyperlink>
      <w:r>
        <w:t>, f. 4.</w:t>
      </w:r>
    </w:p>
    <w:p w:rsidR="009452A2" w:rsidRDefault="009452A2" w:rsidP="009452A2">
      <w:pPr>
        <w:pStyle w:val="SangriaFrancesaArticulo"/>
      </w:pPr>
      <w:r w:rsidRPr="009452A2">
        <w:rPr>
          <w:rStyle w:val="TextoNormalNegritaCaracter"/>
        </w:rPr>
        <w:t>Artículo 73.1.</w:t>
      </w:r>
      <w:r w:rsidRPr="009452A2">
        <w:rPr>
          <w:rStyle w:val="TextoNormalCaracter"/>
        </w:rPr>
        <w:t>-</w:t>
      </w:r>
      <w:r>
        <w:t xml:space="preserve"> Sentencia </w:t>
      </w:r>
      <w:hyperlink w:anchor="SENTENCIA_1985_22" w:history="1">
        <w:r w:rsidRPr="009452A2">
          <w:rPr>
            <w:rStyle w:val="TextoNormalCaracter"/>
          </w:rPr>
          <w:t>22/1985</w:t>
        </w:r>
      </w:hyperlink>
      <w:r>
        <w:t>, f. 4.</w:t>
      </w:r>
    </w:p>
    <w:p w:rsidR="009452A2" w:rsidRDefault="009452A2" w:rsidP="009452A2">
      <w:pPr>
        <w:pStyle w:val="SangriaFrancesaArticulo"/>
      </w:pPr>
      <w:r w:rsidRPr="009452A2">
        <w:rPr>
          <w:rStyle w:val="TextoNormalNegritaCaracter"/>
        </w:rPr>
        <w:t>Artículo 80.</w:t>
      </w:r>
      <w:r w:rsidRPr="009452A2">
        <w:rPr>
          <w:rStyle w:val="TextoNormalCaracter"/>
        </w:rPr>
        <w:t>-</w:t>
      </w:r>
      <w:r>
        <w:t xml:space="preserve"> Auto </w:t>
      </w:r>
      <w:hyperlink w:anchor="AUTO_1985_121" w:history="1">
        <w:r w:rsidRPr="009452A2">
          <w:rPr>
            <w:rStyle w:val="TextoNormalCaracter"/>
          </w:rPr>
          <w:t>121/1985</w:t>
        </w:r>
      </w:hyperlink>
      <w:r>
        <w:t>.</w:t>
      </w:r>
    </w:p>
    <w:p w:rsidR="009452A2" w:rsidRDefault="009452A2" w:rsidP="009452A2">
      <w:pPr>
        <w:pStyle w:val="SangriaFrancesaArticulo"/>
      </w:pPr>
      <w:r w:rsidRPr="009452A2">
        <w:rPr>
          <w:rStyle w:val="TextoNormalNegritaCaracter"/>
        </w:rPr>
        <w:t>Artículo 82.</w:t>
      </w:r>
      <w:r w:rsidRPr="009452A2">
        <w:rPr>
          <w:rStyle w:val="TextoNormalCaracter"/>
        </w:rPr>
        <w:t>-</w:t>
      </w:r>
      <w:r>
        <w:t xml:space="preserve"> Sentencias </w:t>
      </w:r>
      <w:hyperlink w:anchor="SENTENCIA_1985_22" w:history="1">
        <w:r w:rsidRPr="009452A2">
          <w:rPr>
            <w:rStyle w:val="TextoNormalCaracter"/>
          </w:rPr>
          <w:t>22/1985</w:t>
        </w:r>
      </w:hyperlink>
      <w:r>
        <w:t xml:space="preserve">, f. 6; </w:t>
      </w:r>
      <w:hyperlink w:anchor="SENTENCIA_1985_39" w:history="1">
        <w:r w:rsidRPr="009452A2">
          <w:rPr>
            <w:rStyle w:val="TextoNormalCaracter"/>
          </w:rPr>
          <w:t>39/1985</w:t>
        </w:r>
      </w:hyperlink>
      <w:r>
        <w:t>, VP.</w:t>
      </w:r>
    </w:p>
    <w:p w:rsidR="009452A2" w:rsidRDefault="009452A2" w:rsidP="009452A2">
      <w:pPr>
        <w:pStyle w:val="SangriaFrancesaArticulo"/>
      </w:pPr>
      <w:r w:rsidRPr="009452A2">
        <w:rPr>
          <w:rStyle w:val="TextoNormalNegritaCaracter"/>
        </w:rPr>
        <w:t>Artículo 82 a).</w:t>
      </w:r>
      <w:r w:rsidRPr="009452A2">
        <w:rPr>
          <w:rStyle w:val="TextoNormalCaracter"/>
        </w:rPr>
        <w:t>-</w:t>
      </w:r>
      <w:r>
        <w:t xml:space="preserve"> Sentencias </w:t>
      </w:r>
      <w:hyperlink w:anchor="SENTENCIA_1985_22" w:history="1">
        <w:r w:rsidRPr="009452A2">
          <w:rPr>
            <w:rStyle w:val="TextoNormalCaracter"/>
          </w:rPr>
          <w:t>22/1985</w:t>
        </w:r>
      </w:hyperlink>
      <w:r>
        <w:t xml:space="preserve">, ff. 4 a 6, VP; </w:t>
      </w:r>
      <w:hyperlink w:anchor="SENTENCIA_1985_39" w:history="1">
        <w:r w:rsidRPr="009452A2">
          <w:rPr>
            <w:rStyle w:val="TextoNormalCaracter"/>
          </w:rPr>
          <w:t>39/1985</w:t>
        </w:r>
      </w:hyperlink>
      <w:r>
        <w:t>, ff. 1, 3, 4, VP.</w:t>
      </w:r>
    </w:p>
    <w:p w:rsidR="009452A2" w:rsidRDefault="009452A2" w:rsidP="009452A2">
      <w:pPr>
        <w:pStyle w:val="SangriaIzquierdaArticulo"/>
      </w:pPr>
      <w:r>
        <w:lastRenderedPageBreak/>
        <w:t xml:space="preserve">Auto </w:t>
      </w:r>
      <w:hyperlink w:anchor="AUTO_1985_155" w:history="1">
        <w:r w:rsidRPr="009452A2">
          <w:rPr>
            <w:rStyle w:val="TextoNormalCaracter"/>
          </w:rPr>
          <w:t>155/1985</w:t>
        </w:r>
      </w:hyperlink>
      <w:r>
        <w:t>.</w:t>
      </w:r>
    </w:p>
    <w:p w:rsidR="009452A2" w:rsidRDefault="009452A2" w:rsidP="009452A2">
      <w:pPr>
        <w:pStyle w:val="SangriaFrancesaArticulo"/>
      </w:pPr>
      <w:r w:rsidRPr="009452A2">
        <w:rPr>
          <w:rStyle w:val="TextoNormalNegritaCaracter"/>
        </w:rPr>
        <w:t>Artículo 87.</w:t>
      </w:r>
      <w:r w:rsidRPr="009452A2">
        <w:rPr>
          <w:rStyle w:val="TextoNormalCaracter"/>
        </w:rPr>
        <w:t>-</w:t>
      </w:r>
      <w:r>
        <w:t xml:space="preserve"> Auto </w:t>
      </w:r>
      <w:hyperlink w:anchor="AUTO_1985_80" w:history="1">
        <w:r w:rsidRPr="009452A2">
          <w:rPr>
            <w:rStyle w:val="TextoNormalCaracter"/>
          </w:rPr>
          <w:t>80/1985</w:t>
        </w:r>
      </w:hyperlink>
      <w:r>
        <w:t>.</w:t>
      </w:r>
    </w:p>
    <w:p w:rsidR="009452A2" w:rsidRDefault="009452A2" w:rsidP="009452A2">
      <w:pPr>
        <w:pStyle w:val="SangriaFrancesaArticulo"/>
      </w:pPr>
      <w:r w:rsidRPr="009452A2">
        <w:rPr>
          <w:rStyle w:val="TextoNormalNegritaCaracter"/>
        </w:rPr>
        <w:t>Artículo 90.</w:t>
      </w:r>
      <w:r w:rsidRPr="009452A2">
        <w:rPr>
          <w:rStyle w:val="TextoNormalCaracter"/>
        </w:rPr>
        <w:t>-</w:t>
      </w:r>
      <w:r>
        <w:t xml:space="preserve"> Auto </w:t>
      </w:r>
      <w:hyperlink w:anchor="AUTO_1985_43" w:history="1">
        <w:r w:rsidRPr="009452A2">
          <w:rPr>
            <w:rStyle w:val="TextoNormalCaracter"/>
          </w:rPr>
          <w:t>43/1985</w:t>
        </w:r>
      </w:hyperlink>
      <w:r>
        <w:t>.</w:t>
      </w:r>
    </w:p>
    <w:p w:rsidR="009452A2" w:rsidRDefault="009452A2" w:rsidP="009452A2">
      <w:pPr>
        <w:pStyle w:val="SangriaFrancesaArticulo"/>
      </w:pPr>
      <w:r w:rsidRPr="009452A2">
        <w:rPr>
          <w:rStyle w:val="TextoNormalNegritaCaracter"/>
        </w:rPr>
        <w:t>Artículo 92.</w:t>
      </w:r>
      <w:r w:rsidRPr="009452A2">
        <w:rPr>
          <w:rStyle w:val="TextoNormalCaracter"/>
        </w:rPr>
        <w:t>-</w:t>
      </w:r>
      <w:r>
        <w:t xml:space="preserve"> Auto </w:t>
      </w:r>
      <w:hyperlink w:anchor="AUTO_1985_134" w:history="1">
        <w:r w:rsidRPr="009452A2">
          <w:rPr>
            <w:rStyle w:val="TextoNormalCaracter"/>
          </w:rPr>
          <w:t>134/1985</w:t>
        </w:r>
      </w:hyperlink>
      <w:r>
        <w:t>.</w:t>
      </w:r>
    </w:p>
    <w:p w:rsidR="009452A2" w:rsidRDefault="009452A2" w:rsidP="009452A2">
      <w:pPr>
        <w:pStyle w:val="SangriaFrancesaArticulo"/>
      </w:pPr>
      <w:r w:rsidRPr="009452A2">
        <w:rPr>
          <w:rStyle w:val="TextoNormalNegritaCaracter"/>
        </w:rPr>
        <w:t>Artículo 92 b).</w:t>
      </w:r>
      <w:r w:rsidRPr="009452A2">
        <w:rPr>
          <w:rStyle w:val="TextoNormalCaracter"/>
        </w:rPr>
        <w:t>-</w:t>
      </w:r>
      <w:r>
        <w:t xml:space="preserve"> Auto </w:t>
      </w:r>
      <w:hyperlink w:anchor="AUTO_1985_37" w:history="1">
        <w:r w:rsidRPr="009452A2">
          <w:rPr>
            <w:rStyle w:val="TextoNormalCaracter"/>
          </w:rPr>
          <w:t>37/1985</w:t>
        </w:r>
      </w:hyperlink>
      <w:r>
        <w:t>.</w:t>
      </w:r>
    </w:p>
    <w:p w:rsidR="009452A2" w:rsidRDefault="009452A2" w:rsidP="009452A2">
      <w:pPr>
        <w:pStyle w:val="SangriaFrancesaArticulo"/>
      </w:pPr>
      <w:r w:rsidRPr="009452A2">
        <w:rPr>
          <w:rStyle w:val="TextoNormalNegritaCaracter"/>
        </w:rPr>
        <w:t>Artículo 93.</w:t>
      </w:r>
      <w:r w:rsidRPr="009452A2">
        <w:rPr>
          <w:rStyle w:val="TextoNormalCaracter"/>
        </w:rPr>
        <w:t>-</w:t>
      </w:r>
      <w:r>
        <w:t xml:space="preserve"> Auto </w:t>
      </w:r>
      <w:hyperlink w:anchor="AUTO_1985_69" w:history="1">
        <w:r w:rsidRPr="009452A2">
          <w:rPr>
            <w:rStyle w:val="TextoNormalCaracter"/>
          </w:rPr>
          <w:t>69/1985</w:t>
        </w:r>
      </w:hyperlink>
      <w:r>
        <w:t>.</w:t>
      </w:r>
    </w:p>
    <w:p w:rsidR="009452A2" w:rsidRDefault="009452A2" w:rsidP="009452A2">
      <w:pPr>
        <w:pStyle w:val="SangriaFrancesaArticulo"/>
      </w:pPr>
      <w:r w:rsidRPr="009452A2">
        <w:rPr>
          <w:rStyle w:val="TextoNormalNegritaCaracter"/>
        </w:rPr>
        <w:t>Artículo 93.1.</w:t>
      </w:r>
      <w:r w:rsidRPr="009452A2">
        <w:rPr>
          <w:rStyle w:val="TextoNormalCaracter"/>
        </w:rPr>
        <w:t>-</w:t>
      </w:r>
      <w:r>
        <w:t xml:space="preserve"> Auto </w:t>
      </w:r>
      <w:hyperlink w:anchor="AUTO_1985_37" w:history="1">
        <w:r w:rsidRPr="009452A2">
          <w:rPr>
            <w:rStyle w:val="TextoNormalCaracter"/>
          </w:rPr>
          <w:t>37/1985</w:t>
        </w:r>
      </w:hyperlink>
      <w:r>
        <w:t>.</w:t>
      </w:r>
    </w:p>
    <w:p w:rsidR="009452A2" w:rsidRDefault="009452A2" w:rsidP="009452A2">
      <w:pPr>
        <w:pStyle w:val="SangriaFrancesaArticulo"/>
      </w:pPr>
      <w:r w:rsidRPr="009452A2">
        <w:rPr>
          <w:rStyle w:val="TextoNormalNegritaCaracter"/>
        </w:rPr>
        <w:t>Artículo 94.</w:t>
      </w:r>
      <w:r w:rsidRPr="009452A2">
        <w:rPr>
          <w:rStyle w:val="TextoNormalCaracter"/>
        </w:rPr>
        <w:t>-</w:t>
      </w:r>
      <w:r>
        <w:t xml:space="preserve"> Auto </w:t>
      </w:r>
      <w:hyperlink w:anchor="AUTO_1985_69" w:history="1">
        <w:r w:rsidRPr="009452A2">
          <w:rPr>
            <w:rStyle w:val="TextoNormalCaracter"/>
          </w:rPr>
          <w:t>69/1985</w:t>
        </w:r>
      </w:hyperlink>
      <w:r>
        <w:t>.</w:t>
      </w:r>
    </w:p>
    <w:p w:rsidR="009452A2" w:rsidRDefault="009452A2" w:rsidP="009452A2">
      <w:pPr>
        <w:pStyle w:val="SangriaFrancesaArticulo"/>
      </w:pPr>
      <w:r w:rsidRPr="009452A2">
        <w:rPr>
          <w:rStyle w:val="TextoNormalNegritaCaracter"/>
        </w:rPr>
        <w:t>Artículo 94.1 a).</w:t>
      </w:r>
      <w:r w:rsidRPr="009452A2">
        <w:rPr>
          <w:rStyle w:val="TextoNormalCaracter"/>
        </w:rPr>
        <w:t>-</w:t>
      </w:r>
      <w:r>
        <w:t xml:space="preserve"> Auto </w:t>
      </w:r>
      <w:hyperlink w:anchor="AUTO_1985_37" w:history="1">
        <w:r w:rsidRPr="009452A2">
          <w:rPr>
            <w:rStyle w:val="TextoNormalCaracter"/>
          </w:rPr>
          <w:t>37/1985</w:t>
        </w:r>
      </w:hyperlink>
      <w:r>
        <w:t>.</w:t>
      </w:r>
    </w:p>
    <w:p w:rsidR="009452A2" w:rsidRDefault="009452A2" w:rsidP="009452A2">
      <w:pPr>
        <w:pStyle w:val="SangriaFrancesaArticulo"/>
      </w:pPr>
      <w:r w:rsidRPr="009452A2">
        <w:rPr>
          <w:rStyle w:val="TextoNormalNegritaCaracter"/>
        </w:rPr>
        <w:t>Artículo 95.</w:t>
      </w:r>
      <w:r w:rsidRPr="009452A2">
        <w:rPr>
          <w:rStyle w:val="TextoNormalCaracter"/>
        </w:rPr>
        <w:t>-</w:t>
      </w:r>
      <w:r>
        <w:t xml:space="preserve"> Auto </w:t>
      </w:r>
      <w:hyperlink w:anchor="AUTO_1985_65" w:history="1">
        <w:r w:rsidRPr="009452A2">
          <w:rPr>
            <w:rStyle w:val="TextoNormalCaracter"/>
          </w:rPr>
          <w:t>65/1985</w:t>
        </w:r>
      </w:hyperlink>
      <w:r>
        <w:t>.</w:t>
      </w:r>
    </w:p>
    <w:p w:rsidR="009452A2" w:rsidRDefault="009452A2" w:rsidP="009452A2">
      <w:pPr>
        <w:pStyle w:val="SangriaFrancesaArticulo"/>
      </w:pPr>
      <w:r w:rsidRPr="009452A2">
        <w:rPr>
          <w:rStyle w:val="TextoNormalNegritaCaracter"/>
        </w:rPr>
        <w:t>Artículo 100.7.</w:t>
      </w:r>
      <w:r w:rsidRPr="009452A2">
        <w:rPr>
          <w:rStyle w:val="TextoNormalCaracter"/>
        </w:rPr>
        <w:t>-</w:t>
      </w:r>
      <w:r>
        <w:t xml:space="preserve"> Sentencia </w:t>
      </w:r>
      <w:hyperlink w:anchor="SENTENCIA_1985_22" w:history="1">
        <w:r w:rsidRPr="009452A2">
          <w:rPr>
            <w:rStyle w:val="TextoNormalCaracter"/>
          </w:rPr>
          <w:t>22/1985</w:t>
        </w:r>
      </w:hyperlink>
      <w:r>
        <w:t>, VP.</w:t>
      </w:r>
    </w:p>
    <w:p w:rsidR="009452A2" w:rsidRDefault="009452A2" w:rsidP="009452A2">
      <w:pPr>
        <w:pStyle w:val="SangriaFrancesaArticulo"/>
      </w:pPr>
      <w:r w:rsidRPr="009452A2">
        <w:rPr>
          <w:rStyle w:val="TextoNormalNegritaCaracter"/>
        </w:rPr>
        <w:t>Artículo 102.1.</w:t>
      </w:r>
      <w:r w:rsidRPr="009452A2">
        <w:rPr>
          <w:rStyle w:val="TextoNormalCaracter"/>
        </w:rPr>
        <w:t>-</w:t>
      </w:r>
      <w:r>
        <w:t xml:space="preserve"> Autos </w:t>
      </w:r>
      <w:hyperlink w:anchor="AUTO_1985_80" w:history="1">
        <w:r w:rsidRPr="009452A2">
          <w:rPr>
            <w:rStyle w:val="TextoNormalCaracter"/>
          </w:rPr>
          <w:t>80/1985</w:t>
        </w:r>
      </w:hyperlink>
      <w:r>
        <w:t xml:space="preserve">; </w:t>
      </w:r>
      <w:hyperlink w:anchor="AUTO_1985_121" w:history="1">
        <w:r w:rsidRPr="009452A2">
          <w:rPr>
            <w:rStyle w:val="TextoNormalCaracter"/>
          </w:rPr>
          <w:t>121/1985</w:t>
        </w:r>
      </w:hyperlink>
      <w:r>
        <w:t>.</w:t>
      </w:r>
    </w:p>
    <w:p w:rsidR="009452A2" w:rsidRDefault="009452A2" w:rsidP="009452A2">
      <w:pPr>
        <w:pStyle w:val="SangriaFrancesaArticulo"/>
      </w:pPr>
      <w:r w:rsidRPr="009452A2">
        <w:rPr>
          <w:rStyle w:val="TextoNormalNegritaCaracter"/>
        </w:rPr>
        <w:t>Artículo 102.1 b).</w:t>
      </w:r>
      <w:r w:rsidRPr="009452A2">
        <w:rPr>
          <w:rStyle w:val="TextoNormalCaracter"/>
        </w:rPr>
        <w:t>-</w:t>
      </w:r>
      <w:r>
        <w:t xml:space="preserve"> Sentencias </w:t>
      </w:r>
      <w:hyperlink w:anchor="SENTENCIA_1985_22" w:history="1">
        <w:r w:rsidRPr="009452A2">
          <w:rPr>
            <w:rStyle w:val="TextoNormalCaracter"/>
          </w:rPr>
          <w:t>22/1985</w:t>
        </w:r>
      </w:hyperlink>
      <w:r>
        <w:t xml:space="preserve">, f. 2; </w:t>
      </w:r>
      <w:hyperlink w:anchor="SENTENCIA_1985_39" w:history="1">
        <w:r w:rsidRPr="009452A2">
          <w:rPr>
            <w:rStyle w:val="TextoNormalCaracter"/>
          </w:rPr>
          <w:t>39/1985</w:t>
        </w:r>
      </w:hyperlink>
      <w:r>
        <w:t>, f. 1.</w:t>
      </w:r>
    </w:p>
    <w:p w:rsidR="009452A2" w:rsidRDefault="009452A2" w:rsidP="009452A2">
      <w:pPr>
        <w:pStyle w:val="SangriaIzquierdaArticulo"/>
      </w:pPr>
      <w:r>
        <w:t xml:space="preserve">Auto </w:t>
      </w:r>
      <w:hyperlink w:anchor="AUTO_1985_240" w:history="1">
        <w:r w:rsidRPr="009452A2">
          <w:rPr>
            <w:rStyle w:val="TextoNormalCaracter"/>
          </w:rPr>
          <w:t>240/1985</w:t>
        </w:r>
      </w:hyperlink>
      <w:r>
        <w:t>.</w:t>
      </w:r>
    </w:p>
    <w:p w:rsidR="009452A2" w:rsidRDefault="009452A2" w:rsidP="009452A2">
      <w:pPr>
        <w:pStyle w:val="SangriaFrancesaArticulo"/>
      </w:pPr>
      <w:r w:rsidRPr="009452A2">
        <w:rPr>
          <w:rStyle w:val="TextoNormalNegritaCaracter"/>
        </w:rPr>
        <w:t>Artículo 102.1 g).</w:t>
      </w:r>
      <w:r w:rsidRPr="009452A2">
        <w:rPr>
          <w:rStyle w:val="TextoNormalCaracter"/>
        </w:rPr>
        <w:t>-</w:t>
      </w:r>
      <w:r>
        <w:t xml:space="preserve"> Sentencia </w:t>
      </w:r>
      <w:hyperlink w:anchor="SENTENCIA_1985_39" w:history="1">
        <w:r w:rsidRPr="009452A2">
          <w:rPr>
            <w:rStyle w:val="TextoNormalCaracter"/>
          </w:rPr>
          <w:t>39/1985</w:t>
        </w:r>
      </w:hyperlink>
      <w:r>
        <w:t>, VP.</w:t>
      </w:r>
    </w:p>
    <w:p w:rsidR="009452A2" w:rsidRDefault="009452A2" w:rsidP="009452A2">
      <w:pPr>
        <w:pStyle w:val="SangriaIzquierdaArticulo"/>
      </w:pPr>
      <w:r>
        <w:t xml:space="preserve">Autos </w:t>
      </w:r>
      <w:hyperlink w:anchor="AUTO_1985_80" w:history="1">
        <w:r w:rsidRPr="009452A2">
          <w:rPr>
            <w:rStyle w:val="TextoNormalCaracter"/>
          </w:rPr>
          <w:t>80/1985</w:t>
        </w:r>
      </w:hyperlink>
      <w:r>
        <w:t xml:space="preserve">; </w:t>
      </w:r>
      <w:hyperlink w:anchor="AUTO_1985_121" w:history="1">
        <w:r w:rsidRPr="009452A2">
          <w:rPr>
            <w:rStyle w:val="TextoNormalCaracter"/>
          </w:rPr>
          <w:t>121/1985</w:t>
        </w:r>
      </w:hyperlink>
      <w:r>
        <w:t xml:space="preserve">; </w:t>
      </w:r>
      <w:hyperlink w:anchor="AUTO_1985_268" w:history="1">
        <w:r w:rsidRPr="009452A2">
          <w:rPr>
            <w:rStyle w:val="TextoNormalCaracter"/>
          </w:rPr>
          <w:t>268/1985</w:t>
        </w:r>
      </w:hyperlink>
      <w:r>
        <w:t>.</w:t>
      </w:r>
    </w:p>
    <w:p w:rsidR="009452A2" w:rsidRDefault="009452A2" w:rsidP="009452A2">
      <w:pPr>
        <w:pStyle w:val="SangriaFrancesaArticulo"/>
      </w:pPr>
      <w:r w:rsidRPr="009452A2">
        <w:rPr>
          <w:rStyle w:val="TextoNormalNegritaCaracter"/>
        </w:rPr>
        <w:t>Artículo 110.1.</w:t>
      </w:r>
      <w:r w:rsidRPr="009452A2">
        <w:rPr>
          <w:rStyle w:val="TextoNormalCaracter"/>
        </w:rPr>
        <w:t>-</w:t>
      </w:r>
      <w:r>
        <w:t xml:space="preserve"> Sentencia </w:t>
      </w:r>
      <w:hyperlink w:anchor="SENTENCIA_1985_4" w:history="1">
        <w:r w:rsidRPr="009452A2">
          <w:rPr>
            <w:rStyle w:val="TextoNormalCaracter"/>
          </w:rPr>
          <w:t>4/1985</w:t>
        </w:r>
      </w:hyperlink>
      <w:r>
        <w:t>, ff. 2, 3.</w:t>
      </w:r>
    </w:p>
    <w:p w:rsidR="009452A2" w:rsidRDefault="009452A2" w:rsidP="009452A2">
      <w:pPr>
        <w:pStyle w:val="SangriaFrancesaArticulo"/>
      </w:pPr>
      <w:r w:rsidRPr="009452A2">
        <w:rPr>
          <w:rStyle w:val="TextoNormalNegritaCaracter"/>
        </w:rPr>
        <w:t>Artículo 122.</w:t>
      </w:r>
      <w:r w:rsidRPr="009452A2">
        <w:rPr>
          <w:rStyle w:val="TextoNormalCaracter"/>
        </w:rPr>
        <w:t>-</w:t>
      </w:r>
      <w:r>
        <w:t xml:space="preserve"> Auto </w:t>
      </w:r>
      <w:hyperlink w:anchor="AUTO_1985_218" w:history="1">
        <w:r w:rsidRPr="009452A2">
          <w:rPr>
            <w:rStyle w:val="TextoNormalCaracter"/>
          </w:rPr>
          <w:t>218/1985</w:t>
        </w:r>
      </w:hyperlink>
      <w:r>
        <w:t>.</w:t>
      </w:r>
    </w:p>
    <w:p w:rsidR="009452A2" w:rsidRDefault="009452A2" w:rsidP="009452A2">
      <w:pPr>
        <w:pStyle w:val="SangriaFrancesaArticulo"/>
      </w:pPr>
      <w:r w:rsidRPr="009452A2">
        <w:rPr>
          <w:rStyle w:val="TextoNormalNegritaCaracter"/>
        </w:rPr>
        <w:t>Artículo 123.1.</w:t>
      </w:r>
      <w:r w:rsidRPr="009452A2">
        <w:rPr>
          <w:rStyle w:val="TextoNormalCaracter"/>
        </w:rPr>
        <w:t>-</w:t>
      </w:r>
      <w:r>
        <w:t xml:space="preserve"> Auto </w:t>
      </w:r>
      <w:hyperlink w:anchor="AUTO_1985_218" w:history="1">
        <w:r w:rsidRPr="009452A2">
          <w:rPr>
            <w:rStyle w:val="TextoNormalCaracter"/>
          </w:rPr>
          <w:t>218/1985</w:t>
        </w:r>
      </w:hyperlink>
      <w:r>
        <w:t>.</w:t>
      </w:r>
    </w:p>
    <w:p w:rsidR="009452A2" w:rsidRDefault="009452A2" w:rsidP="009452A2">
      <w:pPr>
        <w:pStyle w:val="SangriaFrancesaArticulo"/>
      </w:pPr>
      <w:r w:rsidRPr="009452A2">
        <w:rPr>
          <w:rStyle w:val="TextoNormalNegritaCaracter"/>
        </w:rPr>
        <w:t>Artículo 123.2.</w:t>
      </w:r>
      <w:r w:rsidRPr="009452A2">
        <w:rPr>
          <w:rStyle w:val="TextoNormalCaracter"/>
        </w:rPr>
        <w:t>-</w:t>
      </w:r>
      <w:r>
        <w:t xml:space="preserve"> Auto </w:t>
      </w:r>
      <w:hyperlink w:anchor="AUTO_1985_218" w:history="1">
        <w:r w:rsidRPr="009452A2">
          <w:rPr>
            <w:rStyle w:val="TextoNormalCaracter"/>
          </w:rPr>
          <w:t>218/1985</w:t>
        </w:r>
      </w:hyperlink>
      <w:r>
        <w:t>.</w:t>
      </w:r>
    </w:p>
    <w:p w:rsidR="009452A2" w:rsidRDefault="009452A2" w:rsidP="009452A2">
      <w:pPr>
        <w:pStyle w:val="SangriaFrancesaArticulo"/>
      </w:pPr>
      <w:r w:rsidRPr="009452A2">
        <w:rPr>
          <w:rStyle w:val="TextoNormalNegritaCaracter"/>
        </w:rPr>
        <w:t>Disposición adicional sexta.</w:t>
      </w:r>
      <w:r w:rsidRPr="009452A2">
        <w:rPr>
          <w:rStyle w:val="TextoNormalCaracter"/>
        </w:rPr>
        <w:t>-</w:t>
      </w:r>
      <w:r>
        <w:t xml:space="preserve"> Auto </w:t>
      </w:r>
      <w:hyperlink w:anchor="AUTO_1985_134" w:history="1">
        <w:r w:rsidRPr="009452A2">
          <w:rPr>
            <w:rStyle w:val="TextoNormalCaracter"/>
          </w:rPr>
          <w:t>134/1985</w:t>
        </w:r>
      </w:hyperlink>
      <w:r>
        <w:t>.</w:t>
      </w:r>
    </w:p>
    <w:p w:rsidR="009452A2" w:rsidRDefault="009452A2" w:rsidP="009452A2">
      <w:pPr>
        <w:pStyle w:val="SangriaFrancesaArticulo"/>
      </w:pPr>
    </w:p>
    <w:p w:rsidR="009452A2" w:rsidRDefault="009452A2" w:rsidP="009452A2">
      <w:pPr>
        <w:pStyle w:val="TextoNormalNegritaCursivandice"/>
      </w:pPr>
      <w:r>
        <w:t>Ley de 8 de junio de 1957. Registro Civil</w:t>
      </w:r>
    </w:p>
    <w:p w:rsidR="009452A2" w:rsidRDefault="009452A2" w:rsidP="009452A2">
      <w:pPr>
        <w:pStyle w:val="SangriaFrancesaArticulo"/>
      </w:pPr>
      <w:r w:rsidRPr="009452A2">
        <w:rPr>
          <w:rStyle w:val="TextoNormalNegritaCaracter"/>
        </w:rPr>
        <w:t>Artículo 29.</w:t>
      </w:r>
      <w:r w:rsidRPr="009452A2">
        <w:rPr>
          <w:rStyle w:val="TextoNormalCaracter"/>
        </w:rPr>
        <w:t>-</w:t>
      </w:r>
      <w:r>
        <w:t xml:space="preserve"> Auto </w:t>
      </w:r>
      <w:hyperlink w:anchor="AUTO_1985_227" w:history="1">
        <w:r w:rsidRPr="009452A2">
          <w:rPr>
            <w:rStyle w:val="TextoNormalCaracter"/>
          </w:rPr>
          <w:t>227/1985</w:t>
        </w:r>
      </w:hyperlink>
      <w:r>
        <w:t>.</w:t>
      </w:r>
    </w:p>
    <w:p w:rsidR="009452A2" w:rsidRDefault="009452A2" w:rsidP="009452A2">
      <w:pPr>
        <w:pStyle w:val="SangriaFrancesaArticulo"/>
      </w:pPr>
    </w:p>
    <w:p w:rsidR="009452A2" w:rsidRDefault="009452A2" w:rsidP="009452A2">
      <w:pPr>
        <w:pStyle w:val="TextoNormalNegritaCursivandice"/>
      </w:pPr>
      <w:r>
        <w:t>Ley de 17 de julio de 1958. Procedimiento administrativo</w:t>
      </w:r>
    </w:p>
    <w:p w:rsidR="009452A2" w:rsidRDefault="009452A2" w:rsidP="009452A2">
      <w:pPr>
        <w:pStyle w:val="SangriaFrancesaArticulo"/>
      </w:pPr>
      <w:r w:rsidRPr="009452A2">
        <w:rPr>
          <w:rStyle w:val="TextoNormalNegritaCaracter"/>
        </w:rPr>
        <w:t>Artículo 66.</w:t>
      </w:r>
      <w:r w:rsidRPr="009452A2">
        <w:rPr>
          <w:rStyle w:val="TextoNormalCaracter"/>
        </w:rPr>
        <w:t>-</w:t>
      </w:r>
      <w:r>
        <w:t xml:space="preserve"> Auto </w:t>
      </w:r>
      <w:hyperlink w:anchor="AUTO_1985_23" w:history="1">
        <w:r w:rsidRPr="009452A2">
          <w:rPr>
            <w:rStyle w:val="TextoNormalCaracter"/>
          </w:rPr>
          <w:t>23/1985</w:t>
        </w:r>
      </w:hyperlink>
      <w:r>
        <w:t>.</w:t>
      </w:r>
    </w:p>
    <w:p w:rsidR="009452A2" w:rsidRDefault="009452A2" w:rsidP="009452A2">
      <w:pPr>
        <w:pStyle w:val="SangriaFrancesaArticulo"/>
      </w:pPr>
      <w:r w:rsidRPr="009452A2">
        <w:rPr>
          <w:rStyle w:val="TextoNormalNegritaCaracter"/>
        </w:rPr>
        <w:t>Artículo 66.1.</w:t>
      </w:r>
      <w:r w:rsidRPr="009452A2">
        <w:rPr>
          <w:rStyle w:val="TextoNormalCaracter"/>
        </w:rPr>
        <w:t>-</w:t>
      </w:r>
      <w:r>
        <w:t xml:space="preserve"> Auto </w:t>
      </w:r>
      <w:hyperlink w:anchor="AUTO_1985_210" w:history="1">
        <w:r w:rsidRPr="009452A2">
          <w:rPr>
            <w:rStyle w:val="TextoNormalCaracter"/>
          </w:rPr>
          <w:t>210/1985</w:t>
        </w:r>
      </w:hyperlink>
      <w:r>
        <w:t>.</w:t>
      </w:r>
    </w:p>
    <w:p w:rsidR="009452A2" w:rsidRDefault="009452A2" w:rsidP="009452A2">
      <w:pPr>
        <w:pStyle w:val="SangriaFrancesaArticulo"/>
      </w:pPr>
      <w:r w:rsidRPr="009452A2">
        <w:rPr>
          <w:rStyle w:val="TextoNormalNegritaCaracter"/>
        </w:rPr>
        <w:t>Artículo 66.4.</w:t>
      </w:r>
      <w:r w:rsidRPr="009452A2">
        <w:rPr>
          <w:rStyle w:val="TextoNormalCaracter"/>
        </w:rPr>
        <w:t>-</w:t>
      </w:r>
      <w:r>
        <w:t xml:space="preserve"> Auto </w:t>
      </w:r>
      <w:hyperlink w:anchor="AUTO_1985_210" w:history="1">
        <w:r w:rsidRPr="009452A2">
          <w:rPr>
            <w:rStyle w:val="TextoNormalCaracter"/>
          </w:rPr>
          <w:t>210/1985</w:t>
        </w:r>
      </w:hyperlink>
      <w:r>
        <w:t>.</w:t>
      </w:r>
    </w:p>
    <w:p w:rsidR="009452A2" w:rsidRDefault="009452A2" w:rsidP="009452A2">
      <w:pPr>
        <w:pStyle w:val="SangriaFrancesaArticulo"/>
      </w:pPr>
      <w:r w:rsidRPr="009452A2">
        <w:rPr>
          <w:rStyle w:val="TextoNormalNegritaCaracter"/>
        </w:rPr>
        <w:t>Artículo 117.3.</w:t>
      </w:r>
      <w:r w:rsidRPr="009452A2">
        <w:rPr>
          <w:rStyle w:val="TextoNormalCaracter"/>
        </w:rPr>
        <w:t>-</w:t>
      </w:r>
      <w:r>
        <w:t xml:space="preserve"> Sentencia </w:t>
      </w:r>
      <w:hyperlink w:anchor="SENTENCIA_1985_50" w:history="1">
        <w:r w:rsidRPr="009452A2">
          <w:rPr>
            <w:rStyle w:val="TextoNormalCaracter"/>
          </w:rPr>
          <w:t>50/1985</w:t>
        </w:r>
      </w:hyperlink>
      <w:r>
        <w:t>, f. 2.</w:t>
      </w:r>
    </w:p>
    <w:p w:rsidR="009452A2" w:rsidRDefault="009452A2" w:rsidP="009452A2">
      <w:pPr>
        <w:pStyle w:val="SangriaFrancesaArticulo"/>
      </w:pPr>
      <w:r w:rsidRPr="009452A2">
        <w:rPr>
          <w:rStyle w:val="TextoNormalNegritaCaracter"/>
        </w:rPr>
        <w:t>Artículo 118.</w:t>
      </w:r>
      <w:r w:rsidRPr="009452A2">
        <w:rPr>
          <w:rStyle w:val="TextoNormalCaracter"/>
        </w:rPr>
        <w:t>-</w:t>
      </w:r>
      <w:r>
        <w:t xml:space="preserve"> Sentencia </w:t>
      </w:r>
      <w:hyperlink w:anchor="SENTENCIA_1985_9" w:history="1">
        <w:r w:rsidRPr="009452A2">
          <w:rPr>
            <w:rStyle w:val="TextoNormalCaracter"/>
          </w:rPr>
          <w:t>9/1985</w:t>
        </w:r>
      </w:hyperlink>
      <w:r>
        <w:t>, f. 3.</w:t>
      </w:r>
    </w:p>
    <w:p w:rsidR="009452A2" w:rsidRDefault="009452A2" w:rsidP="009452A2">
      <w:pPr>
        <w:pStyle w:val="SangriaFrancesaArticulo"/>
      </w:pPr>
    </w:p>
    <w:p w:rsidR="009452A2" w:rsidRDefault="009452A2" w:rsidP="009452A2">
      <w:pPr>
        <w:pStyle w:val="TextoNormalNegritaCursivandice"/>
      </w:pPr>
      <w:r>
        <w:t>Decreto de 31 de octubre de 1958. Arrendamientos Urbanos: Negativa de prórroga por no uso. Causas justas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84" w:history="1">
        <w:r w:rsidRPr="009452A2">
          <w:rPr>
            <w:rStyle w:val="TextoNormalCaracter"/>
          </w:rPr>
          <w:t>184/1985</w:t>
        </w:r>
      </w:hyperlink>
      <w:r>
        <w:t>.</w:t>
      </w:r>
    </w:p>
    <w:p w:rsidR="009452A2" w:rsidRDefault="009452A2" w:rsidP="009452A2">
      <w:pPr>
        <w:pStyle w:val="SangriaFrancesaArticulo"/>
      </w:pPr>
    </w:p>
    <w:p w:rsidR="009452A2" w:rsidRDefault="009452A2" w:rsidP="009452A2">
      <w:pPr>
        <w:pStyle w:val="TextoNormalNegritaCursivandice"/>
      </w:pPr>
      <w:r>
        <w:t>Decreto de 14 de noviembre de 1958. Reglamento del Registro Civil</w:t>
      </w:r>
    </w:p>
    <w:p w:rsidR="009452A2" w:rsidRDefault="009452A2" w:rsidP="009452A2">
      <w:pPr>
        <w:pStyle w:val="SangriaFrancesaArticulo"/>
      </w:pPr>
      <w:r w:rsidRPr="009452A2">
        <w:rPr>
          <w:rStyle w:val="TextoNormalNegritaCaracter"/>
        </w:rPr>
        <w:t>Artículo 362.</w:t>
      </w:r>
      <w:r w:rsidRPr="009452A2">
        <w:rPr>
          <w:rStyle w:val="TextoNormalCaracter"/>
        </w:rPr>
        <w:t>-</w:t>
      </w:r>
      <w:r>
        <w:t xml:space="preserve"> Auto </w:t>
      </w:r>
      <w:hyperlink w:anchor="AUTO_1985_227" w:history="1">
        <w:r w:rsidRPr="009452A2">
          <w:rPr>
            <w:rStyle w:val="TextoNormalCaracter"/>
          </w:rPr>
          <w:t>227/1985</w:t>
        </w:r>
      </w:hyperlink>
      <w:r>
        <w:t>.</w:t>
      </w:r>
    </w:p>
    <w:p w:rsidR="009452A2" w:rsidRDefault="009452A2" w:rsidP="009452A2">
      <w:pPr>
        <w:pStyle w:val="SangriaFrancesaArticulo"/>
      </w:pPr>
    </w:p>
    <w:p w:rsidR="009452A2" w:rsidRDefault="009452A2" w:rsidP="009452A2">
      <w:pPr>
        <w:pStyle w:val="TextoNormalNegritaCursivandice"/>
      </w:pPr>
      <w:r>
        <w:t>Ley de 26 de diciembre de 1958. Extradición</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59" w:history="1">
        <w:r w:rsidRPr="009452A2">
          <w:rPr>
            <w:rStyle w:val="TextoNormalCaracter"/>
          </w:rPr>
          <w:t>59/1985</w:t>
        </w:r>
      </w:hyperlink>
      <w:r>
        <w:t>.</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Sentencia </w:t>
      </w:r>
      <w:hyperlink w:anchor="SENTENCIA_1985_11" w:history="1">
        <w:r w:rsidRPr="009452A2">
          <w:rPr>
            <w:rStyle w:val="TextoNormalCaracter"/>
          </w:rPr>
          <w:t>11/1985</w:t>
        </w:r>
      </w:hyperlink>
      <w:r>
        <w:t>, f. 4.</w:t>
      </w:r>
    </w:p>
    <w:p w:rsidR="009452A2" w:rsidRDefault="009452A2" w:rsidP="009452A2">
      <w:pPr>
        <w:pStyle w:val="SangriaFrancesaArticulo"/>
      </w:pPr>
      <w:r w:rsidRPr="009452A2">
        <w:rPr>
          <w:rStyle w:val="TextoNormalNegritaCaracter"/>
        </w:rPr>
        <w:t>Artículo 12.</w:t>
      </w:r>
      <w:r w:rsidRPr="009452A2">
        <w:rPr>
          <w:rStyle w:val="TextoNormalCaracter"/>
        </w:rPr>
        <w:t>-</w:t>
      </w:r>
      <w:r>
        <w:t xml:space="preserve"> Sentencia </w:t>
      </w:r>
      <w:hyperlink w:anchor="SENTENCIA_1985_11" w:history="1">
        <w:r w:rsidRPr="009452A2">
          <w:rPr>
            <w:rStyle w:val="TextoNormalCaracter"/>
          </w:rPr>
          <w:t>11/1985</w:t>
        </w:r>
      </w:hyperlink>
      <w:r>
        <w:t>, ff. 6, 7.</w:t>
      </w:r>
    </w:p>
    <w:p w:rsidR="009452A2" w:rsidRDefault="009452A2" w:rsidP="009452A2">
      <w:pPr>
        <w:pStyle w:val="SangriaFrancesaArticulo"/>
      </w:pPr>
      <w:r w:rsidRPr="009452A2">
        <w:rPr>
          <w:rStyle w:val="TextoNormalNegritaCaracter"/>
        </w:rPr>
        <w:t>Artículo 13.</w:t>
      </w:r>
      <w:r w:rsidRPr="009452A2">
        <w:rPr>
          <w:rStyle w:val="TextoNormalCaracter"/>
        </w:rPr>
        <w:t>-</w:t>
      </w:r>
      <w:r>
        <w:t xml:space="preserve"> Sentencia </w:t>
      </w:r>
      <w:hyperlink w:anchor="SENTENCIA_1985_11" w:history="1">
        <w:r w:rsidRPr="009452A2">
          <w:rPr>
            <w:rStyle w:val="TextoNormalCaracter"/>
          </w:rPr>
          <w:t>11/1985</w:t>
        </w:r>
      </w:hyperlink>
      <w:r>
        <w:t>, f. 4.</w:t>
      </w:r>
    </w:p>
    <w:p w:rsidR="009452A2" w:rsidRDefault="009452A2" w:rsidP="009452A2">
      <w:pPr>
        <w:pStyle w:val="SangriaFrancesaArticulo"/>
      </w:pPr>
      <w:r w:rsidRPr="009452A2">
        <w:rPr>
          <w:rStyle w:val="TextoNormalNegritaCaracter"/>
        </w:rPr>
        <w:t>Artículo 14.</w:t>
      </w:r>
      <w:r w:rsidRPr="009452A2">
        <w:rPr>
          <w:rStyle w:val="TextoNormalCaracter"/>
        </w:rPr>
        <w:t>-</w:t>
      </w:r>
      <w:r>
        <w:t xml:space="preserve"> Sentencia </w:t>
      </w:r>
      <w:hyperlink w:anchor="SENTENCIA_1985_11" w:history="1">
        <w:r w:rsidRPr="009452A2">
          <w:rPr>
            <w:rStyle w:val="TextoNormalCaracter"/>
          </w:rPr>
          <w:t>11/1985</w:t>
        </w:r>
      </w:hyperlink>
      <w:r>
        <w:t>, f. 4.</w:t>
      </w:r>
    </w:p>
    <w:p w:rsidR="009452A2" w:rsidRDefault="009452A2" w:rsidP="009452A2">
      <w:pPr>
        <w:pStyle w:val="SangriaFrancesaArticulo"/>
      </w:pPr>
      <w:r w:rsidRPr="009452A2">
        <w:rPr>
          <w:rStyle w:val="TextoNormalNegritaCaracter"/>
        </w:rPr>
        <w:t>Artículo 18.</w:t>
      </w:r>
      <w:r w:rsidRPr="009452A2">
        <w:rPr>
          <w:rStyle w:val="TextoNormalCaracter"/>
        </w:rPr>
        <w:t>-</w:t>
      </w:r>
      <w:r>
        <w:t xml:space="preserve"> Auto </w:t>
      </w:r>
      <w:hyperlink w:anchor="AUTO_1985_198" w:history="1">
        <w:r w:rsidRPr="009452A2">
          <w:rPr>
            <w:rStyle w:val="TextoNormalCaracter"/>
          </w:rPr>
          <w:t>198/1985</w:t>
        </w:r>
      </w:hyperlink>
      <w:r>
        <w:t>.</w:t>
      </w:r>
    </w:p>
    <w:p w:rsidR="009452A2" w:rsidRDefault="009452A2" w:rsidP="009452A2">
      <w:pPr>
        <w:pStyle w:val="SangriaFrancesaArticulo"/>
      </w:pPr>
      <w:r w:rsidRPr="009452A2">
        <w:rPr>
          <w:rStyle w:val="TextoNormalNegritaCaracter"/>
        </w:rPr>
        <w:t>Artículo 19.2.</w:t>
      </w:r>
      <w:r w:rsidRPr="009452A2">
        <w:rPr>
          <w:rStyle w:val="TextoNormalCaracter"/>
        </w:rPr>
        <w:t>-</w:t>
      </w:r>
      <w:r>
        <w:t xml:space="preserve"> Auto </w:t>
      </w:r>
      <w:hyperlink w:anchor="AUTO_1985_196" w:history="1">
        <w:r w:rsidRPr="009452A2">
          <w:rPr>
            <w:rStyle w:val="TextoNormalCaracter"/>
          </w:rPr>
          <w:t>196/1985</w:t>
        </w:r>
      </w:hyperlink>
      <w:r>
        <w:t>.</w:t>
      </w:r>
    </w:p>
    <w:p w:rsidR="009452A2" w:rsidRDefault="009452A2" w:rsidP="009452A2">
      <w:pPr>
        <w:pStyle w:val="SangriaFrancesaArticulo"/>
      </w:pPr>
    </w:p>
    <w:p w:rsidR="009452A2" w:rsidRDefault="009452A2" w:rsidP="009452A2">
      <w:pPr>
        <w:pStyle w:val="TextoNormalNegritaCursivandice"/>
      </w:pPr>
      <w:r>
        <w:lastRenderedPageBreak/>
        <w:t>Ley 198/1963, de 28 de diciembre. Bases de Contratos del Estado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0" w:history="1">
        <w:r w:rsidRPr="009452A2">
          <w:rPr>
            <w:rStyle w:val="TextoNormalCaracter"/>
          </w:rPr>
          <w:t>10/1985</w:t>
        </w:r>
      </w:hyperlink>
      <w:r>
        <w:t>, f. 4.</w:t>
      </w:r>
    </w:p>
    <w:p w:rsidR="009452A2" w:rsidRDefault="009452A2" w:rsidP="009452A2">
      <w:pPr>
        <w:pStyle w:val="SangriaFrancesaArticulo"/>
      </w:pPr>
    </w:p>
    <w:p w:rsidR="009452A2" w:rsidRDefault="009452A2" w:rsidP="009452A2">
      <w:pPr>
        <w:pStyle w:val="TextoNormalNegritaCursivandice"/>
      </w:pPr>
      <w:r>
        <w:t>Ley 230/1963, de 28 de diciembre. General tributaria</w:t>
      </w:r>
    </w:p>
    <w:p w:rsidR="009452A2" w:rsidRDefault="009452A2" w:rsidP="009452A2">
      <w:pPr>
        <w:pStyle w:val="SangriaFrancesaArticulo"/>
      </w:pPr>
      <w:r w:rsidRPr="009452A2">
        <w:rPr>
          <w:rStyle w:val="TextoNormalNegritaCaracter"/>
        </w:rPr>
        <w:t>Artículo 64.</w:t>
      </w:r>
      <w:r w:rsidRPr="009452A2">
        <w:rPr>
          <w:rStyle w:val="TextoNormalCaracter"/>
        </w:rPr>
        <w:t>-</w:t>
      </w:r>
      <w:r>
        <w:t xml:space="preserve"> Auto </w:t>
      </w:r>
      <w:hyperlink w:anchor="AUTO_1985_81" w:history="1">
        <w:r w:rsidRPr="009452A2">
          <w:rPr>
            <w:rStyle w:val="TextoNormalCaracter"/>
          </w:rPr>
          <w:t>81/1985</w:t>
        </w:r>
      </w:hyperlink>
      <w:r>
        <w:t>.</w:t>
      </w:r>
    </w:p>
    <w:p w:rsidR="009452A2" w:rsidRDefault="009452A2" w:rsidP="009452A2">
      <w:pPr>
        <w:pStyle w:val="SangriaFrancesaArticulo"/>
      </w:pPr>
      <w:r w:rsidRPr="009452A2">
        <w:rPr>
          <w:rStyle w:val="TextoNormalNegritaCaracter"/>
        </w:rPr>
        <w:t>Artículo 65.</w:t>
      </w:r>
      <w:r w:rsidRPr="009452A2">
        <w:rPr>
          <w:rStyle w:val="TextoNormalCaracter"/>
        </w:rPr>
        <w:t>-</w:t>
      </w:r>
      <w:r>
        <w:t xml:space="preserve"> Auto </w:t>
      </w:r>
      <w:hyperlink w:anchor="AUTO_1985_81" w:history="1">
        <w:r w:rsidRPr="009452A2">
          <w:rPr>
            <w:rStyle w:val="TextoNormalCaracter"/>
          </w:rPr>
          <w:t>81/1985</w:t>
        </w:r>
      </w:hyperlink>
      <w:r>
        <w:t>.</w:t>
      </w:r>
    </w:p>
    <w:p w:rsidR="009452A2" w:rsidRDefault="009452A2" w:rsidP="009452A2">
      <w:pPr>
        <w:pStyle w:val="SangriaFrancesaArticulo"/>
      </w:pPr>
    </w:p>
    <w:p w:rsidR="009452A2" w:rsidRDefault="009452A2" w:rsidP="009452A2">
      <w:pPr>
        <w:pStyle w:val="TextoNormalNegritaCursivandice"/>
      </w:pPr>
      <w:r>
        <w:t>Decreto 4104/1964, de 24 de diciembre. Texto refundido de la Ley de arrendamientos urbanos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Autos </w:t>
      </w:r>
      <w:hyperlink w:anchor="AUTO_1985_76" w:history="1">
        <w:r w:rsidRPr="009452A2">
          <w:rPr>
            <w:rStyle w:val="TextoNormalCaracter"/>
          </w:rPr>
          <w:t>76/1985</w:t>
        </w:r>
      </w:hyperlink>
      <w:r>
        <w:t xml:space="preserve">; </w:t>
      </w:r>
      <w:hyperlink w:anchor="AUTO_1985_203" w:history="1">
        <w:r w:rsidRPr="009452A2">
          <w:rPr>
            <w:rStyle w:val="TextoNormalCaracter"/>
          </w:rPr>
          <w:t>203/1985</w:t>
        </w:r>
      </w:hyperlink>
      <w:r>
        <w:t>.</w:t>
      </w:r>
    </w:p>
    <w:p w:rsidR="009452A2" w:rsidRDefault="009452A2" w:rsidP="009452A2">
      <w:pPr>
        <w:pStyle w:val="SangriaFrancesaArticulo"/>
      </w:pPr>
      <w:r w:rsidRPr="009452A2">
        <w:rPr>
          <w:rStyle w:val="TextoNormalNegritaCaracter"/>
        </w:rPr>
        <w:t>Artículo 25.</w:t>
      </w:r>
      <w:r w:rsidRPr="009452A2">
        <w:rPr>
          <w:rStyle w:val="TextoNormalCaracter"/>
        </w:rPr>
        <w:t>-</w:t>
      </w:r>
      <w:r>
        <w:t xml:space="preserve"> Auto </w:t>
      </w:r>
      <w:hyperlink w:anchor="AUTO_1985_209" w:history="1">
        <w:r w:rsidRPr="009452A2">
          <w:rPr>
            <w:rStyle w:val="TextoNormalCaracter"/>
          </w:rPr>
          <w:t>209/1985</w:t>
        </w:r>
      </w:hyperlink>
      <w:r>
        <w:t>.</w:t>
      </w:r>
    </w:p>
    <w:p w:rsidR="009452A2" w:rsidRDefault="009452A2" w:rsidP="009452A2">
      <w:pPr>
        <w:pStyle w:val="SangriaFrancesaArticulo"/>
      </w:pPr>
      <w:r w:rsidRPr="009452A2">
        <w:rPr>
          <w:rStyle w:val="TextoNormalNegritaCaracter"/>
        </w:rPr>
        <w:t>Artículo 101.5.</w:t>
      </w:r>
      <w:r w:rsidRPr="009452A2">
        <w:rPr>
          <w:rStyle w:val="TextoNormalCaracter"/>
        </w:rPr>
        <w:t>-</w:t>
      </w:r>
      <w:r>
        <w:t xml:space="preserve"> Auto </w:t>
      </w:r>
      <w:hyperlink w:anchor="AUTO_1985_210" w:history="1">
        <w:r w:rsidRPr="009452A2">
          <w:rPr>
            <w:rStyle w:val="TextoNormalCaracter"/>
          </w:rPr>
          <w:t>210/1985</w:t>
        </w:r>
      </w:hyperlink>
      <w:r>
        <w:t>.</w:t>
      </w:r>
    </w:p>
    <w:p w:rsidR="009452A2" w:rsidRDefault="009452A2" w:rsidP="009452A2">
      <w:pPr>
        <w:pStyle w:val="SangriaFrancesaArticulo"/>
      </w:pPr>
      <w:r w:rsidRPr="009452A2">
        <w:rPr>
          <w:rStyle w:val="TextoNormalNegritaCaracter"/>
        </w:rPr>
        <w:t>Artículo 114.7.</w:t>
      </w:r>
      <w:r w:rsidRPr="009452A2">
        <w:rPr>
          <w:rStyle w:val="TextoNormalCaracter"/>
        </w:rPr>
        <w:t>-</w:t>
      </w:r>
      <w:r>
        <w:t xml:space="preserve"> Auto </w:t>
      </w:r>
      <w:hyperlink w:anchor="AUTO_1985_118" w:history="1">
        <w:r w:rsidRPr="009452A2">
          <w:rPr>
            <w:rStyle w:val="TextoNormalCaracter"/>
          </w:rPr>
          <w:t>118/1985</w:t>
        </w:r>
      </w:hyperlink>
      <w:r>
        <w:t>.</w:t>
      </w:r>
    </w:p>
    <w:p w:rsidR="009452A2" w:rsidRDefault="009452A2" w:rsidP="009452A2">
      <w:pPr>
        <w:pStyle w:val="SangriaFrancesaArticulo"/>
      </w:pPr>
      <w:r w:rsidRPr="009452A2">
        <w:rPr>
          <w:rStyle w:val="TextoNormalNegritaCaracter"/>
        </w:rPr>
        <w:t>Artículo 135.</w:t>
      </w:r>
      <w:r w:rsidRPr="009452A2">
        <w:rPr>
          <w:rStyle w:val="TextoNormalCaracter"/>
        </w:rPr>
        <w:t>-</w:t>
      </w:r>
      <w:r>
        <w:t xml:space="preserve"> Sentencia </w:t>
      </w:r>
      <w:hyperlink w:anchor="SENTENCIA_1985_14" w:history="1">
        <w:r w:rsidRPr="009452A2">
          <w:rPr>
            <w:rStyle w:val="TextoNormalCaracter"/>
          </w:rPr>
          <w:t>14/1985</w:t>
        </w:r>
      </w:hyperlink>
      <w:r>
        <w:t>, f. 2.</w:t>
      </w:r>
    </w:p>
    <w:p w:rsidR="009452A2" w:rsidRDefault="009452A2" w:rsidP="009452A2">
      <w:pPr>
        <w:pStyle w:val="SangriaFrancesaArticulo"/>
      </w:pPr>
      <w:r w:rsidRPr="009452A2">
        <w:rPr>
          <w:rStyle w:val="TextoNormalNegritaCaracter"/>
        </w:rPr>
        <w:t>Artículo 146.</w:t>
      </w:r>
      <w:r w:rsidRPr="009452A2">
        <w:rPr>
          <w:rStyle w:val="TextoNormalCaracter"/>
        </w:rPr>
        <w:t>-</w:t>
      </w:r>
      <w:r>
        <w:t xml:space="preserve"> Sentencia </w:t>
      </w:r>
      <w:hyperlink w:anchor="SENTENCIA_1985_14" w:history="1">
        <w:r w:rsidRPr="009452A2">
          <w:rPr>
            <w:rStyle w:val="TextoNormalCaracter"/>
          </w:rPr>
          <w:t>14/1985</w:t>
        </w:r>
      </w:hyperlink>
      <w:r>
        <w:t>, f. 2.</w:t>
      </w:r>
    </w:p>
    <w:p w:rsidR="009452A2" w:rsidRDefault="009452A2" w:rsidP="009452A2">
      <w:pPr>
        <w:pStyle w:val="SangriaFrancesaArticulo"/>
      </w:pPr>
    </w:p>
    <w:p w:rsidR="009452A2" w:rsidRDefault="009452A2" w:rsidP="009452A2">
      <w:pPr>
        <w:pStyle w:val="TextoNormalNegritaCursivandice"/>
      </w:pPr>
      <w:r>
        <w:t>Decreto 1018/1967, de 6 de abril. Texto refundido de la Ley de impuestos generales sobre las sucesiones y sobre transmisiones patrimoniales y actos jurídicos documentados</w:t>
      </w:r>
    </w:p>
    <w:p w:rsidR="009452A2" w:rsidRDefault="009452A2" w:rsidP="009452A2">
      <w:pPr>
        <w:pStyle w:val="SangriaFrancesaArticulo"/>
      </w:pPr>
      <w:r w:rsidRPr="009452A2">
        <w:rPr>
          <w:rStyle w:val="TextoNormalNegritaCaracter"/>
        </w:rPr>
        <w:t>Artículo 57.1.</w:t>
      </w:r>
      <w:r w:rsidRPr="009452A2">
        <w:rPr>
          <w:rStyle w:val="TextoNormalCaracter"/>
        </w:rPr>
        <w:t>-</w:t>
      </w:r>
      <w:r>
        <w:t xml:space="preserve"> Auto </w:t>
      </w:r>
      <w:hyperlink w:anchor="AUTO_1985_149" w:history="1">
        <w:r w:rsidRPr="009452A2">
          <w:rPr>
            <w:rStyle w:val="TextoNormalCaracter"/>
          </w:rPr>
          <w:t>149/1985</w:t>
        </w:r>
      </w:hyperlink>
      <w:r>
        <w:t>.</w:t>
      </w:r>
    </w:p>
    <w:p w:rsidR="009452A2" w:rsidRDefault="009452A2" w:rsidP="009452A2">
      <w:pPr>
        <w:pStyle w:val="SangriaFrancesaArticulo"/>
      </w:pPr>
    </w:p>
    <w:p w:rsidR="009452A2" w:rsidRDefault="009452A2" w:rsidP="009452A2">
      <w:pPr>
        <w:pStyle w:val="TextoNormalNegritaCursivandice"/>
      </w:pPr>
      <w:r>
        <w:t>Ley 3/1967, de 8 de abril. Modifica artículos del Código penal y de la Ley de enjuiciamiento criminal y deroga los títulos I y II de la Ley penal del automóvil de 24 de diciembre de 1962</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Sentencias </w:t>
      </w:r>
      <w:hyperlink w:anchor="SENTENCIA_1985_1" w:history="1">
        <w:r w:rsidRPr="009452A2">
          <w:rPr>
            <w:rStyle w:val="TextoNormalCaracter"/>
          </w:rPr>
          <w:t>1/1985</w:t>
        </w:r>
      </w:hyperlink>
      <w:r>
        <w:t xml:space="preserve">, f. 2; </w:t>
      </w:r>
      <w:hyperlink w:anchor="SENTENCIA_1985_54" w:history="1">
        <w:r w:rsidRPr="009452A2">
          <w:rPr>
            <w:rStyle w:val="TextoNormalCaracter"/>
          </w:rPr>
          <w:t>54/1985</w:t>
        </w:r>
      </w:hyperlink>
      <w:r>
        <w:t>, f. 5.</w:t>
      </w:r>
    </w:p>
    <w:p w:rsidR="009452A2" w:rsidRDefault="009452A2" w:rsidP="009452A2">
      <w:pPr>
        <w:pStyle w:val="SangriaFrancesaArticulo"/>
      </w:pPr>
    </w:p>
    <w:p w:rsidR="009452A2" w:rsidRDefault="009452A2" w:rsidP="009452A2">
      <w:pPr>
        <w:pStyle w:val="TextoNormalNegritaCursivandice"/>
      </w:pPr>
      <w:r>
        <w:t>Ley 16/1967, de 8 de abril. Unificación del primer ciclo de la Enseñanza Media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56" w:history="1">
        <w:r w:rsidRPr="009452A2">
          <w:rPr>
            <w:rStyle w:val="TextoNormalCaracter"/>
          </w:rPr>
          <w:t>56/1985</w:t>
        </w:r>
      </w:hyperlink>
      <w:r>
        <w:t>.</w:t>
      </w:r>
    </w:p>
    <w:p w:rsidR="009452A2" w:rsidRDefault="009452A2" w:rsidP="009452A2">
      <w:pPr>
        <w:pStyle w:val="SangriaFrancesaArticulo"/>
      </w:pPr>
    </w:p>
    <w:p w:rsidR="009452A2" w:rsidRDefault="009452A2" w:rsidP="009452A2">
      <w:pPr>
        <w:pStyle w:val="TextoNormalNegritaCursivandice"/>
      </w:pPr>
      <w:r>
        <w:t>Ley 47/1967, de 22 de julio. Modifica arts. 504 a 507 y 521 del Código de comercio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21" w:history="1">
        <w:r w:rsidRPr="009452A2">
          <w:rPr>
            <w:rStyle w:val="TextoNormalCaracter"/>
          </w:rPr>
          <w:t>21/1985</w:t>
        </w:r>
      </w:hyperlink>
      <w:r>
        <w:t>, ff. 2, 4.</w:t>
      </w:r>
    </w:p>
    <w:p w:rsidR="009452A2" w:rsidRDefault="009452A2" w:rsidP="009452A2">
      <w:pPr>
        <w:pStyle w:val="SangriaIzquierdaArticulo"/>
      </w:pPr>
      <w:r>
        <w:t xml:space="preserve">Auto </w:t>
      </w:r>
      <w:hyperlink w:anchor="AUTO_1985_178" w:history="1">
        <w:r w:rsidRPr="009452A2">
          <w:rPr>
            <w:rStyle w:val="TextoNormalCaracter"/>
          </w:rPr>
          <w:t>178/1985</w:t>
        </w:r>
      </w:hyperlink>
      <w:r>
        <w:t>.</w:t>
      </w:r>
    </w:p>
    <w:p w:rsidR="009452A2" w:rsidRDefault="009452A2" w:rsidP="009452A2">
      <w:pPr>
        <w:pStyle w:val="SangriaIzquierdaArticulo"/>
      </w:pPr>
    </w:p>
    <w:p w:rsidR="009452A2" w:rsidRDefault="009452A2" w:rsidP="009452A2">
      <w:pPr>
        <w:pStyle w:val="TextoNormalNegritaCursivandice"/>
      </w:pPr>
      <w:r>
        <w:t>Decreto 2766/1967, de 16 de noviembre. Asistencia Sanitaria de la Seguridad Social: Prestaciones y ordenación de servicios médicos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6" w:history="1">
        <w:r w:rsidRPr="009452A2">
          <w:rPr>
            <w:rStyle w:val="TextoNormalCaracter"/>
          </w:rPr>
          <w:t>46/1985</w:t>
        </w:r>
      </w:hyperlink>
      <w:r>
        <w:t>, ff. 1, 4.</w:t>
      </w:r>
    </w:p>
    <w:p w:rsidR="009452A2" w:rsidRDefault="009452A2" w:rsidP="009452A2">
      <w:pPr>
        <w:pStyle w:val="SangriaFrancesaArticulo"/>
      </w:pPr>
    </w:p>
    <w:p w:rsidR="009452A2" w:rsidRDefault="009452A2" w:rsidP="009452A2">
      <w:pPr>
        <w:pStyle w:val="TextoNormalNegritaCursivandice"/>
      </w:pPr>
      <w:r>
        <w:t>Decreto 418/1968, de 9 de marzo. Régimen de autorización de Refinerías de Petróleos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24" w:history="1">
        <w:r w:rsidRPr="009452A2">
          <w:rPr>
            <w:rStyle w:val="TextoNormalCaracter"/>
          </w:rPr>
          <w:t>24/1985</w:t>
        </w:r>
      </w:hyperlink>
      <w:r>
        <w:t>, f. 8.</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Sentencia </w:t>
      </w:r>
      <w:hyperlink w:anchor="SENTENCIA_1985_24" w:history="1">
        <w:r w:rsidRPr="009452A2">
          <w:rPr>
            <w:rStyle w:val="TextoNormalCaracter"/>
          </w:rPr>
          <w:t>24/1985</w:t>
        </w:r>
      </w:hyperlink>
      <w:r>
        <w:t>, f. 8.</w:t>
      </w:r>
    </w:p>
    <w:p w:rsidR="009452A2" w:rsidRDefault="009452A2" w:rsidP="009452A2">
      <w:pPr>
        <w:pStyle w:val="SangriaFrancesaArticulo"/>
      </w:pPr>
      <w:r w:rsidRPr="009452A2">
        <w:rPr>
          <w:rStyle w:val="TextoNormalNegritaCaracter"/>
        </w:rPr>
        <w:t>Artículo 2.III.</w:t>
      </w:r>
      <w:r w:rsidRPr="009452A2">
        <w:rPr>
          <w:rStyle w:val="TextoNormalCaracter"/>
        </w:rPr>
        <w:t>-</w:t>
      </w:r>
      <w:r>
        <w:t xml:space="preserve"> Sentencia </w:t>
      </w:r>
      <w:hyperlink w:anchor="SENTENCIA_1985_24" w:history="1">
        <w:r w:rsidRPr="009452A2">
          <w:rPr>
            <w:rStyle w:val="TextoNormalCaracter"/>
          </w:rPr>
          <w:t>24/1985</w:t>
        </w:r>
      </w:hyperlink>
      <w:r>
        <w:t>, f. 8.</w:t>
      </w:r>
    </w:p>
    <w:p w:rsidR="009452A2" w:rsidRDefault="009452A2" w:rsidP="009452A2">
      <w:pPr>
        <w:pStyle w:val="SangriaFrancesaArticulo"/>
      </w:pPr>
    </w:p>
    <w:p w:rsidR="009452A2" w:rsidRDefault="009452A2" w:rsidP="009452A2">
      <w:pPr>
        <w:pStyle w:val="TextoNormalNegritaCursivandice"/>
      </w:pPr>
      <w:r>
        <w:t>Decreto 1019/1968, de 2 de mayo. Reglamento orgánico del Cuerpo de secretarios de la Administración de justicia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lastRenderedPageBreak/>
        <w:t>Artículo 4.</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t>Artículo 4 a) 2.</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t>Artículo 4 b) 2.</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t>Artículo 14.</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r w:rsidRPr="009452A2">
        <w:rPr>
          <w:rStyle w:val="TextoNormalNegritaCaracter"/>
        </w:rPr>
        <w:t>Artículo 80.3.</w:t>
      </w:r>
      <w:r w:rsidRPr="009452A2">
        <w:rPr>
          <w:rStyle w:val="TextoNormalCaracter"/>
        </w:rPr>
        <w:t>-</w:t>
      </w:r>
      <w:r>
        <w:t xml:space="preserve"> Sentencia </w:t>
      </w:r>
      <w:hyperlink w:anchor="SENTENCIA_1985_41" w:history="1">
        <w:r w:rsidRPr="009452A2">
          <w:rPr>
            <w:rStyle w:val="TextoNormalCaracter"/>
          </w:rPr>
          <w:t>41/1985</w:t>
        </w:r>
      </w:hyperlink>
      <w:r>
        <w:t>, f. 3.</w:t>
      </w:r>
    </w:p>
    <w:p w:rsidR="009452A2" w:rsidRDefault="009452A2" w:rsidP="009452A2">
      <w:pPr>
        <w:pStyle w:val="SangriaFrancesaArticulo"/>
      </w:pPr>
      <w:r w:rsidRPr="009452A2">
        <w:rPr>
          <w:rStyle w:val="TextoNormalNegritaCaracter"/>
        </w:rPr>
        <w:t>Artículo 90.</w:t>
      </w:r>
      <w:r w:rsidRPr="009452A2">
        <w:rPr>
          <w:rStyle w:val="TextoNormalCaracter"/>
        </w:rPr>
        <w:t>-</w:t>
      </w:r>
      <w:r>
        <w:t xml:space="preserve"> Auto </w:t>
      </w:r>
      <w:hyperlink w:anchor="AUTO_1985_221" w:history="1">
        <w:r w:rsidRPr="009452A2">
          <w:rPr>
            <w:rStyle w:val="TextoNormalCaracter"/>
          </w:rPr>
          <w:t>221/1985</w:t>
        </w:r>
      </w:hyperlink>
      <w:r>
        <w:t>.</w:t>
      </w:r>
    </w:p>
    <w:p w:rsidR="009452A2" w:rsidRDefault="009452A2" w:rsidP="009452A2">
      <w:pPr>
        <w:pStyle w:val="SangriaFrancesaArticulo"/>
      </w:pPr>
    </w:p>
    <w:p w:rsidR="009452A2" w:rsidRDefault="009452A2" w:rsidP="009452A2">
      <w:pPr>
        <w:pStyle w:val="TextoNormalNegritaCursivandice"/>
      </w:pPr>
      <w:r>
        <w:t>Decreto 415/1969, de 13 de marzo. Arrendamientos Urbanos: Justa causa de desocupación de viviendas por trabajadores en el extranjero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84" w:history="1">
        <w:r w:rsidRPr="009452A2">
          <w:rPr>
            <w:rStyle w:val="TextoNormalCaracter"/>
          </w:rPr>
          <w:t>184/1985</w:t>
        </w:r>
      </w:hyperlink>
      <w:r>
        <w:t>.</w:t>
      </w:r>
    </w:p>
    <w:p w:rsidR="009452A2" w:rsidRDefault="009452A2" w:rsidP="009452A2">
      <w:pPr>
        <w:pStyle w:val="SangriaFrancesaArticulo"/>
      </w:pPr>
    </w:p>
    <w:p w:rsidR="009452A2" w:rsidRDefault="009452A2" w:rsidP="009452A2">
      <w:pPr>
        <w:pStyle w:val="TextoNormalNegritaCursivandice"/>
      </w:pPr>
      <w:r>
        <w:t>Decreto-ley 18/1969, de 20 de octubre. Administración judicial en el embargo de empresas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3" w:history="1">
        <w:r w:rsidRPr="009452A2">
          <w:rPr>
            <w:rStyle w:val="TextoNormalCaracter"/>
          </w:rPr>
          <w:t>3/1985</w:t>
        </w:r>
      </w:hyperlink>
      <w:r>
        <w:t>.</w:t>
      </w:r>
    </w:p>
    <w:p w:rsidR="009452A2" w:rsidRDefault="009452A2" w:rsidP="009452A2">
      <w:pPr>
        <w:pStyle w:val="SangriaFrancesaArticulo"/>
      </w:pPr>
    </w:p>
    <w:p w:rsidR="009452A2" w:rsidRDefault="009452A2" w:rsidP="009452A2">
      <w:pPr>
        <w:pStyle w:val="TextoNormalNegritaCursivandice"/>
      </w:pPr>
      <w:r>
        <w:t>Decreto 3087/1969, de 6 de noviembre. Reglamento de la Ley general del servicio militar</w:t>
      </w:r>
    </w:p>
    <w:p w:rsidR="009452A2" w:rsidRDefault="009452A2" w:rsidP="009452A2">
      <w:pPr>
        <w:pStyle w:val="SangriaFrancesaArticulo"/>
      </w:pPr>
      <w:r w:rsidRPr="009452A2">
        <w:rPr>
          <w:rStyle w:val="TextoNormalNegritaCaracter"/>
        </w:rPr>
        <w:t>Artículo 498.</w:t>
      </w:r>
      <w:r w:rsidRPr="009452A2">
        <w:rPr>
          <w:rStyle w:val="TextoNormalCaracter"/>
        </w:rPr>
        <w:t>-</w:t>
      </w:r>
      <w:r>
        <w:t xml:space="preserve"> Sentencia </w:t>
      </w:r>
      <w:hyperlink w:anchor="SENTENCIA_1985_35" w:history="1">
        <w:r w:rsidRPr="009452A2">
          <w:rPr>
            <w:rStyle w:val="TextoNormalCaracter"/>
          </w:rPr>
          <w:t>35/1985</w:t>
        </w:r>
      </w:hyperlink>
      <w:r>
        <w:t>, f. 1.</w:t>
      </w:r>
    </w:p>
    <w:p w:rsidR="009452A2" w:rsidRDefault="009452A2" w:rsidP="009452A2">
      <w:pPr>
        <w:pStyle w:val="SangriaFrancesaArticulo"/>
      </w:pPr>
      <w:r w:rsidRPr="009452A2">
        <w:rPr>
          <w:rStyle w:val="TextoNormalNegritaCaracter"/>
        </w:rPr>
        <w:t>Artículo 499.</w:t>
      </w:r>
      <w:r w:rsidRPr="009452A2">
        <w:rPr>
          <w:rStyle w:val="TextoNormalCaracter"/>
        </w:rPr>
        <w:t>-</w:t>
      </w:r>
      <w:r>
        <w:t xml:space="preserve"> Sentencia </w:t>
      </w:r>
      <w:hyperlink w:anchor="SENTENCIA_1985_35" w:history="1">
        <w:r w:rsidRPr="009452A2">
          <w:rPr>
            <w:rStyle w:val="TextoNormalCaracter"/>
          </w:rPr>
          <w:t>35/1985</w:t>
        </w:r>
      </w:hyperlink>
      <w:r>
        <w:t>, f. 1.</w:t>
      </w:r>
    </w:p>
    <w:p w:rsidR="009452A2" w:rsidRDefault="009452A2" w:rsidP="009452A2">
      <w:pPr>
        <w:pStyle w:val="SangriaFrancesaArticulo"/>
      </w:pPr>
    </w:p>
    <w:p w:rsidR="009452A2" w:rsidRDefault="009452A2" w:rsidP="009452A2">
      <w:pPr>
        <w:pStyle w:val="TextoNormalNegritaCursivandice"/>
      </w:pPr>
      <w:r>
        <w:t>Orden del Ministerio de Trabajo, de 28 de agosto de 1970. Ordenanza de trabajo de la construcción, vidrio y cerámica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9" w:history="1">
        <w:r w:rsidRPr="009452A2">
          <w:rPr>
            <w:rStyle w:val="TextoNormalCaracter"/>
          </w:rPr>
          <w:t>49/1985</w:t>
        </w:r>
      </w:hyperlink>
      <w:r>
        <w:t>, f. 1.</w:t>
      </w:r>
    </w:p>
    <w:p w:rsidR="009452A2" w:rsidRDefault="009452A2" w:rsidP="009452A2">
      <w:pPr>
        <w:pStyle w:val="SangriaFrancesaArticulo"/>
      </w:pPr>
      <w:r w:rsidRPr="009452A2">
        <w:rPr>
          <w:rStyle w:val="TextoNormalNegritaCaracter"/>
        </w:rPr>
        <w:t>Artículo 44 c).</w:t>
      </w:r>
      <w:r w:rsidRPr="009452A2">
        <w:rPr>
          <w:rStyle w:val="TextoNormalCaracter"/>
        </w:rPr>
        <w:t>-</w:t>
      </w:r>
      <w:r>
        <w:t xml:space="preserve"> Sentencia </w:t>
      </w:r>
      <w:hyperlink w:anchor="SENTENCIA_1985_49" w:history="1">
        <w:r w:rsidRPr="009452A2">
          <w:rPr>
            <w:rStyle w:val="TextoNormalCaracter"/>
          </w:rPr>
          <w:t>49/1985</w:t>
        </w:r>
      </w:hyperlink>
      <w:r>
        <w:t>, f. 1.</w:t>
      </w:r>
    </w:p>
    <w:p w:rsidR="009452A2" w:rsidRDefault="009452A2" w:rsidP="009452A2">
      <w:pPr>
        <w:pStyle w:val="SangriaFrancesaArticulo"/>
      </w:pPr>
    </w:p>
    <w:p w:rsidR="009452A2" w:rsidRDefault="009452A2" w:rsidP="009452A2">
      <w:pPr>
        <w:pStyle w:val="TextoNormalNegritaCursivandice"/>
      </w:pPr>
      <w:r>
        <w:t>Orden de la Presidencia del Gobierno, de 16 de junio de 1972. Estatutos del Colegio Oficial de Ingenieros Técnicos en Topografía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03" w:history="1">
        <w:r w:rsidRPr="009452A2">
          <w:rPr>
            <w:rStyle w:val="TextoNormalCaracter"/>
          </w:rPr>
          <w:t>103/1985</w:t>
        </w:r>
      </w:hyperlink>
      <w:r>
        <w:t>.</w:t>
      </w:r>
    </w:p>
    <w:p w:rsidR="009452A2" w:rsidRDefault="009452A2" w:rsidP="009452A2">
      <w:pPr>
        <w:pStyle w:val="SangriaFrancesaArticulo"/>
      </w:pPr>
    </w:p>
    <w:p w:rsidR="009452A2" w:rsidRDefault="009452A2" w:rsidP="009452A2">
      <w:pPr>
        <w:pStyle w:val="TextoNormalNegritaCursivandice"/>
      </w:pPr>
      <w:r>
        <w:t>Decreto 3096/1973, de 14 de septiembre. Texto refundido del Código penal conforme a la Ley 44/1971, de 15 de noviembre</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3" w:history="1">
        <w:r w:rsidRPr="009452A2">
          <w:rPr>
            <w:rStyle w:val="TextoNormalCaracter"/>
          </w:rPr>
          <w:t>53/1985</w:t>
        </w:r>
      </w:hyperlink>
      <w:r>
        <w:t>, VP II.</w:t>
      </w:r>
    </w:p>
    <w:p w:rsidR="009452A2" w:rsidRDefault="009452A2" w:rsidP="009452A2">
      <w:pPr>
        <w:pStyle w:val="SangriaIzquierdaArticulo"/>
      </w:pPr>
      <w:r>
        <w:t xml:space="preserve">Auto </w:t>
      </w:r>
      <w:hyperlink w:anchor="AUTO_1985_198" w:history="1">
        <w:r w:rsidRPr="009452A2">
          <w:rPr>
            <w:rStyle w:val="TextoNormalCaracter"/>
          </w:rPr>
          <w:t>198/1985</w:t>
        </w:r>
      </w:hyperlink>
      <w:r>
        <w:t>.</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Auto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6.</w:t>
      </w:r>
      <w:r w:rsidRPr="009452A2">
        <w:rPr>
          <w:rStyle w:val="TextoNormalCaracter"/>
        </w:rPr>
        <w:t>-</w:t>
      </w:r>
      <w:r>
        <w:t xml:space="preserve"> Sentencia </w:t>
      </w:r>
      <w:hyperlink w:anchor="SENTENCIA_1985_54" w:history="1">
        <w:r w:rsidRPr="009452A2">
          <w:rPr>
            <w:rStyle w:val="TextoNormalCaracter"/>
          </w:rPr>
          <w:t>54/1985</w:t>
        </w:r>
      </w:hyperlink>
      <w:r>
        <w:t>, f. 3.</w:t>
      </w:r>
    </w:p>
    <w:p w:rsidR="009452A2" w:rsidRDefault="009452A2" w:rsidP="009452A2">
      <w:pPr>
        <w:pStyle w:val="SangriaFrancesaArticulo"/>
      </w:pPr>
      <w:r w:rsidRPr="009452A2">
        <w:rPr>
          <w:rStyle w:val="TextoNormalNegritaCaracter"/>
        </w:rPr>
        <w:t>Artículo 6 bis a).</w:t>
      </w:r>
      <w:r w:rsidRPr="009452A2">
        <w:rPr>
          <w:rStyle w:val="TextoNormalCaracter"/>
        </w:rPr>
        <w:t>-</w:t>
      </w:r>
      <w:r>
        <w:t xml:space="preserve"> Auto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8.</w:t>
      </w:r>
      <w:r w:rsidRPr="009452A2">
        <w:rPr>
          <w:rStyle w:val="TextoNormalCaracter"/>
        </w:rPr>
        <w:t>-</w:t>
      </w:r>
      <w:r>
        <w:t xml:space="preserve"> Sentencia </w:t>
      </w:r>
      <w:hyperlink w:anchor="SENTENCIA_1985_53" w:history="1">
        <w:r w:rsidRPr="009452A2">
          <w:rPr>
            <w:rStyle w:val="TextoNormalCaracter"/>
          </w:rPr>
          <w:t>53/1985</w:t>
        </w:r>
      </w:hyperlink>
      <w:r>
        <w:t>, f. 9.</w:t>
      </w:r>
    </w:p>
    <w:p w:rsidR="009452A2" w:rsidRDefault="009452A2" w:rsidP="009452A2">
      <w:pPr>
        <w:pStyle w:val="SangriaFrancesaArticulo"/>
      </w:pPr>
      <w:r w:rsidRPr="009452A2">
        <w:rPr>
          <w:rStyle w:val="TextoNormalNegritaCaracter"/>
        </w:rPr>
        <w:t>Artículo 24.</w:t>
      </w:r>
      <w:r w:rsidRPr="009452A2">
        <w:rPr>
          <w:rStyle w:val="TextoNormalCaracter"/>
        </w:rPr>
        <w:t>-</w:t>
      </w:r>
      <w:r>
        <w:t xml:space="preserve"> Auto </w:t>
      </w:r>
      <w:hyperlink w:anchor="AUTO_1985_187" w:history="1">
        <w:r w:rsidRPr="009452A2">
          <w:rPr>
            <w:rStyle w:val="TextoNormalCaracter"/>
          </w:rPr>
          <w:t>187/1985</w:t>
        </w:r>
      </w:hyperlink>
      <w:r>
        <w:t>.</w:t>
      </w:r>
    </w:p>
    <w:p w:rsidR="009452A2" w:rsidRDefault="009452A2" w:rsidP="009452A2">
      <w:pPr>
        <w:pStyle w:val="SangriaFrancesaArticulo"/>
      </w:pPr>
      <w:r w:rsidRPr="009452A2">
        <w:rPr>
          <w:rStyle w:val="TextoNormalNegritaCaracter"/>
        </w:rPr>
        <w:t>Artículo 70.2.</w:t>
      </w:r>
      <w:r w:rsidRPr="009452A2">
        <w:rPr>
          <w:rStyle w:val="TextoNormalCaracter"/>
        </w:rPr>
        <w:t>-</w:t>
      </w:r>
      <w:r>
        <w:t xml:space="preserve"> Sentencia </w:t>
      </w:r>
      <w:hyperlink w:anchor="SENTENCIA_1985_28" w:history="1">
        <w:r w:rsidRPr="009452A2">
          <w:rPr>
            <w:rStyle w:val="TextoNormalCaracter"/>
          </w:rPr>
          <w:t>28/1985</w:t>
        </w:r>
      </w:hyperlink>
      <w:r>
        <w:t>, f. 4.</w:t>
      </w:r>
    </w:p>
    <w:p w:rsidR="009452A2" w:rsidRDefault="009452A2" w:rsidP="009452A2">
      <w:pPr>
        <w:pStyle w:val="SangriaFrancesaArticulo"/>
      </w:pPr>
      <w:r w:rsidRPr="009452A2">
        <w:rPr>
          <w:rStyle w:val="TextoNormalNegritaCaracter"/>
        </w:rPr>
        <w:t>Artículo 82.</w:t>
      </w:r>
      <w:r w:rsidRPr="009452A2">
        <w:rPr>
          <w:rStyle w:val="TextoNormalCaracter"/>
        </w:rPr>
        <w:t>-</w:t>
      </w:r>
      <w:r>
        <w:t xml:space="preserve"> Auto </w:t>
      </w:r>
      <w:hyperlink w:anchor="AUTO_1985_146" w:history="1">
        <w:r w:rsidRPr="009452A2">
          <w:rPr>
            <w:rStyle w:val="TextoNormalCaracter"/>
          </w:rPr>
          <w:t>146/1985</w:t>
        </w:r>
      </w:hyperlink>
      <w:r>
        <w:t>.</w:t>
      </w:r>
    </w:p>
    <w:p w:rsidR="009452A2" w:rsidRDefault="009452A2" w:rsidP="009452A2">
      <w:pPr>
        <w:pStyle w:val="SangriaFrancesaArticulo"/>
      </w:pPr>
      <w:r w:rsidRPr="009452A2">
        <w:rPr>
          <w:rStyle w:val="TextoNormalNegritaCaracter"/>
        </w:rPr>
        <w:t>Artículo 105.</w:t>
      </w:r>
      <w:r w:rsidRPr="009452A2">
        <w:rPr>
          <w:rStyle w:val="TextoNormalCaracter"/>
        </w:rPr>
        <w:t>-</w:t>
      </w:r>
      <w:r>
        <w:t xml:space="preserve"> Sentencia </w:t>
      </w:r>
      <w:hyperlink w:anchor="SENTENCIA_1985_18" w:history="1">
        <w:r w:rsidRPr="009452A2">
          <w:rPr>
            <w:rStyle w:val="TextoNormalCaracter"/>
          </w:rPr>
          <w:t>18/1985</w:t>
        </w:r>
      </w:hyperlink>
      <w:r>
        <w:t>, f. 2.</w:t>
      </w:r>
    </w:p>
    <w:p w:rsidR="009452A2" w:rsidRDefault="009452A2" w:rsidP="009452A2">
      <w:pPr>
        <w:pStyle w:val="SangriaFrancesaArticulo"/>
      </w:pPr>
      <w:r w:rsidRPr="009452A2">
        <w:rPr>
          <w:rStyle w:val="TextoNormalNegritaCaracter"/>
        </w:rPr>
        <w:t>Artículo 161.</w:t>
      </w:r>
      <w:r w:rsidRPr="009452A2">
        <w:rPr>
          <w:rStyle w:val="TextoNormalCaracter"/>
        </w:rPr>
        <w:t>-</w:t>
      </w:r>
      <w:r>
        <w:t xml:space="preserve"> Sentencia </w:t>
      </w:r>
      <w:hyperlink w:anchor="SENTENCIA_1985_51" w:history="1">
        <w:r w:rsidRPr="009452A2">
          <w:rPr>
            <w:rStyle w:val="TextoNormalCaracter"/>
          </w:rPr>
          <w:t>51/1985</w:t>
        </w:r>
      </w:hyperlink>
      <w:r>
        <w:t>, ff. 7, 10.</w:t>
      </w:r>
    </w:p>
    <w:p w:rsidR="009452A2" w:rsidRDefault="009452A2" w:rsidP="009452A2">
      <w:pPr>
        <w:pStyle w:val="SangriaFrancesaArticulo"/>
      </w:pPr>
      <w:r w:rsidRPr="009452A2">
        <w:rPr>
          <w:rStyle w:val="TextoNormalNegritaCaracter"/>
        </w:rPr>
        <w:t>Artículo 161.1</w:t>
      </w:r>
      <w:r>
        <w:t xml:space="preserve"> </w:t>
      </w:r>
      <w:r w:rsidRPr="009452A2">
        <w:rPr>
          <w:rStyle w:val="TextoNormalCaracter"/>
        </w:rPr>
        <w:t>(redactado por la Ley Orgánica 8/1983, de 25 de junio)</w:t>
      </w:r>
      <w:r w:rsidRPr="009452A2">
        <w:rPr>
          <w:rStyle w:val="TextoNormalNegritaCaracter"/>
        </w:rPr>
        <w:t>.</w:t>
      </w:r>
      <w:r w:rsidRPr="009452A2">
        <w:rPr>
          <w:rStyle w:val="TextoNormalCaracter"/>
        </w:rPr>
        <w:t>-</w:t>
      </w:r>
      <w:r>
        <w:t xml:space="preserve"> Sentencia </w:t>
      </w:r>
      <w:hyperlink w:anchor="SENTENCIA_1985_51" w:history="1">
        <w:r w:rsidRPr="009452A2">
          <w:rPr>
            <w:rStyle w:val="TextoNormalCaracter"/>
          </w:rPr>
          <w:t>51/1985</w:t>
        </w:r>
      </w:hyperlink>
      <w:r>
        <w:t>, f. 7.</w:t>
      </w:r>
    </w:p>
    <w:p w:rsidR="009452A2" w:rsidRDefault="009452A2" w:rsidP="009452A2">
      <w:pPr>
        <w:pStyle w:val="SangriaFrancesaArticulo"/>
      </w:pPr>
      <w:r w:rsidRPr="009452A2">
        <w:rPr>
          <w:rStyle w:val="TextoNormalNegritaCaracter"/>
        </w:rPr>
        <w:t>Artículo 162.</w:t>
      </w:r>
      <w:r w:rsidRPr="009452A2">
        <w:rPr>
          <w:rStyle w:val="TextoNormalCaracter"/>
        </w:rPr>
        <w:t>-</w:t>
      </w:r>
      <w:r>
        <w:t xml:space="preserve"> Sentencia </w:t>
      </w:r>
      <w:hyperlink w:anchor="SENTENCIA_1985_51" w:history="1">
        <w:r w:rsidRPr="009452A2">
          <w:rPr>
            <w:rStyle w:val="TextoNormalCaracter"/>
          </w:rPr>
          <w:t>51/1985</w:t>
        </w:r>
      </w:hyperlink>
      <w:r>
        <w:t>, f. 7.</w:t>
      </w:r>
    </w:p>
    <w:p w:rsidR="009452A2" w:rsidRDefault="009452A2" w:rsidP="009452A2">
      <w:pPr>
        <w:pStyle w:val="SangriaFrancesaArticulo"/>
      </w:pPr>
      <w:r w:rsidRPr="009452A2">
        <w:rPr>
          <w:rStyle w:val="TextoNormalNegritaCaracter"/>
        </w:rPr>
        <w:t>Artículo 191.1.</w:t>
      </w:r>
      <w:r w:rsidRPr="009452A2">
        <w:rPr>
          <w:rStyle w:val="TextoNormalCaracter"/>
        </w:rPr>
        <w:t>-</w:t>
      </w:r>
      <w:r>
        <w:t xml:space="preserve"> Auto </w:t>
      </w:r>
      <w:hyperlink w:anchor="AUTO_1985_272" w:history="1">
        <w:r w:rsidRPr="009452A2">
          <w:rPr>
            <w:rStyle w:val="TextoNormalCaracter"/>
          </w:rPr>
          <w:t>272/1985</w:t>
        </w:r>
      </w:hyperlink>
      <w:r>
        <w:t>.</w:t>
      </w:r>
    </w:p>
    <w:p w:rsidR="009452A2" w:rsidRDefault="009452A2" w:rsidP="009452A2">
      <w:pPr>
        <w:pStyle w:val="SangriaFrancesaArticulo"/>
      </w:pPr>
      <w:r w:rsidRPr="009452A2">
        <w:rPr>
          <w:rStyle w:val="TextoNormalNegritaCaracter"/>
        </w:rPr>
        <w:t>Artículo 232.1.</w:t>
      </w:r>
      <w:r w:rsidRPr="009452A2">
        <w:rPr>
          <w:rStyle w:val="TextoNormalCaracter"/>
        </w:rPr>
        <w:t>-</w:t>
      </w:r>
      <w:r>
        <w:t xml:space="preserve"> Auto </w:t>
      </w:r>
      <w:hyperlink w:anchor="AUTO_1985_170" w:history="1">
        <w:r w:rsidRPr="009452A2">
          <w:rPr>
            <w:rStyle w:val="TextoNormalCaracter"/>
          </w:rPr>
          <w:t>170/1985</w:t>
        </w:r>
      </w:hyperlink>
      <w:r>
        <w:t>.</w:t>
      </w:r>
    </w:p>
    <w:p w:rsidR="009452A2" w:rsidRDefault="009452A2" w:rsidP="009452A2">
      <w:pPr>
        <w:pStyle w:val="SangriaFrancesaArticulo"/>
      </w:pPr>
      <w:r w:rsidRPr="009452A2">
        <w:rPr>
          <w:rStyle w:val="TextoNormalNegritaCaracter"/>
        </w:rPr>
        <w:lastRenderedPageBreak/>
        <w:t>Artículo 302.</w:t>
      </w:r>
      <w:r w:rsidRPr="009452A2">
        <w:rPr>
          <w:rStyle w:val="TextoNormalCaracter"/>
        </w:rPr>
        <w:t>-</w:t>
      </w:r>
      <w:r>
        <w:t xml:space="preserve"> Auto </w:t>
      </w:r>
      <w:hyperlink w:anchor="AUTO_1985_145" w:history="1">
        <w:r w:rsidRPr="009452A2">
          <w:rPr>
            <w:rStyle w:val="TextoNormalCaracter"/>
          </w:rPr>
          <w:t>145/1985</w:t>
        </w:r>
      </w:hyperlink>
      <w:r>
        <w:t>.</w:t>
      </w:r>
    </w:p>
    <w:p w:rsidR="009452A2" w:rsidRDefault="009452A2" w:rsidP="009452A2">
      <w:pPr>
        <w:pStyle w:val="SangriaFrancesaArticulo"/>
      </w:pPr>
      <w:r w:rsidRPr="009452A2">
        <w:rPr>
          <w:rStyle w:val="TextoNormalNegritaCaracter"/>
        </w:rPr>
        <w:t>Artículo 306.</w:t>
      </w:r>
      <w:r w:rsidRPr="009452A2">
        <w:rPr>
          <w:rStyle w:val="TextoNormalCaracter"/>
        </w:rPr>
        <w:t>-</w:t>
      </w:r>
      <w:r>
        <w:t xml:space="preserve"> Auto </w:t>
      </w:r>
      <w:hyperlink w:anchor="AUTO_1985_145" w:history="1">
        <w:r w:rsidRPr="009452A2">
          <w:rPr>
            <w:rStyle w:val="TextoNormalCaracter"/>
          </w:rPr>
          <w:t>145/1985</w:t>
        </w:r>
      </w:hyperlink>
      <w:r>
        <w:t>.</w:t>
      </w:r>
    </w:p>
    <w:p w:rsidR="009452A2" w:rsidRDefault="009452A2" w:rsidP="009452A2">
      <w:pPr>
        <w:pStyle w:val="SangriaFrancesaArticulo"/>
      </w:pPr>
      <w:r w:rsidRPr="009452A2">
        <w:rPr>
          <w:rStyle w:val="TextoNormalNegritaCaracter"/>
        </w:rPr>
        <w:t>Artículo 307.</w:t>
      </w:r>
      <w:r w:rsidRPr="009452A2">
        <w:rPr>
          <w:rStyle w:val="TextoNormalCaracter"/>
        </w:rPr>
        <w:t>-</w:t>
      </w:r>
      <w:r>
        <w:t xml:space="preserve"> Auto </w:t>
      </w:r>
      <w:hyperlink w:anchor="AUTO_1985_145" w:history="1">
        <w:r w:rsidRPr="009452A2">
          <w:rPr>
            <w:rStyle w:val="TextoNormalCaracter"/>
          </w:rPr>
          <w:t>145/1985</w:t>
        </w:r>
      </w:hyperlink>
      <w:r>
        <w:t>.</w:t>
      </w:r>
    </w:p>
    <w:p w:rsidR="009452A2" w:rsidRDefault="009452A2" w:rsidP="009452A2">
      <w:pPr>
        <w:pStyle w:val="SangriaFrancesaArticulo"/>
      </w:pPr>
      <w:r w:rsidRPr="009452A2">
        <w:rPr>
          <w:rStyle w:val="TextoNormalNegritaCaracter"/>
        </w:rPr>
        <w:t>Artículo 340 bis a).</w:t>
      </w:r>
      <w:r w:rsidRPr="009452A2">
        <w:rPr>
          <w:rStyle w:val="TextoNormalCaracter"/>
        </w:rPr>
        <w:t>-</w:t>
      </w:r>
      <w:r>
        <w:t xml:space="preserve"> Auto </w:t>
      </w:r>
      <w:hyperlink w:anchor="AUTO_1985_58" w:history="1">
        <w:r w:rsidRPr="009452A2">
          <w:rPr>
            <w:rStyle w:val="TextoNormalCaracter"/>
          </w:rPr>
          <w:t>58/1985</w:t>
        </w:r>
      </w:hyperlink>
      <w:r>
        <w:t>.</w:t>
      </w:r>
    </w:p>
    <w:p w:rsidR="009452A2" w:rsidRDefault="009452A2" w:rsidP="009452A2">
      <w:pPr>
        <w:pStyle w:val="SangriaFrancesaArticulo"/>
      </w:pPr>
      <w:r w:rsidRPr="009452A2">
        <w:rPr>
          <w:rStyle w:val="TextoNormalNegritaCaracter"/>
        </w:rPr>
        <w:t>Artículo 344.</w:t>
      </w:r>
      <w:r w:rsidRPr="009452A2">
        <w:rPr>
          <w:rStyle w:val="TextoNormalCaracter"/>
        </w:rPr>
        <w:t>-</w:t>
      </w:r>
      <w:r>
        <w:t xml:space="preserve"> Auto </w:t>
      </w:r>
      <w:hyperlink w:anchor="AUTO_1985_234" w:history="1">
        <w:r w:rsidRPr="009452A2">
          <w:rPr>
            <w:rStyle w:val="TextoNormalCaracter"/>
          </w:rPr>
          <w:t>234/1985</w:t>
        </w:r>
      </w:hyperlink>
      <w:r>
        <w:t>.</w:t>
      </w:r>
    </w:p>
    <w:p w:rsidR="009452A2" w:rsidRDefault="009452A2" w:rsidP="009452A2">
      <w:pPr>
        <w:pStyle w:val="SangriaFrancesaArticulo"/>
      </w:pPr>
      <w:r w:rsidRPr="009452A2">
        <w:rPr>
          <w:rStyle w:val="TextoNormalNegritaCaracter"/>
        </w:rPr>
        <w:t>Artículo 357.</w:t>
      </w:r>
      <w:r w:rsidRPr="009452A2">
        <w:rPr>
          <w:rStyle w:val="TextoNormalCaracter"/>
        </w:rPr>
        <w:t>-</w:t>
      </w:r>
      <w:r>
        <w:t xml:space="preserve"> Sentencia </w:t>
      </w:r>
      <w:hyperlink w:anchor="SENTENCIA_1985_5" w:history="1">
        <w:r w:rsidRPr="009452A2">
          <w:rPr>
            <w:rStyle w:val="TextoNormalCaracter"/>
          </w:rPr>
          <w:t>5/1985</w:t>
        </w:r>
      </w:hyperlink>
      <w:r>
        <w:t>, f. 7.</w:t>
      </w:r>
    </w:p>
    <w:p w:rsidR="009452A2" w:rsidRDefault="009452A2" w:rsidP="009452A2">
      <w:pPr>
        <w:pStyle w:val="SangriaFrancesaArticulo"/>
      </w:pPr>
      <w:r w:rsidRPr="009452A2">
        <w:rPr>
          <w:rStyle w:val="TextoNormalNegritaCaracter"/>
        </w:rPr>
        <w:t>Artículos 411 a 417.</w:t>
      </w:r>
      <w:r w:rsidRPr="009452A2">
        <w:rPr>
          <w:rStyle w:val="TextoNormalCaracter"/>
        </w:rPr>
        <w:t>-</w:t>
      </w:r>
      <w:r>
        <w:t xml:space="preserve"> Sentencia </w:t>
      </w:r>
      <w:hyperlink w:anchor="SENTENCIA_1985_53" w:history="1">
        <w:r w:rsidRPr="009452A2">
          <w:rPr>
            <w:rStyle w:val="TextoNormalCaracter"/>
          </w:rPr>
          <w:t>53/1985</w:t>
        </w:r>
      </w:hyperlink>
      <w:r>
        <w:t>, f. 9, VP III.</w:t>
      </w:r>
    </w:p>
    <w:p w:rsidR="009452A2" w:rsidRDefault="009452A2" w:rsidP="009452A2">
      <w:pPr>
        <w:pStyle w:val="SangriaFrancesaArticulo"/>
      </w:pPr>
      <w:r w:rsidRPr="009452A2">
        <w:rPr>
          <w:rStyle w:val="TextoNormalNegritaCaracter"/>
        </w:rPr>
        <w:t>Artículo 417 bis.</w:t>
      </w:r>
      <w:r w:rsidRPr="009452A2">
        <w:rPr>
          <w:rStyle w:val="TextoNormalCaracter"/>
        </w:rPr>
        <w:t>-</w:t>
      </w:r>
      <w:r>
        <w:t xml:space="preserve"> Sentencia </w:t>
      </w:r>
      <w:hyperlink w:anchor="SENTENCIA_1985_53" w:history="1">
        <w:r w:rsidRPr="009452A2">
          <w:rPr>
            <w:rStyle w:val="TextoNormalCaracter"/>
          </w:rPr>
          <w:t>53/1985</w:t>
        </w:r>
      </w:hyperlink>
      <w:r>
        <w:t>, ff. 1, 2, 12, VP I, VP III, VP V.</w:t>
      </w:r>
    </w:p>
    <w:p w:rsidR="009452A2" w:rsidRDefault="009452A2" w:rsidP="009452A2">
      <w:pPr>
        <w:pStyle w:val="SangriaFrancesaArticulo"/>
      </w:pPr>
      <w:r w:rsidRPr="009452A2">
        <w:rPr>
          <w:rStyle w:val="TextoNormalNegritaCaracter"/>
        </w:rPr>
        <w:t>Artículo 417 bis 1.</w:t>
      </w:r>
      <w:r w:rsidRPr="009452A2">
        <w:rPr>
          <w:rStyle w:val="TextoNormalCaracter"/>
        </w:rPr>
        <w:t>-</w:t>
      </w:r>
      <w:r>
        <w:t xml:space="preserve"> Sentencia </w:t>
      </w:r>
      <w:hyperlink w:anchor="SENTENCIA_1985_53" w:history="1">
        <w:r w:rsidRPr="009452A2">
          <w:rPr>
            <w:rStyle w:val="TextoNormalCaracter"/>
          </w:rPr>
          <w:t>53/1985</w:t>
        </w:r>
      </w:hyperlink>
      <w:r>
        <w:t>, ff. 10, 11, 13.</w:t>
      </w:r>
    </w:p>
    <w:p w:rsidR="009452A2" w:rsidRDefault="009452A2" w:rsidP="009452A2">
      <w:pPr>
        <w:pStyle w:val="SangriaFrancesaArticulo"/>
      </w:pPr>
      <w:r w:rsidRPr="009452A2">
        <w:rPr>
          <w:rStyle w:val="TextoNormalNegritaCaracter"/>
        </w:rPr>
        <w:t>Artículo 417 bis 2.</w:t>
      </w:r>
      <w:r w:rsidRPr="009452A2">
        <w:rPr>
          <w:rStyle w:val="TextoNormalCaracter"/>
        </w:rPr>
        <w:t>-</w:t>
      </w:r>
      <w:r>
        <w:t xml:space="preserve"> Sentencia </w:t>
      </w:r>
      <w:hyperlink w:anchor="SENTENCIA_1985_53" w:history="1">
        <w:r w:rsidRPr="009452A2">
          <w:rPr>
            <w:rStyle w:val="TextoNormalCaracter"/>
          </w:rPr>
          <w:t>53/1985</w:t>
        </w:r>
      </w:hyperlink>
      <w:r>
        <w:t>, f. 11.</w:t>
      </w:r>
    </w:p>
    <w:p w:rsidR="009452A2" w:rsidRDefault="009452A2" w:rsidP="009452A2">
      <w:pPr>
        <w:pStyle w:val="SangriaFrancesaArticulo"/>
      </w:pPr>
      <w:r w:rsidRPr="009452A2">
        <w:rPr>
          <w:rStyle w:val="TextoNormalNegritaCaracter"/>
        </w:rPr>
        <w:t>Artículo 417 bis 3.</w:t>
      </w:r>
      <w:r w:rsidRPr="009452A2">
        <w:rPr>
          <w:rStyle w:val="TextoNormalCaracter"/>
        </w:rPr>
        <w:t>-</w:t>
      </w:r>
      <w:r>
        <w:t xml:space="preserve"> Sentencia </w:t>
      </w:r>
      <w:hyperlink w:anchor="SENTENCIA_1985_53" w:history="1">
        <w:r w:rsidRPr="009452A2">
          <w:rPr>
            <w:rStyle w:val="TextoNormalCaracter"/>
          </w:rPr>
          <w:t>53/1985</w:t>
        </w:r>
      </w:hyperlink>
      <w:r>
        <w:t>, ff. 10, 11, 13.</w:t>
      </w:r>
    </w:p>
    <w:p w:rsidR="009452A2" w:rsidRDefault="009452A2" w:rsidP="009452A2">
      <w:pPr>
        <w:pStyle w:val="SangriaFrancesaArticulo"/>
      </w:pPr>
      <w:r w:rsidRPr="009452A2">
        <w:rPr>
          <w:rStyle w:val="TextoNormalNegritaCaracter"/>
        </w:rPr>
        <w:t>Artículo 428.</w:t>
      </w:r>
      <w:r w:rsidRPr="009452A2">
        <w:rPr>
          <w:rStyle w:val="TextoNormalCaracter"/>
        </w:rPr>
        <w:t>-</w:t>
      </w:r>
      <w:r>
        <w:t xml:space="preserve"> Sentencia </w:t>
      </w:r>
      <w:hyperlink w:anchor="SENTENCIA_1985_53" w:history="1">
        <w:r w:rsidRPr="009452A2">
          <w:rPr>
            <w:rStyle w:val="TextoNormalCaracter"/>
          </w:rPr>
          <w:t>53/1985</w:t>
        </w:r>
      </w:hyperlink>
      <w:r>
        <w:t>, VP IV.</w:t>
      </w:r>
    </w:p>
    <w:p w:rsidR="009452A2" w:rsidRDefault="009452A2" w:rsidP="009452A2">
      <w:pPr>
        <w:pStyle w:val="SangriaFrancesaArticulo"/>
      </w:pPr>
      <w:r w:rsidRPr="009452A2">
        <w:rPr>
          <w:rStyle w:val="TextoNormalNegritaCaracter"/>
        </w:rPr>
        <w:t>Artículo 429.</w:t>
      </w:r>
      <w:r w:rsidRPr="009452A2">
        <w:rPr>
          <w:rStyle w:val="TextoNormalCaracter"/>
        </w:rPr>
        <w:t>-</w:t>
      </w:r>
      <w:r>
        <w:t xml:space="preserve"> Sentencia </w:t>
      </w:r>
      <w:hyperlink w:anchor="SENTENCIA_1985_53" w:history="1">
        <w:r w:rsidRPr="009452A2">
          <w:rPr>
            <w:rStyle w:val="TextoNormalCaracter"/>
          </w:rPr>
          <w:t>53/1985</w:t>
        </w:r>
      </w:hyperlink>
      <w:r>
        <w:t>, f. 2.</w:t>
      </w:r>
    </w:p>
    <w:p w:rsidR="009452A2" w:rsidRDefault="009452A2" w:rsidP="009452A2">
      <w:pPr>
        <w:pStyle w:val="SangriaFrancesaArticulo"/>
      </w:pPr>
      <w:r w:rsidRPr="009452A2">
        <w:rPr>
          <w:rStyle w:val="TextoNormalNegritaCaracter"/>
        </w:rPr>
        <w:t>Artículo 461.</w:t>
      </w:r>
      <w:r w:rsidRPr="009452A2">
        <w:rPr>
          <w:rStyle w:val="TextoNormalCaracter"/>
        </w:rPr>
        <w:t>-</w:t>
      </w:r>
      <w:r>
        <w:t xml:space="preserve"> Sentencia </w:t>
      </w:r>
      <w:hyperlink w:anchor="SENTENCIA_1985_51" w:history="1">
        <w:r w:rsidRPr="009452A2">
          <w:rPr>
            <w:rStyle w:val="TextoNormalCaracter"/>
          </w:rPr>
          <w:t>51/1985</w:t>
        </w:r>
      </w:hyperlink>
      <w:r>
        <w:t>, f. 7.</w:t>
      </w:r>
    </w:p>
    <w:p w:rsidR="009452A2" w:rsidRDefault="009452A2" w:rsidP="009452A2">
      <w:pPr>
        <w:pStyle w:val="SangriaFrancesaArticulo"/>
      </w:pPr>
      <w:r w:rsidRPr="009452A2">
        <w:rPr>
          <w:rStyle w:val="TextoNormalNegritaCaracter"/>
        </w:rPr>
        <w:t>Artículo 500.</w:t>
      </w:r>
      <w:r w:rsidRPr="009452A2">
        <w:rPr>
          <w:rStyle w:val="TextoNormalCaracter"/>
        </w:rPr>
        <w:t>-</w:t>
      </w:r>
      <w:r>
        <w:t xml:space="preserve"> Auto </w:t>
      </w:r>
      <w:hyperlink w:anchor="AUTO_1985_277" w:history="1">
        <w:r w:rsidRPr="009452A2">
          <w:rPr>
            <w:rStyle w:val="TextoNormalCaracter"/>
          </w:rPr>
          <w:t>277/1985</w:t>
        </w:r>
      </w:hyperlink>
      <w:r>
        <w:t>.</w:t>
      </w:r>
    </w:p>
    <w:p w:rsidR="009452A2" w:rsidRDefault="009452A2" w:rsidP="009452A2">
      <w:pPr>
        <w:pStyle w:val="SangriaFrancesaArticulo"/>
      </w:pPr>
      <w:r w:rsidRPr="009452A2">
        <w:rPr>
          <w:rStyle w:val="TextoNormalNegritaCaracter"/>
        </w:rPr>
        <w:t>Artículo 501.4.</w:t>
      </w:r>
      <w:r w:rsidRPr="009452A2">
        <w:rPr>
          <w:rStyle w:val="TextoNormalCaracter"/>
        </w:rPr>
        <w:t>-</w:t>
      </w:r>
      <w:r>
        <w:t xml:space="preserve"> Auto </w:t>
      </w:r>
      <w:hyperlink w:anchor="AUTO_1985_187" w:history="1">
        <w:r w:rsidRPr="009452A2">
          <w:rPr>
            <w:rStyle w:val="TextoNormalCaracter"/>
          </w:rPr>
          <w:t>187/1985</w:t>
        </w:r>
      </w:hyperlink>
      <w:r>
        <w:t>.</w:t>
      </w:r>
    </w:p>
    <w:p w:rsidR="009452A2" w:rsidRDefault="009452A2" w:rsidP="009452A2">
      <w:pPr>
        <w:pStyle w:val="SangriaFrancesaArticulo"/>
      </w:pPr>
      <w:r w:rsidRPr="009452A2">
        <w:rPr>
          <w:rStyle w:val="TextoNormalNegritaCaracter"/>
        </w:rPr>
        <w:t>Artículo 501.5.</w:t>
      </w:r>
      <w:r w:rsidRPr="009452A2">
        <w:rPr>
          <w:rStyle w:val="TextoNormalCaracter"/>
        </w:rPr>
        <w:t>-</w:t>
      </w:r>
      <w:r>
        <w:t xml:space="preserve"> Auto </w:t>
      </w:r>
      <w:hyperlink w:anchor="AUTO_1985_277" w:history="1">
        <w:r w:rsidRPr="009452A2">
          <w:rPr>
            <w:rStyle w:val="TextoNormalCaracter"/>
          </w:rPr>
          <w:t>277/1985</w:t>
        </w:r>
      </w:hyperlink>
      <w:r>
        <w:t>.</w:t>
      </w:r>
    </w:p>
    <w:p w:rsidR="009452A2" w:rsidRDefault="009452A2" w:rsidP="009452A2">
      <w:pPr>
        <w:pStyle w:val="SangriaFrancesaArticulo"/>
      </w:pPr>
      <w:r w:rsidRPr="009452A2">
        <w:rPr>
          <w:rStyle w:val="TextoNormalNegritaCaracter"/>
        </w:rPr>
        <w:t>Artículo 514.2.</w:t>
      </w:r>
      <w:r w:rsidRPr="009452A2">
        <w:rPr>
          <w:rStyle w:val="TextoNormalCaracter"/>
        </w:rPr>
        <w:t>-</w:t>
      </w:r>
      <w:r>
        <w:t xml:space="preserve"> Auto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515.</w:t>
      </w:r>
      <w:r w:rsidRPr="009452A2">
        <w:rPr>
          <w:rStyle w:val="TextoNormalCaracter"/>
        </w:rPr>
        <w:t>-</w:t>
      </w:r>
      <w:r>
        <w:t xml:space="preserve"> Auto </w:t>
      </w:r>
      <w:hyperlink w:anchor="AUTO_1985_267" w:history="1">
        <w:r w:rsidRPr="009452A2">
          <w:rPr>
            <w:rStyle w:val="TextoNormalCaracter"/>
          </w:rPr>
          <w:t>267/1985</w:t>
        </w:r>
      </w:hyperlink>
      <w:r>
        <w:t>.</w:t>
      </w:r>
    </w:p>
    <w:p w:rsidR="009452A2" w:rsidRDefault="009452A2" w:rsidP="009452A2">
      <w:pPr>
        <w:pStyle w:val="SangriaFrancesaArticulo"/>
      </w:pPr>
      <w:r w:rsidRPr="009452A2">
        <w:rPr>
          <w:rStyle w:val="TextoNormalNegritaCaracter"/>
        </w:rPr>
        <w:t>Artículo 565.1.</w:t>
      </w:r>
      <w:r w:rsidRPr="009452A2">
        <w:rPr>
          <w:rStyle w:val="TextoNormalCaracter"/>
        </w:rPr>
        <w:t>-</w:t>
      </w:r>
      <w:r>
        <w:t xml:space="preserve"> Auto </w:t>
      </w:r>
      <w:hyperlink w:anchor="AUTO_1985_58" w:history="1">
        <w:r w:rsidRPr="009452A2">
          <w:rPr>
            <w:rStyle w:val="TextoNormalCaracter"/>
          </w:rPr>
          <w:t>58/1985</w:t>
        </w:r>
      </w:hyperlink>
      <w:r>
        <w:t>.</w:t>
      </w:r>
    </w:p>
    <w:p w:rsidR="009452A2" w:rsidRDefault="009452A2" w:rsidP="009452A2">
      <w:pPr>
        <w:pStyle w:val="SangriaFrancesaArticulo"/>
      </w:pPr>
      <w:r w:rsidRPr="009452A2">
        <w:rPr>
          <w:rStyle w:val="TextoNormalNegritaCaracter"/>
        </w:rPr>
        <w:t>Artículo 582.2.</w:t>
      </w:r>
      <w:r w:rsidRPr="009452A2">
        <w:rPr>
          <w:rStyle w:val="TextoNormalCaracter"/>
        </w:rPr>
        <w:t>-</w:t>
      </w:r>
      <w:r>
        <w:t xml:space="preserve"> Sentencia </w:t>
      </w:r>
      <w:hyperlink w:anchor="SENTENCIA_1985_25" w:history="1">
        <w:r w:rsidRPr="009452A2">
          <w:rPr>
            <w:rStyle w:val="TextoNormalCaracter"/>
          </w:rPr>
          <w:t>25/1985</w:t>
        </w:r>
      </w:hyperlink>
      <w:r>
        <w:t>, f. 1.</w:t>
      </w:r>
    </w:p>
    <w:p w:rsidR="009452A2" w:rsidRDefault="009452A2" w:rsidP="009452A2">
      <w:pPr>
        <w:pStyle w:val="SangriaFrancesaArticulo"/>
      </w:pPr>
      <w:r w:rsidRPr="009452A2">
        <w:rPr>
          <w:rStyle w:val="TextoNormalNegritaCaracter"/>
        </w:rPr>
        <w:t>Artículo 586.2.</w:t>
      </w:r>
      <w:r w:rsidRPr="009452A2">
        <w:rPr>
          <w:rStyle w:val="TextoNormalCaracter"/>
        </w:rPr>
        <w:t>-</w:t>
      </w:r>
      <w:r>
        <w:t xml:space="preserve"> Sentencia </w:t>
      </w:r>
      <w:hyperlink w:anchor="SENTENCIA_1985_54" w:history="1">
        <w:r w:rsidRPr="009452A2">
          <w:rPr>
            <w:rStyle w:val="TextoNormalCaracter"/>
          </w:rPr>
          <w:t>54/1985</w:t>
        </w:r>
      </w:hyperlink>
      <w:r>
        <w:t>, ff. 2, 8.</w:t>
      </w:r>
    </w:p>
    <w:p w:rsidR="009452A2" w:rsidRDefault="009452A2" w:rsidP="009452A2">
      <w:pPr>
        <w:pStyle w:val="SangriaFrancesaArticulo"/>
      </w:pPr>
      <w:r w:rsidRPr="009452A2">
        <w:rPr>
          <w:rStyle w:val="TextoNormalNegritaCaracter"/>
        </w:rPr>
        <w:t>Artículo 600.</w:t>
      </w:r>
      <w:r w:rsidRPr="009452A2">
        <w:rPr>
          <w:rStyle w:val="TextoNormalCaracter"/>
        </w:rPr>
        <w:t>-</w:t>
      </w:r>
      <w:r>
        <w:t xml:space="preserve"> Sentencias </w:t>
      </w:r>
      <w:hyperlink w:anchor="SENTENCIA_1985_25" w:history="1">
        <w:r w:rsidRPr="009452A2">
          <w:rPr>
            <w:rStyle w:val="TextoNormalCaracter"/>
          </w:rPr>
          <w:t>25/1985</w:t>
        </w:r>
      </w:hyperlink>
      <w:r>
        <w:t xml:space="preserve">, f. 1; </w:t>
      </w:r>
      <w:hyperlink w:anchor="SENTENCIA_1985_54" w:history="1">
        <w:r w:rsidRPr="009452A2">
          <w:rPr>
            <w:rStyle w:val="TextoNormalCaracter"/>
          </w:rPr>
          <w:t>54/1985</w:t>
        </w:r>
      </w:hyperlink>
      <w:r>
        <w:t>, ff. 2, 8.</w:t>
      </w:r>
    </w:p>
    <w:p w:rsidR="009452A2" w:rsidRDefault="009452A2" w:rsidP="009452A2">
      <w:pPr>
        <w:pStyle w:val="SangriaFrancesaArticulo"/>
      </w:pPr>
    </w:p>
    <w:p w:rsidR="009452A2" w:rsidRDefault="009452A2" w:rsidP="009452A2">
      <w:pPr>
        <w:pStyle w:val="TextoNormalNegritaCursivandice"/>
      </w:pPr>
      <w:r>
        <w:t>Ley 2/1974, de 13 de febrero. Colegios profesionales</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Auto </w:t>
      </w:r>
      <w:hyperlink w:anchor="AUTO_1985_103" w:history="1">
        <w:r w:rsidRPr="009452A2">
          <w:rPr>
            <w:rStyle w:val="TextoNormalCaracter"/>
          </w:rPr>
          <w:t>103/1985</w:t>
        </w:r>
      </w:hyperlink>
      <w:r>
        <w:t>.</w:t>
      </w:r>
    </w:p>
    <w:p w:rsidR="009452A2" w:rsidRDefault="009452A2" w:rsidP="009452A2">
      <w:pPr>
        <w:pStyle w:val="SangriaFrancesaArticulo"/>
      </w:pPr>
    </w:p>
    <w:p w:rsidR="009452A2" w:rsidRDefault="009452A2" w:rsidP="009452A2">
      <w:pPr>
        <w:pStyle w:val="TextoNormalNegritaCursivandice"/>
      </w:pPr>
      <w:r>
        <w:t>Decreto 2065/1974, de 30 de mayo. Texto refundido de la Ley general de la Seguridad Social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6" w:history="1">
        <w:r w:rsidRPr="009452A2">
          <w:rPr>
            <w:rStyle w:val="TextoNormalCaracter"/>
          </w:rPr>
          <w:t>46/1985</w:t>
        </w:r>
      </w:hyperlink>
      <w:r>
        <w:t>, ff. 1, 4.</w:t>
      </w:r>
    </w:p>
    <w:p w:rsidR="009452A2" w:rsidRDefault="009452A2" w:rsidP="009452A2">
      <w:pPr>
        <w:pStyle w:val="SangriaFrancesaArticulo"/>
      </w:pPr>
      <w:r w:rsidRPr="009452A2">
        <w:rPr>
          <w:rStyle w:val="TextoNormalNegritaCaracter"/>
        </w:rPr>
        <w:t>Artículo 204.1.</w:t>
      </w:r>
      <w:r w:rsidRPr="009452A2">
        <w:rPr>
          <w:rStyle w:val="TextoNormalCaracter"/>
        </w:rPr>
        <w:t>-</w:t>
      </w:r>
      <w:r>
        <w:t xml:space="preserve"> Auto </w:t>
      </w:r>
      <w:hyperlink w:anchor="AUTO_1985_278" w:history="1">
        <w:r w:rsidRPr="009452A2">
          <w:rPr>
            <w:rStyle w:val="TextoNormalCaracter"/>
          </w:rPr>
          <w:t>278/1985</w:t>
        </w:r>
      </w:hyperlink>
      <w:r>
        <w:t>.</w:t>
      </w:r>
    </w:p>
    <w:p w:rsidR="009452A2" w:rsidRDefault="009452A2" w:rsidP="009452A2">
      <w:pPr>
        <w:pStyle w:val="SangriaFrancesaArticulo"/>
      </w:pPr>
      <w:r w:rsidRPr="009452A2">
        <w:rPr>
          <w:rStyle w:val="TextoNormalNegritaCaracter"/>
        </w:rPr>
        <w:t>Artículo 204.2 a).</w:t>
      </w:r>
      <w:r w:rsidRPr="009452A2">
        <w:rPr>
          <w:rStyle w:val="TextoNormalCaracter"/>
        </w:rPr>
        <w:t>-</w:t>
      </w:r>
      <w:r>
        <w:t xml:space="preserve"> Auto </w:t>
      </w:r>
      <w:hyperlink w:anchor="AUTO_1985_278" w:history="1">
        <w:r w:rsidRPr="009452A2">
          <w:rPr>
            <w:rStyle w:val="TextoNormalCaracter"/>
          </w:rPr>
          <w:t>278/1985</w:t>
        </w:r>
      </w:hyperlink>
      <w:r>
        <w:t>.</w:t>
      </w:r>
    </w:p>
    <w:p w:rsidR="009452A2" w:rsidRDefault="009452A2" w:rsidP="009452A2">
      <w:pPr>
        <w:pStyle w:val="SangriaFrancesaArticulo"/>
      </w:pPr>
    </w:p>
    <w:p w:rsidR="009452A2" w:rsidRDefault="009452A2" w:rsidP="009452A2">
      <w:pPr>
        <w:pStyle w:val="TextoNormalNegritaCursivandice"/>
      </w:pPr>
      <w:r>
        <w:t>Ley 18/1974, de 27 de junio. Modificación y derogación de varios artículos del Texto refundido de la Ley de arrendamientos urbanos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Sentencias </w:t>
      </w:r>
      <w:hyperlink w:anchor="SENTENCIA_1985_14" w:history="1">
        <w:r w:rsidRPr="009452A2">
          <w:rPr>
            <w:rStyle w:val="TextoNormalCaracter"/>
          </w:rPr>
          <w:t>14/1985</w:t>
        </w:r>
      </w:hyperlink>
      <w:r>
        <w:t xml:space="preserve">, f. 2; </w:t>
      </w:r>
      <w:hyperlink w:anchor="SENTENCIA_1985_29" w:history="1">
        <w:r w:rsidRPr="009452A2">
          <w:rPr>
            <w:rStyle w:val="TextoNormalCaracter"/>
          </w:rPr>
          <w:t>29/1985</w:t>
        </w:r>
      </w:hyperlink>
      <w:r>
        <w:t>, f. 2.</w:t>
      </w:r>
    </w:p>
    <w:p w:rsidR="009452A2" w:rsidRDefault="009452A2" w:rsidP="009452A2">
      <w:pPr>
        <w:pStyle w:val="SangriaFrancesaArticulo"/>
      </w:pPr>
    </w:p>
    <w:p w:rsidR="009452A2" w:rsidRDefault="009452A2" w:rsidP="009452A2">
      <w:pPr>
        <w:pStyle w:val="TextoNormalNegritaCursivandice"/>
      </w:pPr>
      <w:r>
        <w:t>Ley 21/1974, de 27 de junio. Régimen jurídico para exploración, investigación y explotación de hidrocarburos</w:t>
      </w:r>
    </w:p>
    <w:p w:rsidR="009452A2" w:rsidRDefault="009452A2" w:rsidP="009452A2">
      <w:pPr>
        <w:pStyle w:val="SangriaFrancesaArticulo"/>
      </w:pPr>
      <w:r w:rsidRPr="009452A2">
        <w:rPr>
          <w:rStyle w:val="TextoNormalNegritaCaracter"/>
        </w:rPr>
        <w:t>Artículo 4.2.</w:t>
      </w:r>
      <w:r w:rsidRPr="009452A2">
        <w:rPr>
          <w:rStyle w:val="TextoNormalCaracter"/>
        </w:rPr>
        <w:t>-</w:t>
      </w:r>
      <w:r>
        <w:t xml:space="preserve"> Sentencia </w:t>
      </w:r>
      <w:hyperlink w:anchor="SENTENCIA_1985_24" w:history="1">
        <w:r w:rsidRPr="009452A2">
          <w:rPr>
            <w:rStyle w:val="TextoNormalCaracter"/>
          </w:rPr>
          <w:t>24/1985</w:t>
        </w:r>
      </w:hyperlink>
      <w:r>
        <w:t>, f. 7.</w:t>
      </w:r>
    </w:p>
    <w:p w:rsidR="009452A2" w:rsidRDefault="009452A2" w:rsidP="009452A2">
      <w:pPr>
        <w:pStyle w:val="SangriaFrancesaArticulo"/>
      </w:pPr>
    </w:p>
    <w:p w:rsidR="009452A2" w:rsidRDefault="009452A2" w:rsidP="009452A2">
      <w:pPr>
        <w:pStyle w:val="TextoNormalNegritaCursivandice"/>
      </w:pPr>
      <w:r>
        <w:t>Decreto 2232/1974, de 20 de julio. Refinerías de Petróleos: Establece plan de ampliación de refino de crudos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24" w:history="1">
        <w:r w:rsidRPr="009452A2">
          <w:rPr>
            <w:rStyle w:val="TextoNormalCaracter"/>
          </w:rPr>
          <w:t>24/1985</w:t>
        </w:r>
      </w:hyperlink>
      <w:r>
        <w:t>, ff. 6, 7.</w:t>
      </w:r>
    </w:p>
    <w:p w:rsidR="009452A2" w:rsidRDefault="009452A2" w:rsidP="009452A2">
      <w:pPr>
        <w:pStyle w:val="SangriaFrancesaArticulo"/>
      </w:pPr>
    </w:p>
    <w:p w:rsidR="009452A2" w:rsidRDefault="009452A2" w:rsidP="009452A2">
      <w:pPr>
        <w:pStyle w:val="TextoNormalNegritaCursivandice"/>
      </w:pPr>
      <w:r>
        <w:t>Decreto 2038/1975, de 17 de julio. Reglamento orgánico de la policía gubernativa</w:t>
      </w:r>
    </w:p>
    <w:p w:rsidR="009452A2" w:rsidRDefault="009452A2" w:rsidP="009452A2">
      <w:pPr>
        <w:pStyle w:val="SangriaFrancesaArticulo"/>
      </w:pPr>
      <w:r w:rsidRPr="009452A2">
        <w:rPr>
          <w:rStyle w:val="TextoNormalNegritaCaracter"/>
        </w:rPr>
        <w:lastRenderedPageBreak/>
        <w:t>En general.</w:t>
      </w:r>
      <w:r w:rsidRPr="009452A2">
        <w:rPr>
          <w:rStyle w:val="TextoNormalCaracter"/>
        </w:rPr>
        <w:t>-</w:t>
      </w:r>
      <w:r>
        <w:t xml:space="preserve"> Auto </w:t>
      </w:r>
      <w:hyperlink w:anchor="AUTO_1985_155" w:history="1">
        <w:r w:rsidRPr="009452A2">
          <w:rPr>
            <w:rStyle w:val="TextoNormalCaracter"/>
          </w:rPr>
          <w:t>155/1985</w:t>
        </w:r>
      </w:hyperlink>
      <w:r>
        <w:t>.</w:t>
      </w:r>
    </w:p>
    <w:p w:rsidR="009452A2" w:rsidRDefault="009452A2" w:rsidP="009452A2">
      <w:pPr>
        <w:pStyle w:val="SangriaFrancesaArticulo"/>
      </w:pPr>
      <w:r w:rsidRPr="009452A2">
        <w:rPr>
          <w:rStyle w:val="TextoNormalNegritaCaracter"/>
        </w:rPr>
        <w:t>Artículo 512.</w:t>
      </w:r>
      <w:r w:rsidRPr="009452A2">
        <w:rPr>
          <w:rStyle w:val="TextoNormalCaracter"/>
        </w:rPr>
        <w:t>-</w:t>
      </w:r>
      <w:r>
        <w:t xml:space="preserve"> Sentencia </w:t>
      </w:r>
      <w:hyperlink w:anchor="SENTENCIA_1985_31" w:history="1">
        <w:r w:rsidRPr="009452A2">
          <w:rPr>
            <w:rStyle w:val="TextoNormalCaracter"/>
          </w:rPr>
          <w:t>31/1985</w:t>
        </w:r>
      </w:hyperlink>
      <w:r>
        <w:t>, f. 5.</w:t>
      </w:r>
    </w:p>
    <w:p w:rsidR="009452A2" w:rsidRDefault="009452A2" w:rsidP="009452A2">
      <w:pPr>
        <w:pStyle w:val="SangriaIzquierdaArticulo"/>
      </w:pPr>
      <w:r>
        <w:t xml:space="preserve">Auto </w:t>
      </w:r>
      <w:hyperlink w:anchor="AUTO_1985_155" w:history="1">
        <w:r w:rsidRPr="009452A2">
          <w:rPr>
            <w:rStyle w:val="TextoNormalCaracter"/>
          </w:rPr>
          <w:t>155/1985</w:t>
        </w:r>
      </w:hyperlink>
      <w:r>
        <w:t>.</w:t>
      </w:r>
    </w:p>
    <w:p w:rsidR="009452A2" w:rsidRDefault="009452A2" w:rsidP="009452A2">
      <w:pPr>
        <w:pStyle w:val="SangriaIzquierdaArticulo"/>
      </w:pPr>
    </w:p>
    <w:p w:rsidR="009452A2" w:rsidRDefault="009452A2" w:rsidP="009452A2">
      <w:pPr>
        <w:pStyle w:val="TextoNormalNegritaCursivandice"/>
      </w:pPr>
      <w:r>
        <w:t>Ley 16/1976, de 8 de abril. Relaciones laborales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9" w:history="1">
        <w:r w:rsidRPr="009452A2">
          <w:rPr>
            <w:rStyle w:val="TextoNormalCaracter"/>
          </w:rPr>
          <w:t>19/1985</w:t>
        </w:r>
      </w:hyperlink>
      <w:r>
        <w:t>, f. 4.</w:t>
      </w:r>
    </w:p>
    <w:p w:rsidR="009452A2" w:rsidRDefault="009452A2" w:rsidP="009452A2">
      <w:pPr>
        <w:pStyle w:val="SangriaFrancesaArticulo"/>
      </w:pPr>
    </w:p>
    <w:p w:rsidR="009452A2" w:rsidRDefault="009452A2" w:rsidP="009452A2">
      <w:pPr>
        <w:pStyle w:val="TextoNormalNegritaCursivandice"/>
      </w:pPr>
      <w:r>
        <w:t>Real Decreto 1346/1976, de 9 de abril. Texto refundido de la Ley del suelo y ordenación urbana</w:t>
      </w:r>
    </w:p>
    <w:p w:rsidR="009452A2" w:rsidRDefault="009452A2" w:rsidP="009452A2">
      <w:pPr>
        <w:pStyle w:val="SangriaFrancesaArticulo"/>
      </w:pPr>
      <w:r w:rsidRPr="009452A2">
        <w:rPr>
          <w:rStyle w:val="TextoNormalNegritaCaracter"/>
        </w:rPr>
        <w:t>Artículo 60.2.</w:t>
      </w:r>
      <w:r w:rsidRPr="009452A2">
        <w:rPr>
          <w:rStyle w:val="TextoNormalCaracter"/>
        </w:rPr>
        <w:t>-</w:t>
      </w:r>
      <w:r>
        <w:t xml:space="preserve"> Auto </w:t>
      </w:r>
      <w:hyperlink w:anchor="AUTO_1985_28" w:history="1">
        <w:r w:rsidRPr="009452A2">
          <w:rPr>
            <w:rStyle w:val="TextoNormalCaracter"/>
          </w:rPr>
          <w:t>28/1985</w:t>
        </w:r>
      </w:hyperlink>
      <w:r>
        <w:t>.</w:t>
      </w:r>
    </w:p>
    <w:p w:rsidR="009452A2" w:rsidRDefault="009452A2" w:rsidP="009452A2">
      <w:pPr>
        <w:pStyle w:val="SangriaFrancesaArticulo"/>
      </w:pPr>
    </w:p>
    <w:p w:rsidR="009452A2" w:rsidRDefault="009452A2" w:rsidP="009452A2">
      <w:pPr>
        <w:pStyle w:val="TextoNormalNegritaCursivandice"/>
      </w:pPr>
      <w:r>
        <w:t>Orden del Ministerio de Trabajo, de 25 de noviembre de 1976. Ordenanza Laboral para establecimientos sanitarios de hospitalización, consulta y asistencia y laboratorios de análisis clínicos</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r w:rsidRPr="009452A2">
        <w:rPr>
          <w:rStyle w:val="TextoNormalNegritaCaracter"/>
        </w:rPr>
        <w:t>Artículo 2.</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r w:rsidRPr="009452A2">
        <w:rPr>
          <w:rStyle w:val="TextoNormalNegritaCaracter"/>
        </w:rPr>
        <w:t>Artículo 3.</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r w:rsidRPr="009452A2">
        <w:rPr>
          <w:rStyle w:val="TextoNormalNegritaCaracter"/>
        </w:rPr>
        <w:t>Artículo 34.</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r w:rsidRPr="009452A2">
        <w:rPr>
          <w:rStyle w:val="TextoNormalNegritaCaracter"/>
        </w:rPr>
        <w:t>Artículo 65.</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p>
    <w:p w:rsidR="009452A2" w:rsidRDefault="009452A2" w:rsidP="009452A2">
      <w:pPr>
        <w:pStyle w:val="TextoNormalNegritaCursivandice"/>
      </w:pPr>
      <w:r>
        <w:t>Ley 46/1977, de 15 de octubre. Amnistía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76" w:history="1">
        <w:r w:rsidRPr="009452A2">
          <w:rPr>
            <w:rStyle w:val="TextoNormalCaracter"/>
          </w:rPr>
          <w:t>176/1985</w:t>
        </w:r>
      </w:hyperlink>
      <w:r>
        <w:t>.</w:t>
      </w:r>
    </w:p>
    <w:p w:rsidR="009452A2" w:rsidRDefault="009452A2" w:rsidP="009452A2">
      <w:pPr>
        <w:pStyle w:val="SangriaFrancesaArticulo"/>
      </w:pPr>
      <w:r w:rsidRPr="009452A2">
        <w:rPr>
          <w:rStyle w:val="TextoNormalNegritaCaracter"/>
        </w:rPr>
        <w:t>Artículo 11 bis</w:t>
      </w:r>
      <w:r>
        <w:t xml:space="preserve"> </w:t>
      </w:r>
      <w:r w:rsidRPr="009452A2">
        <w:rPr>
          <w:rStyle w:val="TextoNormalCaracter"/>
        </w:rPr>
        <w:t>(redactado por la Ley 1/1984, de 9 de enero)</w:t>
      </w:r>
      <w:r w:rsidRPr="009452A2">
        <w:rPr>
          <w:rStyle w:val="TextoNormalNegritaCaracter"/>
        </w:rPr>
        <w:t>.</w:t>
      </w:r>
      <w:r w:rsidRPr="009452A2">
        <w:rPr>
          <w:rStyle w:val="TextoNormalCaracter"/>
        </w:rPr>
        <w:t>-</w:t>
      </w:r>
      <w:r>
        <w:t xml:space="preserve"> Auto </w:t>
      </w:r>
      <w:hyperlink w:anchor="AUTO_1985_176" w:history="1">
        <w:r w:rsidRPr="009452A2">
          <w:rPr>
            <w:rStyle w:val="TextoNormalCaracter"/>
          </w:rPr>
          <w:t>176/1985</w:t>
        </w:r>
      </w:hyperlink>
      <w:r>
        <w:t>.</w:t>
      </w:r>
    </w:p>
    <w:p w:rsidR="009452A2" w:rsidRDefault="009452A2" w:rsidP="009452A2">
      <w:pPr>
        <w:pStyle w:val="SangriaFrancesaArticulo"/>
      </w:pPr>
    </w:p>
    <w:p w:rsidR="009452A2" w:rsidRDefault="009452A2" w:rsidP="009452A2">
      <w:pPr>
        <w:pStyle w:val="TextoNormalNegritaCursivandice"/>
      </w:pPr>
      <w:r>
        <w:t>Real Decreto 3110/1977, de 28 de octubre. Modifica art. 31 del Estatuto Jurídico del Personal Médico: turnos de guardia y servicios de localización</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p>
    <w:p w:rsidR="009452A2" w:rsidRDefault="009452A2" w:rsidP="009452A2">
      <w:pPr>
        <w:pStyle w:val="TextoNormalNegritaCursivandice"/>
      </w:pPr>
      <w:r>
        <w:t>Orden del Ministerio de Sanidad y Seguridad Social, de 9 de diciembre de 1977. Formación de postgraduados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r w:rsidRPr="009452A2">
        <w:rPr>
          <w:rStyle w:val="TextoNormalNegritaCaracter"/>
        </w:rPr>
        <w:t>Artículo 3.2.</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p>
    <w:p w:rsidR="009452A2" w:rsidRDefault="009452A2" w:rsidP="009452A2">
      <w:pPr>
        <w:pStyle w:val="TextoNormalNegritaCursivandice"/>
      </w:pPr>
      <w:r>
        <w:t>Orden del Ministerio de Sanidad y Seguridad Social, de 21 de enero de 1978. Subsana aspectos no recogidos en la Orden Ministerial de 9 de diciembre de 1977 sobre Médicos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7" w:history="1">
        <w:r w:rsidRPr="009452A2">
          <w:rPr>
            <w:rStyle w:val="TextoNormalCaracter"/>
          </w:rPr>
          <w:t>17/1985</w:t>
        </w:r>
      </w:hyperlink>
      <w:r>
        <w:t>, f. 4.</w:t>
      </w:r>
    </w:p>
    <w:p w:rsidR="009452A2" w:rsidRDefault="009452A2" w:rsidP="009452A2">
      <w:pPr>
        <w:pStyle w:val="SangriaFrancesaArticulo"/>
      </w:pPr>
    </w:p>
    <w:p w:rsidR="009452A2" w:rsidRDefault="009452A2" w:rsidP="009452A2">
      <w:pPr>
        <w:pStyle w:val="TextoNormalNegritaCursivandice"/>
      </w:pPr>
      <w:r>
        <w:t>Real Decreto-ley 6/1978, de 6 de marzo. Beneficios a militares que tomaron parte en la guerra civil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14" w:history="1">
        <w:r w:rsidRPr="009452A2">
          <w:rPr>
            <w:rStyle w:val="TextoNormalCaracter"/>
          </w:rPr>
          <w:t>214/1985</w:t>
        </w:r>
      </w:hyperlink>
      <w:r>
        <w:t>.</w:t>
      </w:r>
    </w:p>
    <w:p w:rsidR="009452A2" w:rsidRDefault="009452A2" w:rsidP="009452A2">
      <w:pPr>
        <w:pStyle w:val="SangriaFrancesaArticulo"/>
      </w:pPr>
    </w:p>
    <w:p w:rsidR="009452A2" w:rsidRDefault="009452A2" w:rsidP="009452A2">
      <w:pPr>
        <w:pStyle w:val="TextoNormalNegritaCursivandice"/>
      </w:pPr>
      <w:r>
        <w:t>Orden del Ministerio de Sanidad y Seguridad Social, de 28 de abril de 1978. Estatuto del personal del Instituto nacional de previsión</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85" w:history="1">
        <w:r w:rsidRPr="009452A2">
          <w:rPr>
            <w:rStyle w:val="TextoNormalCaracter"/>
          </w:rPr>
          <w:t>185/1985</w:t>
        </w:r>
      </w:hyperlink>
      <w:r>
        <w:t>.</w:t>
      </w:r>
    </w:p>
    <w:p w:rsidR="009452A2" w:rsidRDefault="009452A2" w:rsidP="009452A2">
      <w:pPr>
        <w:pStyle w:val="SangriaFrancesaArticulo"/>
      </w:pPr>
    </w:p>
    <w:p w:rsidR="009452A2" w:rsidRDefault="009452A2" w:rsidP="009452A2">
      <w:pPr>
        <w:pStyle w:val="TextoNormalNegritaCursivandice"/>
      </w:pPr>
      <w:r>
        <w:lastRenderedPageBreak/>
        <w:t>Decreto 1074/1978, de 19 de mayo. Regulación de la integración de funcionarios en los cuerpos de catedráticos y profesores de escuelas universitarias y de bachillerato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56" w:history="1">
        <w:r w:rsidRPr="009452A2">
          <w:rPr>
            <w:rStyle w:val="TextoNormalCaracter"/>
          </w:rPr>
          <w:t>56/1985</w:t>
        </w:r>
      </w:hyperlink>
      <w:r>
        <w:t>.</w:t>
      </w:r>
    </w:p>
    <w:p w:rsidR="009452A2" w:rsidRDefault="009452A2" w:rsidP="009452A2">
      <w:pPr>
        <w:pStyle w:val="SangriaFrancesaArticulo"/>
      </w:pPr>
    </w:p>
    <w:p w:rsidR="009452A2" w:rsidRDefault="009452A2" w:rsidP="009452A2">
      <w:pPr>
        <w:pStyle w:val="TextoNormalNegritaCursivandice"/>
      </w:pPr>
      <w:r>
        <w:t>Real Decreto-ley 14/1978, de 7 de junio. Modifica las Leyes de procedimiento laboral y Orgánica de la Magistratura de Trabajo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17" w:history="1">
        <w:r w:rsidRPr="009452A2">
          <w:rPr>
            <w:rStyle w:val="TextoNormalCaracter"/>
          </w:rPr>
          <w:t>117/1985</w:t>
        </w:r>
      </w:hyperlink>
      <w:r>
        <w:t>.</w:t>
      </w:r>
    </w:p>
    <w:p w:rsidR="009452A2" w:rsidRDefault="009452A2" w:rsidP="009452A2">
      <w:pPr>
        <w:pStyle w:val="SangriaFrancesaArticulo"/>
      </w:pPr>
    </w:p>
    <w:p w:rsidR="009452A2" w:rsidRDefault="009452A2" w:rsidP="009452A2">
      <w:pPr>
        <w:pStyle w:val="TextoNormalNegritaCursivandice"/>
      </w:pPr>
      <w:r>
        <w:t>Ley 39/1978, de 17 de julio. Elecciones locales</w:t>
      </w:r>
    </w:p>
    <w:p w:rsidR="009452A2" w:rsidRDefault="009452A2" w:rsidP="009452A2">
      <w:pPr>
        <w:pStyle w:val="SangriaFrancesaArticulo"/>
      </w:pPr>
      <w:r w:rsidRPr="009452A2">
        <w:rPr>
          <w:rStyle w:val="TextoNormalNegritaCaracter"/>
        </w:rPr>
        <w:t>Artículo 28.</w:t>
      </w:r>
      <w:r w:rsidRPr="009452A2">
        <w:rPr>
          <w:rStyle w:val="TextoNormalCaracter"/>
        </w:rPr>
        <w:t>-</w:t>
      </w:r>
      <w:r>
        <w:t xml:space="preserve"> Sentencias </w:t>
      </w:r>
      <w:hyperlink w:anchor="SENTENCIA_1985_8" w:history="1">
        <w:r w:rsidRPr="009452A2">
          <w:rPr>
            <w:rStyle w:val="TextoNormalCaracter"/>
          </w:rPr>
          <w:t>8/1985</w:t>
        </w:r>
      </w:hyperlink>
      <w:r>
        <w:t xml:space="preserve">, f. 4; </w:t>
      </w:r>
      <w:hyperlink w:anchor="SENTENCIA_1985_32" w:history="1">
        <w:r w:rsidRPr="009452A2">
          <w:rPr>
            <w:rStyle w:val="TextoNormalCaracter"/>
          </w:rPr>
          <w:t>32/1985</w:t>
        </w:r>
      </w:hyperlink>
      <w:r>
        <w:t>, f. 2.</w:t>
      </w:r>
    </w:p>
    <w:p w:rsidR="009452A2" w:rsidRDefault="009452A2" w:rsidP="009452A2">
      <w:pPr>
        <w:pStyle w:val="SangriaFrancesaArticulo"/>
      </w:pPr>
    </w:p>
    <w:p w:rsidR="009452A2" w:rsidRDefault="009452A2" w:rsidP="009452A2">
      <w:pPr>
        <w:pStyle w:val="TextoNormalNegritaCursivandice"/>
      </w:pPr>
      <w:r>
        <w:t>Real Decreto 2115/1978, de 26 de julio. Transferencia de competencias de la   Administración del Estado a la Generalidad de Cataluña en materia de   interior, turismo, actividades molestas, insalubres, nocivas y peligrosas y   transportes</w:t>
      </w:r>
    </w:p>
    <w:p w:rsidR="009452A2" w:rsidRDefault="009452A2" w:rsidP="009452A2">
      <w:pPr>
        <w:pStyle w:val="SangriaFrancesaArticulo"/>
      </w:pPr>
      <w:r w:rsidRPr="009452A2">
        <w:rPr>
          <w:rStyle w:val="TextoNormalNegritaCaracter"/>
        </w:rPr>
        <w:t>Artículo 19.</w:t>
      </w:r>
      <w:r w:rsidRPr="009452A2">
        <w:rPr>
          <w:rStyle w:val="TextoNormalCaracter"/>
        </w:rPr>
        <w:t>-</w:t>
      </w:r>
      <w:r>
        <w:t xml:space="preserve"> Sentencia </w:t>
      </w:r>
      <w:hyperlink w:anchor="SENTENCIA_1985_9" w:history="1">
        <w:r w:rsidRPr="009452A2">
          <w:rPr>
            <w:rStyle w:val="TextoNormalCaracter"/>
          </w:rPr>
          <w:t>9/1985</w:t>
        </w:r>
      </w:hyperlink>
      <w:r>
        <w:t>, ff. 1, 2.</w:t>
      </w:r>
    </w:p>
    <w:p w:rsidR="009452A2" w:rsidRDefault="009452A2" w:rsidP="009452A2">
      <w:pPr>
        <w:pStyle w:val="SangriaFrancesaArticulo"/>
      </w:pPr>
    </w:p>
    <w:p w:rsidR="009452A2" w:rsidRDefault="009452A2" w:rsidP="009452A2">
      <w:pPr>
        <w:pStyle w:val="TextoNormalNegritaCursivandice"/>
      </w:pPr>
      <w:r>
        <w:t>Ley 44/1978, de 8 de septiembre. Normas reguladoras del impuesto sobre la renta de las personas físicas</w:t>
      </w:r>
    </w:p>
    <w:p w:rsidR="009452A2" w:rsidRDefault="009452A2" w:rsidP="009452A2">
      <w:pPr>
        <w:pStyle w:val="SangriaFrancesaArticulo"/>
      </w:pPr>
      <w:r w:rsidRPr="009452A2">
        <w:rPr>
          <w:rStyle w:val="TextoNormalNegritaCaracter"/>
        </w:rPr>
        <w:t>Disposición transitoria segunda.</w:t>
      </w:r>
      <w:r w:rsidRPr="009452A2">
        <w:rPr>
          <w:rStyle w:val="TextoNormalCaracter"/>
        </w:rPr>
        <w:t>-</w:t>
      </w:r>
      <w:r>
        <w:t xml:space="preserve"> Auto </w:t>
      </w:r>
      <w:hyperlink w:anchor="AUTO_1985_27" w:history="1">
        <w:r w:rsidRPr="009452A2">
          <w:rPr>
            <w:rStyle w:val="TextoNormalCaracter"/>
          </w:rPr>
          <w:t>27/1985</w:t>
        </w:r>
      </w:hyperlink>
      <w:r>
        <w:t>.</w:t>
      </w:r>
    </w:p>
    <w:p w:rsidR="009452A2" w:rsidRDefault="009452A2" w:rsidP="009452A2">
      <w:pPr>
        <w:pStyle w:val="SangriaFrancesaArticulo"/>
      </w:pPr>
    </w:p>
    <w:p w:rsidR="009452A2" w:rsidRDefault="009452A2" w:rsidP="009452A2">
      <w:pPr>
        <w:pStyle w:val="TextoNormalNegritaCursivandice"/>
      </w:pPr>
      <w:r>
        <w:t>Real Decreto 2710/1978, de 16 de noviembre. Reglamento de aplicación a las Sociedades Cooperativas reguladas por la Ley 52/1974, de 19 de diciembre</w:t>
      </w:r>
    </w:p>
    <w:p w:rsidR="009452A2" w:rsidRDefault="009452A2" w:rsidP="009452A2">
      <w:pPr>
        <w:pStyle w:val="SangriaFrancesaArticulo"/>
      </w:pPr>
      <w:r w:rsidRPr="009452A2">
        <w:rPr>
          <w:rStyle w:val="TextoNormalNegritaCaracter"/>
        </w:rPr>
        <w:t>Artículo 114.</w:t>
      </w:r>
      <w:r w:rsidRPr="009452A2">
        <w:rPr>
          <w:rStyle w:val="TextoNormalCaracter"/>
        </w:rPr>
        <w:t>-</w:t>
      </w:r>
      <w:r>
        <w:t xml:space="preserve"> Auto </w:t>
      </w:r>
      <w:hyperlink w:anchor="AUTO_1985_98" w:history="1">
        <w:r w:rsidRPr="009452A2">
          <w:rPr>
            <w:rStyle w:val="TextoNormalCaracter"/>
          </w:rPr>
          <w:t>98/1985</w:t>
        </w:r>
      </w:hyperlink>
      <w:r>
        <w:t>.</w:t>
      </w:r>
    </w:p>
    <w:p w:rsidR="009452A2" w:rsidRDefault="009452A2" w:rsidP="009452A2">
      <w:pPr>
        <w:pStyle w:val="SangriaFrancesaArticulo"/>
      </w:pPr>
      <w:r w:rsidRPr="009452A2">
        <w:rPr>
          <w:rStyle w:val="TextoNormalNegritaCaracter"/>
        </w:rPr>
        <w:t>Artículo 114 e).</w:t>
      </w:r>
      <w:r w:rsidRPr="009452A2">
        <w:rPr>
          <w:rStyle w:val="TextoNormalCaracter"/>
        </w:rPr>
        <w:t>-</w:t>
      </w:r>
      <w:r>
        <w:t xml:space="preserve"> Auto </w:t>
      </w:r>
      <w:hyperlink w:anchor="AUTO_1985_98" w:history="1">
        <w:r w:rsidRPr="009452A2">
          <w:rPr>
            <w:rStyle w:val="TextoNormalCaracter"/>
          </w:rPr>
          <w:t>98/1985</w:t>
        </w:r>
      </w:hyperlink>
      <w:r>
        <w:t>.</w:t>
      </w:r>
    </w:p>
    <w:p w:rsidR="009452A2" w:rsidRDefault="009452A2" w:rsidP="009452A2">
      <w:pPr>
        <w:pStyle w:val="SangriaFrancesaArticulo"/>
      </w:pPr>
    </w:p>
    <w:p w:rsidR="009452A2" w:rsidRDefault="009452A2" w:rsidP="009452A2">
      <w:pPr>
        <w:pStyle w:val="TextoNormalNegritaCursivandice"/>
      </w:pPr>
      <w:r>
        <w:t>Ley 53/1978, de 4 de diciembre. Modifica diversos artículos de la Ley de enjuiciamiento criminal y deroga el artículo 316</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4" w:history="1">
        <w:r w:rsidRPr="009452A2">
          <w:rPr>
            <w:rStyle w:val="TextoNormalCaracter"/>
          </w:rPr>
          <w:t>44/1985</w:t>
        </w:r>
      </w:hyperlink>
      <w:r>
        <w:t>, f. 3.</w:t>
      </w:r>
    </w:p>
    <w:p w:rsidR="009452A2" w:rsidRDefault="009452A2" w:rsidP="009452A2">
      <w:pPr>
        <w:pStyle w:val="SangriaFrancesaArticulo"/>
      </w:pPr>
    </w:p>
    <w:p w:rsidR="009452A2" w:rsidRDefault="009452A2" w:rsidP="009452A2">
      <w:pPr>
        <w:pStyle w:val="TextoNormalNegritaCursivandice"/>
      </w:pPr>
      <w:r>
        <w:t>Ley 55/1978, de 4 de diciembre. Policía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83" w:history="1">
        <w:r w:rsidRPr="009452A2">
          <w:rPr>
            <w:rStyle w:val="TextoNormalCaracter"/>
          </w:rPr>
          <w:t>83/1985</w:t>
        </w:r>
      </w:hyperlink>
      <w:r>
        <w:t>.</w:t>
      </w:r>
    </w:p>
    <w:p w:rsidR="009452A2" w:rsidRDefault="009452A2" w:rsidP="009452A2">
      <w:pPr>
        <w:pStyle w:val="SangriaFrancesaArticulo"/>
      </w:pPr>
      <w:r w:rsidRPr="009452A2">
        <w:rPr>
          <w:rStyle w:val="TextoNormalNegritaCaracter"/>
        </w:rPr>
        <w:t>Artículo 5.</w:t>
      </w:r>
      <w:r w:rsidRPr="009452A2">
        <w:rPr>
          <w:rStyle w:val="TextoNormalCaracter"/>
        </w:rPr>
        <w:t>-</w:t>
      </w:r>
      <w:r>
        <w:t xml:space="preserve"> Auto </w:t>
      </w:r>
      <w:hyperlink w:anchor="AUTO_1985_155" w:history="1">
        <w:r w:rsidRPr="009452A2">
          <w:rPr>
            <w:rStyle w:val="TextoNormalCaracter"/>
          </w:rPr>
          <w:t>155/1985</w:t>
        </w:r>
      </w:hyperlink>
      <w:r>
        <w:t>.</w:t>
      </w:r>
    </w:p>
    <w:p w:rsidR="009452A2" w:rsidRDefault="009452A2" w:rsidP="009452A2">
      <w:pPr>
        <w:pStyle w:val="SangriaFrancesaArticulo"/>
      </w:pPr>
      <w:r w:rsidRPr="009452A2">
        <w:rPr>
          <w:rStyle w:val="TextoNormalNegritaCaracter"/>
        </w:rPr>
        <w:t>Artículo 12.</w:t>
      </w:r>
      <w:r w:rsidRPr="009452A2">
        <w:rPr>
          <w:rStyle w:val="TextoNormalCaracter"/>
        </w:rPr>
        <w:t>-</w:t>
      </w:r>
      <w:r>
        <w:t xml:space="preserve"> Sentencia </w:t>
      </w:r>
      <w:hyperlink w:anchor="SENTENCIA_1985_31" w:history="1">
        <w:r w:rsidRPr="009452A2">
          <w:rPr>
            <w:rStyle w:val="TextoNormalCaracter"/>
          </w:rPr>
          <w:t>31/1985</w:t>
        </w:r>
      </w:hyperlink>
      <w:r>
        <w:t>, f. 5.</w:t>
      </w:r>
    </w:p>
    <w:p w:rsidR="009452A2" w:rsidRDefault="009452A2" w:rsidP="009452A2">
      <w:pPr>
        <w:pStyle w:val="SangriaIzquierdaArticulo"/>
      </w:pPr>
      <w:r>
        <w:t xml:space="preserve">Auto </w:t>
      </w:r>
      <w:hyperlink w:anchor="AUTO_1985_155" w:history="1">
        <w:r w:rsidRPr="009452A2">
          <w:rPr>
            <w:rStyle w:val="TextoNormalCaracter"/>
          </w:rPr>
          <w:t>155/1985</w:t>
        </w:r>
      </w:hyperlink>
      <w:r>
        <w:t>.</w:t>
      </w:r>
    </w:p>
    <w:p w:rsidR="009452A2" w:rsidRDefault="009452A2" w:rsidP="009452A2">
      <w:pPr>
        <w:pStyle w:val="SangriaIzquierdaArticulo"/>
      </w:pPr>
    </w:p>
    <w:p w:rsidR="009452A2" w:rsidRDefault="009452A2" w:rsidP="009452A2">
      <w:pPr>
        <w:pStyle w:val="TextoNormalNegritaCursivandice"/>
      </w:pPr>
      <w:r>
        <w:t>Real Decreto-ley 44/1978, de 21 de diciembre. Funcionarios de la Administración de justicia: Situación del personal separado del servicio por hechos de motivaciones políticas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08" w:history="1">
        <w:r w:rsidRPr="009452A2">
          <w:rPr>
            <w:rStyle w:val="TextoNormalCaracter"/>
          </w:rPr>
          <w:t>208/1985</w:t>
        </w:r>
      </w:hyperlink>
      <w:r>
        <w:t>.</w:t>
      </w:r>
    </w:p>
    <w:p w:rsidR="009452A2" w:rsidRDefault="009452A2" w:rsidP="009452A2">
      <w:pPr>
        <w:pStyle w:val="SangriaFrancesaArticulo"/>
      </w:pPr>
    </w:p>
    <w:p w:rsidR="009452A2" w:rsidRDefault="009452A2" w:rsidP="009452A2">
      <w:pPr>
        <w:pStyle w:val="TextoNormalNegritaCursivandice"/>
      </w:pPr>
      <w:r>
        <w:t>Ley 62/1978, de 26 de diciembre. Protección jurisdiccional de los derechos fundamentales de la persona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Sentencias </w:t>
      </w:r>
      <w:hyperlink w:anchor="SENTENCIA_1985_32" w:history="1">
        <w:r w:rsidRPr="009452A2">
          <w:rPr>
            <w:rStyle w:val="TextoNormalCaracter"/>
          </w:rPr>
          <w:t>32/1985</w:t>
        </w:r>
      </w:hyperlink>
      <w:r>
        <w:t xml:space="preserve">, f. 3; </w:t>
      </w:r>
      <w:hyperlink w:anchor="SENTENCIA_1985_47" w:history="1">
        <w:r w:rsidRPr="009452A2">
          <w:rPr>
            <w:rStyle w:val="TextoNormalCaracter"/>
          </w:rPr>
          <w:t>47/1985</w:t>
        </w:r>
      </w:hyperlink>
      <w:r>
        <w:t>, f. 5.</w:t>
      </w:r>
    </w:p>
    <w:p w:rsidR="009452A2" w:rsidRDefault="009452A2" w:rsidP="009452A2">
      <w:pPr>
        <w:pStyle w:val="SangriaIzquierdaArticulo"/>
      </w:pPr>
      <w:r>
        <w:t xml:space="preserve">Autos </w:t>
      </w:r>
      <w:hyperlink w:anchor="AUTO_1985_49" w:history="1">
        <w:r w:rsidRPr="009452A2">
          <w:rPr>
            <w:rStyle w:val="TextoNormalCaracter"/>
          </w:rPr>
          <w:t>49/1985</w:t>
        </w:r>
      </w:hyperlink>
      <w:r>
        <w:t xml:space="preserve">; </w:t>
      </w:r>
      <w:hyperlink w:anchor="AUTO_1985_60" w:history="1">
        <w:r w:rsidRPr="009452A2">
          <w:rPr>
            <w:rStyle w:val="TextoNormalCaracter"/>
          </w:rPr>
          <w:t>60/1985</w:t>
        </w:r>
      </w:hyperlink>
      <w:r>
        <w:t xml:space="preserve">; </w:t>
      </w:r>
      <w:hyperlink w:anchor="AUTO_1985_121" w:history="1">
        <w:r w:rsidRPr="009452A2">
          <w:rPr>
            <w:rStyle w:val="TextoNormalCaracter"/>
          </w:rPr>
          <w:t>121/1985</w:t>
        </w:r>
      </w:hyperlink>
      <w:r>
        <w:t xml:space="preserve">; </w:t>
      </w:r>
      <w:hyperlink w:anchor="AUTO_1985_134" w:history="1">
        <w:r w:rsidRPr="009452A2">
          <w:rPr>
            <w:rStyle w:val="TextoNormalCaracter"/>
          </w:rPr>
          <w:t>134/1985</w:t>
        </w:r>
      </w:hyperlink>
      <w:r>
        <w:t xml:space="preserve">; </w:t>
      </w:r>
      <w:hyperlink w:anchor="AUTO_1985_217" w:history="1">
        <w:r w:rsidRPr="009452A2">
          <w:rPr>
            <w:rStyle w:val="TextoNormalCaracter"/>
          </w:rPr>
          <w:t>217/1985</w:t>
        </w:r>
      </w:hyperlink>
      <w:r>
        <w:t xml:space="preserve">; </w:t>
      </w:r>
      <w:hyperlink w:anchor="AUTO_1985_227" w:history="1">
        <w:r w:rsidRPr="009452A2">
          <w:rPr>
            <w:rStyle w:val="TextoNormalCaracter"/>
          </w:rPr>
          <w:t>227/1985</w:t>
        </w:r>
      </w:hyperlink>
      <w:r>
        <w:t xml:space="preserve">; </w:t>
      </w:r>
      <w:hyperlink w:anchor="AUTO_1985_228" w:history="1">
        <w:r w:rsidRPr="009452A2">
          <w:rPr>
            <w:rStyle w:val="TextoNormalCaracter"/>
          </w:rPr>
          <w:t>228/1985</w:t>
        </w:r>
      </w:hyperlink>
      <w:r>
        <w:t>.</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Auto </w:t>
      </w:r>
      <w:hyperlink w:anchor="AUTO_1985_217" w:history="1">
        <w:r w:rsidRPr="009452A2">
          <w:rPr>
            <w:rStyle w:val="TextoNormalCaracter"/>
          </w:rPr>
          <w:t>217/1985</w:t>
        </w:r>
      </w:hyperlink>
      <w:r>
        <w:t>.</w:t>
      </w:r>
    </w:p>
    <w:p w:rsidR="009452A2" w:rsidRDefault="009452A2" w:rsidP="009452A2">
      <w:pPr>
        <w:pStyle w:val="SangriaFrancesaArticulo"/>
      </w:pPr>
      <w:r w:rsidRPr="009452A2">
        <w:rPr>
          <w:rStyle w:val="TextoNormalNegritaCaracter"/>
        </w:rPr>
        <w:lastRenderedPageBreak/>
        <w:t>Artículo 6.</w:t>
      </w:r>
      <w:r w:rsidRPr="009452A2">
        <w:rPr>
          <w:rStyle w:val="TextoNormalCaracter"/>
        </w:rPr>
        <w:t>-</w:t>
      </w:r>
      <w:r>
        <w:t xml:space="preserve"> Sentencia </w:t>
      </w:r>
      <w:hyperlink w:anchor="SENTENCIA_1985_55" w:history="1">
        <w:r w:rsidRPr="009452A2">
          <w:rPr>
            <w:rStyle w:val="TextoNormalCaracter"/>
          </w:rPr>
          <w:t>55/1985</w:t>
        </w:r>
      </w:hyperlink>
      <w:r>
        <w:t>, f. 1.</w:t>
      </w:r>
    </w:p>
    <w:p w:rsidR="009452A2" w:rsidRDefault="009452A2" w:rsidP="009452A2">
      <w:pPr>
        <w:pStyle w:val="SangriaIzquierdaArticulo"/>
      </w:pPr>
      <w:r>
        <w:t xml:space="preserve">Auto </w:t>
      </w:r>
      <w:hyperlink w:anchor="AUTO_1985_134" w:history="1">
        <w:r w:rsidRPr="009452A2">
          <w:rPr>
            <w:rStyle w:val="TextoNormalCaracter"/>
          </w:rPr>
          <w:t>134/1985</w:t>
        </w:r>
      </w:hyperlink>
      <w:r>
        <w:t>.</w:t>
      </w:r>
    </w:p>
    <w:p w:rsidR="009452A2" w:rsidRDefault="009452A2" w:rsidP="009452A2">
      <w:pPr>
        <w:pStyle w:val="SangriaFrancesaArticulo"/>
      </w:pPr>
      <w:r w:rsidRPr="009452A2">
        <w:rPr>
          <w:rStyle w:val="TextoNormalNegritaCaracter"/>
        </w:rPr>
        <w:t>Artículo 8.1.</w:t>
      </w:r>
      <w:r w:rsidRPr="009452A2">
        <w:rPr>
          <w:rStyle w:val="TextoNormalCaracter"/>
        </w:rPr>
        <w:t>-</w:t>
      </w:r>
      <w:r>
        <w:t xml:space="preserve"> Auto </w:t>
      </w:r>
      <w:hyperlink w:anchor="AUTO_1985_134" w:history="1">
        <w:r w:rsidRPr="009452A2">
          <w:rPr>
            <w:rStyle w:val="TextoNormalCaracter"/>
          </w:rPr>
          <w:t>134/1985</w:t>
        </w:r>
      </w:hyperlink>
      <w:r>
        <w:t>.</w:t>
      </w:r>
    </w:p>
    <w:p w:rsidR="009452A2" w:rsidRDefault="009452A2" w:rsidP="009452A2">
      <w:pPr>
        <w:pStyle w:val="SangriaFrancesaArticulo"/>
      </w:pPr>
      <w:r w:rsidRPr="009452A2">
        <w:rPr>
          <w:rStyle w:val="TextoNormalNegritaCaracter"/>
        </w:rPr>
        <w:t>Artículo 9.2.</w:t>
      </w:r>
      <w:r w:rsidRPr="009452A2">
        <w:rPr>
          <w:rStyle w:val="TextoNormalCaracter"/>
        </w:rPr>
        <w:t>-</w:t>
      </w:r>
      <w:r>
        <w:t xml:space="preserve"> Auto </w:t>
      </w:r>
      <w:hyperlink w:anchor="AUTO_1985_159" w:history="1">
        <w:r w:rsidRPr="009452A2">
          <w:rPr>
            <w:rStyle w:val="TextoNormalCaracter"/>
          </w:rPr>
          <w:t>159/1985</w:t>
        </w:r>
      </w:hyperlink>
      <w:r>
        <w:t>.</w:t>
      </w:r>
    </w:p>
    <w:p w:rsidR="009452A2" w:rsidRDefault="009452A2" w:rsidP="009452A2">
      <w:pPr>
        <w:pStyle w:val="SangriaFrancesaArticulo"/>
      </w:pPr>
    </w:p>
    <w:p w:rsidR="009452A2" w:rsidRDefault="009452A2" w:rsidP="009452A2">
      <w:pPr>
        <w:pStyle w:val="TextoNormalNegritaCursivandice"/>
      </w:pPr>
      <w:r>
        <w:t>Ley 74/1978, de 26 de diciembre. Modificación de la Ley reguladora de colegios profesionales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03" w:history="1">
        <w:r w:rsidRPr="009452A2">
          <w:rPr>
            <w:rStyle w:val="TextoNormalCaracter"/>
          </w:rPr>
          <w:t>103/1985</w:t>
        </w:r>
      </w:hyperlink>
      <w:r>
        <w:t>.</w:t>
      </w:r>
    </w:p>
    <w:p w:rsidR="009452A2" w:rsidRDefault="009452A2" w:rsidP="009452A2">
      <w:pPr>
        <w:pStyle w:val="SangriaFrancesaArticulo"/>
      </w:pPr>
    </w:p>
    <w:p w:rsidR="009452A2" w:rsidRDefault="009452A2" w:rsidP="009452A2">
      <w:pPr>
        <w:pStyle w:val="TextoNormalNegritaCursivandice"/>
      </w:pPr>
      <w:r>
        <w:t>Ley 81/1978, de 28 de diciembre. Modifica el Código penal en materia de reincidencia y reiteración</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87" w:history="1">
        <w:r w:rsidRPr="009452A2">
          <w:rPr>
            <w:rStyle w:val="TextoNormalCaracter"/>
          </w:rPr>
          <w:t>187/1985</w:t>
        </w:r>
      </w:hyperlink>
      <w:r>
        <w:t>.</w:t>
      </w:r>
    </w:p>
    <w:p w:rsidR="009452A2" w:rsidRDefault="009452A2" w:rsidP="009452A2">
      <w:pPr>
        <w:pStyle w:val="TextoNormal"/>
      </w:pPr>
    </w:p>
    <w:p w:rsidR="009452A2" w:rsidRDefault="009452A2" w:rsidP="009452A2">
      <w:pPr>
        <w:pStyle w:val="SangriaFrancesaArticulo"/>
      </w:pPr>
      <w:bookmarkStart w:id="359" w:name="INDICE22851"/>
    </w:p>
    <w:bookmarkEnd w:id="359"/>
    <w:p w:rsidR="009452A2" w:rsidRDefault="009452A2" w:rsidP="009452A2">
      <w:pPr>
        <w:pStyle w:val="TextoIndiceNivel2"/>
        <w:suppressAutoHyphens/>
      </w:pPr>
      <w:r>
        <w:t>J) Comunidades y Ciudades Autónomas</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J.1) Asturias</w:t>
      </w:r>
    </w:p>
    <w:p w:rsidR="009452A2" w:rsidRDefault="009452A2" w:rsidP="009452A2">
      <w:pPr>
        <w:pStyle w:val="TextoNormal"/>
      </w:pPr>
    </w:p>
    <w:p w:rsidR="009452A2" w:rsidRDefault="009452A2" w:rsidP="009452A2">
      <w:pPr>
        <w:pStyle w:val="TextoNormalNegritaCentradoSubrayado"/>
        <w:suppressAutoHyphens/>
      </w:pPr>
      <w:r>
        <w:t>J.1.a) Estatuto de Autonomía</w:t>
      </w:r>
    </w:p>
    <w:p w:rsidR="009452A2" w:rsidRDefault="009452A2" w:rsidP="009452A2">
      <w:pPr>
        <w:pStyle w:val="TextoNormalNegritaCentradoSubrayado"/>
      </w:pPr>
    </w:p>
    <w:p w:rsidR="009452A2" w:rsidRDefault="009452A2" w:rsidP="009452A2">
      <w:pPr>
        <w:pStyle w:val="TextoNormalNegritaCursivandice"/>
      </w:pPr>
      <w:r>
        <w:t>Ley Orgánica 7/1981, de 30 de diciembre. Estatuto de Autonomía de Asturias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6" w:history="1">
        <w:r w:rsidRPr="009452A2">
          <w:rPr>
            <w:rStyle w:val="TextoNormalCaracter"/>
          </w:rPr>
          <w:t>46/1985</w:t>
        </w:r>
      </w:hyperlink>
      <w:r>
        <w:t>, f. 4.</w:t>
      </w:r>
    </w:p>
    <w:p w:rsidR="009452A2" w:rsidRDefault="009452A2" w:rsidP="009452A2">
      <w:pPr>
        <w:pStyle w:val="SangriaFrancesaArticulo"/>
      </w:pPr>
      <w:r w:rsidRPr="009452A2">
        <w:rPr>
          <w:rStyle w:val="TextoNormalNegritaCaracter"/>
        </w:rPr>
        <w:t>Artículo 13.</w:t>
      </w:r>
      <w:r w:rsidRPr="009452A2">
        <w:rPr>
          <w:rStyle w:val="TextoNormalCaracter"/>
        </w:rPr>
        <w:t>-</w:t>
      </w:r>
      <w:r>
        <w:t xml:space="preserve"> Sentencia </w:t>
      </w:r>
      <w:hyperlink w:anchor="SENTENCIA_1985_46" w:history="1">
        <w:r w:rsidRPr="009452A2">
          <w:rPr>
            <w:rStyle w:val="TextoNormalCaracter"/>
          </w:rPr>
          <w:t>46/1985</w:t>
        </w:r>
      </w:hyperlink>
      <w:r>
        <w:t>, f. 3.</w:t>
      </w:r>
    </w:p>
    <w:p w:rsidR="009452A2" w:rsidRDefault="009452A2" w:rsidP="009452A2">
      <w:pPr>
        <w:pStyle w:val="SangriaFrancesaArticulo"/>
      </w:pPr>
      <w:r w:rsidRPr="009452A2">
        <w:rPr>
          <w:rStyle w:val="TextoNormalNegritaCaracter"/>
        </w:rPr>
        <w:t>Artículo 13.1 h).</w:t>
      </w:r>
      <w:r w:rsidRPr="009452A2">
        <w:rPr>
          <w:rStyle w:val="TextoNormalCaracter"/>
        </w:rPr>
        <w:t>-</w:t>
      </w:r>
      <w:r>
        <w:t xml:space="preserve"> Sentencia </w:t>
      </w:r>
      <w:hyperlink w:anchor="SENTENCIA_1985_46" w:history="1">
        <w:r w:rsidRPr="009452A2">
          <w:rPr>
            <w:rStyle w:val="TextoNormalCaracter"/>
          </w:rPr>
          <w:t>46/1985</w:t>
        </w:r>
      </w:hyperlink>
      <w:r>
        <w:t>, f. 3.</w:t>
      </w:r>
    </w:p>
    <w:p w:rsidR="009452A2" w:rsidRDefault="009452A2" w:rsidP="009452A2">
      <w:pPr>
        <w:pStyle w:val="SangriaFrancesaArticulo"/>
      </w:pPr>
      <w:r w:rsidRPr="009452A2">
        <w:rPr>
          <w:rStyle w:val="TextoNormalNegritaCaracter"/>
        </w:rPr>
        <w:t>Artículo 13.2.</w:t>
      </w:r>
      <w:r w:rsidRPr="009452A2">
        <w:rPr>
          <w:rStyle w:val="TextoNormalCaracter"/>
        </w:rPr>
        <w:t>-</w:t>
      </w:r>
      <w:r>
        <w:t xml:space="preserve"> Sentencia </w:t>
      </w:r>
      <w:hyperlink w:anchor="SENTENCIA_1985_46" w:history="1">
        <w:r w:rsidRPr="009452A2">
          <w:rPr>
            <w:rStyle w:val="TextoNormalCaracter"/>
          </w:rPr>
          <w:t>46/1985</w:t>
        </w:r>
      </w:hyperlink>
      <w:r>
        <w:t>, f. 3.</w:t>
      </w:r>
    </w:p>
    <w:p w:rsidR="009452A2" w:rsidRDefault="009452A2" w:rsidP="009452A2">
      <w:pPr>
        <w:pStyle w:val="TextoNormal"/>
      </w:pPr>
    </w:p>
    <w:p w:rsidR="009452A2" w:rsidRDefault="009452A2" w:rsidP="009452A2">
      <w:pPr>
        <w:pStyle w:val="TextoNormalNegritaCentradoSubrayado"/>
        <w:suppressAutoHyphens/>
      </w:pPr>
      <w:r>
        <w:t>J.1.b) Leyes y disposiciones con fuerza de Ley</w:t>
      </w:r>
    </w:p>
    <w:p w:rsidR="009452A2" w:rsidRDefault="009452A2" w:rsidP="009452A2">
      <w:pPr>
        <w:pStyle w:val="TextoNormalNegritaCentradoSubrayado"/>
      </w:pPr>
    </w:p>
    <w:p w:rsidR="009452A2" w:rsidRDefault="009452A2" w:rsidP="009452A2">
      <w:pPr>
        <w:pStyle w:val="TextoNormalNegritaCursivandice"/>
      </w:pPr>
      <w:r>
        <w:t>Ley de la Junta General del Principado de Asturias 8/1983, de 24 de noviembre. Tasas sanitarias de la Comunidad Autónoma del Principado de Asturias</w:t>
      </w:r>
    </w:p>
    <w:p w:rsidR="009452A2" w:rsidRDefault="009452A2" w:rsidP="009452A2">
      <w:pPr>
        <w:pStyle w:val="SangriaFrancesaArticulo"/>
      </w:pPr>
      <w:r w:rsidRPr="009452A2">
        <w:rPr>
          <w:rStyle w:val="TextoNormalNegritaCaracter"/>
        </w:rPr>
        <w:t>Artículo 19.</w:t>
      </w:r>
      <w:r w:rsidRPr="009452A2">
        <w:rPr>
          <w:rStyle w:val="TextoNormalCaracter"/>
        </w:rPr>
        <w:t>-</w:t>
      </w:r>
      <w:r>
        <w:t xml:space="preserve"> Sentencia </w:t>
      </w:r>
      <w:hyperlink w:anchor="SENTENCIA_1985_46" w:history="1">
        <w:r w:rsidRPr="009452A2">
          <w:rPr>
            <w:rStyle w:val="TextoNormalCaracter"/>
          </w:rPr>
          <w:t>46/1985</w:t>
        </w:r>
      </w:hyperlink>
      <w:r>
        <w:t>, f. 4.</w:t>
      </w:r>
    </w:p>
    <w:p w:rsidR="009452A2" w:rsidRDefault="009452A2" w:rsidP="009452A2">
      <w:pPr>
        <w:pStyle w:val="SangriaFrancesaArticulo"/>
      </w:pPr>
      <w:r w:rsidRPr="009452A2">
        <w:rPr>
          <w:rStyle w:val="TextoNormalNegritaCaracter"/>
        </w:rPr>
        <w:t>Artículo 19.1.</w:t>
      </w:r>
      <w:r w:rsidRPr="009452A2">
        <w:rPr>
          <w:rStyle w:val="TextoNormalCaracter"/>
        </w:rPr>
        <w:t>-</w:t>
      </w:r>
      <w:r>
        <w:t xml:space="preserve"> Sentencia </w:t>
      </w:r>
      <w:hyperlink w:anchor="SENTENCIA_1985_46" w:history="1">
        <w:r w:rsidRPr="009452A2">
          <w:rPr>
            <w:rStyle w:val="TextoNormalCaracter"/>
          </w:rPr>
          <w:t>46/1985</w:t>
        </w:r>
      </w:hyperlink>
      <w:r>
        <w:t>, f. 1.</w:t>
      </w:r>
    </w:p>
    <w:p w:rsidR="009452A2" w:rsidRDefault="009452A2" w:rsidP="009452A2">
      <w:pPr>
        <w:pStyle w:val="SangriaFrancesaArticulo"/>
      </w:pPr>
      <w:r w:rsidRPr="009452A2">
        <w:rPr>
          <w:rStyle w:val="TextoNormalNegritaCaracter"/>
        </w:rPr>
        <w:t>Artículo 19.3.</w:t>
      </w:r>
      <w:r w:rsidRPr="009452A2">
        <w:rPr>
          <w:rStyle w:val="TextoNormalCaracter"/>
        </w:rPr>
        <w:t>-</w:t>
      </w:r>
      <w:r>
        <w:t xml:space="preserve"> Sentencia </w:t>
      </w:r>
      <w:hyperlink w:anchor="SENTENCIA_1985_46" w:history="1">
        <w:r w:rsidRPr="009452A2">
          <w:rPr>
            <w:rStyle w:val="TextoNormalCaracter"/>
          </w:rPr>
          <w:t>46/1985</w:t>
        </w:r>
      </w:hyperlink>
      <w:r>
        <w:t>, f. 1.</w:t>
      </w:r>
    </w:p>
    <w:p w:rsidR="009452A2" w:rsidRDefault="009452A2" w:rsidP="009452A2">
      <w:pPr>
        <w:pStyle w:val="SangriaFrancesaArticulo"/>
      </w:pPr>
      <w:r w:rsidRPr="009452A2">
        <w:rPr>
          <w:rStyle w:val="TextoNormalNegritaCaracter"/>
        </w:rPr>
        <w:t>Artículo 19.4.</w:t>
      </w:r>
      <w:r w:rsidRPr="009452A2">
        <w:rPr>
          <w:rStyle w:val="TextoNormalCaracter"/>
        </w:rPr>
        <w:t>-</w:t>
      </w:r>
      <w:r>
        <w:t xml:space="preserve"> Sentencia </w:t>
      </w:r>
      <w:hyperlink w:anchor="SENTENCIA_1985_46" w:history="1">
        <w:r w:rsidRPr="009452A2">
          <w:rPr>
            <w:rStyle w:val="TextoNormalCaracter"/>
          </w:rPr>
          <w:t>46/1985</w:t>
        </w:r>
      </w:hyperlink>
      <w:r>
        <w:t>, f. 1.</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J.2) Baleares</w:t>
      </w:r>
    </w:p>
    <w:p w:rsidR="009452A2" w:rsidRDefault="009452A2" w:rsidP="009452A2">
      <w:pPr>
        <w:pStyle w:val="TextoNormal"/>
      </w:pPr>
    </w:p>
    <w:p w:rsidR="009452A2" w:rsidRDefault="009452A2" w:rsidP="009452A2">
      <w:pPr>
        <w:pStyle w:val="TextoNormalNegritaCentradoSubrayado"/>
        <w:suppressAutoHyphens/>
      </w:pPr>
      <w:r>
        <w:t>J.2.c) Decretos y otras disposiciones reglamentarias</w:t>
      </w:r>
    </w:p>
    <w:p w:rsidR="009452A2" w:rsidRDefault="009452A2" w:rsidP="009452A2">
      <w:pPr>
        <w:pStyle w:val="TextoNormalNegritaCentradoSubrayado"/>
      </w:pPr>
    </w:p>
    <w:p w:rsidR="009452A2" w:rsidRDefault="009452A2" w:rsidP="009452A2">
      <w:pPr>
        <w:pStyle w:val="TextoNormalNegritaCursivandice"/>
      </w:pPr>
      <w:r>
        <w:t>Decreto del Gobierno de las Illes Balears 55/1984, de 26 de julio. Creación de la gerencia de la campaña para la normalización lingüística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32" w:history="1">
        <w:r w:rsidRPr="009452A2">
          <w:rPr>
            <w:rStyle w:val="TextoNormalCaracter"/>
          </w:rPr>
          <w:t>232/1985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lastRenderedPageBreak/>
        <w:t>J.3) Canarias</w:t>
      </w:r>
    </w:p>
    <w:p w:rsidR="009452A2" w:rsidRDefault="009452A2" w:rsidP="009452A2">
      <w:pPr>
        <w:pStyle w:val="TextoNormal"/>
      </w:pPr>
    </w:p>
    <w:p w:rsidR="009452A2" w:rsidRDefault="009452A2" w:rsidP="009452A2">
      <w:pPr>
        <w:pStyle w:val="TextoNormalNegritaCentradoSubrayado"/>
        <w:suppressAutoHyphens/>
      </w:pPr>
      <w:r>
        <w:t>J.3.c) Decretos y otras disposiciones reglamentarias</w:t>
      </w:r>
    </w:p>
    <w:p w:rsidR="009452A2" w:rsidRDefault="009452A2" w:rsidP="009452A2">
      <w:pPr>
        <w:pStyle w:val="TextoNormalNegritaCentradoSubrayado"/>
      </w:pPr>
    </w:p>
    <w:p w:rsidR="009452A2" w:rsidRDefault="009452A2" w:rsidP="009452A2">
      <w:pPr>
        <w:pStyle w:val="TextoNormalNegritaCursivandice"/>
      </w:pPr>
      <w:r>
        <w:t>Decreto del Gobierno de Canarias 587/1984, de 27 de julio. Distribución de la potestad sancionadora en materia de trabajo y sanidad</w:t>
      </w:r>
    </w:p>
    <w:p w:rsidR="009452A2" w:rsidRDefault="009452A2" w:rsidP="009452A2">
      <w:pPr>
        <w:pStyle w:val="SangriaFrancesaArticulo"/>
      </w:pPr>
      <w:r w:rsidRPr="009452A2">
        <w:rPr>
          <w:rStyle w:val="TextoNormalNegritaCaracter"/>
        </w:rPr>
        <w:t>Artículo 3 párrafo 2.</w:t>
      </w:r>
      <w:r w:rsidRPr="009452A2">
        <w:rPr>
          <w:rStyle w:val="TextoNormalCaracter"/>
        </w:rPr>
        <w:t>-</w:t>
      </w:r>
      <w:r>
        <w:t xml:space="preserve"> Auto </w:t>
      </w:r>
      <w:hyperlink w:anchor="AUTO_1985_283" w:history="1">
        <w:r w:rsidRPr="009452A2">
          <w:rPr>
            <w:rStyle w:val="TextoNormalCaracter"/>
          </w:rPr>
          <w:t>283/1985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J.4) Cataluña</w:t>
      </w:r>
    </w:p>
    <w:p w:rsidR="009452A2" w:rsidRDefault="009452A2" w:rsidP="009452A2">
      <w:pPr>
        <w:pStyle w:val="TextoNormal"/>
      </w:pPr>
    </w:p>
    <w:p w:rsidR="009452A2" w:rsidRDefault="009452A2" w:rsidP="009452A2">
      <w:pPr>
        <w:pStyle w:val="TextoNormalNegritaCentradoSubrayado"/>
        <w:suppressAutoHyphens/>
      </w:pPr>
      <w:r>
        <w:t>J.4.a) Estatuto de Autonomía</w:t>
      </w:r>
    </w:p>
    <w:p w:rsidR="009452A2" w:rsidRDefault="009452A2" w:rsidP="009452A2">
      <w:pPr>
        <w:pStyle w:val="TextoNormalNegritaCentradoSubrayado"/>
      </w:pPr>
    </w:p>
    <w:p w:rsidR="009452A2" w:rsidRDefault="009452A2" w:rsidP="009452A2">
      <w:pPr>
        <w:pStyle w:val="TextoNormalNegritaCursivandice"/>
      </w:pPr>
      <w:r>
        <w:t>Ley Orgánica 4/1979, de 18 de diciembre. Estatuto de Autonomía de Cataluña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Sentencias </w:t>
      </w:r>
      <w:hyperlink w:anchor="SENTENCIA_1985_9" w:history="1">
        <w:r w:rsidRPr="009452A2">
          <w:rPr>
            <w:rStyle w:val="TextoNormalCaracter"/>
          </w:rPr>
          <w:t>9/1985</w:t>
        </w:r>
      </w:hyperlink>
      <w:r>
        <w:t xml:space="preserve">, f. 1; </w:t>
      </w:r>
      <w:hyperlink w:anchor="SENTENCIA_1985_12" w:history="1">
        <w:r w:rsidRPr="009452A2">
          <w:rPr>
            <w:rStyle w:val="TextoNormalCaracter"/>
          </w:rPr>
          <w:t>12/1985</w:t>
        </w:r>
      </w:hyperlink>
      <w:r>
        <w:t>, f. 3.</w:t>
      </w:r>
    </w:p>
    <w:p w:rsidR="009452A2" w:rsidRDefault="009452A2" w:rsidP="009452A2">
      <w:pPr>
        <w:pStyle w:val="SangriaFrancesaArticulo"/>
      </w:pPr>
      <w:r w:rsidRPr="009452A2">
        <w:rPr>
          <w:rStyle w:val="TextoNormalNegritaCaracter"/>
        </w:rPr>
        <w:t>Artículo 9.1.</w:t>
      </w:r>
      <w:r w:rsidRPr="009452A2">
        <w:rPr>
          <w:rStyle w:val="TextoNormalCaracter"/>
        </w:rPr>
        <w:t>-</w:t>
      </w:r>
      <w:r>
        <w:t xml:space="preserve"> Sentencia </w:t>
      </w:r>
      <w:hyperlink w:anchor="SENTENCIA_1985_12" w:history="1">
        <w:r w:rsidRPr="009452A2">
          <w:rPr>
            <w:rStyle w:val="TextoNormalCaracter"/>
          </w:rPr>
          <w:t>12/1985</w:t>
        </w:r>
      </w:hyperlink>
      <w:r>
        <w:t>, ff. 3, 4.</w:t>
      </w:r>
    </w:p>
    <w:p w:rsidR="009452A2" w:rsidRDefault="009452A2" w:rsidP="009452A2">
      <w:pPr>
        <w:pStyle w:val="SangriaFrancesaArticulo"/>
      </w:pPr>
      <w:r w:rsidRPr="009452A2">
        <w:rPr>
          <w:rStyle w:val="TextoNormalNegritaCaracter"/>
        </w:rPr>
        <w:t>Artículo 9.3.</w:t>
      </w:r>
      <w:r w:rsidRPr="009452A2">
        <w:rPr>
          <w:rStyle w:val="TextoNormalCaracter"/>
        </w:rPr>
        <w:t>-</w:t>
      </w:r>
      <w:r>
        <w:t xml:space="preserve"> Sentencia </w:t>
      </w:r>
      <w:hyperlink w:anchor="SENTENCIA_1985_12" w:history="1">
        <w:r w:rsidRPr="009452A2">
          <w:rPr>
            <w:rStyle w:val="TextoNormalCaracter"/>
          </w:rPr>
          <w:t>12/1985</w:t>
        </w:r>
      </w:hyperlink>
      <w:r>
        <w:t>, ff. 3, 4.</w:t>
      </w:r>
    </w:p>
    <w:p w:rsidR="009452A2" w:rsidRDefault="009452A2" w:rsidP="009452A2">
      <w:pPr>
        <w:pStyle w:val="SangriaFrancesaArticulo"/>
      </w:pPr>
      <w:r w:rsidRPr="009452A2">
        <w:rPr>
          <w:rStyle w:val="TextoNormalNegritaCaracter"/>
        </w:rPr>
        <w:t>Artículo 9.15.</w:t>
      </w:r>
      <w:r w:rsidRPr="009452A2">
        <w:rPr>
          <w:rStyle w:val="TextoNormalCaracter"/>
        </w:rPr>
        <w:t>-</w:t>
      </w:r>
      <w:r>
        <w:t xml:space="preserve"> Sentencia </w:t>
      </w:r>
      <w:hyperlink w:anchor="SENTENCIA_1985_9" w:history="1">
        <w:r w:rsidRPr="009452A2">
          <w:rPr>
            <w:rStyle w:val="TextoNormalCaracter"/>
          </w:rPr>
          <w:t>9/1985</w:t>
        </w:r>
      </w:hyperlink>
      <w:r>
        <w:t>, f. 1.</w:t>
      </w:r>
    </w:p>
    <w:p w:rsidR="009452A2" w:rsidRDefault="009452A2" w:rsidP="009452A2">
      <w:pPr>
        <w:pStyle w:val="SangriaFrancesaArticulo"/>
      </w:pPr>
      <w:r w:rsidRPr="009452A2">
        <w:rPr>
          <w:rStyle w:val="TextoNormalNegritaCaracter"/>
        </w:rPr>
        <w:t>Artículo 11.</w:t>
      </w:r>
      <w:r w:rsidRPr="009452A2">
        <w:rPr>
          <w:rStyle w:val="TextoNormalCaracter"/>
        </w:rPr>
        <w:t>-</w:t>
      </w:r>
      <w:r>
        <w:t xml:space="preserve"> Sentencia </w:t>
      </w:r>
      <w:hyperlink w:anchor="SENTENCIA_1985_7" w:history="1">
        <w:r w:rsidRPr="009452A2">
          <w:rPr>
            <w:rStyle w:val="TextoNormalCaracter"/>
          </w:rPr>
          <w:t>7/1985</w:t>
        </w:r>
      </w:hyperlink>
      <w:r>
        <w:t>, f. 4.</w:t>
      </w:r>
    </w:p>
    <w:p w:rsidR="009452A2" w:rsidRDefault="009452A2" w:rsidP="009452A2">
      <w:pPr>
        <w:pStyle w:val="SangriaFrancesaArticulo"/>
      </w:pPr>
      <w:r w:rsidRPr="009452A2">
        <w:rPr>
          <w:rStyle w:val="TextoNormalNegritaCaracter"/>
        </w:rPr>
        <w:t>Artículo 11.2.</w:t>
      </w:r>
      <w:r w:rsidRPr="009452A2">
        <w:rPr>
          <w:rStyle w:val="TextoNormalCaracter"/>
        </w:rPr>
        <w:t>-</w:t>
      </w:r>
      <w:r>
        <w:t xml:space="preserve"> Sentencia </w:t>
      </w:r>
      <w:hyperlink w:anchor="SENTENCIA_1985_7" w:history="1">
        <w:r w:rsidRPr="009452A2">
          <w:rPr>
            <w:rStyle w:val="TextoNormalCaracter"/>
          </w:rPr>
          <w:t>7/1985</w:t>
        </w:r>
      </w:hyperlink>
      <w:r>
        <w:t>, f. 2.</w:t>
      </w:r>
    </w:p>
    <w:p w:rsidR="009452A2" w:rsidRDefault="009452A2" w:rsidP="009452A2">
      <w:pPr>
        <w:pStyle w:val="SangriaFrancesaArticulo"/>
      </w:pPr>
      <w:r w:rsidRPr="009452A2">
        <w:rPr>
          <w:rStyle w:val="TextoNormalNegritaCaracter"/>
        </w:rPr>
        <w:t>Artículo 11.9.</w:t>
      </w:r>
      <w:r w:rsidRPr="009452A2">
        <w:rPr>
          <w:rStyle w:val="TextoNormalCaracter"/>
        </w:rPr>
        <w:t>-</w:t>
      </w:r>
      <w:r>
        <w:t xml:space="preserve"> Sentencia </w:t>
      </w:r>
      <w:hyperlink w:anchor="SENTENCIA_1985_9" w:history="1">
        <w:r w:rsidRPr="009452A2">
          <w:rPr>
            <w:rStyle w:val="TextoNormalCaracter"/>
          </w:rPr>
          <w:t>9/1985</w:t>
        </w:r>
      </w:hyperlink>
      <w:r>
        <w:t>, f. 1.</w:t>
      </w:r>
    </w:p>
    <w:p w:rsidR="009452A2" w:rsidRDefault="009452A2" w:rsidP="009452A2">
      <w:pPr>
        <w:pStyle w:val="SangriaFrancesaArticulo"/>
      </w:pPr>
      <w:r w:rsidRPr="009452A2">
        <w:rPr>
          <w:rStyle w:val="TextoNormalNegritaCaracter"/>
        </w:rPr>
        <w:t>Artículo 12.1.5.</w:t>
      </w:r>
      <w:r w:rsidRPr="009452A2">
        <w:rPr>
          <w:rStyle w:val="TextoNormalCaracter"/>
        </w:rPr>
        <w:t>-</w:t>
      </w:r>
      <w:r>
        <w:t xml:space="preserve"> Auto </w:t>
      </w:r>
      <w:hyperlink w:anchor="AUTO_1985_111" w:history="1">
        <w:r w:rsidRPr="009452A2">
          <w:rPr>
            <w:rStyle w:val="TextoNormalCaracter"/>
          </w:rPr>
          <w:t>111/1985</w:t>
        </w:r>
      </w:hyperlink>
      <w:r>
        <w:t>.</w:t>
      </w:r>
    </w:p>
    <w:p w:rsidR="009452A2" w:rsidRDefault="009452A2" w:rsidP="009452A2">
      <w:pPr>
        <w:pStyle w:val="SangriaFrancesaArticulo"/>
      </w:pPr>
      <w:r w:rsidRPr="009452A2">
        <w:rPr>
          <w:rStyle w:val="TextoNormalNegritaCaracter"/>
        </w:rPr>
        <w:t>Disposición transitoria sexta.</w:t>
      </w:r>
      <w:r w:rsidRPr="009452A2">
        <w:rPr>
          <w:rStyle w:val="TextoNormalCaracter"/>
        </w:rPr>
        <w:t>-</w:t>
      </w:r>
      <w:r>
        <w:t xml:space="preserve"> Sentencia </w:t>
      </w:r>
      <w:hyperlink w:anchor="SENTENCIA_1985_9" w:history="1">
        <w:r w:rsidRPr="009452A2">
          <w:rPr>
            <w:rStyle w:val="TextoNormalCaracter"/>
          </w:rPr>
          <w:t>9/1985</w:t>
        </w:r>
      </w:hyperlink>
      <w:r>
        <w:t>, f. 1.</w:t>
      </w:r>
    </w:p>
    <w:p w:rsidR="009452A2" w:rsidRDefault="009452A2" w:rsidP="009452A2">
      <w:pPr>
        <w:pStyle w:val="TextoNormal"/>
      </w:pPr>
    </w:p>
    <w:p w:rsidR="009452A2" w:rsidRDefault="009452A2" w:rsidP="009452A2">
      <w:pPr>
        <w:pStyle w:val="TextoNormalNegritaCentradoSubrayado"/>
        <w:suppressAutoHyphens/>
      </w:pPr>
      <w:r>
        <w:t>J.4.b) Leyes y disposiciones con fuerza de Ley</w:t>
      </w:r>
    </w:p>
    <w:p w:rsidR="009452A2" w:rsidRDefault="009452A2" w:rsidP="009452A2">
      <w:pPr>
        <w:pStyle w:val="TextoNormalNegritaCentradoSubrayado"/>
      </w:pPr>
    </w:p>
    <w:p w:rsidR="009452A2" w:rsidRDefault="009452A2" w:rsidP="009452A2">
      <w:pPr>
        <w:pStyle w:val="TextoNormalNegritaCursivandice"/>
      </w:pPr>
      <w:r>
        <w:t>Ley del Parlamento de Cataluña 7/1983, de 18 de abril. Normalización lingüística en Cataluña</w:t>
      </w:r>
    </w:p>
    <w:p w:rsidR="009452A2" w:rsidRDefault="009452A2" w:rsidP="009452A2">
      <w:pPr>
        <w:pStyle w:val="SangriaFrancesaArticulo"/>
      </w:pPr>
      <w:r w:rsidRPr="009452A2">
        <w:rPr>
          <w:rStyle w:val="TextoNormalNegritaCaracter"/>
        </w:rPr>
        <w:t>Artículo 4.2.</w:t>
      </w:r>
      <w:r w:rsidRPr="009452A2">
        <w:rPr>
          <w:rStyle w:val="TextoNormalCaracter"/>
        </w:rPr>
        <w:t>-</w:t>
      </w:r>
      <w:r>
        <w:t xml:space="preserve"> Auto </w:t>
      </w:r>
      <w:hyperlink w:anchor="AUTO_1985_139" w:history="1">
        <w:r w:rsidRPr="009452A2">
          <w:rPr>
            <w:rStyle w:val="TextoNormalCaracter"/>
          </w:rPr>
          <w:t>139/1985</w:t>
        </w:r>
      </w:hyperlink>
      <w:r>
        <w:t>.</w:t>
      </w:r>
    </w:p>
    <w:p w:rsidR="009452A2" w:rsidRDefault="009452A2" w:rsidP="009452A2">
      <w:pPr>
        <w:pStyle w:val="TextoNormal"/>
      </w:pPr>
    </w:p>
    <w:p w:rsidR="009452A2" w:rsidRDefault="009452A2" w:rsidP="009452A2">
      <w:pPr>
        <w:pStyle w:val="TextoNormalNegritaCentradoSubrayado"/>
        <w:suppressAutoHyphens/>
      </w:pPr>
      <w:r>
        <w:t>J.4.c) Decretos y otras disposiciones reglamentarias</w:t>
      </w:r>
    </w:p>
    <w:p w:rsidR="009452A2" w:rsidRDefault="009452A2" w:rsidP="009452A2">
      <w:pPr>
        <w:pStyle w:val="TextoNormalNegritaCentradoSubrayado"/>
      </w:pPr>
    </w:p>
    <w:p w:rsidR="009452A2" w:rsidRDefault="009452A2" w:rsidP="009452A2">
      <w:pPr>
        <w:pStyle w:val="TextoNormalNegritaCursivandice"/>
      </w:pPr>
      <w:r>
        <w:t>Orden del Departamento de Agricultura, Ganadería y Pesca de la Generalidad de Cataluña, de 6 de abril de 1984. Modifica el Reglamento de la Denominación de Origen "Empordá-Costa Brava" y de su Consejo Regulador</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111" w:history="1">
        <w:r w:rsidRPr="009452A2">
          <w:rPr>
            <w:rStyle w:val="TextoNormalCaracter"/>
          </w:rPr>
          <w:t>111/1985</w:t>
        </w:r>
      </w:hyperlink>
      <w:r>
        <w:t>.</w:t>
      </w:r>
    </w:p>
    <w:p w:rsidR="009452A2" w:rsidRDefault="009452A2" w:rsidP="009452A2">
      <w:pPr>
        <w:pStyle w:val="SangriaFrancesaArticulo"/>
      </w:pPr>
    </w:p>
    <w:p w:rsidR="009452A2" w:rsidRDefault="009452A2" w:rsidP="009452A2">
      <w:pPr>
        <w:pStyle w:val="TextoNormalNegritaCursivandice"/>
      </w:pPr>
      <w:r>
        <w:t>Decreto de la Generalidad de Cataluña 125/1984, de 17 de abril. Regulación del uso de la lengua catalana en las escrituras públicas</w:t>
      </w:r>
    </w:p>
    <w:p w:rsidR="009452A2" w:rsidRDefault="009452A2" w:rsidP="009452A2">
      <w:pPr>
        <w:pStyle w:val="SangriaFrancesaArticulo"/>
      </w:pPr>
      <w:r w:rsidRPr="009452A2">
        <w:rPr>
          <w:rStyle w:val="TextoNormalNegritaCaracter"/>
        </w:rPr>
        <w:t>Artículo 3.</w:t>
      </w:r>
      <w:r w:rsidRPr="009452A2">
        <w:rPr>
          <w:rStyle w:val="TextoNormalCaracter"/>
        </w:rPr>
        <w:t>-</w:t>
      </w:r>
      <w:r>
        <w:t xml:space="preserve"> Auto </w:t>
      </w:r>
      <w:hyperlink w:anchor="AUTO_1985_55" w:history="1">
        <w:r w:rsidRPr="009452A2">
          <w:rPr>
            <w:rStyle w:val="TextoNormalCaracter"/>
          </w:rPr>
          <w:t>55/1985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J.5) Galicia</w:t>
      </w:r>
    </w:p>
    <w:p w:rsidR="009452A2" w:rsidRDefault="009452A2" w:rsidP="009452A2">
      <w:pPr>
        <w:pStyle w:val="TextoNormal"/>
      </w:pPr>
    </w:p>
    <w:p w:rsidR="009452A2" w:rsidRDefault="009452A2" w:rsidP="009452A2">
      <w:pPr>
        <w:pStyle w:val="TextoNormalNegritaCentradoSubrayado"/>
        <w:suppressAutoHyphens/>
      </w:pPr>
      <w:r>
        <w:lastRenderedPageBreak/>
        <w:t>J.5.b) Leyes y disposiciones con fuerza de Ley</w:t>
      </w:r>
    </w:p>
    <w:p w:rsidR="009452A2" w:rsidRDefault="009452A2" w:rsidP="009452A2">
      <w:pPr>
        <w:pStyle w:val="TextoNormalNegritaCentradoSubrayado"/>
      </w:pPr>
    </w:p>
    <w:p w:rsidR="009452A2" w:rsidRDefault="009452A2" w:rsidP="009452A2">
      <w:pPr>
        <w:pStyle w:val="TextoNormalNegritaCursivandice"/>
      </w:pPr>
      <w:r>
        <w:t>Ley del Parlamento de Galicia 1/1984, de 20 de febrero. Fondo de compensación financiera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54" w:history="1">
        <w:r w:rsidRPr="009452A2">
          <w:rPr>
            <w:rStyle w:val="TextoNormalCaracter"/>
          </w:rPr>
          <w:t>54/1985</w:t>
        </w:r>
      </w:hyperlink>
      <w:r>
        <w:t>.</w:t>
      </w:r>
    </w:p>
    <w:p w:rsidR="009452A2" w:rsidRDefault="009452A2" w:rsidP="009452A2">
      <w:pPr>
        <w:pStyle w:val="TextoNormal"/>
      </w:pPr>
    </w:p>
    <w:p w:rsidR="009452A2" w:rsidRDefault="009452A2" w:rsidP="009452A2">
      <w:pPr>
        <w:pStyle w:val="TextoNormalNegritaCentradoSubrayado"/>
        <w:suppressAutoHyphens/>
      </w:pPr>
      <w:r>
        <w:t>J.5.c) Decretos y otras disposiciones reglamentarias</w:t>
      </w:r>
    </w:p>
    <w:p w:rsidR="009452A2" w:rsidRDefault="009452A2" w:rsidP="009452A2">
      <w:pPr>
        <w:pStyle w:val="TextoNormalNegritaCentradoSubrayado"/>
      </w:pPr>
    </w:p>
    <w:p w:rsidR="009452A2" w:rsidRDefault="009452A2" w:rsidP="009452A2">
      <w:pPr>
        <w:pStyle w:val="TextoNormalNegritaCursivandice"/>
      </w:pPr>
      <w:r>
        <w:t>Orden de la Consejería de Agricultura, Pesca y Alimentación de la Junta de Galicia, de 30 de abril de 1984. Reglamento de la Denominación Específica "Albariño" y de su Consejo Regulador</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39" w:history="1">
        <w:r w:rsidRPr="009452A2">
          <w:rPr>
            <w:rStyle w:val="TextoNormalCaracter"/>
          </w:rPr>
          <w:t>239/1985</w:t>
        </w:r>
      </w:hyperlink>
      <w:r>
        <w:t>.</w:t>
      </w:r>
    </w:p>
    <w:p w:rsidR="009452A2" w:rsidRDefault="009452A2" w:rsidP="009452A2">
      <w:pPr>
        <w:pStyle w:val="SangriaFrancesaArticulo"/>
      </w:pPr>
      <w:r w:rsidRPr="009452A2">
        <w:rPr>
          <w:rStyle w:val="TextoNormalNegritaCaracter"/>
        </w:rPr>
        <w:t>Artículo 17.2.</w:t>
      </w:r>
      <w:r w:rsidRPr="009452A2">
        <w:rPr>
          <w:rStyle w:val="TextoNormalCaracter"/>
        </w:rPr>
        <w:t>-</w:t>
      </w:r>
      <w:r>
        <w:t xml:space="preserve"> Auto </w:t>
      </w:r>
      <w:hyperlink w:anchor="AUTO_1985_239" w:history="1">
        <w:r w:rsidRPr="009452A2">
          <w:rPr>
            <w:rStyle w:val="TextoNormalCaracter"/>
          </w:rPr>
          <w:t>239/1985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J.6) Navarra</w:t>
      </w:r>
    </w:p>
    <w:p w:rsidR="009452A2" w:rsidRDefault="009452A2" w:rsidP="009452A2">
      <w:pPr>
        <w:pStyle w:val="TextoNormal"/>
      </w:pPr>
    </w:p>
    <w:p w:rsidR="009452A2" w:rsidRDefault="009452A2" w:rsidP="009452A2">
      <w:pPr>
        <w:pStyle w:val="TextoNormalNegritaCentradoSubrayado"/>
        <w:suppressAutoHyphens/>
      </w:pPr>
      <w:r>
        <w:t>J.6.c) Decretos y otras disposiciones reglamentarias</w:t>
      </w:r>
    </w:p>
    <w:p w:rsidR="009452A2" w:rsidRDefault="009452A2" w:rsidP="009452A2">
      <w:pPr>
        <w:pStyle w:val="TextoNormalNegritaCentradoSubrayado"/>
      </w:pPr>
    </w:p>
    <w:p w:rsidR="009452A2" w:rsidRDefault="009452A2" w:rsidP="009452A2">
      <w:pPr>
        <w:pStyle w:val="TextoNormalNegritaCursivandice"/>
      </w:pPr>
      <w:r>
        <w:t>Decreto Foral del Gobierno de Navarra 24/1984, de 18 de abril. Regulación del régimen jurídico del otorgamiento, modificación y extinción de la autorización del transporte público discrecional de mercancías y viajeros por carretera para vehículos con residencia en Navarra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Autos </w:t>
      </w:r>
      <w:hyperlink w:anchor="AUTO_1985_125" w:history="1">
        <w:r w:rsidRPr="009452A2">
          <w:rPr>
            <w:rStyle w:val="TextoNormalCaracter"/>
          </w:rPr>
          <w:t>125/1985</w:t>
        </w:r>
      </w:hyperlink>
      <w:r>
        <w:t xml:space="preserve">; </w:t>
      </w:r>
      <w:hyperlink w:anchor="AUTO_1985_201" w:history="1">
        <w:r w:rsidRPr="009452A2">
          <w:rPr>
            <w:rStyle w:val="TextoNormalCaracter"/>
          </w:rPr>
          <w:t>201/1985</w:t>
        </w:r>
      </w:hyperlink>
      <w:r>
        <w:t>.</w:t>
      </w:r>
    </w:p>
    <w:p w:rsidR="009452A2" w:rsidRDefault="009452A2" w:rsidP="009452A2">
      <w:pPr>
        <w:pStyle w:val="SangriaFrancesaArticulo"/>
      </w:pPr>
      <w:r w:rsidRPr="009452A2">
        <w:rPr>
          <w:rStyle w:val="TextoNormalNegritaCaracter"/>
        </w:rPr>
        <w:t>Artículo 3.2.</w:t>
      </w:r>
      <w:r w:rsidRPr="009452A2">
        <w:rPr>
          <w:rStyle w:val="TextoNormalCaracter"/>
        </w:rPr>
        <w:t>-</w:t>
      </w:r>
      <w:r>
        <w:t xml:space="preserve"> Auto </w:t>
      </w:r>
      <w:hyperlink w:anchor="AUTO_1985_125" w:history="1">
        <w:r w:rsidRPr="009452A2">
          <w:rPr>
            <w:rStyle w:val="TextoNormalCaracter"/>
          </w:rPr>
          <w:t>125/1985</w:t>
        </w:r>
      </w:hyperlink>
      <w:r>
        <w:t>.</w:t>
      </w:r>
    </w:p>
    <w:p w:rsidR="009452A2" w:rsidRDefault="009452A2" w:rsidP="009452A2">
      <w:pPr>
        <w:pStyle w:val="SangriaFrancesaArticulo"/>
      </w:pPr>
      <w:r w:rsidRPr="009452A2">
        <w:rPr>
          <w:rStyle w:val="TextoNormalNegritaCaracter"/>
        </w:rPr>
        <w:t>Artículo 3.7.</w:t>
      </w:r>
      <w:r w:rsidRPr="009452A2">
        <w:rPr>
          <w:rStyle w:val="TextoNormalCaracter"/>
        </w:rPr>
        <w:t>-</w:t>
      </w:r>
      <w:r>
        <w:t xml:space="preserve"> Auto </w:t>
      </w:r>
      <w:hyperlink w:anchor="AUTO_1985_125" w:history="1">
        <w:r w:rsidRPr="009452A2">
          <w:rPr>
            <w:rStyle w:val="TextoNormalCaracter"/>
          </w:rPr>
          <w:t>125/1985</w:t>
        </w:r>
      </w:hyperlink>
      <w:r>
        <w:t>.</w:t>
      </w:r>
    </w:p>
    <w:p w:rsidR="009452A2" w:rsidRDefault="009452A2" w:rsidP="009452A2">
      <w:pPr>
        <w:pStyle w:val="SangriaFrancesaArticulo"/>
      </w:pPr>
      <w:r w:rsidRPr="009452A2">
        <w:rPr>
          <w:rStyle w:val="TextoNormalNegritaCaracter"/>
        </w:rPr>
        <w:t>Artículo 5.9 b).</w:t>
      </w:r>
      <w:r w:rsidRPr="009452A2">
        <w:rPr>
          <w:rStyle w:val="TextoNormalCaracter"/>
        </w:rPr>
        <w:t>-</w:t>
      </w:r>
      <w:r>
        <w:t xml:space="preserve"> Auto </w:t>
      </w:r>
      <w:hyperlink w:anchor="AUTO_1985_125" w:history="1">
        <w:r w:rsidRPr="009452A2">
          <w:rPr>
            <w:rStyle w:val="TextoNormalCaracter"/>
          </w:rPr>
          <w:t>125/1985</w:t>
        </w:r>
      </w:hyperlink>
      <w:r>
        <w:t>.</w:t>
      </w:r>
    </w:p>
    <w:p w:rsidR="009452A2" w:rsidRDefault="009452A2" w:rsidP="009452A2">
      <w:pPr>
        <w:pStyle w:val="SangriaFrancesaArticulo"/>
      </w:pPr>
      <w:r w:rsidRPr="009452A2">
        <w:rPr>
          <w:rStyle w:val="TextoNormalNegritaCaracter"/>
        </w:rPr>
        <w:t>Artículo 11 b).</w:t>
      </w:r>
      <w:r w:rsidRPr="009452A2">
        <w:rPr>
          <w:rStyle w:val="TextoNormalCaracter"/>
        </w:rPr>
        <w:t>-</w:t>
      </w:r>
      <w:r>
        <w:t xml:space="preserve"> Auto </w:t>
      </w:r>
      <w:hyperlink w:anchor="AUTO_1985_125" w:history="1">
        <w:r w:rsidRPr="009452A2">
          <w:rPr>
            <w:rStyle w:val="TextoNormalCaracter"/>
          </w:rPr>
          <w:t>125/1985</w:t>
        </w:r>
      </w:hyperlink>
      <w:r>
        <w:t>.</w:t>
      </w:r>
    </w:p>
    <w:p w:rsidR="009452A2" w:rsidRDefault="009452A2" w:rsidP="009452A2">
      <w:pPr>
        <w:pStyle w:val="SangriaFrancesaArticulo"/>
      </w:pPr>
      <w:r w:rsidRPr="009452A2">
        <w:rPr>
          <w:rStyle w:val="TextoNormalNegritaCaracter"/>
        </w:rPr>
        <w:t>Artículo 12.</w:t>
      </w:r>
      <w:r w:rsidRPr="009452A2">
        <w:rPr>
          <w:rStyle w:val="TextoNormalCaracter"/>
        </w:rPr>
        <w:t>-</w:t>
      </w:r>
      <w:r>
        <w:t xml:space="preserve"> Auto </w:t>
      </w:r>
      <w:hyperlink w:anchor="AUTO_1985_125" w:history="1">
        <w:r w:rsidRPr="009452A2">
          <w:rPr>
            <w:rStyle w:val="TextoNormalCaracter"/>
          </w:rPr>
          <w:t>125/1985</w:t>
        </w:r>
      </w:hyperlink>
      <w:r>
        <w:t>.</w:t>
      </w:r>
    </w:p>
    <w:p w:rsidR="009452A2" w:rsidRDefault="009452A2" w:rsidP="009452A2">
      <w:pPr>
        <w:pStyle w:val="SangriaFrancesaArticulo"/>
      </w:pPr>
    </w:p>
    <w:p w:rsidR="009452A2" w:rsidRDefault="009452A2" w:rsidP="009452A2">
      <w:pPr>
        <w:pStyle w:val="TextoNormalNegritaCursivandice"/>
      </w:pPr>
      <w:r>
        <w:t>Decreto Foral del Gobierno de Navarra 182/1984, de 14 de agosto. Sobre normalización de situaciones para vehículos de viajeros y mercancías cuya residencia haya sido fijada en Navarra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Auto </w:t>
      </w:r>
      <w:hyperlink w:anchor="AUTO_1985_201" w:history="1">
        <w:r w:rsidRPr="009452A2">
          <w:rPr>
            <w:rStyle w:val="TextoNormalCaracter"/>
          </w:rPr>
          <w:t>201/1985</w:t>
        </w:r>
      </w:hyperlink>
      <w:r>
        <w:t>.</w:t>
      </w:r>
    </w:p>
    <w:p w:rsidR="009452A2" w:rsidRDefault="009452A2" w:rsidP="009452A2">
      <w:pPr>
        <w:pStyle w:val="TextoNormal"/>
      </w:pPr>
    </w:p>
    <w:p w:rsidR="009452A2" w:rsidRDefault="009452A2" w:rsidP="009452A2">
      <w:pPr>
        <w:pStyle w:val="TextoNormalNegritaCentrado"/>
        <w:suppressAutoHyphens/>
      </w:pPr>
      <w:r w:rsidRPr="009452A2">
        <w:rPr>
          <w:rStyle w:val="TextoNormalNegritaCentradoSombreado"/>
        </w:rPr>
        <w:t>J.7) País Vasco</w:t>
      </w:r>
    </w:p>
    <w:p w:rsidR="009452A2" w:rsidRDefault="009452A2" w:rsidP="009452A2">
      <w:pPr>
        <w:pStyle w:val="TextoNormal"/>
      </w:pPr>
    </w:p>
    <w:p w:rsidR="009452A2" w:rsidRDefault="009452A2" w:rsidP="009452A2">
      <w:pPr>
        <w:pStyle w:val="TextoNormalNegritaCentradoSubrayado"/>
        <w:suppressAutoHyphens/>
      </w:pPr>
      <w:r>
        <w:t>J.7.a) Estatuto de Autonomía</w:t>
      </w:r>
    </w:p>
    <w:p w:rsidR="009452A2" w:rsidRDefault="009452A2" w:rsidP="009452A2">
      <w:pPr>
        <w:pStyle w:val="TextoNormalNegritaCentradoSubrayado"/>
      </w:pPr>
    </w:p>
    <w:p w:rsidR="009452A2" w:rsidRDefault="009452A2" w:rsidP="009452A2">
      <w:pPr>
        <w:pStyle w:val="TextoNormalNegritaCursivandice"/>
      </w:pPr>
      <w:r>
        <w:t>Ley Orgánica 3/1979, de 18 de diciembre. Estatuto de Autonomía del País Vasco</w:t>
      </w:r>
    </w:p>
    <w:p w:rsidR="009452A2" w:rsidRDefault="009452A2" w:rsidP="009452A2">
      <w:pPr>
        <w:pStyle w:val="SangriaFrancesaArticulo"/>
      </w:pPr>
      <w:r w:rsidRPr="009452A2">
        <w:rPr>
          <w:rStyle w:val="TextoNormalNegritaCaracter"/>
        </w:rPr>
        <w:t>Artículo 10.2.</w:t>
      </w:r>
      <w:r w:rsidRPr="009452A2">
        <w:rPr>
          <w:rStyle w:val="TextoNormalCaracter"/>
        </w:rPr>
        <w:t>-</w:t>
      </w:r>
      <w:r>
        <w:t xml:space="preserve"> Sentencia </w:t>
      </w:r>
      <w:hyperlink w:anchor="SENTENCIA_1985_12" w:history="1">
        <w:r w:rsidRPr="009452A2">
          <w:rPr>
            <w:rStyle w:val="TextoNormalCaracter"/>
          </w:rPr>
          <w:t>12/1985</w:t>
        </w:r>
      </w:hyperlink>
      <w:r>
        <w:t>, f. 4.</w:t>
      </w:r>
    </w:p>
    <w:p w:rsidR="009452A2" w:rsidRDefault="009452A2" w:rsidP="009452A2">
      <w:pPr>
        <w:pStyle w:val="SangriaFrancesaArticulo"/>
      </w:pPr>
      <w:r w:rsidRPr="009452A2">
        <w:rPr>
          <w:rStyle w:val="TextoNormalNegritaCaracter"/>
        </w:rPr>
        <w:t>Artículo 10.4.</w:t>
      </w:r>
      <w:r w:rsidRPr="009452A2">
        <w:rPr>
          <w:rStyle w:val="TextoNormalCaracter"/>
        </w:rPr>
        <w:t>-</w:t>
      </w:r>
      <w:r>
        <w:t xml:space="preserve"> Sentencia </w:t>
      </w:r>
      <w:hyperlink w:anchor="SENTENCIA_1985_48" w:history="1">
        <w:r w:rsidRPr="009452A2">
          <w:rPr>
            <w:rStyle w:val="TextoNormalCaracter"/>
          </w:rPr>
          <w:t>48/1985</w:t>
        </w:r>
      </w:hyperlink>
      <w:r>
        <w:t>, ff. 4 a 6.</w:t>
      </w:r>
    </w:p>
    <w:p w:rsidR="009452A2" w:rsidRDefault="009452A2" w:rsidP="009452A2">
      <w:pPr>
        <w:pStyle w:val="SangriaFrancesaArticulo"/>
      </w:pPr>
      <w:r w:rsidRPr="009452A2">
        <w:rPr>
          <w:rStyle w:val="TextoNormalNegritaCaracter"/>
        </w:rPr>
        <w:t>Artículo 10.6.</w:t>
      </w:r>
      <w:r w:rsidRPr="009452A2">
        <w:rPr>
          <w:rStyle w:val="TextoNormalCaracter"/>
        </w:rPr>
        <w:t>-</w:t>
      </w:r>
      <w:r>
        <w:t xml:space="preserve"> Sentencia </w:t>
      </w:r>
      <w:hyperlink w:anchor="SENTENCIA_1985_12" w:history="1">
        <w:r w:rsidRPr="009452A2">
          <w:rPr>
            <w:rStyle w:val="TextoNormalCaracter"/>
          </w:rPr>
          <w:t>12/1985</w:t>
        </w:r>
      </w:hyperlink>
      <w:r>
        <w:t>, f. 4.</w:t>
      </w:r>
    </w:p>
    <w:p w:rsidR="009452A2" w:rsidRDefault="009452A2" w:rsidP="009452A2">
      <w:pPr>
        <w:pStyle w:val="SangriaFrancesaArticulo"/>
      </w:pPr>
      <w:r w:rsidRPr="009452A2">
        <w:rPr>
          <w:rStyle w:val="TextoNormalNegritaCaracter"/>
        </w:rPr>
        <w:t>Artículo 10.11.</w:t>
      </w:r>
      <w:r w:rsidRPr="009452A2">
        <w:rPr>
          <w:rStyle w:val="TextoNormalCaracter"/>
        </w:rPr>
        <w:t>-</w:t>
      </w:r>
      <w:r>
        <w:t xml:space="preserve"> Sentencia </w:t>
      </w:r>
      <w:hyperlink w:anchor="SENTENCIA_1985_24" w:history="1">
        <w:r w:rsidRPr="009452A2">
          <w:rPr>
            <w:rStyle w:val="TextoNormalCaracter"/>
          </w:rPr>
          <w:t>24/1985</w:t>
        </w:r>
      </w:hyperlink>
      <w:r>
        <w:t>, ff. 1, 3 a 6.</w:t>
      </w:r>
    </w:p>
    <w:p w:rsidR="009452A2" w:rsidRDefault="009452A2" w:rsidP="009452A2">
      <w:pPr>
        <w:pStyle w:val="SangriaFrancesaArticulo"/>
      </w:pPr>
      <w:r w:rsidRPr="009452A2">
        <w:rPr>
          <w:rStyle w:val="TextoNormalNegritaCaracter"/>
        </w:rPr>
        <w:lastRenderedPageBreak/>
        <w:t>Artículo 10.30.</w:t>
      </w:r>
      <w:r w:rsidRPr="009452A2">
        <w:rPr>
          <w:rStyle w:val="TextoNormalCaracter"/>
        </w:rPr>
        <w:t>-</w:t>
      </w:r>
      <w:r>
        <w:t xml:space="preserve"> Sentencia </w:t>
      </w:r>
      <w:hyperlink w:anchor="SENTENCIA_1985_24" w:history="1">
        <w:r w:rsidRPr="009452A2">
          <w:rPr>
            <w:rStyle w:val="TextoNormalCaracter"/>
          </w:rPr>
          <w:t>24/1985</w:t>
        </w:r>
      </w:hyperlink>
      <w:r>
        <w:t>, ff. 1, 4, 5, 9.</w:t>
      </w:r>
    </w:p>
    <w:p w:rsidR="009452A2" w:rsidRDefault="009452A2" w:rsidP="009452A2">
      <w:pPr>
        <w:pStyle w:val="SangriaFrancesaArticulo"/>
      </w:pPr>
      <w:r w:rsidRPr="009452A2">
        <w:rPr>
          <w:rStyle w:val="TextoNormalNegritaCaracter"/>
        </w:rPr>
        <w:t>Artículo 11.2 c).</w:t>
      </w:r>
      <w:r w:rsidRPr="009452A2">
        <w:rPr>
          <w:rStyle w:val="TextoNormalCaracter"/>
        </w:rPr>
        <w:t>-</w:t>
      </w:r>
      <w:r>
        <w:t xml:space="preserve"> Sentencia </w:t>
      </w:r>
      <w:hyperlink w:anchor="SENTENCIA_1985_24" w:history="1">
        <w:r w:rsidRPr="009452A2">
          <w:rPr>
            <w:rStyle w:val="TextoNormalCaracter"/>
          </w:rPr>
          <w:t>24/1985</w:t>
        </w:r>
      </w:hyperlink>
      <w:r>
        <w:t>, ff. 1, 3 a 6.</w:t>
      </w:r>
    </w:p>
    <w:p w:rsidR="009452A2" w:rsidRDefault="009452A2" w:rsidP="009452A2">
      <w:pPr>
        <w:pStyle w:val="SangriaFrancesaArticulo"/>
      </w:pPr>
      <w:r w:rsidRPr="009452A2">
        <w:rPr>
          <w:rStyle w:val="TextoNormalNegritaCaracter"/>
        </w:rPr>
        <w:t>Artículo 12.2.</w:t>
      </w:r>
      <w:r w:rsidRPr="009452A2">
        <w:rPr>
          <w:rStyle w:val="TextoNormalCaracter"/>
        </w:rPr>
        <w:t>-</w:t>
      </w:r>
      <w:r>
        <w:t xml:space="preserve"> Sentencia </w:t>
      </w:r>
      <w:hyperlink w:anchor="SENTENCIA_1985_7" w:history="1">
        <w:r w:rsidRPr="009452A2">
          <w:rPr>
            <w:rStyle w:val="TextoNormalCaracter"/>
          </w:rPr>
          <w:t>7/1985</w:t>
        </w:r>
      </w:hyperlink>
      <w:r>
        <w:t>, f. 2.</w:t>
      </w:r>
    </w:p>
    <w:p w:rsidR="009452A2" w:rsidRDefault="009452A2" w:rsidP="009452A2">
      <w:pPr>
        <w:pStyle w:val="SangriaFrancesaArticulo"/>
      </w:pPr>
      <w:r w:rsidRPr="009452A2">
        <w:rPr>
          <w:rStyle w:val="TextoNormalNegritaCaracter"/>
        </w:rPr>
        <w:t>Artículo 16.</w:t>
      </w:r>
      <w:r w:rsidRPr="009452A2">
        <w:rPr>
          <w:rStyle w:val="TextoNormalCaracter"/>
        </w:rPr>
        <w:t>-</w:t>
      </w:r>
      <w:r>
        <w:t xml:space="preserve"> Sentencia </w:t>
      </w:r>
      <w:hyperlink w:anchor="SENTENCIA_1985_48" w:history="1">
        <w:r w:rsidRPr="009452A2">
          <w:rPr>
            <w:rStyle w:val="TextoNormalCaracter"/>
          </w:rPr>
          <w:t>48/1985</w:t>
        </w:r>
      </w:hyperlink>
      <w:r>
        <w:t>, ff. 4, 5.</w:t>
      </w:r>
    </w:p>
    <w:p w:rsidR="009452A2" w:rsidRDefault="009452A2" w:rsidP="009452A2">
      <w:pPr>
        <w:pStyle w:val="SangriaFrancesaArticulo"/>
      </w:pPr>
      <w:r w:rsidRPr="009452A2">
        <w:rPr>
          <w:rStyle w:val="TextoNormalNegritaCaracter"/>
        </w:rPr>
        <w:t>Artículo 20.4.</w:t>
      </w:r>
      <w:r w:rsidRPr="009452A2">
        <w:rPr>
          <w:rStyle w:val="TextoNormalCaracter"/>
        </w:rPr>
        <w:t>-</w:t>
      </w:r>
      <w:r>
        <w:t xml:space="preserve"> Sentencia </w:t>
      </w:r>
      <w:hyperlink w:anchor="SENTENCIA_1985_7" w:history="1">
        <w:r w:rsidRPr="009452A2">
          <w:rPr>
            <w:rStyle w:val="TextoNormalCaracter"/>
          </w:rPr>
          <w:t>7/1985</w:t>
        </w:r>
      </w:hyperlink>
      <w:r>
        <w:t>, f. 4.</w:t>
      </w:r>
    </w:p>
    <w:p w:rsidR="009452A2" w:rsidRDefault="009452A2" w:rsidP="009452A2">
      <w:pPr>
        <w:pStyle w:val="SangriaFrancesaArticulo"/>
      </w:pPr>
      <w:r w:rsidRPr="009452A2">
        <w:rPr>
          <w:rStyle w:val="TextoNormalNegritaCaracter"/>
        </w:rPr>
        <w:t>Artículo 33.</w:t>
      </w:r>
      <w:r w:rsidRPr="009452A2">
        <w:rPr>
          <w:rStyle w:val="TextoNormalCaracter"/>
        </w:rPr>
        <w:t>-</w:t>
      </w:r>
      <w:r>
        <w:t xml:space="preserve"> Sentencia </w:t>
      </w:r>
      <w:hyperlink w:anchor="SENTENCIA_1985_12" w:history="1">
        <w:r w:rsidRPr="009452A2">
          <w:rPr>
            <w:rStyle w:val="TextoNormalCaracter"/>
          </w:rPr>
          <w:t>12/1985</w:t>
        </w:r>
      </w:hyperlink>
      <w:r>
        <w:t>, f. 1.</w:t>
      </w:r>
    </w:p>
    <w:p w:rsidR="009452A2" w:rsidRDefault="009452A2" w:rsidP="009452A2">
      <w:pPr>
        <w:pStyle w:val="TextoNormal"/>
      </w:pPr>
    </w:p>
    <w:p w:rsidR="009452A2" w:rsidRDefault="009452A2" w:rsidP="009452A2">
      <w:pPr>
        <w:pStyle w:val="TextoNormalNegritaCentradoSubrayado"/>
        <w:suppressAutoHyphens/>
      </w:pPr>
      <w:r>
        <w:t>J.7.b) Leyes y disposiciones con fuerza de Ley</w:t>
      </w:r>
    </w:p>
    <w:p w:rsidR="009452A2" w:rsidRDefault="009452A2" w:rsidP="009452A2">
      <w:pPr>
        <w:pStyle w:val="TextoNormalNegritaCentradoSubrayado"/>
      </w:pPr>
    </w:p>
    <w:p w:rsidR="009452A2" w:rsidRDefault="009452A2" w:rsidP="009452A2">
      <w:pPr>
        <w:pStyle w:val="TextoNormalNegritaCursivandice"/>
      </w:pPr>
      <w:r>
        <w:t>Ley del Parlamento Vasco 9/1983, de 19 de mayo. Ordenación de la actividad comercial</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42" w:history="1">
        <w:r w:rsidRPr="009452A2">
          <w:rPr>
            <w:rStyle w:val="TextoNormalCaracter"/>
          </w:rPr>
          <w:t>42/1985</w:t>
        </w:r>
      </w:hyperlink>
      <w:r>
        <w:t>, f. 3.</w:t>
      </w:r>
    </w:p>
    <w:p w:rsidR="009452A2" w:rsidRDefault="009452A2" w:rsidP="009452A2">
      <w:pPr>
        <w:pStyle w:val="TextoNormal"/>
      </w:pPr>
    </w:p>
    <w:p w:rsidR="009452A2" w:rsidRDefault="009452A2" w:rsidP="009452A2">
      <w:pPr>
        <w:pStyle w:val="TextoNormalNegritaCentradoSubrayado"/>
        <w:suppressAutoHyphens/>
      </w:pPr>
      <w:r>
        <w:t>J.7.c) Decretos y otras disposiciones reglamentarias</w:t>
      </w:r>
    </w:p>
    <w:p w:rsidR="009452A2" w:rsidRDefault="009452A2" w:rsidP="009452A2">
      <w:pPr>
        <w:pStyle w:val="TextoNormalNegritaCentradoSubrayado"/>
      </w:pPr>
    </w:p>
    <w:p w:rsidR="009452A2" w:rsidRDefault="009452A2" w:rsidP="009452A2">
      <w:pPr>
        <w:pStyle w:val="TextoNormalNegritaCursivandice"/>
      </w:pPr>
      <w:r>
        <w:t>Resolución de la Dirección General de Energía, del Departamento de Industria y Energía del Gobierno Vasco, de 12 de febrero de 1982. Autorización a la empresa "Petróleos del Norte, S.A." (PETRONOR), a modificar el proyecto inicial de instalaciones de una unidad de craking catalítico fluido y una unidad de vis-breaking</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24" w:history="1">
        <w:r w:rsidRPr="009452A2">
          <w:rPr>
            <w:rStyle w:val="TextoNormalCaracter"/>
          </w:rPr>
          <w:t>24/1985</w:t>
        </w:r>
      </w:hyperlink>
      <w:r>
        <w:t>, f. 1.</w:t>
      </w:r>
    </w:p>
    <w:p w:rsidR="009452A2" w:rsidRDefault="009452A2" w:rsidP="009452A2">
      <w:pPr>
        <w:pStyle w:val="SangriaFrancesaArticulo"/>
      </w:pPr>
    </w:p>
    <w:p w:rsidR="009452A2" w:rsidRDefault="009452A2" w:rsidP="009452A2">
      <w:pPr>
        <w:pStyle w:val="TextoNormalNegritaCursivandice"/>
      </w:pPr>
      <w:r>
        <w:t>Decreto del Gobierno Vasco 240/1984, de 10 de julio. Modifica la estructura orgánica del Departamento de Sanidad y Seguridad Social</w:t>
      </w:r>
    </w:p>
    <w:p w:rsidR="009452A2" w:rsidRDefault="009452A2" w:rsidP="009452A2">
      <w:pPr>
        <w:pStyle w:val="SangriaFrancesaArticulo"/>
      </w:pPr>
      <w:r w:rsidRPr="009452A2">
        <w:rPr>
          <w:rStyle w:val="TextoNormalNegritaCaracter"/>
        </w:rPr>
        <w:t>Artículo 2 k).</w:t>
      </w:r>
      <w:r w:rsidRPr="009452A2">
        <w:rPr>
          <w:rStyle w:val="TextoNormalCaracter"/>
        </w:rPr>
        <w:t>-</w:t>
      </w:r>
      <w:r>
        <w:t xml:space="preserve"> Auto </w:t>
      </w:r>
      <w:hyperlink w:anchor="AUTO_1985_282" w:history="1">
        <w:r w:rsidRPr="009452A2">
          <w:rPr>
            <w:rStyle w:val="TextoNormalCaracter"/>
          </w:rPr>
          <w:t>282/1985</w:t>
        </w:r>
      </w:hyperlink>
      <w:r>
        <w:t>.</w:t>
      </w:r>
    </w:p>
    <w:p w:rsidR="009452A2" w:rsidRDefault="009452A2" w:rsidP="009452A2">
      <w:pPr>
        <w:pStyle w:val="TextoNormal"/>
      </w:pPr>
    </w:p>
    <w:p w:rsidR="009452A2" w:rsidRDefault="009452A2" w:rsidP="009452A2">
      <w:pPr>
        <w:pStyle w:val="SangriaFrancesaArticulo"/>
      </w:pPr>
      <w:bookmarkStart w:id="360" w:name="INDICE22870"/>
    </w:p>
    <w:bookmarkEnd w:id="360"/>
    <w:p w:rsidR="009452A2" w:rsidRDefault="009452A2" w:rsidP="009452A2">
      <w:pPr>
        <w:pStyle w:val="TextoIndiceNivel2"/>
        <w:suppressAutoHyphens/>
      </w:pPr>
      <w:r>
        <w:t>L) Tratados y acuerdos internacionales</w:t>
      </w:r>
    </w:p>
    <w:p w:rsidR="009452A2" w:rsidRDefault="009452A2" w:rsidP="009452A2">
      <w:pPr>
        <w:pStyle w:val="TextoIndiceNivel2"/>
      </w:pPr>
    </w:p>
    <w:p w:rsidR="009452A2" w:rsidRDefault="009452A2" w:rsidP="009452A2">
      <w:pPr>
        <w:pStyle w:val="TextoNormalNegritaCursivandice"/>
      </w:pPr>
      <w:r>
        <w:t>Convenio de la Organización Internacional del Trabajo (núm. 14), de 17 de noviembre de 1921. Aplicación del descanso semanal en las empresas industriales</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9" w:history="1">
        <w:r w:rsidRPr="009452A2">
          <w:rPr>
            <w:rStyle w:val="TextoNormalCaracter"/>
          </w:rPr>
          <w:t>19/1985</w:t>
        </w:r>
      </w:hyperlink>
      <w:r>
        <w:t>, f. 4.</w:t>
      </w:r>
    </w:p>
    <w:p w:rsidR="009452A2" w:rsidRDefault="009452A2" w:rsidP="009452A2">
      <w:pPr>
        <w:pStyle w:val="SangriaFrancesaArticulo"/>
      </w:pPr>
      <w:r w:rsidRPr="009452A2">
        <w:rPr>
          <w:rStyle w:val="TextoNormalNegritaCaracter"/>
        </w:rPr>
        <w:t>Artículo 2.3.</w:t>
      </w:r>
      <w:r w:rsidRPr="009452A2">
        <w:rPr>
          <w:rStyle w:val="TextoNormalCaracter"/>
        </w:rPr>
        <w:t>-</w:t>
      </w:r>
      <w:r>
        <w:t xml:space="preserve"> Sentencia </w:t>
      </w:r>
      <w:hyperlink w:anchor="SENTENCIA_1985_19" w:history="1">
        <w:r w:rsidRPr="009452A2">
          <w:rPr>
            <w:rStyle w:val="TextoNormalCaracter"/>
          </w:rPr>
          <w:t>19/1985</w:t>
        </w:r>
      </w:hyperlink>
      <w:r>
        <w:t>, f. 5.</w:t>
      </w:r>
    </w:p>
    <w:p w:rsidR="009452A2" w:rsidRDefault="009452A2" w:rsidP="009452A2">
      <w:pPr>
        <w:pStyle w:val="SangriaFrancesaArticulo"/>
      </w:pPr>
    </w:p>
    <w:p w:rsidR="009452A2" w:rsidRDefault="009452A2" w:rsidP="009452A2">
      <w:pPr>
        <w:pStyle w:val="TextoNormalNegritaCursivandice"/>
      </w:pPr>
      <w:r>
        <w:t>Declaración universal de derechos humanos de 10 de diciembre de 1948</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Sentencias </w:t>
      </w:r>
      <w:hyperlink w:anchor="SENTENCIA_1985_51" w:history="1">
        <w:r w:rsidRPr="009452A2">
          <w:rPr>
            <w:rStyle w:val="TextoNormalCaracter"/>
          </w:rPr>
          <w:t>51/1985</w:t>
        </w:r>
      </w:hyperlink>
      <w:r>
        <w:t xml:space="preserve">, f. 3; </w:t>
      </w:r>
      <w:hyperlink w:anchor="SENTENCIA_1985_53" w:history="1">
        <w:r w:rsidRPr="009452A2">
          <w:rPr>
            <w:rStyle w:val="TextoNormalCaracter"/>
          </w:rPr>
          <w:t>53/1985</w:t>
        </w:r>
      </w:hyperlink>
      <w:r>
        <w:t>, f. 6.</w:t>
      </w:r>
    </w:p>
    <w:p w:rsidR="009452A2" w:rsidRDefault="009452A2" w:rsidP="009452A2">
      <w:pPr>
        <w:pStyle w:val="SangriaFrancesaArticulo"/>
      </w:pPr>
      <w:r w:rsidRPr="009452A2">
        <w:rPr>
          <w:rStyle w:val="TextoNormalNegritaCaracter"/>
        </w:rPr>
        <w:t>Artículo 3.</w:t>
      </w:r>
      <w:r w:rsidRPr="009452A2">
        <w:rPr>
          <w:rStyle w:val="TextoNormalCaracter"/>
        </w:rPr>
        <w:t>-</w:t>
      </w:r>
      <w:r>
        <w:t xml:space="preserve"> Sentencia </w:t>
      </w:r>
      <w:hyperlink w:anchor="SENTENCIA_1985_53" w:history="1">
        <w:r w:rsidRPr="009452A2">
          <w:rPr>
            <w:rStyle w:val="TextoNormalCaracter"/>
          </w:rPr>
          <w:t>53/1985</w:t>
        </w:r>
      </w:hyperlink>
      <w:r>
        <w:t>, VP I.</w:t>
      </w:r>
    </w:p>
    <w:p w:rsidR="009452A2" w:rsidRDefault="009452A2" w:rsidP="009452A2">
      <w:pPr>
        <w:pStyle w:val="SangriaFrancesaArticulo"/>
      </w:pPr>
      <w:r w:rsidRPr="009452A2">
        <w:rPr>
          <w:rStyle w:val="TextoNormalNegritaCaracter"/>
        </w:rPr>
        <w:t>Artículo 5.</w:t>
      </w:r>
      <w:r w:rsidRPr="009452A2">
        <w:rPr>
          <w:rStyle w:val="TextoNormalCaracter"/>
        </w:rPr>
        <w:t>-</w:t>
      </w:r>
      <w:r>
        <w:t xml:space="preserve"> Auto </w:t>
      </w:r>
      <w:hyperlink w:anchor="AUTO_1985_238" w:history="1">
        <w:r w:rsidRPr="009452A2">
          <w:rPr>
            <w:rStyle w:val="TextoNormalCaracter"/>
          </w:rPr>
          <w:t>238/1985</w:t>
        </w:r>
      </w:hyperlink>
      <w:r>
        <w:t>.</w:t>
      </w:r>
    </w:p>
    <w:p w:rsidR="009452A2" w:rsidRDefault="009452A2" w:rsidP="009452A2">
      <w:pPr>
        <w:pStyle w:val="SangriaFrancesaArticulo"/>
      </w:pPr>
    </w:p>
    <w:p w:rsidR="009452A2" w:rsidRDefault="009452A2" w:rsidP="009452A2">
      <w:pPr>
        <w:pStyle w:val="TextoNormalNegritaCursivandice"/>
      </w:pPr>
      <w:r>
        <w:t>Convenio de la Organización Internacional del Trabajo (núm. 106), de 26 de junio de 1957. Descanso semanal en el comercio y en las oficinas</w:t>
      </w:r>
    </w:p>
    <w:p w:rsidR="009452A2" w:rsidRDefault="009452A2" w:rsidP="009452A2">
      <w:pPr>
        <w:pStyle w:val="SangriaFrancesaArticulo"/>
      </w:pPr>
      <w:r w:rsidRPr="009452A2">
        <w:rPr>
          <w:rStyle w:val="TextoNormalNegritaCaracter"/>
        </w:rPr>
        <w:t>Artículo 6.3.</w:t>
      </w:r>
      <w:r w:rsidRPr="009452A2">
        <w:rPr>
          <w:rStyle w:val="TextoNormalCaracter"/>
        </w:rPr>
        <w:t>-</w:t>
      </w:r>
      <w:r>
        <w:t xml:space="preserve"> Sentencia </w:t>
      </w:r>
      <w:hyperlink w:anchor="SENTENCIA_1985_19" w:history="1">
        <w:r w:rsidRPr="009452A2">
          <w:rPr>
            <w:rStyle w:val="TextoNormalCaracter"/>
          </w:rPr>
          <w:t>19/1985</w:t>
        </w:r>
      </w:hyperlink>
      <w:r>
        <w:t>, f. 5.</w:t>
      </w:r>
    </w:p>
    <w:p w:rsidR="009452A2" w:rsidRDefault="009452A2" w:rsidP="009452A2">
      <w:pPr>
        <w:pStyle w:val="SangriaFrancesaArticulo"/>
      </w:pPr>
    </w:p>
    <w:p w:rsidR="009452A2" w:rsidRDefault="009452A2" w:rsidP="009452A2">
      <w:pPr>
        <w:pStyle w:val="TextoNormalNegritaCursivandice"/>
      </w:pPr>
      <w:r>
        <w:lastRenderedPageBreak/>
        <w:t>Pacto internacional de derechos civiles y políticos. Nueva York, 16 de diciembre de 1966, ratificado por Instrumento de 13 de abril de 1977</w:t>
      </w:r>
    </w:p>
    <w:p w:rsidR="009452A2" w:rsidRDefault="009452A2" w:rsidP="009452A2">
      <w:pPr>
        <w:pStyle w:val="SangriaFrancesaArticulo"/>
      </w:pPr>
      <w:r w:rsidRPr="009452A2">
        <w:rPr>
          <w:rStyle w:val="TextoNormalNegritaCaracter"/>
        </w:rPr>
        <w:t>Artículo 6.</w:t>
      </w:r>
      <w:r w:rsidRPr="009452A2">
        <w:rPr>
          <w:rStyle w:val="TextoNormalCaracter"/>
        </w:rPr>
        <w:t>-</w:t>
      </w:r>
      <w:r>
        <w:t xml:space="preserve"> Sentencia </w:t>
      </w:r>
      <w:hyperlink w:anchor="SENTENCIA_1985_53" w:history="1">
        <w:r w:rsidRPr="009452A2">
          <w:rPr>
            <w:rStyle w:val="TextoNormalCaracter"/>
          </w:rPr>
          <w:t>53/1985</w:t>
        </w:r>
      </w:hyperlink>
      <w:r>
        <w:t>, f. 6.</w:t>
      </w:r>
    </w:p>
    <w:p w:rsidR="009452A2" w:rsidRDefault="009452A2" w:rsidP="009452A2">
      <w:pPr>
        <w:pStyle w:val="SangriaFrancesaArticulo"/>
      </w:pPr>
      <w:r w:rsidRPr="009452A2">
        <w:rPr>
          <w:rStyle w:val="TextoNormalNegritaCaracter"/>
        </w:rPr>
        <w:t>Artículo 6.1.</w:t>
      </w:r>
      <w:r w:rsidRPr="009452A2">
        <w:rPr>
          <w:rStyle w:val="TextoNormalCaracter"/>
        </w:rPr>
        <w:t>-</w:t>
      </w:r>
      <w:r>
        <w:t xml:space="preserve"> Sentencia </w:t>
      </w:r>
      <w:hyperlink w:anchor="SENTENCIA_1985_53" w:history="1">
        <w:r w:rsidRPr="009452A2">
          <w:rPr>
            <w:rStyle w:val="TextoNormalCaracter"/>
          </w:rPr>
          <w:t>53/1985</w:t>
        </w:r>
      </w:hyperlink>
      <w:r>
        <w:t>, VP I.</w:t>
      </w:r>
    </w:p>
    <w:p w:rsidR="009452A2" w:rsidRDefault="009452A2" w:rsidP="009452A2">
      <w:pPr>
        <w:pStyle w:val="SangriaFrancesaArticulo"/>
      </w:pPr>
      <w:r w:rsidRPr="009452A2">
        <w:rPr>
          <w:rStyle w:val="TextoNormalNegritaCaracter"/>
        </w:rPr>
        <w:t>Artículo 9.3.</w:t>
      </w:r>
      <w:r w:rsidRPr="009452A2">
        <w:rPr>
          <w:rStyle w:val="TextoNormalCaracter"/>
        </w:rPr>
        <w:t>-</w:t>
      </w:r>
      <w:r>
        <w:t xml:space="preserve"> Sentencia </w:t>
      </w:r>
      <w:hyperlink w:anchor="SENTENCIA_1985_28" w:history="1">
        <w:r w:rsidRPr="009452A2">
          <w:rPr>
            <w:rStyle w:val="TextoNormalCaracter"/>
          </w:rPr>
          <w:t>28/1985</w:t>
        </w:r>
      </w:hyperlink>
      <w:r>
        <w:t>, f. 3.</w:t>
      </w:r>
    </w:p>
    <w:p w:rsidR="009452A2" w:rsidRDefault="009452A2" w:rsidP="009452A2">
      <w:pPr>
        <w:pStyle w:val="SangriaFrancesaArticulo"/>
      </w:pPr>
      <w:r w:rsidRPr="009452A2">
        <w:rPr>
          <w:rStyle w:val="TextoNormalNegritaCaracter"/>
        </w:rPr>
        <w:t>Artículo 14.1.</w:t>
      </w:r>
      <w:r w:rsidRPr="009452A2">
        <w:rPr>
          <w:rStyle w:val="TextoNormalCaracter"/>
        </w:rPr>
        <w:t>-</w:t>
      </w:r>
      <w:r>
        <w:t xml:space="preserve"> Sentencias </w:t>
      </w:r>
      <w:hyperlink w:anchor="SENTENCIA_1985_13" w:history="1">
        <w:r w:rsidRPr="009452A2">
          <w:rPr>
            <w:rStyle w:val="TextoNormalCaracter"/>
          </w:rPr>
          <w:t>13/1985</w:t>
        </w:r>
      </w:hyperlink>
      <w:r>
        <w:t xml:space="preserve">, f. 3; </w:t>
      </w:r>
      <w:hyperlink w:anchor="SENTENCIA_1985_44" w:history="1">
        <w:r w:rsidRPr="009452A2">
          <w:rPr>
            <w:rStyle w:val="TextoNormalCaracter"/>
          </w:rPr>
          <w:t>44/1985</w:t>
        </w:r>
      </w:hyperlink>
      <w:r>
        <w:t>, f. 4.</w:t>
      </w:r>
    </w:p>
    <w:p w:rsidR="009452A2" w:rsidRDefault="009452A2" w:rsidP="009452A2">
      <w:pPr>
        <w:pStyle w:val="SangriaFrancesaArticulo"/>
      </w:pPr>
      <w:r w:rsidRPr="009452A2">
        <w:rPr>
          <w:rStyle w:val="TextoNormalNegritaCaracter"/>
        </w:rPr>
        <w:t>Artículo 14.2.</w:t>
      </w:r>
      <w:r w:rsidRPr="009452A2">
        <w:rPr>
          <w:rStyle w:val="TextoNormalCaracter"/>
        </w:rPr>
        <w:t>-</w:t>
      </w:r>
      <w:r>
        <w:t xml:space="preserve"> Sentencia </w:t>
      </w:r>
      <w:hyperlink w:anchor="SENTENCIA_1985_51" w:history="1">
        <w:r w:rsidRPr="009452A2">
          <w:rPr>
            <w:rStyle w:val="TextoNormalCaracter"/>
          </w:rPr>
          <w:t>51/1985</w:t>
        </w:r>
      </w:hyperlink>
      <w:r>
        <w:t>, f. 3.</w:t>
      </w:r>
    </w:p>
    <w:p w:rsidR="009452A2" w:rsidRDefault="009452A2" w:rsidP="009452A2">
      <w:pPr>
        <w:pStyle w:val="SangriaFrancesaArticulo"/>
      </w:pPr>
      <w:r w:rsidRPr="009452A2">
        <w:rPr>
          <w:rStyle w:val="TextoNormalNegritaCaracter"/>
        </w:rPr>
        <w:t>Artículo 14.5.</w:t>
      </w:r>
      <w:r w:rsidRPr="009452A2">
        <w:rPr>
          <w:rStyle w:val="TextoNormalCaracter"/>
        </w:rPr>
        <w:t>-</w:t>
      </w:r>
      <w:r>
        <w:t xml:space="preserve"> Sentencias </w:t>
      </w:r>
      <w:hyperlink w:anchor="SENTENCIA_1985_33" w:history="1">
        <w:r w:rsidRPr="009452A2">
          <w:rPr>
            <w:rStyle w:val="TextoNormalCaracter"/>
          </w:rPr>
          <w:t>33/1985</w:t>
        </w:r>
      </w:hyperlink>
      <w:r>
        <w:t xml:space="preserve">, f. 2; </w:t>
      </w:r>
      <w:hyperlink w:anchor="SENTENCIA_1985_51" w:history="1">
        <w:r w:rsidRPr="009452A2">
          <w:rPr>
            <w:rStyle w:val="TextoNormalCaracter"/>
          </w:rPr>
          <w:t>51/1985</w:t>
        </w:r>
      </w:hyperlink>
      <w:r>
        <w:t>, f. 3.</w:t>
      </w:r>
    </w:p>
    <w:p w:rsidR="009452A2" w:rsidRDefault="009452A2" w:rsidP="009452A2">
      <w:pPr>
        <w:pStyle w:val="SangriaIzquierdaArticulo"/>
      </w:pPr>
      <w:r>
        <w:t xml:space="preserve">Autos </w:t>
      </w:r>
      <w:hyperlink w:anchor="AUTO_1985_59" w:history="1">
        <w:r w:rsidRPr="009452A2">
          <w:rPr>
            <w:rStyle w:val="TextoNormalCaracter"/>
          </w:rPr>
          <w:t>59/1985</w:t>
        </w:r>
      </w:hyperlink>
      <w:r>
        <w:t xml:space="preserve">; </w:t>
      </w:r>
      <w:hyperlink w:anchor="AUTO_1985_83" w:history="1">
        <w:r w:rsidRPr="009452A2">
          <w:rPr>
            <w:rStyle w:val="TextoNormalCaracter"/>
          </w:rPr>
          <w:t>83/1985</w:t>
        </w:r>
      </w:hyperlink>
      <w:r>
        <w:t>.</w:t>
      </w:r>
    </w:p>
    <w:p w:rsidR="009452A2" w:rsidRDefault="009452A2" w:rsidP="009452A2">
      <w:pPr>
        <w:pStyle w:val="SangriaFrancesaArticulo"/>
      </w:pPr>
      <w:r w:rsidRPr="009452A2">
        <w:rPr>
          <w:rStyle w:val="TextoNormalNegritaCaracter"/>
        </w:rPr>
        <w:t>Artículo 14.7.</w:t>
      </w:r>
      <w:r w:rsidRPr="009452A2">
        <w:rPr>
          <w:rStyle w:val="TextoNormalCaracter"/>
        </w:rPr>
        <w:t>-</w:t>
      </w:r>
      <w:r>
        <w:t xml:space="preserve"> Auto </w:t>
      </w:r>
      <w:hyperlink w:anchor="AUTO_1985_90" w:history="1">
        <w:r w:rsidRPr="009452A2">
          <w:rPr>
            <w:rStyle w:val="TextoNormalCaracter"/>
          </w:rPr>
          <w:t>90/1985</w:t>
        </w:r>
      </w:hyperlink>
      <w:r>
        <w:t>.</w:t>
      </w:r>
    </w:p>
    <w:p w:rsidR="009452A2" w:rsidRDefault="009452A2" w:rsidP="009452A2">
      <w:pPr>
        <w:pStyle w:val="SangriaFrancesaArticulo"/>
      </w:pPr>
    </w:p>
    <w:p w:rsidR="009452A2" w:rsidRDefault="009452A2" w:rsidP="009452A2">
      <w:pPr>
        <w:pStyle w:val="TextoNormalNegritaCursivandice"/>
      </w:pPr>
      <w:r>
        <w:t>Convenio de asistencia judicial penal y de extradición con Italia de 22 de mayo de 1973, ratificado por Instrumento de 11 de octubre de 1977</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1" w:history="1">
        <w:r w:rsidRPr="009452A2">
          <w:rPr>
            <w:rStyle w:val="TextoNormalCaracter"/>
          </w:rPr>
          <w:t>11/1985</w:t>
        </w:r>
      </w:hyperlink>
      <w:r>
        <w:t>, f. 4.</w:t>
      </w:r>
    </w:p>
    <w:p w:rsidR="009452A2" w:rsidRDefault="009452A2" w:rsidP="009452A2">
      <w:pPr>
        <w:pStyle w:val="SangriaFrancesaArticulo"/>
      </w:pPr>
    </w:p>
    <w:p w:rsidR="009452A2" w:rsidRDefault="009452A2" w:rsidP="009452A2">
      <w:pPr>
        <w:pStyle w:val="TextoNormalNegritaCursivandice"/>
      </w:pPr>
      <w:r>
        <w:t>Acuerdo entre el Estado español y la Santa Sede de 3 de enero de 1979. Asuntos jurídicos, ratificado por Instrumento de 4 de diciembre</w:t>
      </w:r>
    </w:p>
    <w:p w:rsidR="009452A2" w:rsidRDefault="009452A2" w:rsidP="009452A2">
      <w:pPr>
        <w:pStyle w:val="SangriaFrancesaArticulo"/>
      </w:pPr>
      <w:r w:rsidRPr="009452A2">
        <w:rPr>
          <w:rStyle w:val="TextoNormalNegritaCaracter"/>
        </w:rPr>
        <w:t>Artículo III.</w:t>
      </w:r>
      <w:r w:rsidRPr="009452A2">
        <w:rPr>
          <w:rStyle w:val="TextoNormalCaracter"/>
        </w:rPr>
        <w:t>-</w:t>
      </w:r>
      <w:r>
        <w:t xml:space="preserve"> Sentencia </w:t>
      </w:r>
      <w:hyperlink w:anchor="SENTENCIA_1985_7" w:history="1">
        <w:r w:rsidRPr="009452A2">
          <w:rPr>
            <w:rStyle w:val="TextoNormalCaracter"/>
          </w:rPr>
          <w:t>7/1985</w:t>
        </w:r>
      </w:hyperlink>
      <w:r>
        <w:t>, ff. 1, 5.</w:t>
      </w:r>
    </w:p>
    <w:p w:rsidR="009452A2" w:rsidRDefault="009452A2" w:rsidP="009452A2">
      <w:pPr>
        <w:pStyle w:val="TextoNormal"/>
      </w:pPr>
    </w:p>
    <w:p w:rsidR="009452A2" w:rsidRDefault="009452A2" w:rsidP="009452A2">
      <w:pPr>
        <w:pStyle w:val="SangriaFrancesaArticulo"/>
      </w:pPr>
      <w:bookmarkStart w:id="361" w:name="INDICE27994"/>
    </w:p>
    <w:bookmarkEnd w:id="361"/>
    <w:p w:rsidR="009452A2" w:rsidRDefault="009452A2" w:rsidP="009452A2">
      <w:pPr>
        <w:pStyle w:val="TextoIndiceNivel2"/>
        <w:suppressAutoHyphens/>
      </w:pPr>
      <w:r>
        <w:t>N) Consejo de Europa</w:t>
      </w:r>
    </w:p>
    <w:p w:rsidR="009452A2" w:rsidRDefault="009452A2" w:rsidP="009452A2">
      <w:pPr>
        <w:pStyle w:val="TextoIndiceNivel2"/>
      </w:pPr>
    </w:p>
    <w:p w:rsidR="009452A2" w:rsidRDefault="009452A2" w:rsidP="009452A2">
      <w:pPr>
        <w:pStyle w:val="TextoNormalNegritaCursivandice"/>
      </w:pPr>
      <w:r>
        <w:t>Convenio europeo para la protección de los derechos humanos y de las libertades fundamentales. Hecho en Roma el 4 de noviembre de 1950, ratificado por Instrumento de 26 de septiembre de 1979</w:t>
      </w:r>
    </w:p>
    <w:p w:rsidR="009452A2" w:rsidRDefault="009452A2" w:rsidP="009452A2">
      <w:pPr>
        <w:pStyle w:val="SangriaFrancesaArticulo"/>
      </w:pPr>
      <w:r w:rsidRPr="009452A2">
        <w:rPr>
          <w:rStyle w:val="TextoNormalNegritaCaracter"/>
        </w:rPr>
        <w:t>Artículo 2.</w:t>
      </w:r>
      <w:r w:rsidRPr="009452A2">
        <w:rPr>
          <w:rStyle w:val="TextoNormalCaracter"/>
        </w:rPr>
        <w:t>-</w:t>
      </w:r>
      <w:r>
        <w:t xml:space="preserve"> Sentencia </w:t>
      </w:r>
      <w:hyperlink w:anchor="SENTENCIA_1985_53" w:history="1">
        <w:r w:rsidRPr="009452A2">
          <w:rPr>
            <w:rStyle w:val="TextoNormalCaracter"/>
          </w:rPr>
          <w:t>53/1985</w:t>
        </w:r>
      </w:hyperlink>
      <w:r>
        <w:t>, f. 6, VP I.</w:t>
      </w:r>
    </w:p>
    <w:p w:rsidR="009452A2" w:rsidRDefault="009452A2" w:rsidP="009452A2">
      <w:pPr>
        <w:pStyle w:val="SangriaFrancesaArticulo"/>
      </w:pPr>
      <w:r w:rsidRPr="009452A2">
        <w:rPr>
          <w:rStyle w:val="TextoNormalNegritaCaracter"/>
        </w:rPr>
        <w:t>Artículo 5.</w:t>
      </w:r>
      <w:r w:rsidRPr="009452A2">
        <w:rPr>
          <w:rStyle w:val="TextoNormalCaracter"/>
        </w:rPr>
        <w:t>-</w:t>
      </w:r>
      <w:r>
        <w:t xml:space="preserve"> Sentencia </w:t>
      </w:r>
      <w:hyperlink w:anchor="SENTENCIA_1985_5" w:history="1">
        <w:r w:rsidRPr="009452A2">
          <w:rPr>
            <w:rStyle w:val="TextoNormalCaracter"/>
          </w:rPr>
          <w:t>5/1985</w:t>
        </w:r>
      </w:hyperlink>
      <w:r>
        <w:t>, f. 4.</w:t>
      </w:r>
    </w:p>
    <w:p w:rsidR="009452A2" w:rsidRDefault="009452A2" w:rsidP="009452A2">
      <w:pPr>
        <w:pStyle w:val="SangriaFrancesaArticulo"/>
      </w:pPr>
      <w:r w:rsidRPr="009452A2">
        <w:rPr>
          <w:rStyle w:val="TextoNormalNegritaCaracter"/>
        </w:rPr>
        <w:t>Artículo 5.3.</w:t>
      </w:r>
      <w:r w:rsidRPr="009452A2">
        <w:rPr>
          <w:rStyle w:val="TextoNormalCaracter"/>
        </w:rPr>
        <w:t>-</w:t>
      </w:r>
      <w:r>
        <w:t xml:space="preserve"> Sentencia </w:t>
      </w:r>
      <w:hyperlink w:anchor="SENTENCIA_1985_28" w:history="1">
        <w:r w:rsidRPr="009452A2">
          <w:rPr>
            <w:rStyle w:val="TextoNormalCaracter"/>
          </w:rPr>
          <w:t>28/1985</w:t>
        </w:r>
      </w:hyperlink>
      <w:r>
        <w:t>, f. 3.</w:t>
      </w:r>
    </w:p>
    <w:p w:rsidR="009452A2" w:rsidRDefault="009452A2" w:rsidP="009452A2">
      <w:pPr>
        <w:pStyle w:val="SangriaFrancesaArticulo"/>
      </w:pPr>
      <w:r w:rsidRPr="009452A2">
        <w:rPr>
          <w:rStyle w:val="TextoNormalNegritaCaracter"/>
        </w:rPr>
        <w:t>Artículo 6.</w:t>
      </w:r>
      <w:r w:rsidRPr="009452A2">
        <w:rPr>
          <w:rStyle w:val="TextoNormalCaracter"/>
        </w:rPr>
        <w:t>-</w:t>
      </w:r>
      <w:r>
        <w:t xml:space="preserve"> Sentencia </w:t>
      </w:r>
      <w:hyperlink w:anchor="SENTENCIA_1985_5" w:history="1">
        <w:r w:rsidRPr="009452A2">
          <w:rPr>
            <w:rStyle w:val="TextoNormalCaracter"/>
          </w:rPr>
          <w:t>5/1985</w:t>
        </w:r>
      </w:hyperlink>
      <w:r>
        <w:t>, f. 3.</w:t>
      </w:r>
    </w:p>
    <w:p w:rsidR="009452A2" w:rsidRDefault="009452A2" w:rsidP="009452A2">
      <w:pPr>
        <w:pStyle w:val="SangriaFrancesaArticulo"/>
      </w:pPr>
      <w:r w:rsidRPr="009452A2">
        <w:rPr>
          <w:rStyle w:val="TextoNormalNegritaCaracter"/>
        </w:rPr>
        <w:t>Artículo 6.1.</w:t>
      </w:r>
      <w:r w:rsidRPr="009452A2">
        <w:rPr>
          <w:rStyle w:val="TextoNormalCaracter"/>
        </w:rPr>
        <w:t>-</w:t>
      </w:r>
      <w:r>
        <w:t xml:space="preserve"> Sentencias </w:t>
      </w:r>
      <w:hyperlink w:anchor="SENTENCIA_1985_5" w:history="1">
        <w:r w:rsidRPr="009452A2">
          <w:rPr>
            <w:rStyle w:val="TextoNormalCaracter"/>
          </w:rPr>
          <w:t>5/1985</w:t>
        </w:r>
      </w:hyperlink>
      <w:r>
        <w:t xml:space="preserve">, ff. 4 a 6, 8; </w:t>
      </w:r>
      <w:hyperlink w:anchor="SENTENCIA_1985_13" w:history="1">
        <w:r w:rsidRPr="009452A2">
          <w:rPr>
            <w:rStyle w:val="TextoNormalCaracter"/>
          </w:rPr>
          <w:t>13/1985</w:t>
        </w:r>
      </w:hyperlink>
      <w:r>
        <w:t xml:space="preserve">, f. 3; </w:t>
      </w:r>
      <w:hyperlink w:anchor="SENTENCIA_1985_44" w:history="1">
        <w:r w:rsidRPr="009452A2">
          <w:rPr>
            <w:rStyle w:val="TextoNormalCaracter"/>
          </w:rPr>
          <w:t>44/1985</w:t>
        </w:r>
      </w:hyperlink>
      <w:r>
        <w:t>, f. 4.</w:t>
      </w:r>
    </w:p>
    <w:p w:rsidR="009452A2" w:rsidRDefault="009452A2" w:rsidP="009452A2">
      <w:pPr>
        <w:pStyle w:val="SangriaFrancesaArticulo"/>
      </w:pPr>
      <w:r w:rsidRPr="009452A2">
        <w:rPr>
          <w:rStyle w:val="TextoNormalNegritaCaracter"/>
        </w:rPr>
        <w:t>Artículo 50.</w:t>
      </w:r>
      <w:r w:rsidRPr="009452A2">
        <w:rPr>
          <w:rStyle w:val="TextoNormalCaracter"/>
        </w:rPr>
        <w:t>-</w:t>
      </w:r>
      <w:r>
        <w:t xml:space="preserve"> Sentencia </w:t>
      </w:r>
      <w:hyperlink w:anchor="SENTENCIA_1985_5" w:history="1">
        <w:r w:rsidRPr="009452A2">
          <w:rPr>
            <w:rStyle w:val="TextoNormalCaracter"/>
          </w:rPr>
          <w:t>5/1985</w:t>
        </w:r>
      </w:hyperlink>
      <w:r>
        <w:t>, f. 9.</w:t>
      </w:r>
    </w:p>
    <w:p w:rsidR="009452A2" w:rsidRDefault="009452A2" w:rsidP="009452A2">
      <w:pPr>
        <w:pStyle w:val="SangriaFrancesaArticulo"/>
      </w:pPr>
    </w:p>
    <w:p w:rsidR="009452A2" w:rsidRDefault="009452A2" w:rsidP="009452A2">
      <w:pPr>
        <w:pStyle w:val="TextoNormalNegritaCursivandice"/>
      </w:pPr>
      <w:r>
        <w:t>Convenio europeo de extradición, de 13 de diciembre de 1957, ratificado por Instrumento de 21 de abril de 1982</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11" w:history="1">
        <w:r w:rsidRPr="009452A2">
          <w:rPr>
            <w:rStyle w:val="TextoNormalCaracter"/>
          </w:rPr>
          <w:t>11/1985</w:t>
        </w:r>
      </w:hyperlink>
      <w:r>
        <w:t>, ff. 4, 6.</w:t>
      </w:r>
    </w:p>
    <w:p w:rsidR="009452A2" w:rsidRDefault="009452A2" w:rsidP="009452A2">
      <w:pPr>
        <w:pStyle w:val="SangriaIzquierdaArticulo"/>
      </w:pPr>
      <w:r>
        <w:t xml:space="preserve">Auto </w:t>
      </w:r>
      <w:hyperlink w:anchor="AUTO_1985_59" w:history="1">
        <w:r w:rsidRPr="009452A2">
          <w:rPr>
            <w:rStyle w:val="TextoNormalCaracter"/>
          </w:rPr>
          <w:t>59/1985</w:t>
        </w:r>
      </w:hyperlink>
      <w:r>
        <w:t>.</w:t>
      </w:r>
    </w:p>
    <w:p w:rsidR="009452A2" w:rsidRDefault="009452A2" w:rsidP="009452A2">
      <w:pPr>
        <w:pStyle w:val="SangriaFrancesaArticulo"/>
      </w:pPr>
      <w:r w:rsidRPr="009452A2">
        <w:rPr>
          <w:rStyle w:val="TextoNormalNegritaCaracter"/>
        </w:rPr>
        <w:t>Artículo 1.</w:t>
      </w:r>
      <w:r w:rsidRPr="009452A2">
        <w:rPr>
          <w:rStyle w:val="TextoNormalCaracter"/>
        </w:rPr>
        <w:t>-</w:t>
      </w:r>
      <w:r>
        <w:t xml:space="preserve"> Auto </w:t>
      </w:r>
      <w:hyperlink w:anchor="AUTO_1985_59" w:history="1">
        <w:r w:rsidRPr="009452A2">
          <w:rPr>
            <w:rStyle w:val="TextoNormalCaracter"/>
          </w:rPr>
          <w:t>59/1985</w:t>
        </w:r>
      </w:hyperlink>
      <w:r>
        <w:t>.</w:t>
      </w:r>
    </w:p>
    <w:p w:rsidR="009452A2" w:rsidRDefault="009452A2" w:rsidP="009452A2">
      <w:pPr>
        <w:pStyle w:val="SangriaFrancesaArticulo"/>
      </w:pPr>
      <w:r w:rsidRPr="009452A2">
        <w:rPr>
          <w:rStyle w:val="TextoNormalNegritaCaracter"/>
        </w:rPr>
        <w:t>Artículo 2.</w:t>
      </w:r>
      <w:r w:rsidRPr="009452A2">
        <w:rPr>
          <w:rStyle w:val="TextoNormalCaracter"/>
        </w:rPr>
        <w:t>-</w:t>
      </w:r>
      <w:r>
        <w:t xml:space="preserve"> Auto </w:t>
      </w:r>
      <w:hyperlink w:anchor="AUTO_1985_198" w:history="1">
        <w:r w:rsidRPr="009452A2">
          <w:rPr>
            <w:rStyle w:val="TextoNormalCaracter"/>
          </w:rPr>
          <w:t>198/1985</w:t>
        </w:r>
      </w:hyperlink>
      <w:r>
        <w:t>.</w:t>
      </w:r>
    </w:p>
    <w:p w:rsidR="009452A2" w:rsidRDefault="009452A2" w:rsidP="009452A2">
      <w:pPr>
        <w:pStyle w:val="SangriaFrancesaArticulo"/>
      </w:pPr>
      <w:r w:rsidRPr="009452A2">
        <w:rPr>
          <w:rStyle w:val="TextoNormalNegritaCaracter"/>
        </w:rPr>
        <w:t>Artículo 5.</w:t>
      </w:r>
      <w:r w:rsidRPr="009452A2">
        <w:rPr>
          <w:rStyle w:val="TextoNormalCaracter"/>
        </w:rPr>
        <w:t>-</w:t>
      </w:r>
      <w:r>
        <w:t xml:space="preserve"> Auto </w:t>
      </w:r>
      <w:hyperlink w:anchor="AUTO_1985_59" w:history="1">
        <w:r w:rsidRPr="009452A2">
          <w:rPr>
            <w:rStyle w:val="TextoNormalCaracter"/>
          </w:rPr>
          <w:t>59/1985</w:t>
        </w:r>
      </w:hyperlink>
      <w:r>
        <w:t>.</w:t>
      </w:r>
    </w:p>
    <w:p w:rsidR="009452A2" w:rsidRDefault="009452A2" w:rsidP="009452A2">
      <w:pPr>
        <w:pStyle w:val="SangriaFrancesaArticulo"/>
      </w:pPr>
      <w:r w:rsidRPr="009452A2">
        <w:rPr>
          <w:rStyle w:val="TextoNormalNegritaCaracter"/>
        </w:rPr>
        <w:t>Artículo 12.</w:t>
      </w:r>
      <w:r w:rsidRPr="009452A2">
        <w:rPr>
          <w:rStyle w:val="TextoNormalCaracter"/>
        </w:rPr>
        <w:t>-</w:t>
      </w:r>
      <w:r>
        <w:t xml:space="preserve"> Auto </w:t>
      </w:r>
      <w:hyperlink w:anchor="AUTO_1985_59" w:history="1">
        <w:r w:rsidRPr="009452A2">
          <w:rPr>
            <w:rStyle w:val="TextoNormalCaracter"/>
          </w:rPr>
          <w:t>59/1985</w:t>
        </w:r>
      </w:hyperlink>
      <w:r>
        <w:t>.</w:t>
      </w:r>
    </w:p>
    <w:p w:rsidR="009452A2" w:rsidRDefault="009452A2" w:rsidP="009452A2">
      <w:pPr>
        <w:pStyle w:val="SangriaFrancesaArticulo"/>
      </w:pPr>
      <w:r w:rsidRPr="009452A2">
        <w:rPr>
          <w:rStyle w:val="TextoNormalNegritaCaracter"/>
        </w:rPr>
        <w:t>Artículo 14.</w:t>
      </w:r>
      <w:r w:rsidRPr="009452A2">
        <w:rPr>
          <w:rStyle w:val="TextoNormalCaracter"/>
        </w:rPr>
        <w:t>-</w:t>
      </w:r>
      <w:r>
        <w:t xml:space="preserve"> Auto </w:t>
      </w:r>
      <w:hyperlink w:anchor="AUTO_1985_59" w:history="1">
        <w:r w:rsidRPr="009452A2">
          <w:rPr>
            <w:rStyle w:val="TextoNormalCaracter"/>
          </w:rPr>
          <w:t>59/1985</w:t>
        </w:r>
      </w:hyperlink>
      <w:r>
        <w:t>.</w:t>
      </w:r>
    </w:p>
    <w:p w:rsidR="009452A2" w:rsidRDefault="009452A2" w:rsidP="009452A2">
      <w:pPr>
        <w:pStyle w:val="SangriaFrancesaArticulo"/>
      </w:pPr>
      <w:r w:rsidRPr="009452A2">
        <w:rPr>
          <w:rStyle w:val="TextoNormalNegritaCaracter"/>
        </w:rPr>
        <w:t>Artículo 16.4.</w:t>
      </w:r>
      <w:r w:rsidRPr="009452A2">
        <w:rPr>
          <w:rStyle w:val="TextoNormalCaracter"/>
        </w:rPr>
        <w:t>-</w:t>
      </w:r>
      <w:r>
        <w:t xml:space="preserve"> Sentencia </w:t>
      </w:r>
      <w:hyperlink w:anchor="SENTENCIA_1985_11" w:history="1">
        <w:r w:rsidRPr="009452A2">
          <w:rPr>
            <w:rStyle w:val="TextoNormalCaracter"/>
          </w:rPr>
          <w:t>11/1985</w:t>
        </w:r>
      </w:hyperlink>
      <w:r>
        <w:t>, f. 4.</w:t>
      </w:r>
    </w:p>
    <w:p w:rsidR="009452A2" w:rsidRDefault="009452A2" w:rsidP="009452A2">
      <w:pPr>
        <w:pStyle w:val="SangriaFrancesaArticulo"/>
      </w:pPr>
      <w:r w:rsidRPr="009452A2">
        <w:rPr>
          <w:rStyle w:val="TextoNormalNegritaCaracter"/>
        </w:rPr>
        <w:t>Artículo 16.5.</w:t>
      </w:r>
      <w:r w:rsidRPr="009452A2">
        <w:rPr>
          <w:rStyle w:val="TextoNormalCaracter"/>
        </w:rPr>
        <w:t>-</w:t>
      </w:r>
      <w:r>
        <w:t xml:space="preserve"> Sentencia </w:t>
      </w:r>
      <w:hyperlink w:anchor="SENTENCIA_1985_11" w:history="1">
        <w:r w:rsidRPr="009452A2">
          <w:rPr>
            <w:rStyle w:val="TextoNormalCaracter"/>
          </w:rPr>
          <w:t>11/1985</w:t>
        </w:r>
      </w:hyperlink>
      <w:r>
        <w:t>, f. 4.</w:t>
      </w:r>
    </w:p>
    <w:p w:rsidR="009452A2" w:rsidRDefault="009452A2" w:rsidP="009452A2">
      <w:pPr>
        <w:pStyle w:val="SangriaFrancesaArticulo"/>
      </w:pPr>
      <w:r w:rsidRPr="009452A2">
        <w:rPr>
          <w:rStyle w:val="TextoNormalNegritaCaracter"/>
        </w:rPr>
        <w:t>Artículo 22.</w:t>
      </w:r>
      <w:r w:rsidRPr="009452A2">
        <w:rPr>
          <w:rStyle w:val="TextoNormalCaracter"/>
        </w:rPr>
        <w:t>-</w:t>
      </w:r>
      <w:r>
        <w:t xml:space="preserve"> Sentencia </w:t>
      </w:r>
      <w:hyperlink w:anchor="SENTENCIA_1985_11" w:history="1">
        <w:r w:rsidRPr="009452A2">
          <w:rPr>
            <w:rStyle w:val="TextoNormalCaracter"/>
          </w:rPr>
          <w:t>11/1985</w:t>
        </w:r>
      </w:hyperlink>
      <w:r>
        <w:t>, f. 4.</w:t>
      </w:r>
    </w:p>
    <w:p w:rsidR="009452A2" w:rsidRDefault="009452A2" w:rsidP="009452A2">
      <w:pPr>
        <w:pStyle w:val="SangriaFrancesaArticulo"/>
      </w:pPr>
      <w:r w:rsidRPr="009452A2">
        <w:rPr>
          <w:rStyle w:val="TextoNormalNegritaCaracter"/>
        </w:rPr>
        <w:t>Artículo 23.</w:t>
      </w:r>
      <w:r w:rsidRPr="009452A2">
        <w:rPr>
          <w:rStyle w:val="TextoNormalCaracter"/>
        </w:rPr>
        <w:t>-</w:t>
      </w:r>
      <w:r>
        <w:t xml:space="preserve"> Auto </w:t>
      </w:r>
      <w:hyperlink w:anchor="AUTO_1985_59" w:history="1">
        <w:r w:rsidRPr="009452A2">
          <w:rPr>
            <w:rStyle w:val="TextoNormalCaracter"/>
          </w:rPr>
          <w:t>59/1985</w:t>
        </w:r>
      </w:hyperlink>
      <w:r>
        <w:t>.</w:t>
      </w:r>
    </w:p>
    <w:p w:rsidR="009452A2" w:rsidRDefault="009452A2" w:rsidP="009452A2">
      <w:pPr>
        <w:pStyle w:val="TextoNormal"/>
      </w:pPr>
    </w:p>
    <w:p w:rsidR="009452A2" w:rsidRDefault="009452A2" w:rsidP="009452A2">
      <w:pPr>
        <w:pStyle w:val="SangriaFrancesaArticulo"/>
      </w:pPr>
      <w:bookmarkStart w:id="362" w:name="INDICE22872"/>
    </w:p>
    <w:bookmarkEnd w:id="362"/>
    <w:p w:rsidR="009452A2" w:rsidRDefault="009452A2" w:rsidP="009452A2">
      <w:pPr>
        <w:pStyle w:val="TextoIndiceNivel2"/>
        <w:suppressAutoHyphens/>
      </w:pPr>
      <w:r>
        <w:t>Ñ) Legislación extranjera</w:t>
      </w:r>
    </w:p>
    <w:p w:rsidR="009452A2" w:rsidRDefault="009452A2" w:rsidP="009452A2">
      <w:pPr>
        <w:pStyle w:val="TextoIndiceNivel2"/>
      </w:pPr>
    </w:p>
    <w:p w:rsidR="009452A2" w:rsidRDefault="009452A2" w:rsidP="009452A2">
      <w:pPr>
        <w:pStyle w:val="TextoNormalNegritaCursivandice"/>
      </w:pPr>
      <w:r>
        <w:t>Código penal de Italia, de 19 de octubre de 1930</w:t>
      </w:r>
    </w:p>
    <w:p w:rsidR="009452A2" w:rsidRDefault="009452A2" w:rsidP="009452A2">
      <w:pPr>
        <w:pStyle w:val="SangriaFrancesaArticulo"/>
      </w:pPr>
      <w:r w:rsidRPr="009452A2">
        <w:rPr>
          <w:rStyle w:val="TextoNormalNegritaCaracter"/>
        </w:rPr>
        <w:t>Artículo 148.</w:t>
      </w:r>
      <w:r w:rsidRPr="009452A2">
        <w:rPr>
          <w:rStyle w:val="TextoNormalCaracter"/>
        </w:rPr>
        <w:t>-</w:t>
      </w:r>
      <w:r>
        <w:t xml:space="preserve"> Auto </w:t>
      </w:r>
      <w:hyperlink w:anchor="AUTO_1985_146" w:history="1">
        <w:r w:rsidRPr="009452A2">
          <w:rPr>
            <w:rStyle w:val="TextoNormalCaracter"/>
          </w:rPr>
          <w:t>146/1985</w:t>
        </w:r>
      </w:hyperlink>
      <w:r>
        <w:t>.</w:t>
      </w:r>
    </w:p>
    <w:p w:rsidR="009452A2" w:rsidRDefault="009452A2">
      <w:pPr>
        <w:rPr>
          <w:rFonts w:ascii="Times New Roman" w:eastAsia="Times New Roman" w:hAnsi="Times New Roman" w:cs="Times New Roman"/>
          <w:sz w:val="24"/>
          <w:szCs w:val="24"/>
          <w:lang w:eastAsia="es-ES"/>
        </w:rPr>
      </w:pPr>
      <w:r>
        <w:br w:type="page"/>
      </w:r>
    </w:p>
    <w:p w:rsidR="009452A2" w:rsidRDefault="009452A2" w:rsidP="009452A2">
      <w:pPr>
        <w:pStyle w:val="SangriaFrancesaArticulo"/>
      </w:pPr>
    </w:p>
    <w:p w:rsidR="009452A2" w:rsidRDefault="009452A2" w:rsidP="009452A2">
      <w:pPr>
        <w:pStyle w:val="TextoNormal"/>
      </w:pPr>
    </w:p>
    <w:p w:rsidR="009452A2" w:rsidRDefault="009452A2" w:rsidP="009452A2">
      <w:pPr>
        <w:pStyle w:val="TextoNormal"/>
      </w:pPr>
    </w:p>
    <w:p w:rsidR="009452A2" w:rsidRDefault="009452A2" w:rsidP="009452A2">
      <w:pPr>
        <w:pStyle w:val="TextoNormal"/>
      </w:pPr>
    </w:p>
    <w:p w:rsidR="009452A2" w:rsidRDefault="00575B95" w:rsidP="009452A2">
      <w:pPr>
        <w:pStyle w:val="Ttulondice"/>
        <w:suppressAutoHyphens/>
      </w:pPr>
      <w:r>
        <w:t>6.</w:t>
      </w:r>
      <w:r w:rsidR="0097109F">
        <w:t xml:space="preserve"> ÍNDICE DE RESOLUCIONES JUDICIALES DE OTROS TRIBUNALES CITADAS</w:t>
      </w: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suppressAutoHyphens/>
      </w:pPr>
    </w:p>
    <w:p w:rsidR="009452A2" w:rsidRDefault="009452A2" w:rsidP="009452A2">
      <w:pPr>
        <w:pStyle w:val="TextoNormal"/>
      </w:pPr>
    </w:p>
    <w:p w:rsidR="009452A2" w:rsidRDefault="009452A2" w:rsidP="009452A2">
      <w:pPr>
        <w:pStyle w:val="TextoNormal"/>
      </w:pPr>
      <w:bookmarkStart w:id="363" w:name="INDICE22805"/>
      <w:bookmarkEnd w:id="363"/>
    </w:p>
    <w:p w:rsidR="009452A2" w:rsidRDefault="009452A2" w:rsidP="009452A2">
      <w:pPr>
        <w:pStyle w:val="TextoIndiceNivel2"/>
        <w:suppressAutoHyphens/>
      </w:pPr>
      <w:r>
        <w:t>A) Tribunal Europeo de Derechos Humanos</w:t>
      </w:r>
    </w:p>
    <w:p w:rsidR="009452A2" w:rsidRDefault="009452A2" w:rsidP="009452A2">
      <w:pPr>
        <w:pStyle w:val="TextoIndiceNivel2"/>
      </w:pPr>
    </w:p>
    <w:p w:rsidR="009452A2" w:rsidRDefault="009452A2" w:rsidP="009452A2">
      <w:pPr>
        <w:pStyle w:val="TextoNormalNegritaCursivandice"/>
      </w:pPr>
      <w:r>
        <w:t>Sentencia del Tribunal Europeo de Derechos Humanos de 6 de mayo de 1981 (Buchholz c. Alemania)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 w:history="1">
        <w:r w:rsidRPr="009452A2">
          <w:rPr>
            <w:rStyle w:val="TextoNormalCaracter"/>
          </w:rPr>
          <w:t>5/1985</w:t>
        </w:r>
      </w:hyperlink>
      <w:r>
        <w:t>, ff. 4, 6, 8.</w:t>
      </w:r>
    </w:p>
    <w:p w:rsidR="009452A2" w:rsidRDefault="009452A2" w:rsidP="009452A2">
      <w:pPr>
        <w:pStyle w:val="SangriaFrancesaArticulo"/>
      </w:pPr>
    </w:p>
    <w:p w:rsidR="009452A2" w:rsidRDefault="009452A2" w:rsidP="009452A2">
      <w:pPr>
        <w:pStyle w:val="TextoNormalNegritaCursivandice"/>
      </w:pPr>
      <w:r>
        <w:t>Sentencia del Tribunal Europeo de Derechos Humanos de 10 de diciembre de 1982 (Corigliano c. Italia)</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 w:history="1">
        <w:r w:rsidRPr="009452A2">
          <w:rPr>
            <w:rStyle w:val="TextoNormalCaracter"/>
          </w:rPr>
          <w:t>5/1985</w:t>
        </w:r>
      </w:hyperlink>
      <w:r>
        <w:t>, f. 9.</w:t>
      </w:r>
    </w:p>
    <w:p w:rsidR="009452A2" w:rsidRDefault="009452A2" w:rsidP="009452A2">
      <w:pPr>
        <w:pStyle w:val="TextoNormal"/>
      </w:pPr>
    </w:p>
    <w:p w:rsidR="009452A2" w:rsidRDefault="009452A2" w:rsidP="009452A2">
      <w:pPr>
        <w:pStyle w:val="SangriaFrancesaArticulo"/>
      </w:pPr>
      <w:bookmarkStart w:id="364" w:name="INDICE22926"/>
    </w:p>
    <w:bookmarkEnd w:id="364"/>
    <w:p w:rsidR="009452A2" w:rsidRDefault="009452A2" w:rsidP="009452A2">
      <w:pPr>
        <w:pStyle w:val="TextoIndiceNivel2"/>
        <w:suppressAutoHyphens/>
      </w:pPr>
      <w:r>
        <w:t>D) Otros Tribunales</w:t>
      </w:r>
    </w:p>
    <w:p w:rsidR="009452A2" w:rsidRDefault="009452A2" w:rsidP="009452A2">
      <w:pPr>
        <w:pStyle w:val="TextoIndiceNivel2"/>
      </w:pPr>
    </w:p>
    <w:p w:rsidR="009452A2" w:rsidRDefault="009452A2" w:rsidP="009452A2">
      <w:pPr>
        <w:pStyle w:val="TextoNormalNegritaCursivandice"/>
      </w:pPr>
      <w:r>
        <w:t>Sentencia del Tribunal Constitucional italiano 81/1975, de 27 de marzo</w:t>
      </w:r>
    </w:p>
    <w:p w:rsidR="009452A2" w:rsidRDefault="009452A2" w:rsidP="009452A2">
      <w:pPr>
        <w:pStyle w:val="SangriaFrancesaArticulo"/>
      </w:pPr>
      <w:r w:rsidRPr="009452A2">
        <w:rPr>
          <w:rStyle w:val="TextoNormalNegritaCaracter"/>
        </w:rPr>
        <w:t>En general.</w:t>
      </w:r>
      <w:r w:rsidRPr="009452A2">
        <w:rPr>
          <w:rStyle w:val="TextoNormalCaracter"/>
        </w:rPr>
        <w:t>-</w:t>
      </w:r>
      <w:r>
        <w:t xml:space="preserve"> Sentencia </w:t>
      </w:r>
      <w:hyperlink w:anchor="SENTENCIA_1985_51" w:history="1">
        <w:r w:rsidRPr="009452A2">
          <w:rPr>
            <w:rStyle w:val="TextoNormalCaracter"/>
          </w:rPr>
          <w:t>51/1985</w:t>
        </w:r>
      </w:hyperlink>
      <w:r>
        <w:t>, f. 6.</w:t>
      </w:r>
    </w:p>
    <w:p w:rsidR="009452A2" w:rsidRDefault="009452A2">
      <w:pPr>
        <w:rPr>
          <w:rFonts w:ascii="Times New Roman" w:eastAsia="Times New Roman" w:hAnsi="Times New Roman" w:cs="Times New Roman"/>
          <w:sz w:val="24"/>
          <w:szCs w:val="24"/>
          <w:lang w:eastAsia="es-ES"/>
        </w:rPr>
      </w:pPr>
      <w:r>
        <w:br w:type="page"/>
      </w:r>
    </w:p>
    <w:p w:rsidR="009452A2" w:rsidRDefault="009452A2" w:rsidP="009452A2">
      <w:pPr>
        <w:pStyle w:val="SangriaFrancesaArticulo"/>
      </w:pPr>
      <w:bookmarkStart w:id="365" w:name="DESCRIPTOR1"/>
      <w:bookmarkStart w:id="366" w:name="DESCRIPTOR2"/>
      <w:bookmarkStart w:id="367" w:name="DESCRIPTOR3"/>
      <w:bookmarkStart w:id="368" w:name="DESCRIPTOR4"/>
      <w:bookmarkStart w:id="369" w:name="DESCRIPTOR5"/>
      <w:bookmarkStart w:id="370" w:name="DESCRIPTOR6"/>
      <w:bookmarkStart w:id="371" w:name="DESCRIPTOR7"/>
      <w:bookmarkStart w:id="372" w:name="DESCRIPTOR8"/>
      <w:bookmarkStart w:id="373" w:name="DESCRIPTOR9"/>
      <w:bookmarkStart w:id="374" w:name="DESCRIPTOR10"/>
      <w:bookmarkStart w:id="375" w:name="DESCRIPTOR11"/>
      <w:bookmarkStart w:id="376" w:name="DESCRIPTOR12"/>
      <w:bookmarkStart w:id="377" w:name="DESCRIPTOR13"/>
      <w:bookmarkStart w:id="378" w:name="DESCRIPTOR14"/>
      <w:bookmarkStart w:id="379" w:name="DESCRIPTOR15"/>
      <w:bookmarkStart w:id="380" w:name="DESCRIPTOR16"/>
      <w:bookmarkStart w:id="381" w:name="DESCRIPTOR17"/>
      <w:bookmarkStart w:id="382" w:name="DESCRIPTOR18"/>
      <w:bookmarkStart w:id="383" w:name="DESCRIPTOR19"/>
      <w:bookmarkStart w:id="384" w:name="DESCRIPTOR20"/>
      <w:bookmarkStart w:id="385" w:name="DESCRIPTOR21"/>
      <w:bookmarkStart w:id="386" w:name="DESCRIPTOR22"/>
      <w:bookmarkStart w:id="387" w:name="DESCRIPTOR23"/>
      <w:bookmarkStart w:id="388" w:name="DESCRIPTOR24"/>
      <w:bookmarkStart w:id="389" w:name="DESCRIPTOR25"/>
      <w:bookmarkStart w:id="390" w:name="DESCRIPTOR26"/>
      <w:bookmarkStart w:id="391" w:name="DESCRIPTOR27"/>
      <w:bookmarkStart w:id="392" w:name="DESCRIPTOR28"/>
      <w:bookmarkStart w:id="393" w:name="DESCRIPTOR29"/>
      <w:bookmarkStart w:id="394" w:name="DESCRIPTOR30"/>
      <w:bookmarkStart w:id="395" w:name="DESCRIPTOR31"/>
      <w:bookmarkStart w:id="396" w:name="DESCRIPTOR32"/>
      <w:bookmarkStart w:id="397" w:name="DESCRIPTOR33"/>
      <w:bookmarkStart w:id="398" w:name="DESCRIPTOR34"/>
      <w:bookmarkStart w:id="399" w:name="DESCRIPTOR35"/>
      <w:bookmarkStart w:id="400" w:name="DESCRIPTOR36"/>
      <w:bookmarkStart w:id="401" w:name="DESCRIPTOR37"/>
      <w:bookmarkStart w:id="402" w:name="DESCRIPTOR38"/>
      <w:bookmarkStart w:id="403" w:name="DESCRIPTOR39"/>
      <w:bookmarkStart w:id="404" w:name="DESCRIPTOR40"/>
      <w:bookmarkStart w:id="405" w:name="DESCRIPTOR41"/>
      <w:bookmarkStart w:id="406" w:name="DESCRIPTOR42"/>
      <w:bookmarkStart w:id="407" w:name="DESCRIPTOR43"/>
      <w:bookmarkStart w:id="408" w:name="DESCRIPTOR44"/>
      <w:bookmarkStart w:id="409" w:name="DESCRIPTOR45"/>
      <w:bookmarkStart w:id="410" w:name="DESCRIPTOR46"/>
      <w:bookmarkStart w:id="411" w:name="DESCRIPTOR47"/>
      <w:bookmarkStart w:id="412" w:name="DESCRIPTOR48"/>
      <w:bookmarkStart w:id="413" w:name="DESCRIPTOR49"/>
      <w:bookmarkStart w:id="414" w:name="DESCRIPTOR50"/>
      <w:bookmarkStart w:id="415" w:name="DESCRIPTOR51"/>
      <w:bookmarkStart w:id="416" w:name="DESCRIPTOR52"/>
      <w:bookmarkStart w:id="417" w:name="DESCRIPTOR53"/>
      <w:bookmarkStart w:id="418" w:name="DESCRIPTOR54"/>
      <w:bookmarkStart w:id="419" w:name="DESCRIPTOR55"/>
      <w:bookmarkStart w:id="420" w:name="DESCRIPTOR56"/>
      <w:bookmarkStart w:id="421" w:name="DESCRIPTOR57"/>
      <w:bookmarkStart w:id="422" w:name="DESCRIPTOR58"/>
      <w:bookmarkStart w:id="423" w:name="DESCRIPTOR59"/>
      <w:bookmarkStart w:id="424" w:name="DESCRIPTOR60"/>
      <w:bookmarkStart w:id="425" w:name="DESCRIPTOR61"/>
      <w:bookmarkStart w:id="426" w:name="DESCRIPTOR62"/>
      <w:bookmarkStart w:id="427" w:name="DESCRIPTOR63"/>
      <w:bookmarkStart w:id="428" w:name="DESCRIPTOR64"/>
      <w:bookmarkStart w:id="429" w:name="DESCRIPTOR65"/>
      <w:bookmarkStart w:id="430" w:name="DESCRIPTOR66"/>
      <w:bookmarkStart w:id="431" w:name="DESCRIPTOR67"/>
      <w:bookmarkStart w:id="432" w:name="DESCRIPTOR68"/>
      <w:bookmarkStart w:id="433" w:name="DESCRIPTOR69"/>
      <w:bookmarkStart w:id="434" w:name="DESCRIPTOR70"/>
      <w:bookmarkStart w:id="435" w:name="DESCRIPTOR71"/>
      <w:bookmarkStart w:id="436" w:name="DESCRIPTOR72"/>
      <w:bookmarkStart w:id="437" w:name="DESCRIPTOR73"/>
      <w:bookmarkStart w:id="438" w:name="DESCRIPTOR74"/>
      <w:bookmarkStart w:id="439" w:name="DESCRIPTOR75"/>
      <w:bookmarkStart w:id="440" w:name="DESCRIPTOR76"/>
      <w:bookmarkStart w:id="441" w:name="DESCRIPTOR77"/>
      <w:bookmarkStart w:id="442" w:name="DESCRIPTOR78"/>
      <w:bookmarkStart w:id="443" w:name="DESCRIPTOR79"/>
      <w:bookmarkStart w:id="444" w:name="DESCRIPTOR80"/>
      <w:bookmarkStart w:id="445" w:name="DESCRIPTOR81"/>
      <w:bookmarkStart w:id="446" w:name="DESCRIPTOR82"/>
      <w:bookmarkStart w:id="447" w:name="DESCRIPTOR83"/>
      <w:bookmarkStart w:id="448" w:name="DESCRIPTOR84"/>
      <w:bookmarkStart w:id="449" w:name="DESCRIPTOR85"/>
      <w:bookmarkStart w:id="450" w:name="DESCRIPTOR86"/>
      <w:bookmarkStart w:id="451" w:name="DESCRIPTOR87"/>
      <w:bookmarkStart w:id="452" w:name="DESCRIPTOR88"/>
      <w:bookmarkStart w:id="453" w:name="DESCRIPTOR89"/>
      <w:bookmarkStart w:id="454" w:name="DESCRIPTOR90"/>
      <w:bookmarkStart w:id="455" w:name="DESCRIPTOR91"/>
      <w:bookmarkStart w:id="456" w:name="DESCRIPTOR92"/>
      <w:bookmarkStart w:id="457" w:name="DESCRIPTOR93"/>
      <w:bookmarkStart w:id="458" w:name="DESCRIPTOR94"/>
      <w:bookmarkStart w:id="459" w:name="DESCRIPTOR95"/>
      <w:bookmarkStart w:id="460" w:name="DESCRIPTOR96"/>
      <w:bookmarkStart w:id="461" w:name="DESCRIPTOR97"/>
      <w:bookmarkStart w:id="462" w:name="DESCRIPTOR98"/>
      <w:bookmarkStart w:id="463" w:name="DESCRIPTOR99"/>
      <w:bookmarkStart w:id="464" w:name="DESCRIPTOR100"/>
      <w:bookmarkStart w:id="465" w:name="DESCRIPTOR101"/>
      <w:bookmarkStart w:id="466" w:name="DESCRIPTOR102"/>
      <w:bookmarkStart w:id="467" w:name="DESCRIPTOR103"/>
      <w:bookmarkStart w:id="468" w:name="DESCRIPTOR104"/>
      <w:bookmarkStart w:id="469" w:name="DESCRIPTOR105"/>
      <w:bookmarkStart w:id="470" w:name="DESCRIPTOR106"/>
      <w:bookmarkStart w:id="471" w:name="DESCRIPTOR107"/>
      <w:bookmarkStart w:id="472" w:name="DESCRIPTOR108"/>
      <w:bookmarkStart w:id="473" w:name="DESCRIPTOR109"/>
      <w:bookmarkStart w:id="474" w:name="DESCRIPTOR110"/>
      <w:bookmarkStart w:id="475" w:name="DESCRIPTOR111"/>
      <w:bookmarkStart w:id="476" w:name="DESCRIPTOR112"/>
      <w:bookmarkStart w:id="477" w:name="DESCRIPTOR113"/>
      <w:bookmarkStart w:id="478" w:name="DESCRIPTOR114"/>
      <w:bookmarkStart w:id="479" w:name="DESCRIPTOR115"/>
      <w:bookmarkStart w:id="480" w:name="DESCRIPTOR116"/>
      <w:bookmarkStart w:id="481" w:name="DESCRIPTOR117"/>
      <w:bookmarkStart w:id="482" w:name="DESCRIPTOR118"/>
      <w:bookmarkStart w:id="483" w:name="DESCRIPTOR119"/>
      <w:bookmarkStart w:id="484" w:name="DESCRIPTOR120"/>
      <w:bookmarkStart w:id="485" w:name="DESCRIPTOR121"/>
      <w:bookmarkStart w:id="486" w:name="DESCRIPTOR122"/>
      <w:bookmarkStart w:id="487" w:name="DESCRIPTOR123"/>
      <w:bookmarkStart w:id="488" w:name="DESCRIPTOR124"/>
      <w:bookmarkStart w:id="489" w:name="DESCRIPTOR125"/>
      <w:bookmarkStart w:id="490" w:name="DESCRIPTOR126"/>
      <w:bookmarkStart w:id="491" w:name="DESCRIPTOR127"/>
      <w:bookmarkStart w:id="492" w:name="DESCRIPTOR128"/>
      <w:bookmarkStart w:id="493" w:name="DESCRIPTOR129"/>
      <w:bookmarkStart w:id="494" w:name="DESCRIPTOR130"/>
      <w:bookmarkStart w:id="495" w:name="DESCRIPTOR131"/>
      <w:bookmarkStart w:id="496" w:name="DESCRIPTOR132"/>
      <w:bookmarkStart w:id="497" w:name="DESCRIPTOR133"/>
      <w:bookmarkStart w:id="498" w:name="DESCRIPTOR134"/>
      <w:bookmarkStart w:id="499" w:name="DESCRIPTOR135"/>
      <w:bookmarkStart w:id="500" w:name="DESCRIPTOR136"/>
      <w:bookmarkStart w:id="501" w:name="DESCRIPTOR137"/>
      <w:bookmarkStart w:id="502" w:name="DESCRIPTOR138"/>
      <w:bookmarkStart w:id="503" w:name="DESCRIPTOR139"/>
      <w:bookmarkStart w:id="504" w:name="DESCRIPTOR140"/>
      <w:bookmarkStart w:id="505" w:name="DESCRIPTOR141"/>
      <w:bookmarkStart w:id="506" w:name="DESCRIPTOR142"/>
      <w:bookmarkStart w:id="507" w:name="DESCRIPTOR143"/>
      <w:bookmarkStart w:id="508" w:name="DESCRIPTOR144"/>
      <w:bookmarkStart w:id="509" w:name="DESCRIPTOR145"/>
      <w:bookmarkStart w:id="510" w:name="DESCRIPTOR146"/>
      <w:bookmarkStart w:id="511" w:name="DESCRIPTOR147"/>
      <w:bookmarkStart w:id="512" w:name="DESCRIPTOR148"/>
      <w:bookmarkStart w:id="513" w:name="DESCRIPTOR149"/>
      <w:bookmarkStart w:id="514" w:name="DESCRIPTOR150"/>
      <w:bookmarkStart w:id="515" w:name="DESCRIPTOR151"/>
      <w:bookmarkStart w:id="516" w:name="DESCRIPTOR152"/>
      <w:bookmarkStart w:id="517" w:name="DESCRIPTOR153"/>
      <w:bookmarkStart w:id="518" w:name="DESCRIPTOR154"/>
      <w:bookmarkStart w:id="519" w:name="DESCRIPTOR155"/>
      <w:bookmarkStart w:id="520" w:name="DESCRIPTOR156"/>
      <w:bookmarkStart w:id="521" w:name="DESCRIPTOR157"/>
      <w:bookmarkStart w:id="522" w:name="DESCRIPTOR158"/>
      <w:bookmarkStart w:id="523" w:name="DESCRIPTOR159"/>
      <w:bookmarkStart w:id="524" w:name="DESCRIPTOR160"/>
      <w:bookmarkStart w:id="525" w:name="DESCRIPTOR161"/>
      <w:bookmarkStart w:id="526" w:name="DESCRIPTOR162"/>
      <w:bookmarkStart w:id="527" w:name="DESCRIPTOR163"/>
      <w:bookmarkStart w:id="528" w:name="DESCRIPTOR164"/>
      <w:bookmarkStart w:id="529" w:name="DESCRIPTOR165"/>
      <w:bookmarkStart w:id="530" w:name="DESCRIPTOR166"/>
      <w:bookmarkStart w:id="531" w:name="DESCRIPTOR167"/>
      <w:bookmarkStart w:id="532" w:name="DESCRIPTOR168"/>
      <w:bookmarkStart w:id="533" w:name="DESCRIPTOR169"/>
      <w:bookmarkStart w:id="534" w:name="DESCRIPTOR170"/>
      <w:bookmarkStart w:id="535" w:name="DESCRIPTOR171"/>
      <w:bookmarkStart w:id="536" w:name="DESCRIPTOR172"/>
      <w:bookmarkStart w:id="537" w:name="DESCRIPTOR173"/>
      <w:bookmarkStart w:id="538" w:name="DESCRIPTOR174"/>
      <w:bookmarkStart w:id="539" w:name="DESCRIPTOR175"/>
      <w:bookmarkStart w:id="540" w:name="DESCRIPTOR176"/>
      <w:bookmarkStart w:id="541" w:name="DESCRIPTOR177"/>
      <w:bookmarkStart w:id="542" w:name="DESCRIPTOR178"/>
      <w:bookmarkStart w:id="543" w:name="DESCRIPTOR179"/>
      <w:bookmarkStart w:id="544" w:name="DESCRIPTOR180"/>
      <w:bookmarkStart w:id="545" w:name="DESCRIPTOR181"/>
      <w:bookmarkStart w:id="546" w:name="DESCRIPTOR182"/>
      <w:bookmarkStart w:id="547" w:name="DESCRIPTOR183"/>
      <w:bookmarkStart w:id="548" w:name="DESCRIPTOR184"/>
      <w:bookmarkStart w:id="549" w:name="DESCRIPTOR185"/>
      <w:bookmarkStart w:id="550" w:name="DESCRIPTOR186"/>
      <w:bookmarkStart w:id="551" w:name="DESCRIPTOR187"/>
      <w:bookmarkStart w:id="552" w:name="DESCRIPTOR188"/>
      <w:bookmarkStart w:id="553" w:name="DESCRIPTOR189"/>
      <w:bookmarkStart w:id="554" w:name="DESCRIPTOR190"/>
      <w:bookmarkStart w:id="555" w:name="DESCRIPTOR191"/>
      <w:bookmarkStart w:id="556" w:name="DESCRIPTOR192"/>
      <w:bookmarkStart w:id="557" w:name="DESCRIPTOR193"/>
      <w:bookmarkStart w:id="558" w:name="DESCRIPTOR194"/>
      <w:bookmarkStart w:id="559" w:name="DESCRIPTOR195"/>
      <w:bookmarkStart w:id="560" w:name="DESCRIPTOR196"/>
      <w:bookmarkStart w:id="561" w:name="DESCRIPTOR197"/>
      <w:bookmarkStart w:id="562" w:name="DESCRIPTOR198"/>
      <w:bookmarkStart w:id="563" w:name="DESCRIPTOR199"/>
      <w:bookmarkStart w:id="564" w:name="DESCRIPTOR200"/>
      <w:bookmarkStart w:id="565" w:name="DESCRIPTOR201"/>
      <w:bookmarkStart w:id="566" w:name="DESCRIPTOR202"/>
      <w:bookmarkStart w:id="567" w:name="DESCRIPTOR203"/>
      <w:bookmarkStart w:id="568" w:name="DESCRIPTOR204"/>
      <w:bookmarkStart w:id="569" w:name="DESCRIPTOR205"/>
      <w:bookmarkStart w:id="570" w:name="DESCRIPTOR206"/>
      <w:bookmarkStart w:id="571" w:name="DESCRIPTOR207"/>
      <w:bookmarkStart w:id="572" w:name="DESCRIPTOR208"/>
      <w:bookmarkStart w:id="573" w:name="DESCRIPTOR209"/>
      <w:bookmarkStart w:id="574" w:name="DESCRIPTOR210"/>
      <w:bookmarkStart w:id="575" w:name="DESCRIPTOR211"/>
      <w:bookmarkStart w:id="576" w:name="DESCRIPTOR212"/>
      <w:bookmarkStart w:id="577" w:name="DESCRIPTOR213"/>
      <w:bookmarkStart w:id="578" w:name="DESCRIPTOR214"/>
      <w:bookmarkStart w:id="579" w:name="DESCRIPTOR215"/>
      <w:bookmarkStart w:id="580" w:name="DESCRIPTOR216"/>
      <w:bookmarkStart w:id="581" w:name="DESCRIPTOR217"/>
      <w:bookmarkStart w:id="582" w:name="DESCRIPTOR218"/>
      <w:bookmarkStart w:id="583" w:name="DESCRIPTOR219"/>
      <w:bookmarkStart w:id="584" w:name="DESCRIPTOR220"/>
      <w:bookmarkStart w:id="585" w:name="DESCRIPTOR221"/>
      <w:bookmarkStart w:id="586" w:name="DESCRIPTOR222"/>
      <w:bookmarkStart w:id="587" w:name="DESCRIPTOR223"/>
      <w:bookmarkStart w:id="588" w:name="DESCRIPTOR224"/>
      <w:bookmarkStart w:id="589" w:name="DESCRIPTOR225"/>
      <w:bookmarkStart w:id="590" w:name="DESCRIPTOR226"/>
      <w:bookmarkStart w:id="591" w:name="DESCRIPTOR227"/>
      <w:bookmarkStart w:id="592" w:name="DESCRIPTOR228"/>
      <w:bookmarkStart w:id="593" w:name="DESCRIPTOR229"/>
      <w:bookmarkStart w:id="594" w:name="DESCRIPTOR230"/>
      <w:bookmarkStart w:id="595" w:name="DESCRIPTOR231"/>
      <w:bookmarkStart w:id="596" w:name="DESCRIPTOR232"/>
      <w:bookmarkStart w:id="597" w:name="DESCRIPTOR233"/>
      <w:bookmarkStart w:id="598" w:name="DESCRIPTOR234"/>
      <w:bookmarkStart w:id="599" w:name="DESCRIPTOR235"/>
      <w:bookmarkStart w:id="600" w:name="DESCRIPTOR236"/>
      <w:bookmarkStart w:id="601" w:name="DESCRIPTOR237"/>
      <w:bookmarkStart w:id="602" w:name="DESCRIPTOR238"/>
      <w:bookmarkStart w:id="603" w:name="DESCRIPTOR239"/>
      <w:bookmarkStart w:id="604" w:name="DESCRIPTOR240"/>
      <w:bookmarkStart w:id="605" w:name="DESCRIPTOR241"/>
      <w:bookmarkStart w:id="606" w:name="DESCRIPTOR242"/>
      <w:bookmarkStart w:id="607" w:name="DESCRIPTOR243"/>
      <w:bookmarkStart w:id="608" w:name="DESCRIPTOR244"/>
      <w:bookmarkStart w:id="609" w:name="DESCRIPTOR245"/>
      <w:bookmarkStart w:id="610" w:name="DESCRIPTOR246"/>
      <w:bookmarkStart w:id="611" w:name="DESCRIPTOR247"/>
      <w:bookmarkStart w:id="612" w:name="DESCRIPTOR248"/>
      <w:bookmarkStart w:id="613" w:name="DESCRIPTOR249"/>
      <w:bookmarkStart w:id="614" w:name="DESCRIPTOR250"/>
      <w:bookmarkStart w:id="615" w:name="DESCRIPTOR251"/>
      <w:bookmarkStart w:id="616" w:name="DESCRIPTOR252"/>
      <w:bookmarkStart w:id="617" w:name="DESCRIPTOR253"/>
      <w:bookmarkStart w:id="618" w:name="DESCRIPTOR254"/>
      <w:bookmarkStart w:id="619" w:name="DESCRIPTOR255"/>
      <w:bookmarkStart w:id="620" w:name="DESCRIPTOR256"/>
      <w:bookmarkStart w:id="621" w:name="DESCRIPTOR257"/>
      <w:bookmarkStart w:id="622" w:name="DESCRIPTOR258"/>
      <w:bookmarkStart w:id="623" w:name="DESCRIPTOR259"/>
      <w:bookmarkStart w:id="624" w:name="DESCRIPTOR260"/>
      <w:bookmarkStart w:id="625" w:name="DESCRIPTOR261"/>
      <w:bookmarkStart w:id="626" w:name="DESCRIPTOR262"/>
      <w:bookmarkStart w:id="627" w:name="DESCRIPTOR263"/>
      <w:bookmarkStart w:id="628" w:name="DESCRIPTOR264"/>
      <w:bookmarkStart w:id="629" w:name="DESCRIPTOR265"/>
      <w:bookmarkStart w:id="630" w:name="DESCRIPTOR266"/>
      <w:bookmarkStart w:id="631" w:name="DESCRIPTOR267"/>
      <w:bookmarkStart w:id="632" w:name="DESCRIPTOR268"/>
      <w:bookmarkStart w:id="633" w:name="DESCRIPTOR269"/>
      <w:bookmarkStart w:id="634" w:name="DESCRIPTOR270"/>
      <w:bookmarkStart w:id="635" w:name="DESCRIPTOR271"/>
      <w:bookmarkStart w:id="636" w:name="DESCRIPTOR272"/>
      <w:bookmarkStart w:id="637" w:name="DESCRIPTOR273"/>
      <w:bookmarkStart w:id="638" w:name="DESCRIPTOR274"/>
      <w:bookmarkStart w:id="639" w:name="DESCRIPTOR275"/>
      <w:bookmarkStart w:id="640" w:name="DESCRIPTOR276"/>
      <w:bookmarkStart w:id="641" w:name="DESCRIPTOR277"/>
      <w:bookmarkStart w:id="642" w:name="DESCRIPTOR278"/>
      <w:bookmarkStart w:id="643" w:name="DESCRIPTOR279"/>
      <w:bookmarkStart w:id="644" w:name="DESCRIPTOR280"/>
      <w:bookmarkStart w:id="645" w:name="DESCRIPTOR281"/>
      <w:bookmarkStart w:id="646" w:name="DESCRIPTOR282"/>
      <w:bookmarkStart w:id="647" w:name="DESCRIPTOR283"/>
      <w:bookmarkStart w:id="648" w:name="DESCRIPTOR284"/>
      <w:bookmarkStart w:id="649" w:name="DESCRIPTOR285"/>
      <w:bookmarkStart w:id="650" w:name="DESCRIPTOR286"/>
      <w:bookmarkStart w:id="651" w:name="DESCRIPTOR287"/>
      <w:bookmarkStart w:id="652" w:name="DESCRIPTOR288"/>
      <w:bookmarkStart w:id="653" w:name="DESCRIPTOR289"/>
      <w:bookmarkStart w:id="654" w:name="DESCRIPTOR290"/>
      <w:bookmarkStart w:id="655" w:name="DESCRIPTOR291"/>
      <w:bookmarkStart w:id="656" w:name="DESCRIPTOR292"/>
      <w:bookmarkStart w:id="657" w:name="DESCRIPTOR293"/>
      <w:bookmarkStart w:id="658" w:name="DESCRIPTOR294"/>
      <w:bookmarkStart w:id="659" w:name="DESCRIPTOR295"/>
      <w:bookmarkStart w:id="660" w:name="DESCRIPTOR296"/>
      <w:bookmarkStart w:id="661" w:name="DESCRIPTOR297"/>
      <w:bookmarkStart w:id="662" w:name="DESCRIPTOR298"/>
      <w:bookmarkStart w:id="663" w:name="DESCRIPTOR299"/>
      <w:bookmarkStart w:id="664" w:name="DESCRIPTOR300"/>
      <w:bookmarkStart w:id="665" w:name="DESCRIPTOR301"/>
      <w:bookmarkStart w:id="666" w:name="DESCRIPTOR302"/>
      <w:bookmarkStart w:id="667" w:name="DESCRIPTOR303"/>
      <w:bookmarkStart w:id="668" w:name="DESCRIPTOR304"/>
      <w:bookmarkStart w:id="669" w:name="DESCRIPTOR305"/>
      <w:bookmarkStart w:id="670" w:name="DESCRIPTOR306"/>
      <w:bookmarkStart w:id="671" w:name="DESCRIPTOR307"/>
      <w:bookmarkStart w:id="672" w:name="DESCRIPTOR308"/>
      <w:bookmarkStart w:id="673" w:name="DESCRIPTOR309"/>
      <w:bookmarkStart w:id="674" w:name="DESCRIPTOR310"/>
      <w:bookmarkStart w:id="675" w:name="DESCRIPTOR311"/>
      <w:bookmarkStart w:id="676" w:name="DESCRIPTOR312"/>
      <w:bookmarkStart w:id="677" w:name="DESCRIPTOR313"/>
      <w:bookmarkStart w:id="678" w:name="DESCRIPTOR314"/>
      <w:bookmarkStart w:id="679" w:name="DESCRIPTOR315"/>
      <w:bookmarkStart w:id="680" w:name="DESCRIPTOR316"/>
      <w:bookmarkStart w:id="681" w:name="DESCRIPTOR317"/>
      <w:bookmarkStart w:id="682" w:name="DESCRIPTOR318"/>
      <w:bookmarkStart w:id="683" w:name="DESCRIPTOR319"/>
      <w:bookmarkStart w:id="684" w:name="DESCRIPTOR320"/>
      <w:bookmarkStart w:id="685" w:name="DESCRIPTOR321"/>
      <w:bookmarkStart w:id="686" w:name="DESCRIPTOR322"/>
      <w:bookmarkStart w:id="687" w:name="DESCRIPTOR323"/>
      <w:bookmarkStart w:id="688" w:name="DESCRIPTOR324"/>
      <w:bookmarkStart w:id="689" w:name="DESCRIPTOR325"/>
      <w:bookmarkStart w:id="690" w:name="DESCRIPTOR326"/>
      <w:bookmarkStart w:id="691" w:name="DESCRIPTOR327"/>
      <w:bookmarkStart w:id="692" w:name="DESCRIPTOR328"/>
      <w:bookmarkStart w:id="693" w:name="DESCRIPTOR329"/>
      <w:bookmarkStart w:id="694" w:name="DESCRIPTOR330"/>
      <w:bookmarkStart w:id="695" w:name="DESCRIPTOR331"/>
      <w:bookmarkStart w:id="696" w:name="DESCRIPTOR332"/>
      <w:bookmarkStart w:id="697" w:name="DESCRIPTOR333"/>
      <w:bookmarkStart w:id="698" w:name="DESCRIPTOR334"/>
      <w:bookmarkStart w:id="699" w:name="DESCRIPTOR335"/>
      <w:bookmarkStart w:id="700" w:name="DESCRIPTOR336"/>
      <w:bookmarkStart w:id="701" w:name="DESCRIPTOR337"/>
      <w:bookmarkStart w:id="702" w:name="DESCRIPTOR338"/>
      <w:bookmarkStart w:id="703" w:name="DESCRIPTOR339"/>
      <w:bookmarkStart w:id="704" w:name="DESCRIPTOR340"/>
      <w:bookmarkStart w:id="705" w:name="DESCRIPTOR341"/>
      <w:bookmarkStart w:id="706" w:name="DESCRIPTOR342"/>
      <w:bookmarkStart w:id="707" w:name="DESCRIPTOR343"/>
      <w:bookmarkStart w:id="708" w:name="DESCRIPTOR344"/>
      <w:bookmarkStart w:id="709" w:name="DESCRIPTOR345"/>
      <w:bookmarkStart w:id="710" w:name="DESCRIPTOR346"/>
      <w:bookmarkStart w:id="711" w:name="DESCRIPTOR347"/>
      <w:bookmarkStart w:id="712" w:name="DESCRIPTOR348"/>
      <w:bookmarkStart w:id="713" w:name="DESCRIPTOR349"/>
      <w:bookmarkStart w:id="714" w:name="DESCRIPTOR350"/>
      <w:bookmarkStart w:id="715" w:name="DESCRIPTOR351"/>
      <w:bookmarkStart w:id="716" w:name="DESCRIPTOR352"/>
      <w:bookmarkStart w:id="717" w:name="DESCRIPTOR353"/>
      <w:bookmarkStart w:id="718" w:name="DESCRIPTOR354"/>
      <w:bookmarkStart w:id="719" w:name="DESCRIPTOR355"/>
      <w:bookmarkStart w:id="720" w:name="DESCRIPTOR356"/>
      <w:bookmarkStart w:id="721" w:name="DESCRIPTOR357"/>
      <w:bookmarkStart w:id="722" w:name="DESCRIPTOR358"/>
      <w:bookmarkStart w:id="723" w:name="DESCRIPTOR359"/>
      <w:bookmarkStart w:id="724" w:name="DESCRIPTOR360"/>
      <w:bookmarkStart w:id="725" w:name="DESCRIPTOR361"/>
      <w:bookmarkStart w:id="726" w:name="DESCRIPTOR362"/>
      <w:bookmarkStart w:id="727" w:name="DESCRIPTOR363"/>
      <w:bookmarkStart w:id="728" w:name="DESCRIPTOR364"/>
      <w:bookmarkStart w:id="729" w:name="DESCRIPTOR365"/>
      <w:bookmarkStart w:id="730" w:name="DESCRIPTOR366"/>
      <w:bookmarkStart w:id="731" w:name="DESCRIPTOR367"/>
      <w:bookmarkStart w:id="732" w:name="DESCRIPTOR368"/>
      <w:bookmarkStart w:id="733" w:name="DESCRIPTOR369"/>
      <w:bookmarkStart w:id="734" w:name="DESCRIPTOR370"/>
      <w:bookmarkStart w:id="735" w:name="DESCRIPTOR371"/>
      <w:bookmarkStart w:id="736" w:name="DESCRIPTOR372"/>
      <w:bookmarkStart w:id="737" w:name="DESCRIPTOR373"/>
      <w:bookmarkStart w:id="738" w:name="DESCRIPTOR374"/>
      <w:bookmarkStart w:id="739" w:name="DESCRIPTOR375"/>
      <w:bookmarkStart w:id="740" w:name="DESCRIPTOR376"/>
      <w:bookmarkStart w:id="741" w:name="DESCRIPTOR377"/>
      <w:bookmarkStart w:id="742" w:name="DESCRIPTOR378"/>
      <w:bookmarkStart w:id="743" w:name="DESCRIPTOR379"/>
      <w:bookmarkStart w:id="744" w:name="DESCRIPTOR380"/>
      <w:bookmarkStart w:id="745" w:name="DESCRIPTOR381"/>
      <w:bookmarkStart w:id="746" w:name="DESCRIPTOR382"/>
      <w:bookmarkStart w:id="747" w:name="DESCRIPTOR383"/>
      <w:bookmarkStart w:id="748" w:name="DESCRIPTOR384"/>
      <w:bookmarkStart w:id="749" w:name="DESCRIPTOR385"/>
      <w:bookmarkStart w:id="750" w:name="DESCRIPTOR386"/>
      <w:bookmarkStart w:id="751" w:name="DESCRIPTOR387"/>
      <w:bookmarkStart w:id="752" w:name="DESCRIPTOR388"/>
      <w:bookmarkStart w:id="753" w:name="DESCRIPTOR389"/>
      <w:bookmarkStart w:id="754" w:name="DESCRIPTOR390"/>
      <w:bookmarkStart w:id="755" w:name="DESCRIPTOR391"/>
      <w:bookmarkStart w:id="756" w:name="DESCRIPTOR392"/>
      <w:bookmarkStart w:id="757" w:name="DESCRIPTOR393"/>
      <w:bookmarkStart w:id="758" w:name="DESCRIPTOR394"/>
      <w:bookmarkStart w:id="759" w:name="DESCRIPTOR395"/>
      <w:bookmarkStart w:id="760" w:name="DESCRIPTOR396"/>
      <w:bookmarkStart w:id="761" w:name="DESCRIPTOR397"/>
      <w:bookmarkStart w:id="762" w:name="DESCRIPTOR398"/>
      <w:bookmarkStart w:id="763" w:name="DESCRIPTOR399"/>
      <w:bookmarkStart w:id="764" w:name="DESCRIPTOR400"/>
      <w:bookmarkStart w:id="765" w:name="DESCRIPTOR401"/>
      <w:bookmarkStart w:id="766" w:name="DESCRIPTOR402"/>
      <w:bookmarkStart w:id="767" w:name="DESCRIPTOR403"/>
      <w:bookmarkStart w:id="768" w:name="DESCRIPTOR404"/>
      <w:bookmarkStart w:id="769" w:name="DESCRIPTOR405"/>
      <w:bookmarkStart w:id="770" w:name="DESCRIPTOR406"/>
      <w:bookmarkStart w:id="771" w:name="DESCRIPTOR407"/>
      <w:bookmarkStart w:id="772" w:name="DESCRIPTOR408"/>
      <w:bookmarkStart w:id="773" w:name="DESCRIPTOR409"/>
      <w:bookmarkStart w:id="774" w:name="DESCRIPTOR410"/>
      <w:bookmarkStart w:id="775" w:name="DESCRIPTOR411"/>
      <w:bookmarkStart w:id="776" w:name="DESCRIPTOR412"/>
      <w:bookmarkStart w:id="777" w:name="DESCRIPTOR413"/>
      <w:bookmarkStart w:id="778" w:name="DESCRIPTOR414"/>
      <w:bookmarkStart w:id="779" w:name="DESCRIPTOR415"/>
      <w:bookmarkStart w:id="780" w:name="DESCRIPTOR416"/>
      <w:bookmarkStart w:id="781" w:name="DESCRIPTOR417"/>
      <w:bookmarkStart w:id="782" w:name="DESCRIPTOR418"/>
      <w:bookmarkStart w:id="783" w:name="DESCRIPTOR419"/>
      <w:bookmarkStart w:id="784" w:name="DESCRIPTOR420"/>
      <w:bookmarkStart w:id="785" w:name="DESCRIPTOR421"/>
      <w:bookmarkStart w:id="786" w:name="DESCRIPTOR422"/>
      <w:bookmarkStart w:id="787" w:name="DESCRIPTOR423"/>
      <w:bookmarkStart w:id="788" w:name="DESCRIPTOR424"/>
      <w:bookmarkStart w:id="789" w:name="DESCRIPTOR425"/>
      <w:bookmarkStart w:id="790" w:name="DESCRIPTOR426"/>
      <w:bookmarkStart w:id="791" w:name="DESCRIPTOR427"/>
      <w:bookmarkStart w:id="792" w:name="DESCRIPTOR428"/>
      <w:bookmarkStart w:id="793" w:name="DESCRIPTOR429"/>
      <w:bookmarkStart w:id="794" w:name="DESCRIPTOR430"/>
      <w:bookmarkStart w:id="795" w:name="DESCRIPTOR431"/>
      <w:bookmarkStart w:id="796" w:name="DESCRIPTOR432"/>
      <w:bookmarkStart w:id="797" w:name="DESCRIPTOR433"/>
      <w:bookmarkStart w:id="798" w:name="DESCRIPTOR434"/>
      <w:bookmarkStart w:id="799" w:name="DESCRIPTOR435"/>
      <w:bookmarkStart w:id="800" w:name="DESCRIPTOR436"/>
      <w:bookmarkStart w:id="801" w:name="DESCRIPTOR437"/>
      <w:bookmarkStart w:id="802" w:name="DESCRIPTOR438"/>
      <w:bookmarkStart w:id="803" w:name="DESCRIPTOR439"/>
      <w:bookmarkStart w:id="804" w:name="DESCRIPTOR440"/>
      <w:bookmarkStart w:id="805" w:name="DESCRIPTOR441"/>
      <w:bookmarkStart w:id="806" w:name="DESCRIPTOR442"/>
      <w:bookmarkStart w:id="807" w:name="DESCRIPTOR443"/>
      <w:bookmarkStart w:id="808" w:name="DESCRIPTOR444"/>
      <w:bookmarkStart w:id="809" w:name="DESCRIPTOR445"/>
      <w:bookmarkStart w:id="810" w:name="DESCRIPTOR446"/>
      <w:bookmarkStart w:id="811" w:name="DESCRIPTOR447"/>
      <w:bookmarkStart w:id="812" w:name="DESCRIPTOR448"/>
      <w:bookmarkStart w:id="813" w:name="DESCRIPTOR449"/>
      <w:bookmarkStart w:id="814" w:name="DESCRIPTOR450"/>
      <w:bookmarkStart w:id="815" w:name="DESCRIPTOR451"/>
      <w:bookmarkStart w:id="816" w:name="DESCRIPTOR452"/>
      <w:bookmarkStart w:id="817" w:name="DESCRIPTOR453"/>
      <w:bookmarkStart w:id="818" w:name="DESCRIPTOR454"/>
      <w:bookmarkStart w:id="819" w:name="DESCRIPTOR455"/>
      <w:bookmarkStart w:id="820" w:name="DESCRIPTOR456"/>
      <w:bookmarkStart w:id="821" w:name="DESCRIPTOR457"/>
      <w:bookmarkStart w:id="822" w:name="DESCRIPTOR458"/>
      <w:bookmarkStart w:id="823" w:name="DESCRIPTOR459"/>
      <w:bookmarkStart w:id="824" w:name="DESCRIPTOR460"/>
      <w:bookmarkStart w:id="825" w:name="DESCRIPTOR461"/>
      <w:bookmarkStart w:id="826" w:name="DESCRIPTOR462"/>
      <w:bookmarkStart w:id="827" w:name="DESCRIPTOR463"/>
      <w:bookmarkStart w:id="828" w:name="DESCRIPTOR464"/>
      <w:bookmarkStart w:id="829" w:name="DESCRIPTOR465"/>
      <w:bookmarkStart w:id="830" w:name="DESCRIPTOR466"/>
      <w:bookmarkStart w:id="831" w:name="DESCRIPTOR467"/>
      <w:bookmarkStart w:id="832" w:name="DESCRIPTOR468"/>
      <w:bookmarkStart w:id="833" w:name="DESCRIPTOR469"/>
      <w:bookmarkStart w:id="834" w:name="DESCRIPTOR470"/>
      <w:bookmarkStart w:id="835" w:name="DESCRIPTOR471"/>
      <w:bookmarkStart w:id="836" w:name="DESCRIPTOR472"/>
      <w:bookmarkStart w:id="837" w:name="DESCRIPTOR473"/>
      <w:bookmarkStart w:id="838" w:name="DESCRIPTOR474"/>
      <w:bookmarkStart w:id="839" w:name="DESCRIPTOR475"/>
      <w:bookmarkStart w:id="840" w:name="DESCRIPTOR476"/>
      <w:bookmarkStart w:id="841" w:name="DESCRIPTOR477"/>
      <w:bookmarkStart w:id="842" w:name="DESCRIPTOR478"/>
      <w:bookmarkStart w:id="843" w:name="DESCRIPTOR479"/>
      <w:bookmarkStart w:id="844" w:name="DESCRIPTOR480"/>
      <w:bookmarkStart w:id="845" w:name="DESCRIPTOR481"/>
      <w:bookmarkStart w:id="846" w:name="DESCRIPTOR482"/>
      <w:bookmarkStart w:id="847" w:name="DESCRIPTOR483"/>
      <w:bookmarkStart w:id="848" w:name="DESCRIPTOR484"/>
      <w:bookmarkStart w:id="849" w:name="DESCRIPTOR485"/>
      <w:bookmarkStart w:id="850" w:name="DESCRIPTOR486"/>
      <w:bookmarkStart w:id="851" w:name="DESCRIPTOR487"/>
      <w:bookmarkStart w:id="852" w:name="DESCRIPTOR488"/>
      <w:bookmarkStart w:id="853" w:name="DESCRIPTOR489"/>
      <w:bookmarkStart w:id="854" w:name="DESCRIPTOR490"/>
      <w:bookmarkStart w:id="855" w:name="DESCRIPTOR491"/>
      <w:bookmarkStart w:id="856" w:name="DESCRIPTOR492"/>
      <w:bookmarkStart w:id="857" w:name="DESCRIPTOR493"/>
      <w:bookmarkStart w:id="858" w:name="DESCRIPTOR494"/>
      <w:bookmarkStart w:id="859" w:name="DESCRIPTOR495"/>
      <w:bookmarkStart w:id="860" w:name="DESCRIPTOR496"/>
      <w:bookmarkStart w:id="861" w:name="DESCRIPTOR497"/>
      <w:bookmarkStart w:id="862" w:name="DESCRIPTOR498"/>
      <w:bookmarkStart w:id="863" w:name="DESCRIPTOR499"/>
      <w:bookmarkStart w:id="864" w:name="DESCRIPTOR500"/>
      <w:bookmarkStart w:id="865" w:name="DESCRIPTOR501"/>
      <w:bookmarkStart w:id="866" w:name="DESCRIPTOR502"/>
      <w:bookmarkStart w:id="867" w:name="DESCRIPTOR503"/>
      <w:bookmarkStart w:id="868" w:name="DESCRIPTOR504"/>
      <w:bookmarkStart w:id="869" w:name="DESCRIPTOR505"/>
      <w:bookmarkStart w:id="870" w:name="DESCRIPTOR506"/>
      <w:bookmarkStart w:id="871" w:name="DESCRIPTOR507"/>
      <w:bookmarkStart w:id="872" w:name="DESCRIPTOR508"/>
      <w:bookmarkStart w:id="873" w:name="DESCRIPTOR509"/>
      <w:bookmarkStart w:id="874" w:name="DESCRIPTOR510"/>
      <w:bookmarkStart w:id="875" w:name="DESCRIPTOR511"/>
      <w:bookmarkStart w:id="876" w:name="DESCRIPTOR512"/>
      <w:bookmarkStart w:id="877" w:name="DESCRIPTOR513"/>
      <w:bookmarkStart w:id="878" w:name="DESCRIPTOR514"/>
      <w:bookmarkStart w:id="879" w:name="DESCRIPTOR515"/>
      <w:bookmarkStart w:id="880" w:name="DESCRIPTOR516"/>
      <w:bookmarkStart w:id="881" w:name="DESCRIPTOR517"/>
      <w:bookmarkStart w:id="882" w:name="DESCRIPTOR518"/>
      <w:bookmarkStart w:id="883" w:name="DESCRIPTOR519"/>
      <w:bookmarkStart w:id="884" w:name="DESCRIPTOR520"/>
      <w:bookmarkStart w:id="885" w:name="DESCRIPTOR521"/>
      <w:bookmarkStart w:id="886" w:name="DESCRIPTOR522"/>
      <w:bookmarkStart w:id="887" w:name="DESCRIPTOR523"/>
      <w:bookmarkStart w:id="888" w:name="DESCRIPTOR524"/>
      <w:bookmarkStart w:id="889" w:name="DESCRIPTOR525"/>
      <w:bookmarkStart w:id="890" w:name="DESCRIPTOR526"/>
      <w:bookmarkStart w:id="891" w:name="DESCRIPTOR527"/>
      <w:bookmarkStart w:id="892" w:name="DESCRIPTOR528"/>
      <w:bookmarkStart w:id="893" w:name="DESCRIPTOR529"/>
      <w:bookmarkStart w:id="894" w:name="DESCRIPTOR530"/>
      <w:bookmarkStart w:id="895" w:name="DESCRIPTOR531"/>
      <w:bookmarkStart w:id="896" w:name="DESCRIPTOR532"/>
      <w:bookmarkStart w:id="897" w:name="DESCRIPTOR533"/>
      <w:bookmarkStart w:id="898" w:name="DESCRIPTOR534"/>
      <w:bookmarkStart w:id="899" w:name="DESCRIPTOR535"/>
      <w:bookmarkStart w:id="900" w:name="DESCRIPTOR536"/>
      <w:bookmarkStart w:id="901" w:name="DESCRIPTOR537"/>
      <w:bookmarkStart w:id="902" w:name="DESCRIPTOR538"/>
      <w:bookmarkStart w:id="903" w:name="DESCRIPTOR539"/>
      <w:bookmarkStart w:id="904" w:name="DESCRIPTOR540"/>
      <w:bookmarkStart w:id="905" w:name="DESCRIPTOR541"/>
      <w:bookmarkStart w:id="906" w:name="DESCRIPTOR542"/>
      <w:bookmarkStart w:id="907" w:name="DESCRIPTOR543"/>
      <w:bookmarkStart w:id="908" w:name="DESCRIPTOR544"/>
      <w:bookmarkStart w:id="909" w:name="DESCRIPTOR545"/>
      <w:bookmarkStart w:id="910" w:name="DESCRIPTOR546"/>
      <w:bookmarkStart w:id="911" w:name="DESCRIPTOR547"/>
      <w:bookmarkStart w:id="912" w:name="DESCRIPTOR548"/>
      <w:bookmarkStart w:id="913" w:name="DESCRIPTOR549"/>
      <w:bookmarkStart w:id="914" w:name="DESCRIPTOR550"/>
      <w:bookmarkStart w:id="915" w:name="DESCRIPTOR551"/>
      <w:bookmarkStart w:id="916" w:name="DESCRIPTOR552"/>
      <w:bookmarkStart w:id="917" w:name="DESCRIPTOR553"/>
      <w:bookmarkStart w:id="918" w:name="DESCRIPTOR554"/>
      <w:bookmarkStart w:id="919" w:name="DESCRIPTOR555"/>
      <w:bookmarkStart w:id="920" w:name="DESCRIPTOR556"/>
      <w:bookmarkStart w:id="921" w:name="DESCRIPTOR557"/>
      <w:bookmarkStart w:id="922" w:name="DESCRIPTOR558"/>
      <w:bookmarkStart w:id="923" w:name="DESCRIPTOR559"/>
      <w:bookmarkStart w:id="924" w:name="DESCRIPTOR560"/>
      <w:bookmarkStart w:id="925" w:name="DESCRIPTOR561"/>
      <w:bookmarkStart w:id="926" w:name="DESCRIPTOR562"/>
      <w:bookmarkStart w:id="927" w:name="DESCRIPTOR563"/>
      <w:bookmarkStart w:id="928" w:name="DESCRIPTOR564"/>
      <w:bookmarkStart w:id="929" w:name="DESCRIPTOR565"/>
      <w:bookmarkStart w:id="930" w:name="DESCRIPTOR566"/>
      <w:bookmarkStart w:id="931" w:name="DESCRIPTOR567"/>
      <w:bookmarkStart w:id="932" w:name="DESCRIPTOR568"/>
      <w:bookmarkStart w:id="933" w:name="DESCRIPTOR569"/>
      <w:bookmarkStart w:id="934" w:name="DESCRIPTOR570"/>
      <w:bookmarkStart w:id="935" w:name="DESCRIPTOR571"/>
      <w:bookmarkStart w:id="936" w:name="DESCRIPTOR572"/>
      <w:bookmarkStart w:id="937" w:name="DESCRIPTOR573"/>
      <w:bookmarkStart w:id="938" w:name="DESCRIPTOR574"/>
      <w:bookmarkStart w:id="939" w:name="DESCRIPTOR575"/>
      <w:bookmarkStart w:id="940" w:name="DESCRIPTOR576"/>
      <w:bookmarkStart w:id="941" w:name="DESCRIPTOR577"/>
      <w:bookmarkStart w:id="942" w:name="DESCRIPTOR578"/>
      <w:bookmarkStart w:id="943" w:name="DESCRIPTOR579"/>
      <w:bookmarkStart w:id="944" w:name="DESCRIPTOR580"/>
      <w:bookmarkStart w:id="945" w:name="DESCRIPTOR581"/>
      <w:bookmarkStart w:id="946" w:name="DESCRIPTOR582"/>
      <w:bookmarkStart w:id="947" w:name="DESCRIPTOR583"/>
      <w:bookmarkStart w:id="948" w:name="DESCRIPTOR584"/>
      <w:bookmarkStart w:id="949" w:name="DESCRIPTOR585"/>
      <w:bookmarkStart w:id="950" w:name="DESCRIPTOR586"/>
      <w:bookmarkStart w:id="951" w:name="DESCRIPTOR587"/>
      <w:bookmarkStart w:id="952" w:name="DESCRIPTOR588"/>
      <w:bookmarkStart w:id="953" w:name="INDICE5ALFABETICO"/>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rsidR="00506787" w:rsidRDefault="00506787" w:rsidP="00506787">
      <w:pPr>
        <w:pStyle w:val="TextoNormal"/>
      </w:pPr>
    </w:p>
    <w:p w:rsidR="00506787" w:rsidRDefault="00506787" w:rsidP="00506787">
      <w:pPr>
        <w:pStyle w:val="TextoNormal"/>
      </w:pPr>
    </w:p>
    <w:p w:rsidR="00506787" w:rsidRDefault="00506787" w:rsidP="00506787">
      <w:pPr>
        <w:pStyle w:val="TextoNormal"/>
      </w:pPr>
    </w:p>
    <w:p w:rsidR="00506787" w:rsidRDefault="00506787" w:rsidP="00506787">
      <w:pPr>
        <w:pStyle w:val="Ttulondice"/>
      </w:pPr>
      <w:r>
        <w:t>7. ÍNDICE ANALÍTICO</w:t>
      </w:r>
    </w:p>
    <w:p w:rsidR="00506787" w:rsidRDefault="00506787" w:rsidP="00506787">
      <w:pPr>
        <w:pStyle w:val="TextoNormal"/>
      </w:pPr>
    </w:p>
    <w:p w:rsidR="00506787" w:rsidRDefault="00506787" w:rsidP="00506787">
      <w:pPr>
        <w:pStyle w:val="Ttulondice"/>
      </w:pPr>
    </w:p>
    <w:p w:rsidR="00506787" w:rsidRDefault="00506787" w:rsidP="00506787">
      <w:pPr>
        <w:pStyle w:val="Ttulondice"/>
      </w:pPr>
    </w:p>
    <w:p w:rsidR="00506787" w:rsidRDefault="00506787" w:rsidP="00506787">
      <w:pPr>
        <w:pStyle w:val="Ttulondice"/>
      </w:pPr>
    </w:p>
    <w:p w:rsidR="00506787" w:rsidRDefault="00506787" w:rsidP="00506787">
      <w:pPr>
        <w:pStyle w:val="Ttulondice"/>
      </w:pPr>
    </w:p>
    <w:p w:rsidR="00506787" w:rsidRDefault="00506787" w:rsidP="00506787">
      <w:pPr>
        <w:pStyle w:val="Ttulondice"/>
      </w:pPr>
    </w:p>
    <w:p w:rsidR="00506787" w:rsidRDefault="00506787" w:rsidP="00506787">
      <w:pPr>
        <w:pStyle w:val="Ttulondice"/>
      </w:pPr>
    </w:p>
    <w:p w:rsidR="00506787" w:rsidRDefault="00506787" w:rsidP="00506787">
      <w:pPr>
        <w:pStyle w:val="Ttulondice"/>
      </w:pPr>
    </w:p>
    <w:p w:rsidR="00506787" w:rsidRDefault="00506787" w:rsidP="00506787">
      <w:pPr>
        <w:pStyle w:val="TextoNormalNegritaCentrado"/>
      </w:pPr>
      <w:r>
        <w:t>A</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954" w:name="DESCRIPTORALFABETICO320"/>
      <w:r w:rsidRPr="00506787">
        <w:rPr>
          <w:rStyle w:val="TextoNormalNegritaCaracter"/>
        </w:rPr>
        <w:t>Aborto</w:t>
      </w:r>
      <w:bookmarkEnd w:id="954"/>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ff. 11, 12, 14, VP III, VP IV.</w:t>
      </w:r>
    </w:p>
    <w:p w:rsidR="00506787" w:rsidRPr="00506787" w:rsidRDefault="00506787" w:rsidP="00506787">
      <w:pPr>
        <w:pStyle w:val="TextoNormalSangraFrancesa"/>
        <w:rPr>
          <w:rStyle w:val="TextoNormalCaracter"/>
        </w:rPr>
      </w:pPr>
      <w:bookmarkStart w:id="955" w:name="DESCRIPTORALFABETICO42"/>
      <w:r w:rsidRPr="00506787">
        <w:rPr>
          <w:rStyle w:val="TextoNormalNegritaCaracter"/>
        </w:rPr>
        <w:t>Acceso a la justicia</w:t>
      </w:r>
      <w:bookmarkEnd w:id="955"/>
      <w:r w:rsidRPr="00506787">
        <w:rPr>
          <w:rStyle w:val="TextoNormalCaracter"/>
        </w:rPr>
        <w:t xml:space="preserve">, Sentencias </w:t>
      </w:r>
      <w:hyperlink w:anchor="SENTENCIA_1985_1" w:history="1">
        <w:r w:rsidRPr="00506787">
          <w:rPr>
            <w:rStyle w:val="TextoNormalCaracter"/>
          </w:rPr>
          <w:t>1/1985</w:t>
        </w:r>
      </w:hyperlink>
      <w:r w:rsidRPr="00506787">
        <w:rPr>
          <w:rStyle w:val="TextoNormalCaracter"/>
        </w:rPr>
        <w:t xml:space="preserve">, ff. 1, 2, 3, 4; </w:t>
      </w:r>
      <w:hyperlink w:anchor="SENTENCIA_1985_4" w:history="1">
        <w:r w:rsidRPr="00506787">
          <w:rPr>
            <w:rStyle w:val="TextoNormalCaracter"/>
          </w:rPr>
          <w:t>4/1985</w:t>
        </w:r>
      </w:hyperlink>
      <w:r w:rsidRPr="00506787">
        <w:rPr>
          <w:rStyle w:val="TextoNormalCaracter"/>
        </w:rPr>
        <w:t xml:space="preserve">, ff. 2, 3; </w:t>
      </w:r>
      <w:hyperlink w:anchor="SENTENCIA_1985_44" w:history="1">
        <w:r w:rsidRPr="00506787">
          <w:rPr>
            <w:rStyle w:val="TextoNormalCaracter"/>
          </w:rPr>
          <w:t>44/1985</w:t>
        </w:r>
      </w:hyperlink>
      <w:r w:rsidRPr="00506787">
        <w:rPr>
          <w:rStyle w:val="TextoNormalCaracter"/>
        </w:rPr>
        <w:t>, f. 3.</w:t>
      </w:r>
    </w:p>
    <w:p w:rsidR="00506787" w:rsidRPr="00506787" w:rsidRDefault="00506787" w:rsidP="00506787">
      <w:pPr>
        <w:pStyle w:val="TextoNormalSangraFrancesa"/>
        <w:rPr>
          <w:rStyle w:val="TextoNormalCaracter"/>
        </w:rPr>
      </w:pPr>
      <w:bookmarkStart w:id="956" w:name="DESCRIPTORALFABETICO43"/>
      <w:r w:rsidRPr="00506787">
        <w:rPr>
          <w:rStyle w:val="TextoNormalNegritaCaracter"/>
        </w:rPr>
        <w:t>Acceso a la justicia penal</w:t>
      </w:r>
      <w:bookmarkEnd w:id="956"/>
      <w:r w:rsidRPr="00506787">
        <w:rPr>
          <w:rStyle w:val="TextoNormalCaracter"/>
        </w:rPr>
        <w:t xml:space="preserve">, Sentencia </w:t>
      </w:r>
      <w:hyperlink w:anchor="SENTENCIA_1985_30" w:history="1">
        <w:r w:rsidRPr="00506787">
          <w:rPr>
            <w:rStyle w:val="TextoNormalCaracter"/>
          </w:rPr>
          <w:t>30/1985</w:t>
        </w:r>
      </w:hyperlink>
      <w:r w:rsidRPr="00506787">
        <w:rPr>
          <w:rStyle w:val="TextoNormalCaracter"/>
        </w:rPr>
        <w:t>, f. 2.</w:t>
      </w:r>
    </w:p>
    <w:p w:rsidR="00506787" w:rsidRPr="00506787" w:rsidRDefault="00506787" w:rsidP="00506787">
      <w:pPr>
        <w:pStyle w:val="TextoNormalSangraFrancesa"/>
        <w:rPr>
          <w:rStyle w:val="TextoNormalCaracter"/>
        </w:rPr>
      </w:pPr>
      <w:bookmarkStart w:id="957" w:name="DESCRIPTORALFABETICO45"/>
      <w:r w:rsidRPr="00506787">
        <w:rPr>
          <w:rStyle w:val="TextoNormalNegritaCaracter"/>
        </w:rPr>
        <w:t>Acceso al recurso legal</w:t>
      </w:r>
      <w:bookmarkEnd w:id="957"/>
      <w:r w:rsidRPr="00506787">
        <w:rPr>
          <w:rStyle w:val="TextoNormalCaracter"/>
        </w:rPr>
        <w:t xml:space="preserve">, Sentencias </w:t>
      </w:r>
      <w:hyperlink w:anchor="SENTENCIA_1985_14" w:history="1">
        <w:r w:rsidRPr="00506787">
          <w:rPr>
            <w:rStyle w:val="TextoNormalCaracter"/>
          </w:rPr>
          <w:t>14/1985</w:t>
        </w:r>
      </w:hyperlink>
      <w:r w:rsidRPr="00506787">
        <w:rPr>
          <w:rStyle w:val="TextoNormalCaracter"/>
        </w:rPr>
        <w:t xml:space="preserve">, f. 2; </w:t>
      </w:r>
      <w:hyperlink w:anchor="SENTENCIA_1985_17" w:history="1">
        <w:r w:rsidRPr="00506787">
          <w:rPr>
            <w:rStyle w:val="TextoNormalCaracter"/>
          </w:rPr>
          <w:t>17/1985</w:t>
        </w:r>
      </w:hyperlink>
      <w:r w:rsidRPr="00506787">
        <w:rPr>
          <w:rStyle w:val="TextoNormalCaracter"/>
        </w:rPr>
        <w:t xml:space="preserve">, ff. 1, 2, 3, 4, 5; </w:t>
      </w:r>
      <w:hyperlink w:anchor="SENTENCIA_1985_27" w:history="1">
        <w:r w:rsidRPr="00506787">
          <w:rPr>
            <w:rStyle w:val="TextoNormalCaracter"/>
          </w:rPr>
          <w:t>27/1985</w:t>
        </w:r>
      </w:hyperlink>
      <w:r w:rsidRPr="00506787">
        <w:rPr>
          <w:rStyle w:val="TextoNormalCaracter"/>
        </w:rPr>
        <w:t xml:space="preserve">, f. 3; </w:t>
      </w:r>
      <w:hyperlink w:anchor="SENTENCIA_1985_29" w:history="1">
        <w:r w:rsidRPr="00506787">
          <w:rPr>
            <w:rStyle w:val="TextoNormalCaracter"/>
          </w:rPr>
          <w:t>29/1985</w:t>
        </w:r>
      </w:hyperlink>
      <w:r w:rsidRPr="00506787">
        <w:rPr>
          <w:rStyle w:val="TextoNormalCaracter"/>
        </w:rPr>
        <w:t xml:space="preserve">, ff. 1, 2, 3, VP; </w:t>
      </w:r>
      <w:hyperlink w:anchor="SENTENCIA_1985_32" w:history="1">
        <w:r w:rsidRPr="00506787">
          <w:rPr>
            <w:rStyle w:val="TextoNormalCaracter"/>
          </w:rPr>
          <w:t>32/1985</w:t>
        </w:r>
      </w:hyperlink>
      <w:r w:rsidRPr="00506787">
        <w:rPr>
          <w:rStyle w:val="TextoNormalCaracter"/>
        </w:rPr>
        <w:t xml:space="preserve">, f. 2; </w:t>
      </w:r>
      <w:hyperlink w:anchor="SENTENCIA_1985_41" w:history="1">
        <w:r w:rsidRPr="00506787">
          <w:rPr>
            <w:rStyle w:val="TextoNormalCaracter"/>
          </w:rPr>
          <w:t>41/1985</w:t>
        </w:r>
      </w:hyperlink>
      <w:r w:rsidRPr="00506787">
        <w:rPr>
          <w:rStyle w:val="TextoNormalCaracter"/>
        </w:rPr>
        <w:t xml:space="preserve">, ff. 1, 2, 3, 4; </w:t>
      </w:r>
      <w:hyperlink w:anchor="SENTENCIA_1985_44" w:history="1">
        <w:r w:rsidRPr="00506787">
          <w:rPr>
            <w:rStyle w:val="TextoNormalCaracter"/>
          </w:rPr>
          <w:t>44/1985</w:t>
        </w:r>
      </w:hyperlink>
      <w:r w:rsidRPr="00506787">
        <w:rPr>
          <w:rStyle w:val="TextoNormalCaracter"/>
        </w:rPr>
        <w:t xml:space="preserve">, ff. 2, 3; </w:t>
      </w:r>
      <w:hyperlink w:anchor="SENTENCIA_1985_52" w:history="1">
        <w:r w:rsidRPr="00506787">
          <w:rPr>
            <w:rStyle w:val="TextoNormalCaracter"/>
          </w:rPr>
          <w:t>52/1985</w:t>
        </w:r>
      </w:hyperlink>
      <w:r w:rsidRPr="00506787">
        <w:rPr>
          <w:rStyle w:val="TextoNormalCaracter"/>
        </w:rPr>
        <w:t xml:space="preserve">, f. 2; </w:t>
      </w:r>
      <w:hyperlink w:anchor="SENTENCIA_1985_57" w:history="1">
        <w:r w:rsidRPr="00506787">
          <w:rPr>
            <w:rStyle w:val="TextoNormalCaracter"/>
          </w:rPr>
          <w:t>57/1985</w:t>
        </w:r>
      </w:hyperlink>
      <w:r w:rsidRPr="00506787">
        <w:rPr>
          <w:rStyle w:val="TextoNormalCaracter"/>
        </w:rPr>
        <w:t>, ff. 1, 2, 3,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 w:history="1">
        <w:r w:rsidRPr="00506787">
          <w:rPr>
            <w:rStyle w:val="TextoNormalCaracter"/>
          </w:rPr>
          <w:t>1/1985</w:t>
        </w:r>
      </w:hyperlink>
      <w:r w:rsidRPr="00506787">
        <w:rPr>
          <w:rStyle w:val="TextoNormalCaracter"/>
        </w:rPr>
        <w:t xml:space="preserve">; </w:t>
      </w:r>
      <w:hyperlink w:anchor="AUTO_1985_42" w:history="1">
        <w:r w:rsidRPr="00506787">
          <w:rPr>
            <w:rStyle w:val="TextoNormalCaracter"/>
          </w:rPr>
          <w:t>42/1985</w:t>
        </w:r>
      </w:hyperlink>
      <w:r w:rsidRPr="00506787">
        <w:rPr>
          <w:rStyle w:val="TextoNormalCaracter"/>
        </w:rPr>
        <w:t xml:space="preserve">; </w:t>
      </w:r>
      <w:hyperlink w:anchor="AUTO_1985_78" w:history="1">
        <w:r w:rsidRPr="00506787">
          <w:rPr>
            <w:rStyle w:val="TextoNormalCaracter"/>
          </w:rPr>
          <w:t>78/1985</w:t>
        </w:r>
      </w:hyperlink>
      <w:r w:rsidRPr="00506787">
        <w:rPr>
          <w:rStyle w:val="TextoNormalCaracter"/>
        </w:rPr>
        <w:t xml:space="preserve">; </w:t>
      </w:r>
      <w:hyperlink w:anchor="AUTO_1985_106" w:history="1">
        <w:r w:rsidRPr="00506787">
          <w:rPr>
            <w:rStyle w:val="TextoNormalCaracter"/>
          </w:rPr>
          <w:t>106/1985</w:t>
        </w:r>
      </w:hyperlink>
      <w:r w:rsidRPr="00506787">
        <w:rPr>
          <w:rStyle w:val="TextoNormalCaracter"/>
        </w:rPr>
        <w:t xml:space="preserve">; </w:t>
      </w:r>
      <w:hyperlink w:anchor="AUTO_1985_117" w:history="1">
        <w:r w:rsidRPr="00506787">
          <w:rPr>
            <w:rStyle w:val="TextoNormalCaracter"/>
          </w:rPr>
          <w:t>117/1985</w:t>
        </w:r>
      </w:hyperlink>
      <w:r w:rsidRPr="00506787">
        <w:rPr>
          <w:rStyle w:val="TextoNormalCaracter"/>
        </w:rPr>
        <w:t xml:space="preserve">; </w:t>
      </w:r>
      <w:hyperlink w:anchor="AUTO_1985_138" w:history="1">
        <w:r w:rsidRPr="00506787">
          <w:rPr>
            <w:rStyle w:val="TextoNormalCaracter"/>
          </w:rPr>
          <w:t>138/1985</w:t>
        </w:r>
      </w:hyperlink>
      <w:r w:rsidRPr="00506787">
        <w:rPr>
          <w:rStyle w:val="TextoNormalCaracter"/>
        </w:rPr>
        <w:t xml:space="preserve">; </w:t>
      </w:r>
      <w:hyperlink w:anchor="AUTO_1985_159" w:history="1">
        <w:r w:rsidRPr="00506787">
          <w:rPr>
            <w:rStyle w:val="TextoNormalCaracter"/>
          </w:rPr>
          <w:t>159/1985</w:t>
        </w:r>
      </w:hyperlink>
      <w:r w:rsidRPr="00506787">
        <w:rPr>
          <w:rStyle w:val="TextoNormalCaracter"/>
        </w:rPr>
        <w:t xml:space="preserve">; </w:t>
      </w:r>
      <w:hyperlink w:anchor="AUTO_1985_196" w:history="1">
        <w:r w:rsidRPr="00506787">
          <w:rPr>
            <w:rStyle w:val="TextoNormalCaracter"/>
          </w:rPr>
          <w:t>196/1985</w:t>
        </w:r>
      </w:hyperlink>
      <w:r w:rsidRPr="00506787">
        <w:rPr>
          <w:rStyle w:val="TextoNormalCaracter"/>
        </w:rPr>
        <w:t xml:space="preserve">; </w:t>
      </w:r>
      <w:hyperlink w:anchor="AUTO_1985_207" w:history="1">
        <w:r w:rsidRPr="00506787">
          <w:rPr>
            <w:rStyle w:val="TextoNormalCaracter"/>
          </w:rPr>
          <w:t>207/1985</w:t>
        </w:r>
      </w:hyperlink>
      <w:r w:rsidRPr="00506787">
        <w:rPr>
          <w:rStyle w:val="TextoNormalCaracter"/>
        </w:rPr>
        <w:t xml:space="preserve">; </w:t>
      </w:r>
      <w:hyperlink w:anchor="AUTO_1985_225" w:history="1">
        <w:r w:rsidRPr="00506787">
          <w:rPr>
            <w:rStyle w:val="TextoNormalCaracter"/>
          </w:rPr>
          <w:t>225/1985</w:t>
        </w:r>
      </w:hyperlink>
      <w:r w:rsidRPr="00506787">
        <w:rPr>
          <w:rStyle w:val="TextoNormalCaracter"/>
        </w:rPr>
        <w:t xml:space="preserve">; </w:t>
      </w:r>
      <w:hyperlink w:anchor="AUTO_1985_249" w:history="1">
        <w:r w:rsidRPr="00506787">
          <w:rPr>
            <w:rStyle w:val="TextoNormalCaracter"/>
          </w:rPr>
          <w:t>249/1985</w:t>
        </w:r>
      </w:hyperlink>
      <w:r w:rsidRPr="00506787">
        <w:rPr>
          <w:rStyle w:val="TextoNormalCaracter"/>
        </w:rPr>
        <w:t xml:space="preserve">; </w:t>
      </w:r>
      <w:hyperlink w:anchor="AUTO_1985_259" w:history="1">
        <w:r w:rsidRPr="00506787">
          <w:rPr>
            <w:rStyle w:val="TextoNormalCaracter"/>
          </w:rPr>
          <w:t>259/1985</w:t>
        </w:r>
      </w:hyperlink>
      <w:r w:rsidRPr="00506787">
        <w:rPr>
          <w:rStyle w:val="TextoNormalCaracter"/>
        </w:rPr>
        <w:t xml:space="preserve">; </w:t>
      </w:r>
      <w:hyperlink w:anchor="AUTO_1985_270" w:history="1">
        <w:r w:rsidRPr="00506787">
          <w:rPr>
            <w:rStyle w:val="TextoNormalCaracter"/>
          </w:rPr>
          <w:t>270/1985</w:t>
        </w:r>
      </w:hyperlink>
      <w:r w:rsidRPr="00506787">
        <w:rPr>
          <w:rStyle w:val="TextoNormalCaracter"/>
        </w:rPr>
        <w:t>.</w:t>
      </w:r>
    </w:p>
    <w:p w:rsidR="00506787" w:rsidRPr="00506787" w:rsidRDefault="00506787" w:rsidP="00506787">
      <w:pPr>
        <w:pStyle w:val="TextoNormalSangraFrancesa"/>
        <w:rPr>
          <w:rStyle w:val="TextoNormalCaracter"/>
        </w:rPr>
      </w:pPr>
      <w:bookmarkStart w:id="958" w:name="DESCRIPTORALFABETICO46"/>
      <w:r w:rsidRPr="00506787">
        <w:rPr>
          <w:rStyle w:val="TextoNormalNegritaCaracter"/>
        </w:rPr>
        <w:t>Acceso al recurso penal</w:t>
      </w:r>
      <w:bookmarkEnd w:id="958"/>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3.</w:t>
      </w:r>
    </w:p>
    <w:p w:rsidR="00506787" w:rsidRPr="00506787" w:rsidRDefault="00506787" w:rsidP="00506787">
      <w:pPr>
        <w:pStyle w:val="TextoNormalSangraFrancesa"/>
        <w:rPr>
          <w:rStyle w:val="TextoNormalCaracter"/>
        </w:rPr>
      </w:pPr>
      <w:bookmarkStart w:id="959" w:name="DESCRIPTORALFABETICO168"/>
      <w:r w:rsidRPr="00506787">
        <w:rPr>
          <w:rStyle w:val="TextoNormalNegritaCaracter"/>
        </w:rPr>
        <w:t>Acreditación de la voluntad impugnatoria</w:t>
      </w:r>
      <w:bookmarkEnd w:id="959"/>
      <w:r w:rsidRPr="00506787">
        <w:rPr>
          <w:rStyle w:val="TextoNormalCaracter"/>
        </w:rPr>
        <w:t xml:space="preserve">, Sentencia </w:t>
      </w:r>
      <w:hyperlink w:anchor="SENTENCIA_1985_42" w:history="1">
        <w:r w:rsidRPr="00506787">
          <w:rPr>
            <w:rStyle w:val="TextoNormalCaracter"/>
          </w:rPr>
          <w:t>42/1985</w:t>
        </w:r>
      </w:hyperlink>
      <w:r w:rsidRPr="00506787">
        <w:rPr>
          <w:rStyle w:val="TextoNormalCaracter"/>
        </w:rPr>
        <w:t>, f. 3.</w:t>
      </w:r>
    </w:p>
    <w:p w:rsidR="00506787" w:rsidRPr="00506787" w:rsidRDefault="00506787" w:rsidP="00506787">
      <w:pPr>
        <w:pStyle w:val="TextoNormalSangraFrancesa"/>
        <w:rPr>
          <w:rStyle w:val="TextoNormalCaracter"/>
        </w:rPr>
      </w:pPr>
      <w:bookmarkStart w:id="960" w:name="DESCRIPTORALFABETICO475"/>
      <w:r w:rsidRPr="00506787">
        <w:rPr>
          <w:rStyle w:val="TextoNormalNegritaCaracter"/>
        </w:rPr>
        <w:t>Actividad probatoria</w:t>
      </w:r>
      <w:bookmarkEnd w:id="960"/>
      <w:r w:rsidRPr="00506787">
        <w:rPr>
          <w:rStyle w:val="TextoNormalCaracter"/>
        </w:rPr>
        <w:t xml:space="preserve">, Sentencias </w:t>
      </w:r>
      <w:hyperlink w:anchor="SENTENCIA_1985_25" w:history="1">
        <w:r w:rsidRPr="00506787">
          <w:rPr>
            <w:rStyle w:val="TextoNormalCaracter"/>
          </w:rPr>
          <w:t>25/1985</w:t>
        </w:r>
      </w:hyperlink>
      <w:r w:rsidRPr="00506787">
        <w:rPr>
          <w:rStyle w:val="TextoNormalCaracter"/>
        </w:rPr>
        <w:t xml:space="preserve">, f. 2; </w:t>
      </w:r>
      <w:hyperlink w:anchor="SENTENCIA_1985_36" w:history="1">
        <w:r w:rsidRPr="00506787">
          <w:rPr>
            <w:rStyle w:val="TextoNormalCaracter"/>
          </w:rPr>
          <w:t>36/1985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64" w:history="1">
        <w:r w:rsidRPr="00506787">
          <w:rPr>
            <w:rStyle w:val="TextoNormalCaracter"/>
          </w:rPr>
          <w:t>64/1985</w:t>
        </w:r>
      </w:hyperlink>
      <w:r w:rsidRPr="00506787">
        <w:rPr>
          <w:rStyle w:val="TextoNormalCaracter"/>
        </w:rPr>
        <w:t xml:space="preserve">; </w:t>
      </w:r>
      <w:hyperlink w:anchor="AUTO_1985_82" w:history="1">
        <w:r w:rsidRPr="00506787">
          <w:rPr>
            <w:rStyle w:val="TextoNormalCaracter"/>
          </w:rPr>
          <w:t>82/1985</w:t>
        </w:r>
      </w:hyperlink>
      <w:r w:rsidRPr="00506787">
        <w:rPr>
          <w:rStyle w:val="TextoNormalCaracter"/>
        </w:rPr>
        <w:t xml:space="preserve">; </w:t>
      </w:r>
      <w:hyperlink w:anchor="AUTO_1985_120" w:history="1">
        <w:r w:rsidRPr="00506787">
          <w:rPr>
            <w:rStyle w:val="TextoNormalCaracter"/>
          </w:rPr>
          <w:t>120/1985</w:t>
        </w:r>
      </w:hyperlink>
      <w:r w:rsidRPr="00506787">
        <w:rPr>
          <w:rStyle w:val="TextoNormalCaracter"/>
        </w:rPr>
        <w:t xml:space="preserve">; </w:t>
      </w:r>
      <w:hyperlink w:anchor="AUTO_1985_180" w:history="1">
        <w:r w:rsidRPr="00506787">
          <w:rPr>
            <w:rStyle w:val="TextoNormalCaracter"/>
          </w:rPr>
          <w:t>180/1985</w:t>
        </w:r>
      </w:hyperlink>
      <w:r w:rsidRPr="00506787">
        <w:rPr>
          <w:rStyle w:val="TextoNormalCaracter"/>
        </w:rPr>
        <w:t xml:space="preserve">; </w:t>
      </w:r>
      <w:hyperlink w:anchor="AUTO_1985_189" w:history="1">
        <w:r w:rsidRPr="00506787">
          <w:rPr>
            <w:rStyle w:val="TextoNormalCaracter"/>
          </w:rPr>
          <w:t>189/1985</w:t>
        </w:r>
      </w:hyperlink>
      <w:r w:rsidRPr="00506787">
        <w:rPr>
          <w:rStyle w:val="TextoNormalCaracter"/>
        </w:rPr>
        <w:t xml:space="preserve">; </w:t>
      </w:r>
      <w:hyperlink w:anchor="AUTO_1985_216" w:history="1">
        <w:r w:rsidRPr="00506787">
          <w:rPr>
            <w:rStyle w:val="TextoNormalCaracter"/>
          </w:rPr>
          <w:t>216/1985</w:t>
        </w:r>
      </w:hyperlink>
      <w:r w:rsidRPr="00506787">
        <w:rPr>
          <w:rStyle w:val="TextoNormalCaracter"/>
        </w:rPr>
        <w:t xml:space="preserve">; </w:t>
      </w:r>
      <w:hyperlink w:anchor="AUTO_1985_219" w:history="1">
        <w:r w:rsidRPr="00506787">
          <w:rPr>
            <w:rStyle w:val="TextoNormalCaracter"/>
          </w:rPr>
          <w:t>219/1985</w:t>
        </w:r>
      </w:hyperlink>
      <w:r w:rsidRPr="00506787">
        <w:rPr>
          <w:rStyle w:val="TextoNormalCaracter"/>
        </w:rPr>
        <w:t xml:space="preserve">; </w:t>
      </w:r>
      <w:hyperlink w:anchor="AUTO_1985_253" w:history="1">
        <w:r w:rsidRPr="00506787">
          <w:rPr>
            <w:rStyle w:val="TextoNormalCaracter"/>
          </w:rPr>
          <w:t>253/1985</w:t>
        </w:r>
      </w:hyperlink>
      <w:r w:rsidRPr="00506787">
        <w:rPr>
          <w:rStyle w:val="TextoNormalCaracter"/>
        </w:rPr>
        <w:t xml:space="preserve">; </w:t>
      </w:r>
      <w:hyperlink w:anchor="AUTO_1985_265" w:history="1">
        <w:r w:rsidRPr="00506787">
          <w:rPr>
            <w:rStyle w:val="TextoNormalCaracter"/>
          </w:rPr>
          <w:t>265/1985</w:t>
        </w:r>
      </w:hyperlink>
      <w:r w:rsidRPr="00506787">
        <w:rPr>
          <w:rStyle w:val="TextoNormalCaracter"/>
        </w:rPr>
        <w:t>.</w:t>
      </w:r>
    </w:p>
    <w:p w:rsidR="00506787" w:rsidRPr="00506787" w:rsidRDefault="00506787" w:rsidP="00506787">
      <w:pPr>
        <w:pStyle w:val="TextoNormalSangraFrancesa"/>
        <w:rPr>
          <w:rStyle w:val="TextoNormalCaracter"/>
        </w:rPr>
      </w:pPr>
      <w:bookmarkStart w:id="961" w:name="DESCRIPTORALFABETICO420"/>
      <w:r w:rsidRPr="00506787">
        <w:rPr>
          <w:rStyle w:val="TextoNormalNegritaCaracter"/>
        </w:rPr>
        <w:t>Acto de iniciación del conflicto de jurisdicción</w:t>
      </w:r>
      <w:bookmarkEnd w:id="961"/>
      <w:r w:rsidRPr="00506787">
        <w:rPr>
          <w:rStyle w:val="TextoNormalCaracter"/>
        </w:rPr>
        <w:t xml:space="preserve">, Sentencia </w:t>
      </w:r>
      <w:hyperlink w:anchor="SENTENCIA_1985_55" w:history="1">
        <w:r w:rsidRPr="00506787">
          <w:rPr>
            <w:rStyle w:val="TextoNormalCaracter"/>
          </w:rPr>
          <w:t>55/1985</w:t>
        </w:r>
      </w:hyperlink>
      <w:r w:rsidRPr="00506787">
        <w:rPr>
          <w:rStyle w:val="TextoNormalCaracter"/>
        </w:rPr>
        <w:t>, f. 3.</w:t>
      </w:r>
    </w:p>
    <w:p w:rsidR="00506787" w:rsidRPr="00506787" w:rsidRDefault="00506787" w:rsidP="00506787">
      <w:pPr>
        <w:pStyle w:val="TextoNormalSangraFrancesa"/>
        <w:rPr>
          <w:rStyle w:val="TextoNormalCaracter"/>
        </w:rPr>
      </w:pPr>
      <w:bookmarkStart w:id="962" w:name="DESCRIPTORALFABETICO224"/>
      <w:r w:rsidRPr="00506787">
        <w:rPr>
          <w:rStyle w:val="TextoNormalNegritaCaracter"/>
        </w:rPr>
        <w:t>Actos anteriores a la Constitución</w:t>
      </w:r>
      <w:bookmarkEnd w:id="962"/>
      <w:r w:rsidRPr="00506787">
        <w:rPr>
          <w:rStyle w:val="TextoNormalCaracter"/>
        </w:rPr>
        <w:t xml:space="preserve">, Auto </w:t>
      </w:r>
      <w:hyperlink w:anchor="AUTO_1985_182" w:history="1">
        <w:r w:rsidRPr="00506787">
          <w:rPr>
            <w:rStyle w:val="TextoNormalCaracter"/>
          </w:rPr>
          <w:t>182/1985</w:t>
        </w:r>
      </w:hyperlink>
      <w:r w:rsidRPr="00506787">
        <w:rPr>
          <w:rStyle w:val="TextoNormalCaracter"/>
        </w:rPr>
        <w:t>.</w:t>
      </w:r>
    </w:p>
    <w:p w:rsidR="00506787" w:rsidRPr="00506787" w:rsidRDefault="00506787" w:rsidP="00506787">
      <w:pPr>
        <w:pStyle w:val="TextoNormalSangraFrancesa"/>
        <w:rPr>
          <w:rStyle w:val="TextoNormalCaracter"/>
        </w:rPr>
      </w:pPr>
      <w:bookmarkStart w:id="963" w:name="DESCRIPTORALFABETICO225"/>
      <w:r w:rsidRPr="00506787">
        <w:rPr>
          <w:rStyle w:val="TextoNormalNegritaCaracter"/>
        </w:rPr>
        <w:t>Actos anteriores a la constitución del Tribunal Constitucional</w:t>
      </w:r>
      <w:bookmarkEnd w:id="963"/>
      <w:r w:rsidRPr="00506787">
        <w:rPr>
          <w:rStyle w:val="TextoNormalCaracter"/>
        </w:rPr>
        <w:t xml:space="preserve">, Auto </w:t>
      </w:r>
      <w:hyperlink w:anchor="AUTO_1985_117" w:history="1">
        <w:r w:rsidRPr="00506787">
          <w:rPr>
            <w:rStyle w:val="TextoNormalCaracter"/>
          </w:rPr>
          <w:t>117/1985</w:t>
        </w:r>
      </w:hyperlink>
      <w:r w:rsidRPr="00506787">
        <w:rPr>
          <w:rStyle w:val="TextoNormalCaracter"/>
        </w:rPr>
        <w:t>.</w:t>
      </w:r>
    </w:p>
    <w:p w:rsidR="00506787" w:rsidRPr="00506787" w:rsidRDefault="00506787" w:rsidP="00506787">
      <w:pPr>
        <w:pStyle w:val="TextoNormalSangraFrancesa"/>
        <w:rPr>
          <w:rStyle w:val="TextoNormalCaracter"/>
        </w:rPr>
      </w:pPr>
      <w:bookmarkStart w:id="964" w:name="DESCRIPTORALFABETICO223"/>
      <w:r w:rsidRPr="00506787">
        <w:rPr>
          <w:rStyle w:val="TextoNormalNegritaCaracter"/>
        </w:rPr>
        <w:t>Actos de los poderes públicos</w:t>
      </w:r>
      <w:bookmarkEnd w:id="964"/>
      <w:r w:rsidRPr="00506787">
        <w:rPr>
          <w:rStyle w:val="TextoNormalCaracter"/>
        </w:rPr>
        <w:t xml:space="preserve">, Autos </w:t>
      </w:r>
      <w:hyperlink w:anchor="AUTO_1985_135" w:history="1">
        <w:r w:rsidRPr="00506787">
          <w:rPr>
            <w:rStyle w:val="TextoNormalCaracter"/>
          </w:rPr>
          <w:t>135/1985</w:t>
        </w:r>
      </w:hyperlink>
      <w:r w:rsidRPr="00506787">
        <w:rPr>
          <w:rStyle w:val="TextoNormalCaracter"/>
        </w:rPr>
        <w:t xml:space="preserve">; </w:t>
      </w:r>
      <w:hyperlink w:anchor="AUTO_1985_139" w:history="1">
        <w:r w:rsidRPr="00506787">
          <w:rPr>
            <w:rStyle w:val="TextoNormalCaracter"/>
          </w:rPr>
          <w:t>139/1985</w:t>
        </w:r>
      </w:hyperlink>
      <w:r w:rsidRPr="00506787">
        <w:rPr>
          <w:rStyle w:val="TextoNormalCaracter"/>
        </w:rPr>
        <w:t>.</w:t>
      </w:r>
    </w:p>
    <w:p w:rsidR="00506787" w:rsidRPr="00506787" w:rsidRDefault="00506787" w:rsidP="00506787">
      <w:pPr>
        <w:pStyle w:val="TextoNormalSangraFrancesa"/>
        <w:rPr>
          <w:rStyle w:val="TextoNormalCaracter"/>
        </w:rPr>
      </w:pPr>
      <w:bookmarkStart w:id="965" w:name="DESCRIPTORALFABETICO431"/>
      <w:r w:rsidRPr="00506787">
        <w:rPr>
          <w:rStyle w:val="TextoNormalNegritaCaracter"/>
        </w:rPr>
        <w:t>Acumulación de acciones</w:t>
      </w:r>
      <w:bookmarkEnd w:id="965"/>
      <w:r w:rsidRPr="00506787">
        <w:rPr>
          <w:rStyle w:val="TextoNormalCaracter"/>
        </w:rPr>
        <w:t xml:space="preserve">, Sentencia </w:t>
      </w:r>
      <w:hyperlink w:anchor="SENTENCIA_1985_39" w:history="1">
        <w:r w:rsidRPr="00506787">
          <w:rPr>
            <w:rStyle w:val="TextoNormalCaracter"/>
          </w:rPr>
          <w:t>39/1985</w:t>
        </w:r>
      </w:hyperlink>
      <w:r w:rsidRPr="00506787">
        <w:rPr>
          <w:rStyle w:val="TextoNormalCaracter"/>
        </w:rPr>
        <w:t>, f. 3, VP.</w:t>
      </w:r>
    </w:p>
    <w:p w:rsidR="00506787" w:rsidRPr="00506787" w:rsidRDefault="00506787" w:rsidP="00506787">
      <w:pPr>
        <w:pStyle w:val="TextoNormalSangraFrancesa"/>
        <w:rPr>
          <w:rStyle w:val="TextoNormalCaracter"/>
        </w:rPr>
      </w:pPr>
      <w:bookmarkStart w:id="966" w:name="DESCRIPTORALFABETICO146"/>
      <w:r w:rsidRPr="00506787">
        <w:rPr>
          <w:rStyle w:val="TextoNormalNegritaCaracter"/>
        </w:rPr>
        <w:t>Acumulación de conflictos positivos de competencia</w:t>
      </w:r>
      <w:bookmarkEnd w:id="966"/>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Procedencia, </w:t>
      </w:r>
      <w:r w:rsidRPr="00506787">
        <w:rPr>
          <w:rStyle w:val="TextoNormalCaracter"/>
        </w:rPr>
        <w:t xml:space="preserve">Autos </w:t>
      </w:r>
      <w:hyperlink w:anchor="AUTO_1985_126" w:history="1">
        <w:r w:rsidRPr="00506787">
          <w:rPr>
            <w:rStyle w:val="TextoNormalCaracter"/>
          </w:rPr>
          <w:t>126/1985</w:t>
        </w:r>
      </w:hyperlink>
      <w:r w:rsidRPr="00506787">
        <w:rPr>
          <w:rStyle w:val="TextoNormalCaracter"/>
        </w:rPr>
        <w:t xml:space="preserve">; </w:t>
      </w:r>
      <w:hyperlink w:anchor="AUTO_1985_199" w:history="1">
        <w:r w:rsidRPr="00506787">
          <w:rPr>
            <w:rStyle w:val="TextoNormalCaracter"/>
          </w:rPr>
          <w:t>199/1985</w:t>
        </w:r>
      </w:hyperlink>
      <w:r w:rsidRPr="00506787">
        <w:rPr>
          <w:rStyle w:val="TextoNormalCaracter"/>
        </w:rPr>
        <w:t xml:space="preserve">; </w:t>
      </w:r>
      <w:hyperlink w:anchor="AUTO_1985_201" w:history="1">
        <w:r w:rsidRPr="00506787">
          <w:rPr>
            <w:rStyle w:val="TextoNormalCaracter"/>
          </w:rPr>
          <w:t>201/1985</w:t>
        </w:r>
      </w:hyperlink>
      <w:r w:rsidRPr="00506787">
        <w:rPr>
          <w:rStyle w:val="TextoNormalCaracter"/>
        </w:rPr>
        <w:t>.</w:t>
      </w:r>
    </w:p>
    <w:p w:rsidR="00506787" w:rsidRPr="00506787" w:rsidRDefault="00506787" w:rsidP="00506787">
      <w:pPr>
        <w:pStyle w:val="TextoNormalSangraFrancesa"/>
        <w:rPr>
          <w:rStyle w:val="TextoNormalCaracter"/>
        </w:rPr>
      </w:pPr>
      <w:bookmarkStart w:id="967" w:name="DESCRIPTORALFABETICO147"/>
      <w:r w:rsidRPr="00506787">
        <w:rPr>
          <w:rStyle w:val="TextoNormalNegritaCaracter"/>
        </w:rPr>
        <w:t>Acumulación de cuestiones de inconstitucionalidad</w:t>
      </w:r>
      <w:bookmarkEnd w:id="967"/>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Procedencia, </w:t>
      </w:r>
      <w:r w:rsidRPr="00506787">
        <w:rPr>
          <w:rStyle w:val="TextoNormalCaracter"/>
        </w:rPr>
        <w:t xml:space="preserve">Autos </w:t>
      </w:r>
      <w:hyperlink w:anchor="AUTO_1985_148" w:history="1">
        <w:r w:rsidRPr="00506787">
          <w:rPr>
            <w:rStyle w:val="TextoNormalCaracter"/>
          </w:rPr>
          <w:t>148/1985</w:t>
        </w:r>
      </w:hyperlink>
      <w:r w:rsidRPr="00506787">
        <w:rPr>
          <w:rStyle w:val="TextoNormalCaracter"/>
        </w:rPr>
        <w:t xml:space="preserve">; </w:t>
      </w:r>
      <w:hyperlink w:anchor="AUTO_1985_149" w:history="1">
        <w:r w:rsidRPr="00506787">
          <w:rPr>
            <w:rStyle w:val="TextoNormalCaracter"/>
          </w:rPr>
          <w:t>149/1985</w:t>
        </w:r>
      </w:hyperlink>
      <w:r w:rsidRPr="00506787">
        <w:rPr>
          <w:rStyle w:val="TextoNormalCaracter"/>
        </w:rPr>
        <w:t xml:space="preserve">; </w:t>
      </w:r>
      <w:hyperlink w:anchor="AUTO_1985_176" w:history="1">
        <w:r w:rsidRPr="00506787">
          <w:rPr>
            <w:rStyle w:val="TextoNormalCaracter"/>
          </w:rPr>
          <w:t>176/1985</w:t>
        </w:r>
      </w:hyperlink>
      <w:r w:rsidRPr="00506787">
        <w:rPr>
          <w:rStyle w:val="TextoNormalCaracter"/>
        </w:rPr>
        <w:t>.</w:t>
      </w:r>
    </w:p>
    <w:p w:rsidR="00506787" w:rsidRPr="00506787" w:rsidRDefault="00506787" w:rsidP="00506787">
      <w:pPr>
        <w:pStyle w:val="TextoNormalSangraFrancesa"/>
        <w:rPr>
          <w:rStyle w:val="TextoNormalCaracter"/>
        </w:rPr>
      </w:pPr>
      <w:bookmarkStart w:id="968" w:name="DESCRIPTORALFABETICO148"/>
      <w:r w:rsidRPr="00506787">
        <w:rPr>
          <w:rStyle w:val="TextoNormalNegritaCaracter"/>
        </w:rPr>
        <w:t>Acumulación de recursos de amparo</w:t>
      </w:r>
      <w:bookmarkEnd w:id="968"/>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Procedencia, </w:t>
      </w:r>
      <w:r w:rsidRPr="00506787">
        <w:rPr>
          <w:rStyle w:val="TextoNormalCaracter"/>
        </w:rPr>
        <w:t xml:space="preserve">Autos </w:t>
      </w:r>
      <w:hyperlink w:anchor="AUTO_1985_12" w:history="1">
        <w:r w:rsidRPr="00506787">
          <w:rPr>
            <w:rStyle w:val="TextoNormalCaracter"/>
          </w:rPr>
          <w:t>12/1985</w:t>
        </w:r>
      </w:hyperlink>
      <w:r w:rsidRPr="00506787">
        <w:rPr>
          <w:rStyle w:val="TextoNormalCaracter"/>
        </w:rPr>
        <w:t xml:space="preserve">; </w:t>
      </w:r>
      <w:hyperlink w:anchor="AUTO_1985_147" w:history="1">
        <w:r w:rsidRPr="00506787">
          <w:rPr>
            <w:rStyle w:val="TextoNormalCaracter"/>
          </w:rPr>
          <w:t>147/1985</w:t>
        </w:r>
      </w:hyperlink>
      <w:r w:rsidRPr="00506787">
        <w:rPr>
          <w:rStyle w:val="TextoNormalCaracter"/>
        </w:rPr>
        <w:t>.</w:t>
      </w:r>
    </w:p>
    <w:p w:rsidR="00506787" w:rsidRPr="00506787" w:rsidRDefault="00506787" w:rsidP="00506787">
      <w:pPr>
        <w:pStyle w:val="TextoNormalSangraFrancesa"/>
        <w:rPr>
          <w:rStyle w:val="TextoNormalCaracter"/>
        </w:rPr>
      </w:pPr>
      <w:bookmarkStart w:id="969" w:name="DESCRIPTORALFABETICO149"/>
      <w:r w:rsidRPr="00506787">
        <w:rPr>
          <w:rStyle w:val="TextoNormalNegritaCaracter"/>
        </w:rPr>
        <w:t>Acumulación de recursos de inconstitucionalidad</w:t>
      </w:r>
      <w:bookmarkEnd w:id="969"/>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lastRenderedPageBreak/>
        <w:t xml:space="preserve">    Improcedencia, </w:t>
      </w:r>
      <w:r w:rsidRPr="00506787">
        <w:rPr>
          <w:rStyle w:val="TextoNormalCaracter"/>
        </w:rPr>
        <w:t xml:space="preserve">Auto </w:t>
      </w:r>
      <w:hyperlink w:anchor="AUTO_1985_17" w:history="1">
        <w:r w:rsidRPr="00506787">
          <w:rPr>
            <w:rStyle w:val="TextoNormalCaracter"/>
          </w:rPr>
          <w:t>17/1985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Procedencia, </w:t>
      </w:r>
      <w:r w:rsidRPr="00506787">
        <w:rPr>
          <w:rStyle w:val="TextoNormalCaracter"/>
        </w:rPr>
        <w:t xml:space="preserve">Autos </w:t>
      </w:r>
      <w:hyperlink w:anchor="AUTO_1985_18" w:history="1">
        <w:r w:rsidRPr="00506787">
          <w:rPr>
            <w:rStyle w:val="TextoNormalCaracter"/>
          </w:rPr>
          <w:t>18/1985</w:t>
        </w:r>
      </w:hyperlink>
      <w:r w:rsidRPr="00506787">
        <w:rPr>
          <w:rStyle w:val="TextoNormalCaracter"/>
        </w:rPr>
        <w:t xml:space="preserve">; </w:t>
      </w:r>
      <w:hyperlink w:anchor="AUTO_1985_38" w:history="1">
        <w:r w:rsidRPr="00506787">
          <w:rPr>
            <w:rStyle w:val="TextoNormalCaracter"/>
          </w:rPr>
          <w:t>38/1985</w:t>
        </w:r>
      </w:hyperlink>
      <w:r w:rsidRPr="00506787">
        <w:rPr>
          <w:rStyle w:val="TextoNormalCaracter"/>
        </w:rPr>
        <w:t xml:space="preserve">; </w:t>
      </w:r>
      <w:hyperlink w:anchor="AUTO_1985_110" w:history="1">
        <w:r w:rsidRPr="00506787">
          <w:rPr>
            <w:rStyle w:val="TextoNormalCaracter"/>
          </w:rPr>
          <w:t>110/1985</w:t>
        </w:r>
      </w:hyperlink>
      <w:r w:rsidRPr="00506787">
        <w:rPr>
          <w:rStyle w:val="TextoNormalCaracter"/>
        </w:rPr>
        <w:t>.</w:t>
      </w:r>
    </w:p>
    <w:p w:rsidR="00506787" w:rsidRPr="00506787" w:rsidRDefault="00506787" w:rsidP="00506787">
      <w:pPr>
        <w:pStyle w:val="TextoNormalSangraFrancesa"/>
        <w:rPr>
          <w:rStyle w:val="TextoNormalCaracter"/>
        </w:rPr>
      </w:pPr>
      <w:bookmarkStart w:id="970" w:name="DESCRIPTORALFABETICO169"/>
      <w:r w:rsidRPr="00506787">
        <w:rPr>
          <w:rStyle w:val="TextoNormalNegritaCaracter"/>
        </w:rPr>
        <w:t>Adhesión de terceros al recurso de inconstitucionalidad</w:t>
      </w:r>
      <w:bookmarkEnd w:id="970"/>
      <w:r w:rsidRPr="00506787">
        <w:rPr>
          <w:rStyle w:val="TextoNormalCaracter"/>
        </w:rPr>
        <w:t xml:space="preserve">, Auto </w:t>
      </w:r>
      <w:hyperlink w:anchor="AUTO_1985_18" w:history="1">
        <w:r w:rsidRPr="00506787">
          <w:rPr>
            <w:rStyle w:val="TextoNormalCaracter"/>
          </w:rPr>
          <w:t>18/1985</w:t>
        </w:r>
      </w:hyperlink>
      <w:r w:rsidRPr="00506787">
        <w:rPr>
          <w:rStyle w:val="TextoNormalCaracter"/>
        </w:rPr>
        <w:t>.</w:t>
      </w:r>
    </w:p>
    <w:p w:rsidR="00506787" w:rsidRPr="00506787" w:rsidRDefault="00506787" w:rsidP="00506787">
      <w:pPr>
        <w:pStyle w:val="TextoNormalSangraFrancesa"/>
        <w:rPr>
          <w:rStyle w:val="TextoNormalCaracter"/>
        </w:rPr>
      </w:pPr>
      <w:bookmarkStart w:id="971" w:name="DESCRIPTORALFABETICO520"/>
      <w:r w:rsidRPr="00506787">
        <w:rPr>
          <w:rStyle w:val="TextoNormalNegritaCaracter"/>
        </w:rPr>
        <w:t>Admisión de recurso</w:t>
      </w:r>
      <w:bookmarkEnd w:id="971"/>
      <w:r w:rsidRPr="00506787">
        <w:rPr>
          <w:rStyle w:val="TextoNormalCaracter"/>
        </w:rPr>
        <w:t xml:space="preserve">, Auto </w:t>
      </w:r>
      <w:hyperlink w:anchor="AUTO_1985_259" w:history="1">
        <w:r w:rsidRPr="00506787">
          <w:rPr>
            <w:rStyle w:val="TextoNormalCaracter"/>
          </w:rPr>
          <w:t>259/1985</w:t>
        </w:r>
      </w:hyperlink>
      <w:r w:rsidRPr="00506787">
        <w:rPr>
          <w:rStyle w:val="TextoNormalCaracter"/>
        </w:rPr>
        <w:t>.</w:t>
      </w:r>
    </w:p>
    <w:p w:rsidR="00506787" w:rsidRPr="00506787" w:rsidRDefault="00506787" w:rsidP="00506787">
      <w:pPr>
        <w:pStyle w:val="TextoNormalSangraFrancesa"/>
        <w:rPr>
          <w:rStyle w:val="TextoNormalCaracter"/>
        </w:rPr>
      </w:pPr>
      <w:bookmarkStart w:id="972" w:name="DESCRIPTORALFABETICO579"/>
      <w:r w:rsidRPr="00506787">
        <w:rPr>
          <w:rStyle w:val="TextoNormalNegritaCaracter"/>
        </w:rPr>
        <w:t>Aforamiento de parlamentarios</w:t>
      </w:r>
      <w:bookmarkEnd w:id="972"/>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3.</w:t>
      </w:r>
    </w:p>
    <w:p w:rsidR="00506787" w:rsidRPr="00506787" w:rsidRDefault="00506787" w:rsidP="00506787">
      <w:pPr>
        <w:pStyle w:val="TextoNormalSangraFrancesa"/>
        <w:rPr>
          <w:rStyle w:val="TextoNormalCaracter"/>
        </w:rPr>
      </w:pPr>
      <w:bookmarkStart w:id="973" w:name="DESCRIPTORALFABETICO209"/>
      <w:r w:rsidRPr="00506787">
        <w:rPr>
          <w:rStyle w:val="TextoNormalNegritaCaracter"/>
        </w:rPr>
        <w:t>Agotamiento de la vía judicial</w:t>
      </w:r>
      <w:bookmarkEnd w:id="973"/>
      <w:r w:rsidRPr="00506787">
        <w:rPr>
          <w:rStyle w:val="TextoNormalCaracter"/>
        </w:rPr>
        <w:t xml:space="preserve">, Sentencias </w:t>
      </w:r>
      <w:hyperlink w:anchor="SENTENCIA_1985_22" w:history="1">
        <w:r w:rsidRPr="00506787">
          <w:rPr>
            <w:rStyle w:val="TextoNormalCaracter"/>
          </w:rPr>
          <w:t>22/1985</w:t>
        </w:r>
      </w:hyperlink>
      <w:r w:rsidRPr="00506787">
        <w:rPr>
          <w:rStyle w:val="TextoNormalCaracter"/>
        </w:rPr>
        <w:t xml:space="preserve">, f. 2; </w:t>
      </w:r>
      <w:hyperlink w:anchor="SENTENCIA_1985_39" w:history="1">
        <w:r w:rsidRPr="00506787">
          <w:rPr>
            <w:rStyle w:val="TextoNormalCaracter"/>
          </w:rPr>
          <w:t>39/1985</w:t>
        </w:r>
      </w:hyperlink>
      <w:r w:rsidRPr="00506787">
        <w:rPr>
          <w:rStyle w:val="TextoNormalCaracter"/>
        </w:rPr>
        <w:t xml:space="preserve">, f. 1, VP; </w:t>
      </w:r>
      <w:hyperlink w:anchor="SENTENCIA_1985_52" w:history="1">
        <w:r w:rsidRPr="00506787">
          <w:rPr>
            <w:rStyle w:val="TextoNormalCaracter"/>
          </w:rPr>
          <w:t>52/1985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37" w:history="1">
        <w:r w:rsidRPr="00506787">
          <w:rPr>
            <w:rStyle w:val="TextoNormalCaracter"/>
          </w:rPr>
          <w:t>37/1985</w:t>
        </w:r>
      </w:hyperlink>
      <w:r w:rsidRPr="00506787">
        <w:rPr>
          <w:rStyle w:val="TextoNormalCaracter"/>
        </w:rPr>
        <w:t xml:space="preserve">; </w:t>
      </w:r>
      <w:hyperlink w:anchor="AUTO_1985_65" w:history="1">
        <w:r w:rsidRPr="00506787">
          <w:rPr>
            <w:rStyle w:val="TextoNormalCaracter"/>
          </w:rPr>
          <w:t>65/1985</w:t>
        </w:r>
      </w:hyperlink>
      <w:r w:rsidRPr="00506787">
        <w:rPr>
          <w:rStyle w:val="TextoNormalCaracter"/>
        </w:rPr>
        <w:t xml:space="preserve">; </w:t>
      </w:r>
      <w:hyperlink w:anchor="AUTO_1985_79" w:history="1">
        <w:r w:rsidRPr="00506787">
          <w:rPr>
            <w:rStyle w:val="TextoNormalCaracter"/>
          </w:rPr>
          <w:t>79/1985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Alcance, </w:t>
      </w:r>
      <w:r w:rsidRPr="00506787">
        <w:rPr>
          <w:rStyle w:val="TextoNormalCaracter"/>
        </w:rPr>
        <w:t xml:space="preserve">Auto </w:t>
      </w:r>
      <w:hyperlink w:anchor="AUTO_1985_69" w:history="1">
        <w:r w:rsidRPr="00506787">
          <w:rPr>
            <w:rStyle w:val="TextoNormalCaracter"/>
          </w:rPr>
          <w:t>69/1985</w:t>
        </w:r>
      </w:hyperlink>
      <w:r w:rsidRPr="00506787">
        <w:rPr>
          <w:rStyle w:val="TextoNormalCaracter"/>
        </w:rPr>
        <w:t>.</w:t>
      </w:r>
    </w:p>
    <w:p w:rsidR="00506787" w:rsidRPr="00506787" w:rsidRDefault="00506787" w:rsidP="00506787">
      <w:pPr>
        <w:pStyle w:val="TextoNormalSangraFrancesa"/>
        <w:rPr>
          <w:rStyle w:val="TextoNormalCaracter"/>
        </w:rPr>
      </w:pPr>
      <w:bookmarkStart w:id="974" w:name="DESCRIPTORALFABETICO202"/>
      <w:r w:rsidRPr="00506787">
        <w:rPr>
          <w:rStyle w:val="TextoNormalNegritaCaracter"/>
        </w:rPr>
        <w:t>Agotamiento de los efectos del acto impugnado</w:t>
      </w:r>
      <w:bookmarkEnd w:id="974"/>
      <w:r w:rsidRPr="00506787">
        <w:rPr>
          <w:rStyle w:val="TextoNormalCaracter"/>
        </w:rPr>
        <w:t xml:space="preserve">, Auto </w:t>
      </w:r>
      <w:hyperlink w:anchor="AUTO_1985_117" w:history="1">
        <w:r w:rsidRPr="00506787">
          <w:rPr>
            <w:rStyle w:val="TextoNormalCaracter"/>
          </w:rPr>
          <w:t>117/1985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Agotamiento de recursos en la vía judicial</w:t>
      </w:r>
      <w:r>
        <w:t xml:space="preserve"> véase </w:t>
      </w:r>
      <w:hyperlink w:anchor="DESCRIPTORALFABETICO209" w:history="1">
        <w:r w:rsidRPr="00506787">
          <w:rPr>
            <w:rStyle w:val="TextoNormalNegritaCaracter"/>
          </w:rPr>
          <w:t>Agotamiento de la vía judicial</w:t>
        </w:r>
      </w:hyperlink>
    </w:p>
    <w:p w:rsidR="00506787" w:rsidRPr="00506787" w:rsidRDefault="00506787" w:rsidP="00506787">
      <w:pPr>
        <w:pStyle w:val="TextoNormalSangraFrancesa"/>
        <w:rPr>
          <w:rStyle w:val="TextoNormalCaracter"/>
        </w:rPr>
      </w:pPr>
      <w:bookmarkStart w:id="975" w:name="DESCRIPTORALFABETICO219"/>
      <w:r w:rsidRPr="00506787">
        <w:rPr>
          <w:rStyle w:val="TextoNormalNegritaCaracter"/>
        </w:rPr>
        <w:t>Alcance del fallo en recurso de amparo</w:t>
      </w:r>
      <w:bookmarkEnd w:id="975"/>
      <w:r w:rsidRPr="00506787">
        <w:rPr>
          <w:rStyle w:val="TextoNormalCaracter"/>
        </w:rPr>
        <w:t xml:space="preserve">, Sentencias </w:t>
      </w:r>
      <w:hyperlink w:anchor="SENTENCIA_1985_31" w:history="1">
        <w:r w:rsidRPr="00506787">
          <w:rPr>
            <w:rStyle w:val="TextoNormalCaracter"/>
          </w:rPr>
          <w:t>31/1985</w:t>
        </w:r>
      </w:hyperlink>
      <w:r w:rsidRPr="00506787">
        <w:rPr>
          <w:rStyle w:val="TextoNormalCaracter"/>
        </w:rPr>
        <w:t xml:space="preserve">, f. 4; </w:t>
      </w:r>
      <w:hyperlink w:anchor="SENTENCIA_1985_37" w:history="1">
        <w:r w:rsidRPr="00506787">
          <w:rPr>
            <w:rStyle w:val="TextoNormalCaracter"/>
          </w:rPr>
          <w:t>37/1985</w:t>
        </w:r>
      </w:hyperlink>
      <w:r w:rsidRPr="00506787">
        <w:rPr>
          <w:rStyle w:val="TextoNormalCaracter"/>
        </w:rPr>
        <w:t xml:space="preserve">, f. 3; </w:t>
      </w:r>
      <w:hyperlink w:anchor="SENTENCIA_1985_44" w:history="1">
        <w:r w:rsidRPr="00506787">
          <w:rPr>
            <w:rStyle w:val="TextoNormalCaracter"/>
          </w:rPr>
          <w:t>44/1985</w:t>
        </w:r>
      </w:hyperlink>
      <w:r w:rsidRPr="00506787">
        <w:rPr>
          <w:rStyle w:val="TextoNormalCaracter"/>
        </w:rPr>
        <w:t>, f. 5.</w:t>
      </w:r>
    </w:p>
    <w:p w:rsidR="00506787" w:rsidRPr="00506787" w:rsidRDefault="00506787" w:rsidP="00506787">
      <w:pPr>
        <w:pStyle w:val="TextoNormalSangraFrancesa"/>
        <w:rPr>
          <w:rStyle w:val="TextoNormalCaracter"/>
        </w:rPr>
      </w:pPr>
      <w:bookmarkStart w:id="976" w:name="DESCRIPTORALFABETICO215"/>
      <w:r w:rsidRPr="00506787">
        <w:rPr>
          <w:rStyle w:val="TextoNormalNegritaCaracter"/>
        </w:rPr>
        <w:t>Alegación de hechos nuevos</w:t>
      </w:r>
      <w:bookmarkEnd w:id="976"/>
      <w:r w:rsidRPr="00506787">
        <w:rPr>
          <w:rStyle w:val="TextoNormalCaracter"/>
        </w:rPr>
        <w:t xml:space="preserve">, Auto </w:t>
      </w:r>
      <w:hyperlink w:anchor="AUTO_1985_273" w:history="1">
        <w:r w:rsidRPr="00506787">
          <w:rPr>
            <w:rStyle w:val="TextoNormalCaracter"/>
          </w:rPr>
          <w:t>273/1985</w:t>
        </w:r>
      </w:hyperlink>
      <w:r w:rsidRPr="00506787">
        <w:rPr>
          <w:rStyle w:val="TextoNormalCaracter"/>
        </w:rPr>
        <w:t>.</w:t>
      </w:r>
    </w:p>
    <w:p w:rsidR="00506787" w:rsidRPr="00506787" w:rsidRDefault="00506787" w:rsidP="00506787">
      <w:pPr>
        <w:pStyle w:val="TextoNormalSangraFrancesa"/>
        <w:rPr>
          <w:rStyle w:val="TextoNormalCaracter"/>
        </w:rPr>
      </w:pPr>
      <w:bookmarkStart w:id="977" w:name="DESCRIPTORALFABETICO337"/>
      <w:r w:rsidRPr="00506787">
        <w:rPr>
          <w:rStyle w:val="TextoNormalNegritaCaracter"/>
        </w:rPr>
        <w:t>Aplicación de la ley más favorable</w:t>
      </w:r>
      <w:bookmarkEnd w:id="977"/>
      <w:r w:rsidRPr="00506787">
        <w:rPr>
          <w:rStyle w:val="TextoNormalCaracter"/>
        </w:rPr>
        <w:t xml:space="preserve">, Auto </w:t>
      </w:r>
      <w:hyperlink w:anchor="AUTO_1985_267" w:history="1">
        <w:r w:rsidRPr="00506787">
          <w:rPr>
            <w:rStyle w:val="TextoNormalCaracter"/>
          </w:rPr>
          <w:t>267/1985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Aplicación de la ley penal</w:t>
      </w:r>
      <w:r>
        <w:t xml:space="preserve"> véase </w:t>
      </w:r>
      <w:hyperlink w:anchor="DESCRIPTORALFABETICO338" w:history="1">
        <w:r w:rsidRPr="00506787">
          <w:rPr>
            <w:rStyle w:val="TextoNormalNegritaCaracter"/>
          </w:rPr>
          <w:t>Aplicación de normas penales</w:t>
        </w:r>
      </w:hyperlink>
    </w:p>
    <w:p w:rsidR="00506787" w:rsidRPr="00506787" w:rsidRDefault="00506787" w:rsidP="00506787">
      <w:pPr>
        <w:pStyle w:val="TextoNormalSangraFrancesa"/>
        <w:rPr>
          <w:rStyle w:val="TextoNormalCaracter"/>
        </w:rPr>
      </w:pPr>
      <w:bookmarkStart w:id="978" w:name="DESCRIPTORALFABETICO38"/>
      <w:r w:rsidRPr="00506787">
        <w:rPr>
          <w:rStyle w:val="TextoNormalNegritaCaracter"/>
        </w:rPr>
        <w:t>Aplicación de la presunción de inocencia fuera de la jurisdicción penal</w:t>
      </w:r>
      <w:bookmarkEnd w:id="978"/>
      <w:r w:rsidRPr="00506787">
        <w:rPr>
          <w:rStyle w:val="TextoNormalCaracter"/>
        </w:rPr>
        <w:t xml:space="preserve">, Sentencia </w:t>
      </w:r>
      <w:hyperlink w:anchor="SENTENCIA_1985_37" w:history="1">
        <w:r w:rsidRPr="00506787">
          <w:rPr>
            <w:rStyle w:val="TextoNormalCaracter"/>
          </w:rPr>
          <w:t>37/1985</w:t>
        </w:r>
      </w:hyperlink>
      <w:r w:rsidRPr="00506787">
        <w:rPr>
          <w:rStyle w:val="TextoNormalCaracter"/>
        </w:rPr>
        <w:t>, ff. 1, 2.</w:t>
      </w:r>
    </w:p>
    <w:p w:rsidR="00506787" w:rsidRPr="00506787" w:rsidRDefault="00506787" w:rsidP="00506787">
      <w:pPr>
        <w:pStyle w:val="TextoNormalSangraFrancesa"/>
        <w:rPr>
          <w:rStyle w:val="TextoNormalCaracter"/>
        </w:rPr>
      </w:pPr>
      <w:bookmarkStart w:id="979" w:name="DESCRIPTORALFABETICO336"/>
      <w:r w:rsidRPr="00506787">
        <w:rPr>
          <w:rStyle w:val="TextoNormalNegritaCaracter"/>
        </w:rPr>
        <w:t>Aplicación de las normas jurídicas</w:t>
      </w:r>
      <w:bookmarkEnd w:id="979"/>
      <w:r w:rsidRPr="00506787">
        <w:rPr>
          <w:rStyle w:val="TextoNormalCaracter"/>
        </w:rPr>
        <w:t xml:space="preserve">, Auto </w:t>
      </w:r>
      <w:hyperlink w:anchor="AUTO_1985_104" w:history="1">
        <w:r w:rsidRPr="00506787">
          <w:rPr>
            <w:rStyle w:val="TextoNormalCaracter"/>
          </w:rPr>
          <w:t>104/1985</w:t>
        </w:r>
      </w:hyperlink>
      <w:r w:rsidRPr="00506787">
        <w:rPr>
          <w:rStyle w:val="TextoNormalCaracter"/>
        </w:rPr>
        <w:t>.</w:t>
      </w:r>
    </w:p>
    <w:p w:rsidR="00506787" w:rsidRPr="00506787" w:rsidRDefault="00506787" w:rsidP="00506787">
      <w:pPr>
        <w:pStyle w:val="TextoNormalSangraFrancesa"/>
        <w:rPr>
          <w:rStyle w:val="TextoNormalCaracter"/>
        </w:rPr>
      </w:pPr>
      <w:bookmarkStart w:id="980" w:name="DESCRIPTORALFABETICO338"/>
      <w:r w:rsidRPr="00506787">
        <w:rPr>
          <w:rStyle w:val="TextoNormalNegritaCaracter"/>
        </w:rPr>
        <w:t>Aplicación de normas penales</w:t>
      </w:r>
      <w:bookmarkEnd w:id="980"/>
      <w:r w:rsidRPr="00506787">
        <w:rPr>
          <w:rStyle w:val="TextoNormalCaracter"/>
        </w:rPr>
        <w:t xml:space="preserve">, Auto </w:t>
      </w:r>
      <w:hyperlink w:anchor="AUTO_1985_58" w:history="1">
        <w:r w:rsidRPr="00506787">
          <w:rPr>
            <w:rStyle w:val="TextoNormalCaracter"/>
          </w:rPr>
          <w:t>58/1985</w:t>
        </w:r>
      </w:hyperlink>
      <w:r w:rsidRPr="00506787">
        <w:rPr>
          <w:rStyle w:val="TextoNormalCaracter"/>
        </w:rPr>
        <w:t>.</w:t>
      </w:r>
    </w:p>
    <w:p w:rsidR="00506787" w:rsidRPr="00506787" w:rsidRDefault="00506787" w:rsidP="00506787">
      <w:pPr>
        <w:pStyle w:val="TextoNormalSangraFrancesa"/>
        <w:rPr>
          <w:rStyle w:val="TextoNormalCaracter"/>
        </w:rPr>
      </w:pPr>
      <w:bookmarkStart w:id="981" w:name="DESCRIPTORALFABETICO510"/>
      <w:r w:rsidRPr="00506787">
        <w:rPr>
          <w:rStyle w:val="TextoNormalNegritaCaracter"/>
        </w:rPr>
        <w:t>Apoderamiento insuficiente</w:t>
      </w:r>
      <w:bookmarkEnd w:id="981"/>
      <w:r w:rsidRPr="00506787">
        <w:rPr>
          <w:rStyle w:val="TextoNormalCaracter"/>
        </w:rPr>
        <w:t xml:space="preserve">, Auto </w:t>
      </w:r>
      <w:hyperlink w:anchor="AUTO_1985_264" w:history="1">
        <w:r w:rsidRPr="00506787">
          <w:rPr>
            <w:rStyle w:val="TextoNormalCaracter"/>
          </w:rPr>
          <w:t>264/1985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Apreciación de la prueba</w:t>
      </w:r>
      <w:r>
        <w:t xml:space="preserve"> véase </w:t>
      </w:r>
      <w:hyperlink w:anchor="DESCRIPTORALFABETICO488" w:history="1">
        <w:r w:rsidRPr="00506787">
          <w:rPr>
            <w:rStyle w:val="TextoNormalNegritaCaracter"/>
          </w:rPr>
          <w:t>Valoración de la prueba</w:t>
        </w:r>
      </w:hyperlink>
    </w:p>
    <w:p w:rsidR="00506787" w:rsidRPr="00506787" w:rsidRDefault="00506787" w:rsidP="00506787">
      <w:pPr>
        <w:pStyle w:val="TextoNormalSangraFrancesa"/>
        <w:rPr>
          <w:rStyle w:val="TextoNormalCaracter"/>
        </w:rPr>
      </w:pPr>
      <w:bookmarkStart w:id="982" w:name="DESCRIPTORALFABETICO521"/>
      <w:r w:rsidRPr="00506787">
        <w:rPr>
          <w:rStyle w:val="TextoNormalNegritaCaracter"/>
        </w:rPr>
        <w:t>Aquietamiento del recurrente</w:t>
      </w:r>
      <w:bookmarkEnd w:id="982"/>
      <w:r w:rsidRPr="00506787">
        <w:rPr>
          <w:rStyle w:val="TextoNormalCaracter"/>
        </w:rPr>
        <w:t xml:space="preserve">, Autos </w:t>
      </w:r>
      <w:hyperlink w:anchor="AUTO_1985_182" w:history="1">
        <w:r w:rsidRPr="00506787">
          <w:rPr>
            <w:rStyle w:val="TextoNormalCaracter"/>
          </w:rPr>
          <w:t>182/1985</w:t>
        </w:r>
      </w:hyperlink>
      <w:r w:rsidRPr="00506787">
        <w:rPr>
          <w:rStyle w:val="TextoNormalCaracter"/>
        </w:rPr>
        <w:t xml:space="preserve">; </w:t>
      </w:r>
      <w:hyperlink w:anchor="AUTO_1985_209" w:history="1">
        <w:r w:rsidRPr="00506787">
          <w:rPr>
            <w:rStyle w:val="TextoNormalCaracter"/>
          </w:rPr>
          <w:t>209/1985</w:t>
        </w:r>
      </w:hyperlink>
      <w:r w:rsidRPr="00506787">
        <w:rPr>
          <w:rStyle w:val="TextoNormalCaracter"/>
        </w:rPr>
        <w:t>.</w:t>
      </w:r>
    </w:p>
    <w:p w:rsidR="00506787" w:rsidRPr="00506787" w:rsidRDefault="00506787" w:rsidP="00506787">
      <w:pPr>
        <w:pStyle w:val="TextoNormalSangraFrancesa"/>
        <w:rPr>
          <w:rStyle w:val="TextoNormalCaracter"/>
        </w:rPr>
      </w:pPr>
      <w:bookmarkStart w:id="983" w:name="DESCRIPTORALFABETICO285"/>
      <w:r w:rsidRPr="00506787">
        <w:rPr>
          <w:rStyle w:val="TextoNormalNegritaCaracter"/>
        </w:rPr>
        <w:t>Arrendamientos urbanos</w:t>
      </w:r>
      <w:bookmarkEnd w:id="983"/>
      <w:r w:rsidRPr="00506787">
        <w:rPr>
          <w:rStyle w:val="TextoNormalCaracter"/>
        </w:rPr>
        <w:t xml:space="preserve">, Autos </w:t>
      </w:r>
      <w:hyperlink w:anchor="AUTO_1985_76" w:history="1">
        <w:r w:rsidRPr="00506787">
          <w:rPr>
            <w:rStyle w:val="TextoNormalCaracter"/>
          </w:rPr>
          <w:t>76/1985</w:t>
        </w:r>
      </w:hyperlink>
      <w:r w:rsidRPr="00506787">
        <w:rPr>
          <w:rStyle w:val="TextoNormalCaracter"/>
        </w:rPr>
        <w:t xml:space="preserve">; </w:t>
      </w:r>
      <w:hyperlink w:anchor="AUTO_1985_106" w:history="1">
        <w:r w:rsidRPr="00506787">
          <w:rPr>
            <w:rStyle w:val="TextoNormalCaracter"/>
          </w:rPr>
          <w:t>106/1985</w:t>
        </w:r>
      </w:hyperlink>
      <w:r w:rsidRPr="00506787">
        <w:rPr>
          <w:rStyle w:val="TextoNormalCaracter"/>
        </w:rPr>
        <w:t xml:space="preserve">; </w:t>
      </w:r>
      <w:hyperlink w:anchor="AUTO_1985_118" w:history="1">
        <w:r w:rsidRPr="00506787">
          <w:rPr>
            <w:rStyle w:val="TextoNormalCaracter"/>
          </w:rPr>
          <w:t>118/1985</w:t>
        </w:r>
      </w:hyperlink>
      <w:r w:rsidRPr="00506787">
        <w:rPr>
          <w:rStyle w:val="TextoNormalCaracter"/>
        </w:rPr>
        <w:t xml:space="preserve">; </w:t>
      </w:r>
      <w:hyperlink w:anchor="AUTO_1985_184" w:history="1">
        <w:r w:rsidRPr="00506787">
          <w:rPr>
            <w:rStyle w:val="TextoNormalCaracter"/>
          </w:rPr>
          <w:t>184/1985</w:t>
        </w:r>
      </w:hyperlink>
      <w:r w:rsidRPr="00506787">
        <w:rPr>
          <w:rStyle w:val="TextoNormalCaracter"/>
        </w:rPr>
        <w:t xml:space="preserve">; </w:t>
      </w:r>
      <w:hyperlink w:anchor="AUTO_1985_195" w:history="1">
        <w:r w:rsidRPr="00506787">
          <w:rPr>
            <w:rStyle w:val="TextoNormalCaracter"/>
          </w:rPr>
          <w:t>195/1985</w:t>
        </w:r>
      </w:hyperlink>
      <w:r w:rsidRPr="00506787">
        <w:rPr>
          <w:rStyle w:val="TextoNormalCaracter"/>
        </w:rPr>
        <w:t xml:space="preserve">; </w:t>
      </w:r>
      <w:hyperlink w:anchor="AUTO_1985_203" w:history="1">
        <w:r w:rsidRPr="00506787">
          <w:rPr>
            <w:rStyle w:val="TextoNormalCaracter"/>
          </w:rPr>
          <w:t>203/1985</w:t>
        </w:r>
      </w:hyperlink>
      <w:r w:rsidRPr="00506787">
        <w:rPr>
          <w:rStyle w:val="TextoNormalCaracter"/>
        </w:rPr>
        <w:t>.</w:t>
      </w:r>
    </w:p>
    <w:p w:rsidR="00506787" w:rsidRPr="00506787" w:rsidRDefault="00506787" w:rsidP="00506787">
      <w:pPr>
        <w:pStyle w:val="TextoNormalSangraFrancesa"/>
        <w:rPr>
          <w:rStyle w:val="TextoNormalCaracter"/>
        </w:rPr>
      </w:pPr>
      <w:bookmarkStart w:id="984" w:name="DESCRIPTORALFABETICO355"/>
      <w:r w:rsidRPr="00506787">
        <w:rPr>
          <w:rStyle w:val="TextoNormalNegritaCaracter"/>
        </w:rPr>
        <w:t>Arresto domiciliario</w:t>
      </w:r>
      <w:bookmarkEnd w:id="984"/>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Naturaleza, </w:t>
      </w:r>
      <w:r w:rsidRPr="00506787">
        <w:rPr>
          <w:rStyle w:val="TextoNormalCaracter"/>
        </w:rPr>
        <w:t xml:space="preserve">Sentencia </w:t>
      </w:r>
      <w:hyperlink w:anchor="SENTENCIA_1985_31" w:history="1">
        <w:r w:rsidRPr="00506787">
          <w:rPr>
            <w:rStyle w:val="TextoNormalCaracter"/>
          </w:rPr>
          <w:t>31/1985</w:t>
        </w:r>
      </w:hyperlink>
      <w:r w:rsidRPr="00506787">
        <w:rPr>
          <w:rStyle w:val="TextoNormalCaracter"/>
        </w:rPr>
        <w:t>, f. 3.</w:t>
      </w:r>
    </w:p>
    <w:p w:rsidR="00506787" w:rsidRPr="00506787" w:rsidRDefault="00506787" w:rsidP="00506787">
      <w:pPr>
        <w:pStyle w:val="TextoNormalSangraFrancesa"/>
        <w:rPr>
          <w:rStyle w:val="TextoNormalCaracter"/>
        </w:rPr>
      </w:pPr>
      <w:bookmarkStart w:id="985" w:name="DESCRIPTORALFABETICO586"/>
      <w:r w:rsidRPr="00506787">
        <w:rPr>
          <w:rStyle w:val="TextoNormalNegritaCaracter"/>
        </w:rPr>
        <w:t>Asturias</w:t>
      </w:r>
      <w:bookmarkEnd w:id="985"/>
      <w:r w:rsidRPr="00506787">
        <w:rPr>
          <w:rStyle w:val="TextoNormalCaracter"/>
        </w:rPr>
        <w:t xml:space="preserve">, Sentencia </w:t>
      </w:r>
      <w:hyperlink w:anchor="SENTENCIA_1985_46" w:history="1">
        <w:r w:rsidRPr="00506787">
          <w:rPr>
            <w:rStyle w:val="TextoNormalCaracter"/>
          </w:rPr>
          <w:t>46/1985</w:t>
        </w:r>
      </w:hyperlink>
      <w:r w:rsidRPr="00506787">
        <w:rPr>
          <w:rStyle w:val="TextoNormalCaracter"/>
        </w:rPr>
        <w:t>, f. 3.</w:t>
      </w:r>
    </w:p>
    <w:p w:rsidR="00506787" w:rsidRPr="00506787" w:rsidRDefault="00506787" w:rsidP="00506787">
      <w:pPr>
        <w:pStyle w:val="TextoNormalSangraFrancesa"/>
        <w:rPr>
          <w:rStyle w:val="TextoNormalCaracter"/>
        </w:rPr>
      </w:pPr>
      <w:bookmarkStart w:id="986" w:name="DESCRIPTORALFABETICO163"/>
      <w:r w:rsidRPr="00506787">
        <w:rPr>
          <w:rStyle w:val="TextoNormalNegritaCaracter"/>
        </w:rPr>
        <w:t>Audiencia previa a todas las partes</w:t>
      </w:r>
      <w:bookmarkEnd w:id="986"/>
      <w:r w:rsidRPr="00506787">
        <w:rPr>
          <w:rStyle w:val="TextoNormalCaracter"/>
        </w:rPr>
        <w:t xml:space="preserve">, Sentencia </w:t>
      </w:r>
      <w:hyperlink w:anchor="SENTENCIA_1985_21" w:history="1">
        <w:r w:rsidRPr="00506787">
          <w:rPr>
            <w:rStyle w:val="TextoNormalCaracter"/>
          </w:rPr>
          <w:t>21/1985</w:t>
        </w:r>
      </w:hyperlink>
      <w:r w:rsidRPr="00506787">
        <w:rPr>
          <w:rStyle w:val="TextoNormalCaracter"/>
        </w:rPr>
        <w:t>, f. 2.</w:t>
      </w:r>
    </w:p>
    <w:p w:rsidR="00506787" w:rsidRPr="00506787" w:rsidRDefault="00506787" w:rsidP="00506787">
      <w:pPr>
        <w:pStyle w:val="TextoNormalSangraFrancesa"/>
        <w:rPr>
          <w:rStyle w:val="TextoNormalCaracter"/>
        </w:rPr>
      </w:pPr>
      <w:bookmarkStart w:id="987" w:name="DESCRIPTORALFABETICO104"/>
      <w:r w:rsidRPr="00506787">
        <w:rPr>
          <w:rStyle w:val="TextoNormalNegritaCaracter"/>
        </w:rPr>
        <w:t>Ausencia de ánimo de censura</w:t>
      </w:r>
      <w:bookmarkEnd w:id="987"/>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 1.</w:t>
      </w:r>
    </w:p>
    <w:p w:rsidR="00506787" w:rsidRPr="00506787" w:rsidRDefault="00506787" w:rsidP="00506787">
      <w:pPr>
        <w:pStyle w:val="TextoNormalSangraFrancesa"/>
        <w:rPr>
          <w:rStyle w:val="TextoNormalCaracter"/>
        </w:rPr>
      </w:pPr>
      <w:bookmarkStart w:id="988" w:name="DESCRIPTORALFABETICO257"/>
      <w:r w:rsidRPr="00506787">
        <w:rPr>
          <w:rStyle w:val="TextoNormalNegritaCaracter"/>
        </w:rPr>
        <w:t>Ausencia de sanción</w:t>
      </w:r>
      <w:bookmarkEnd w:id="988"/>
      <w:r w:rsidRPr="00506787">
        <w:rPr>
          <w:rStyle w:val="TextoNormalCaracter"/>
        </w:rPr>
        <w:t xml:space="preserve">, Auto </w:t>
      </w:r>
      <w:hyperlink w:anchor="AUTO_1985_206" w:history="1">
        <w:r w:rsidRPr="00506787">
          <w:rPr>
            <w:rStyle w:val="TextoNormalCaracter"/>
          </w:rPr>
          <w:t>206/1985</w:t>
        </w:r>
      </w:hyperlink>
      <w:r w:rsidRPr="00506787">
        <w:rPr>
          <w:rStyle w:val="TextoNormalCaracter"/>
        </w:rPr>
        <w:t>.</w:t>
      </w:r>
    </w:p>
    <w:p w:rsidR="00506787" w:rsidRPr="00506787" w:rsidRDefault="00506787" w:rsidP="00506787">
      <w:pPr>
        <w:pStyle w:val="TextoNormalSangraFrancesa"/>
        <w:rPr>
          <w:rStyle w:val="TextoNormalCaracter"/>
        </w:rPr>
      </w:pPr>
      <w:bookmarkStart w:id="989" w:name="DESCRIPTORALFABETICO251"/>
      <w:r w:rsidRPr="00506787">
        <w:rPr>
          <w:rStyle w:val="TextoNormalNegritaCaracter"/>
        </w:rPr>
        <w:t>Autonomía municipal</w:t>
      </w:r>
      <w:bookmarkEnd w:id="989"/>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Contenido, </w:t>
      </w:r>
      <w:r w:rsidRPr="00506787">
        <w:rPr>
          <w:rStyle w:val="TextoNormalCaracter"/>
        </w:rPr>
        <w:t xml:space="preserve">Sentencia </w:t>
      </w:r>
      <w:hyperlink w:anchor="SENTENCIA_1985_32" w:history="1">
        <w:r w:rsidRPr="00506787">
          <w:rPr>
            <w:rStyle w:val="TextoNormalCaracter"/>
          </w:rPr>
          <w:t>32/1985</w:t>
        </w:r>
      </w:hyperlink>
      <w:r w:rsidRPr="00506787">
        <w:rPr>
          <w:rStyle w:val="TextoNormalCaracter"/>
        </w:rPr>
        <w:t>, f. 4.</w:t>
      </w:r>
    </w:p>
    <w:p w:rsidR="00506787" w:rsidRPr="00506787" w:rsidRDefault="00506787" w:rsidP="00506787">
      <w:pPr>
        <w:pStyle w:val="TextoNormalSangraFrancesa"/>
        <w:rPr>
          <w:rStyle w:val="TextoNormalCaracter"/>
        </w:rPr>
      </w:pPr>
      <w:bookmarkStart w:id="990" w:name="DESCRIPTORALFABETICO302"/>
      <w:r w:rsidRPr="00506787">
        <w:rPr>
          <w:rStyle w:val="TextoNormalNegritaCaracter"/>
        </w:rPr>
        <w:t>Autorizaciones de exploración de hidrocarburos</w:t>
      </w:r>
      <w:bookmarkEnd w:id="990"/>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 7.</w:t>
      </w:r>
    </w:p>
    <w:p w:rsidR="00506787" w:rsidRPr="00506787" w:rsidRDefault="00506787" w:rsidP="00506787">
      <w:pPr>
        <w:pStyle w:val="TextoNormalSangraFrancesa"/>
        <w:rPr>
          <w:rStyle w:val="TextoNormalCaracter"/>
        </w:rPr>
      </w:pPr>
      <w:bookmarkStart w:id="991" w:name="DESCRIPTORALFABETICO216"/>
      <w:r w:rsidRPr="00506787">
        <w:rPr>
          <w:rStyle w:val="TextoNormalNegritaCaracter"/>
        </w:rPr>
        <w:t>Autos del Tribunal Constitucional</w:t>
      </w:r>
      <w:bookmarkEnd w:id="991"/>
      <w:r w:rsidRPr="00506787">
        <w:rPr>
          <w:rStyle w:val="TextoNormalCaracter"/>
        </w:rPr>
        <w:t xml:space="preserve">, Auto </w:t>
      </w:r>
      <w:hyperlink w:anchor="AUTO_1985_151" w:history="1">
        <w:r w:rsidRPr="00506787">
          <w:rPr>
            <w:rStyle w:val="TextoNormalCaracter"/>
          </w:rPr>
          <w:t>151/1985</w:t>
        </w:r>
      </w:hyperlink>
      <w:r w:rsidRPr="00506787">
        <w:rPr>
          <w:rStyle w:val="TextoNormalCaracter"/>
        </w:rPr>
        <w:t>.</w:t>
      </w:r>
    </w:p>
    <w:p w:rsidR="00506787" w:rsidRPr="00506787" w:rsidRDefault="00506787" w:rsidP="00506787">
      <w:pPr>
        <w:pStyle w:val="TextoNormalSangraFrancesa"/>
        <w:rPr>
          <w:rStyle w:val="TextoNormalCaracter"/>
        </w:rPr>
      </w:pPr>
      <w:bookmarkStart w:id="992" w:name="DESCRIPTORALFABETICO271"/>
      <w:r w:rsidRPr="00506787">
        <w:rPr>
          <w:rStyle w:val="TextoNormalNegritaCaracter"/>
        </w:rPr>
        <w:t>Ayuntamientos</w:t>
      </w:r>
      <w:bookmarkEnd w:id="992"/>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ff. 1, 2, 3, 4.</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135" w:history="1">
        <w:r w:rsidRPr="00506787">
          <w:rPr>
            <w:rStyle w:val="TextoNormalCaracter"/>
          </w:rPr>
          <w:t>135/1985</w:t>
        </w:r>
      </w:hyperlink>
      <w:r w:rsidRPr="00506787">
        <w:rPr>
          <w:rStyle w:val="TextoNormalCaracter"/>
        </w:rPr>
        <w:t>.</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B</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993" w:name="DESCRIPTORALFABETICO298"/>
      <w:r w:rsidRPr="00506787">
        <w:rPr>
          <w:rStyle w:val="TextoNormalNegritaCaracter"/>
        </w:rPr>
        <w:t>Bachillerato</w:t>
      </w:r>
      <w:bookmarkEnd w:id="993"/>
      <w:r w:rsidRPr="00506787">
        <w:rPr>
          <w:rStyle w:val="TextoNormalCaracter"/>
        </w:rPr>
        <w:t xml:space="preserve">, Auto </w:t>
      </w:r>
      <w:hyperlink w:anchor="AUTO_1985_154" w:history="1">
        <w:r w:rsidRPr="00506787">
          <w:rPr>
            <w:rStyle w:val="TextoNormalCaracter"/>
          </w:rPr>
          <w:t>154/1985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Bases</w:t>
      </w:r>
      <w:r>
        <w:t xml:space="preserve"> véase </w:t>
      </w:r>
      <w:hyperlink w:anchor="DESCRIPTORALFABETICO329" w:history="1">
        <w:r w:rsidRPr="00506787">
          <w:rPr>
            <w:rStyle w:val="TextoNormalNegritaCaracter"/>
          </w:rPr>
          <w:t>Legislación básica</w:t>
        </w:r>
      </w:hyperlink>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C</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994" w:name="DESCRIPTORALFABETICO433"/>
      <w:r w:rsidRPr="00506787">
        <w:rPr>
          <w:rStyle w:val="TextoNormalNegritaCaracter"/>
        </w:rPr>
        <w:t>Caducidad de la acción</w:t>
      </w:r>
      <w:bookmarkEnd w:id="994"/>
      <w:r w:rsidRPr="00506787">
        <w:rPr>
          <w:rStyle w:val="TextoNormalCaracter"/>
        </w:rPr>
        <w:t xml:space="preserve">, Sentencias </w:t>
      </w:r>
      <w:hyperlink w:anchor="SENTENCIA_1985_15" w:history="1">
        <w:r w:rsidRPr="00506787">
          <w:rPr>
            <w:rStyle w:val="TextoNormalCaracter"/>
          </w:rPr>
          <w:t>15/1985</w:t>
        </w:r>
      </w:hyperlink>
      <w:r w:rsidRPr="00506787">
        <w:rPr>
          <w:rStyle w:val="TextoNormalCaracter"/>
        </w:rPr>
        <w:t xml:space="preserve">, ff. 1, 2, 4; </w:t>
      </w:r>
      <w:hyperlink w:anchor="SENTENCIA_1985_45" w:history="1">
        <w:r w:rsidRPr="00506787">
          <w:rPr>
            <w:rStyle w:val="TextoNormalCaracter"/>
          </w:rPr>
          <w:t>45/1985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1" w:history="1">
        <w:r w:rsidRPr="00506787">
          <w:rPr>
            <w:rStyle w:val="TextoNormalCaracter"/>
          </w:rPr>
          <w:t>11/1985</w:t>
        </w:r>
      </w:hyperlink>
      <w:r w:rsidRPr="00506787">
        <w:rPr>
          <w:rStyle w:val="TextoNormalCaracter"/>
        </w:rPr>
        <w:t xml:space="preserve">; </w:t>
      </w:r>
      <w:hyperlink w:anchor="AUTO_1985_13" w:history="1">
        <w:r w:rsidRPr="00506787">
          <w:rPr>
            <w:rStyle w:val="TextoNormalCaracter"/>
          </w:rPr>
          <w:t>13/1985</w:t>
        </w:r>
      </w:hyperlink>
      <w:r w:rsidRPr="00506787">
        <w:rPr>
          <w:rStyle w:val="TextoNormalCaracter"/>
        </w:rPr>
        <w:t xml:space="preserve">; </w:t>
      </w:r>
      <w:hyperlink w:anchor="AUTO_1985_21" w:history="1">
        <w:r w:rsidRPr="00506787">
          <w:rPr>
            <w:rStyle w:val="TextoNormalCaracter"/>
          </w:rPr>
          <w:t>21/1985</w:t>
        </w:r>
      </w:hyperlink>
      <w:r w:rsidRPr="00506787">
        <w:rPr>
          <w:rStyle w:val="TextoNormalCaracter"/>
        </w:rPr>
        <w:t xml:space="preserve">; </w:t>
      </w:r>
      <w:hyperlink w:anchor="AUTO_1985_23" w:history="1">
        <w:r w:rsidRPr="00506787">
          <w:rPr>
            <w:rStyle w:val="TextoNormalCaracter"/>
          </w:rPr>
          <w:t>23/1985</w:t>
        </w:r>
      </w:hyperlink>
      <w:r w:rsidRPr="00506787">
        <w:rPr>
          <w:rStyle w:val="TextoNormalCaracter"/>
        </w:rPr>
        <w:t xml:space="preserve">; </w:t>
      </w:r>
      <w:hyperlink w:anchor="AUTO_1985_79" w:history="1">
        <w:r w:rsidRPr="00506787">
          <w:rPr>
            <w:rStyle w:val="TextoNormalCaracter"/>
          </w:rPr>
          <w:t>79/1985</w:t>
        </w:r>
      </w:hyperlink>
      <w:r w:rsidRPr="00506787">
        <w:rPr>
          <w:rStyle w:val="TextoNormalCaracter"/>
        </w:rPr>
        <w:t xml:space="preserve">; </w:t>
      </w:r>
      <w:hyperlink w:anchor="AUTO_1985_80" w:history="1">
        <w:r w:rsidRPr="00506787">
          <w:rPr>
            <w:rStyle w:val="TextoNormalCaracter"/>
          </w:rPr>
          <w:t>80/1985</w:t>
        </w:r>
      </w:hyperlink>
      <w:r w:rsidRPr="00506787">
        <w:rPr>
          <w:rStyle w:val="TextoNormalCaracter"/>
        </w:rPr>
        <w:t xml:space="preserve">; </w:t>
      </w:r>
      <w:hyperlink w:anchor="AUTO_1985_133" w:history="1">
        <w:r w:rsidRPr="00506787">
          <w:rPr>
            <w:rStyle w:val="TextoNormalCaracter"/>
          </w:rPr>
          <w:t>133/1985</w:t>
        </w:r>
      </w:hyperlink>
      <w:r w:rsidRPr="00506787">
        <w:rPr>
          <w:rStyle w:val="TextoNormalCaracter"/>
        </w:rPr>
        <w:t xml:space="preserve">; </w:t>
      </w:r>
      <w:hyperlink w:anchor="AUTO_1985_182" w:history="1">
        <w:r w:rsidRPr="00506787">
          <w:rPr>
            <w:rStyle w:val="TextoNormalCaracter"/>
          </w:rPr>
          <w:t>182/1985</w:t>
        </w:r>
      </w:hyperlink>
      <w:r w:rsidRPr="00506787">
        <w:rPr>
          <w:rStyle w:val="TextoNormalCaracter"/>
        </w:rPr>
        <w:t xml:space="preserve">; </w:t>
      </w:r>
      <w:hyperlink w:anchor="AUTO_1985_202" w:history="1">
        <w:r w:rsidRPr="00506787">
          <w:rPr>
            <w:rStyle w:val="TextoNormalCaracter"/>
          </w:rPr>
          <w:t>202/1985</w:t>
        </w:r>
      </w:hyperlink>
      <w:r w:rsidRPr="00506787">
        <w:rPr>
          <w:rStyle w:val="TextoNormalCaracter"/>
        </w:rPr>
        <w:t xml:space="preserve">; </w:t>
      </w:r>
      <w:hyperlink w:anchor="AUTO_1985_206" w:history="1">
        <w:r w:rsidRPr="00506787">
          <w:rPr>
            <w:rStyle w:val="TextoNormalCaracter"/>
          </w:rPr>
          <w:t>206/1985</w:t>
        </w:r>
      </w:hyperlink>
      <w:r w:rsidRPr="00506787">
        <w:rPr>
          <w:rStyle w:val="TextoNormalCaracter"/>
        </w:rPr>
        <w:t xml:space="preserve">; </w:t>
      </w:r>
      <w:hyperlink w:anchor="AUTO_1985_234" w:history="1">
        <w:r w:rsidRPr="00506787">
          <w:rPr>
            <w:rStyle w:val="TextoNormalCaracter"/>
          </w:rPr>
          <w:t>234/1985</w:t>
        </w:r>
      </w:hyperlink>
      <w:r w:rsidRPr="00506787">
        <w:rPr>
          <w:rStyle w:val="TextoNormalCaracter"/>
        </w:rPr>
        <w:t xml:space="preserve">; </w:t>
      </w:r>
      <w:hyperlink w:anchor="AUTO_1985_244" w:history="1">
        <w:r w:rsidRPr="00506787">
          <w:rPr>
            <w:rStyle w:val="TextoNormalCaracter"/>
          </w:rPr>
          <w:t>244/1985</w:t>
        </w:r>
      </w:hyperlink>
      <w:r w:rsidRPr="00506787">
        <w:rPr>
          <w:rStyle w:val="TextoNormalCaracter"/>
        </w:rPr>
        <w:t xml:space="preserve">; </w:t>
      </w:r>
      <w:hyperlink w:anchor="AUTO_1985_247" w:history="1">
        <w:r w:rsidRPr="00506787">
          <w:rPr>
            <w:rStyle w:val="TextoNormalCaracter"/>
          </w:rPr>
          <w:t>247/1985</w:t>
        </w:r>
      </w:hyperlink>
      <w:r w:rsidRPr="00506787">
        <w:rPr>
          <w:rStyle w:val="TextoNormalCaracter"/>
        </w:rPr>
        <w:t xml:space="preserve">; </w:t>
      </w:r>
      <w:hyperlink w:anchor="AUTO_1985_252" w:history="1">
        <w:r w:rsidRPr="00506787">
          <w:rPr>
            <w:rStyle w:val="TextoNormalCaracter"/>
          </w:rPr>
          <w:t>252/1985</w:t>
        </w:r>
      </w:hyperlink>
      <w:r w:rsidRPr="00506787">
        <w:rPr>
          <w:rStyle w:val="TextoNormalCaracter"/>
        </w:rPr>
        <w:t>.</w:t>
      </w:r>
    </w:p>
    <w:p w:rsidR="00506787" w:rsidRPr="00506787" w:rsidRDefault="00506787" w:rsidP="00506787">
      <w:pPr>
        <w:pStyle w:val="TextoNormalSangraFrancesa"/>
        <w:rPr>
          <w:rStyle w:val="TextoNormalCaracter"/>
        </w:rPr>
      </w:pPr>
      <w:bookmarkStart w:id="995" w:name="DESCRIPTORALFABETICO382"/>
      <w:r w:rsidRPr="00506787">
        <w:rPr>
          <w:rStyle w:val="TextoNormalNegritaCaracter"/>
        </w:rPr>
        <w:t>Calendario laboral</w:t>
      </w:r>
      <w:bookmarkEnd w:id="995"/>
      <w:r w:rsidRPr="00506787">
        <w:rPr>
          <w:rStyle w:val="TextoNormalCaracter"/>
        </w:rPr>
        <w:t xml:space="preserve">, Sentencia </w:t>
      </w:r>
      <w:hyperlink w:anchor="SENTENCIA_1985_7" w:history="1">
        <w:r w:rsidRPr="00506787">
          <w:rPr>
            <w:rStyle w:val="TextoNormalCaracter"/>
          </w:rPr>
          <w:t>7/1985</w:t>
        </w:r>
      </w:hyperlink>
      <w:r w:rsidRPr="00506787">
        <w:rPr>
          <w:rStyle w:val="TextoNormalCaracter"/>
        </w:rPr>
        <w:t>, ff. 1, 2, 3, 4, 5, 6, 7, 8, 9.</w:t>
      </w:r>
    </w:p>
    <w:p w:rsidR="00506787" w:rsidRPr="00506787" w:rsidRDefault="00506787" w:rsidP="00506787">
      <w:pPr>
        <w:pStyle w:val="TextoNormalSangraFrancesa"/>
        <w:rPr>
          <w:rStyle w:val="TextoNormalNegritaCaracter"/>
        </w:rPr>
      </w:pPr>
      <w:r w:rsidRPr="00506787">
        <w:rPr>
          <w:rStyle w:val="TextoNormalCursivaCaracter"/>
        </w:rPr>
        <w:t>Calendario oficial de fiestas</w:t>
      </w:r>
      <w:r>
        <w:t xml:space="preserve"> véase </w:t>
      </w:r>
      <w:hyperlink w:anchor="DESCRIPTORALFABETICO382" w:history="1">
        <w:r w:rsidRPr="00506787">
          <w:rPr>
            <w:rStyle w:val="TextoNormalNegritaCaracter"/>
          </w:rPr>
          <w:t>Calendario laboral</w:t>
        </w:r>
      </w:hyperlink>
    </w:p>
    <w:p w:rsidR="00506787" w:rsidRPr="00506787" w:rsidRDefault="00506787" w:rsidP="00506787">
      <w:pPr>
        <w:pStyle w:val="TextoNormalSangraFrancesa"/>
        <w:rPr>
          <w:rStyle w:val="TextoNormalCaracter"/>
        </w:rPr>
      </w:pPr>
      <w:bookmarkStart w:id="996" w:name="DESCRIPTORALFABETICO554"/>
      <w:r w:rsidRPr="00506787">
        <w:rPr>
          <w:rStyle w:val="TextoNormalNegritaCaracter"/>
        </w:rPr>
        <w:t>Calificación jurídica de los hechos</w:t>
      </w:r>
      <w:bookmarkEnd w:id="996"/>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7.</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97" w:history="1">
        <w:r w:rsidRPr="00506787">
          <w:rPr>
            <w:rStyle w:val="TextoNormalCaracter"/>
          </w:rPr>
          <w:t>97/1985</w:t>
        </w:r>
      </w:hyperlink>
      <w:r w:rsidRPr="00506787">
        <w:rPr>
          <w:rStyle w:val="TextoNormalCaracter"/>
        </w:rPr>
        <w:t xml:space="preserve">; </w:t>
      </w:r>
      <w:hyperlink w:anchor="AUTO_1985_153" w:history="1">
        <w:r w:rsidRPr="00506787">
          <w:rPr>
            <w:rStyle w:val="TextoNormalCaracter"/>
          </w:rPr>
          <w:t>153/1985</w:t>
        </w:r>
      </w:hyperlink>
      <w:r w:rsidRPr="00506787">
        <w:rPr>
          <w:rStyle w:val="TextoNormalCaracter"/>
        </w:rPr>
        <w:t xml:space="preserve">; </w:t>
      </w:r>
      <w:hyperlink w:anchor="AUTO_1985_170" w:history="1">
        <w:r w:rsidRPr="00506787">
          <w:rPr>
            <w:rStyle w:val="TextoNormalCaracter"/>
          </w:rPr>
          <w:t>170/1985</w:t>
        </w:r>
      </w:hyperlink>
      <w:r w:rsidRPr="00506787">
        <w:rPr>
          <w:rStyle w:val="TextoNormalCaracter"/>
        </w:rPr>
        <w:t xml:space="preserve">; </w:t>
      </w:r>
      <w:hyperlink w:anchor="AUTO_1985_223" w:history="1">
        <w:r w:rsidRPr="00506787">
          <w:rPr>
            <w:rStyle w:val="TextoNormalCaracter"/>
          </w:rPr>
          <w:t>223/1985</w:t>
        </w:r>
      </w:hyperlink>
      <w:r w:rsidRPr="00506787">
        <w:rPr>
          <w:rStyle w:val="TextoNormalCaracter"/>
        </w:rPr>
        <w:t>.</w:t>
      </w:r>
    </w:p>
    <w:p w:rsidR="00506787" w:rsidRPr="00506787" w:rsidRDefault="00506787" w:rsidP="00506787">
      <w:pPr>
        <w:pStyle w:val="TextoNormalSangraFrancesa"/>
        <w:rPr>
          <w:rStyle w:val="TextoNormalCaracter"/>
        </w:rPr>
      </w:pPr>
      <w:bookmarkStart w:id="997" w:name="DESCRIPTORALFABETICO284"/>
      <w:r w:rsidRPr="00506787">
        <w:rPr>
          <w:rStyle w:val="TextoNormalNegritaCaracter"/>
        </w:rPr>
        <w:t>Calificación jurídica del contrato</w:t>
      </w:r>
      <w:bookmarkEnd w:id="997"/>
      <w:r w:rsidRPr="00506787">
        <w:rPr>
          <w:rStyle w:val="TextoNormalCaracter"/>
        </w:rPr>
        <w:t xml:space="preserve">, Auto </w:t>
      </w:r>
      <w:hyperlink w:anchor="AUTO_1985_223" w:history="1">
        <w:r w:rsidRPr="00506787">
          <w:rPr>
            <w:rStyle w:val="TextoNormalCaracter"/>
          </w:rPr>
          <w:t>223/1985</w:t>
        </w:r>
      </w:hyperlink>
      <w:r w:rsidRPr="00506787">
        <w:rPr>
          <w:rStyle w:val="TextoNormalCaracter"/>
        </w:rPr>
        <w:t>.</w:t>
      </w:r>
    </w:p>
    <w:p w:rsidR="00506787" w:rsidRPr="00506787" w:rsidRDefault="00506787" w:rsidP="00506787">
      <w:pPr>
        <w:pStyle w:val="TextoNormalSangraFrancesa"/>
        <w:rPr>
          <w:rStyle w:val="TextoNormalCaracter"/>
        </w:rPr>
      </w:pPr>
      <w:bookmarkStart w:id="998" w:name="DESCRIPTORALFABETICO561"/>
      <w:r w:rsidRPr="00506787">
        <w:rPr>
          <w:rStyle w:val="TextoNormalNegritaCaracter"/>
        </w:rPr>
        <w:t>Carácter excepcional del secreto sumarial</w:t>
      </w:r>
      <w:bookmarkEnd w:id="998"/>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ff. 2, 3.</w:t>
      </w:r>
    </w:p>
    <w:p w:rsidR="00506787" w:rsidRPr="00506787" w:rsidRDefault="00506787" w:rsidP="00506787">
      <w:pPr>
        <w:pStyle w:val="TextoNormalSangraFrancesa"/>
        <w:rPr>
          <w:rStyle w:val="TextoNormalNegritaCaracter"/>
        </w:rPr>
      </w:pPr>
      <w:r w:rsidRPr="00506787">
        <w:rPr>
          <w:rStyle w:val="TextoNormalCursivaCaracter"/>
        </w:rPr>
        <w:t>Carencia de contenido constitucional</w:t>
      </w:r>
      <w:r>
        <w:t xml:space="preserve"> véase </w:t>
      </w:r>
      <w:hyperlink w:anchor="DESCRIPTORALFABETICO213" w:history="1">
        <w:r w:rsidRPr="00506787">
          <w:rPr>
            <w:rStyle w:val="TextoNormalNegritaCaracter"/>
          </w:rPr>
          <w:t>Carencia de contenido que justifique una decisión sobre el fondo del asunto</w:t>
        </w:r>
      </w:hyperlink>
    </w:p>
    <w:p w:rsidR="00506787" w:rsidRPr="00506787" w:rsidRDefault="00506787" w:rsidP="00506787">
      <w:pPr>
        <w:pStyle w:val="TextoNormalSangraFrancesa"/>
        <w:rPr>
          <w:rStyle w:val="TextoNormalCaracter"/>
        </w:rPr>
      </w:pPr>
      <w:bookmarkStart w:id="999" w:name="DESCRIPTORALFABETICO213"/>
      <w:r w:rsidRPr="00506787">
        <w:rPr>
          <w:rStyle w:val="TextoNormalNegritaCaracter"/>
        </w:rPr>
        <w:t>Carencia de contenido que justifique una decisión sobre el fondo del asunto</w:t>
      </w:r>
      <w:bookmarkEnd w:id="999"/>
      <w:r w:rsidRPr="00506787">
        <w:rPr>
          <w:rStyle w:val="TextoNormalCaracter"/>
        </w:rPr>
        <w:t xml:space="preserve">, Autos </w:t>
      </w:r>
      <w:hyperlink w:anchor="AUTO_1985_3" w:history="1">
        <w:r w:rsidRPr="00506787">
          <w:rPr>
            <w:rStyle w:val="TextoNormalCaracter"/>
          </w:rPr>
          <w:t>3/1985</w:t>
        </w:r>
      </w:hyperlink>
      <w:r w:rsidRPr="00506787">
        <w:rPr>
          <w:rStyle w:val="TextoNormalCaracter"/>
        </w:rPr>
        <w:t xml:space="preserve">; </w:t>
      </w:r>
      <w:hyperlink w:anchor="AUTO_1985_20" w:history="1">
        <w:r w:rsidRPr="00506787">
          <w:rPr>
            <w:rStyle w:val="TextoNormalCaracter"/>
          </w:rPr>
          <w:t>20/1985</w:t>
        </w:r>
      </w:hyperlink>
      <w:r w:rsidRPr="00506787">
        <w:rPr>
          <w:rStyle w:val="TextoNormalCaracter"/>
        </w:rPr>
        <w:t xml:space="preserve">; </w:t>
      </w:r>
      <w:hyperlink w:anchor="AUTO_1985_21" w:history="1">
        <w:r w:rsidRPr="00506787">
          <w:rPr>
            <w:rStyle w:val="TextoNormalCaracter"/>
          </w:rPr>
          <w:t>21/1985</w:t>
        </w:r>
      </w:hyperlink>
      <w:r w:rsidRPr="00506787">
        <w:rPr>
          <w:rStyle w:val="TextoNormalCaracter"/>
        </w:rPr>
        <w:t xml:space="preserve">; </w:t>
      </w:r>
      <w:hyperlink w:anchor="AUTO_1985_27" w:history="1">
        <w:r w:rsidRPr="00506787">
          <w:rPr>
            <w:rStyle w:val="TextoNormalCaracter"/>
          </w:rPr>
          <w:t>27/1985</w:t>
        </w:r>
      </w:hyperlink>
      <w:r w:rsidRPr="00506787">
        <w:rPr>
          <w:rStyle w:val="TextoNormalCaracter"/>
        </w:rPr>
        <w:t xml:space="preserve">; </w:t>
      </w:r>
      <w:hyperlink w:anchor="AUTO_1985_28" w:history="1">
        <w:r w:rsidRPr="00506787">
          <w:rPr>
            <w:rStyle w:val="TextoNormalCaracter"/>
          </w:rPr>
          <w:t>28/1985</w:t>
        </w:r>
      </w:hyperlink>
      <w:r w:rsidRPr="00506787">
        <w:rPr>
          <w:rStyle w:val="TextoNormalCaracter"/>
        </w:rPr>
        <w:t xml:space="preserve">; </w:t>
      </w:r>
      <w:hyperlink w:anchor="AUTO_1985_29" w:history="1">
        <w:r w:rsidRPr="00506787">
          <w:rPr>
            <w:rStyle w:val="TextoNormalCaracter"/>
          </w:rPr>
          <w:t>29/1985</w:t>
        </w:r>
      </w:hyperlink>
      <w:r w:rsidRPr="00506787">
        <w:rPr>
          <w:rStyle w:val="TextoNormalCaracter"/>
        </w:rPr>
        <w:t xml:space="preserve">; </w:t>
      </w:r>
      <w:hyperlink w:anchor="AUTO_1985_31" w:history="1">
        <w:r w:rsidRPr="00506787">
          <w:rPr>
            <w:rStyle w:val="TextoNormalCaracter"/>
          </w:rPr>
          <w:t>31/1985</w:t>
        </w:r>
      </w:hyperlink>
      <w:r w:rsidRPr="00506787">
        <w:rPr>
          <w:rStyle w:val="TextoNormalCaracter"/>
        </w:rPr>
        <w:t xml:space="preserve">; </w:t>
      </w:r>
      <w:hyperlink w:anchor="AUTO_1985_37" w:history="1">
        <w:r w:rsidRPr="00506787">
          <w:rPr>
            <w:rStyle w:val="TextoNormalCaracter"/>
          </w:rPr>
          <w:t>37/1985</w:t>
        </w:r>
      </w:hyperlink>
      <w:r w:rsidRPr="00506787">
        <w:rPr>
          <w:rStyle w:val="TextoNormalCaracter"/>
        </w:rPr>
        <w:t xml:space="preserve">; </w:t>
      </w:r>
      <w:hyperlink w:anchor="AUTO_1985_42" w:history="1">
        <w:r w:rsidRPr="00506787">
          <w:rPr>
            <w:rStyle w:val="TextoNormalCaracter"/>
          </w:rPr>
          <w:t>42/1985</w:t>
        </w:r>
      </w:hyperlink>
      <w:r w:rsidRPr="00506787">
        <w:rPr>
          <w:rStyle w:val="TextoNormalCaracter"/>
        </w:rPr>
        <w:t xml:space="preserve">; </w:t>
      </w:r>
      <w:hyperlink w:anchor="AUTO_1985_45" w:history="1">
        <w:r w:rsidRPr="00506787">
          <w:rPr>
            <w:rStyle w:val="TextoNormalCaracter"/>
          </w:rPr>
          <w:t>45/1985</w:t>
        </w:r>
      </w:hyperlink>
      <w:r w:rsidRPr="00506787">
        <w:rPr>
          <w:rStyle w:val="TextoNormalCaracter"/>
        </w:rPr>
        <w:t xml:space="preserve">; </w:t>
      </w:r>
      <w:hyperlink w:anchor="AUTO_1985_46" w:history="1">
        <w:r w:rsidRPr="00506787">
          <w:rPr>
            <w:rStyle w:val="TextoNormalCaracter"/>
          </w:rPr>
          <w:t>46/1985</w:t>
        </w:r>
      </w:hyperlink>
      <w:r w:rsidRPr="00506787">
        <w:rPr>
          <w:rStyle w:val="TextoNormalCaracter"/>
        </w:rPr>
        <w:t xml:space="preserve">; </w:t>
      </w:r>
      <w:hyperlink w:anchor="AUTO_1985_50" w:history="1">
        <w:r w:rsidRPr="00506787">
          <w:rPr>
            <w:rStyle w:val="TextoNormalCaracter"/>
          </w:rPr>
          <w:t>50/1985</w:t>
        </w:r>
      </w:hyperlink>
      <w:r w:rsidRPr="00506787">
        <w:rPr>
          <w:rStyle w:val="TextoNormalCaracter"/>
        </w:rPr>
        <w:t xml:space="preserve">; </w:t>
      </w:r>
      <w:hyperlink w:anchor="AUTO_1985_51" w:history="1">
        <w:r w:rsidRPr="00506787">
          <w:rPr>
            <w:rStyle w:val="TextoNormalCaracter"/>
          </w:rPr>
          <w:t>51/1985</w:t>
        </w:r>
      </w:hyperlink>
      <w:r w:rsidRPr="00506787">
        <w:rPr>
          <w:rStyle w:val="TextoNormalCaracter"/>
        </w:rPr>
        <w:t xml:space="preserve">; </w:t>
      </w:r>
      <w:hyperlink w:anchor="AUTO_1985_53" w:history="1">
        <w:r w:rsidRPr="00506787">
          <w:rPr>
            <w:rStyle w:val="TextoNormalCaracter"/>
          </w:rPr>
          <w:t>53/1985</w:t>
        </w:r>
      </w:hyperlink>
      <w:r w:rsidRPr="00506787">
        <w:rPr>
          <w:rStyle w:val="TextoNormalCaracter"/>
        </w:rPr>
        <w:t xml:space="preserve">; </w:t>
      </w:r>
      <w:hyperlink w:anchor="AUTO_1985_56" w:history="1">
        <w:r w:rsidRPr="00506787">
          <w:rPr>
            <w:rStyle w:val="TextoNormalCaracter"/>
          </w:rPr>
          <w:t>56/1985</w:t>
        </w:r>
      </w:hyperlink>
      <w:r w:rsidRPr="00506787">
        <w:rPr>
          <w:rStyle w:val="TextoNormalCaracter"/>
        </w:rPr>
        <w:t xml:space="preserve">; </w:t>
      </w:r>
      <w:hyperlink w:anchor="AUTO_1985_59" w:history="1">
        <w:r w:rsidRPr="00506787">
          <w:rPr>
            <w:rStyle w:val="TextoNormalCaracter"/>
          </w:rPr>
          <w:t>59/1985</w:t>
        </w:r>
      </w:hyperlink>
      <w:r w:rsidRPr="00506787">
        <w:rPr>
          <w:rStyle w:val="TextoNormalCaracter"/>
        </w:rPr>
        <w:t xml:space="preserve">; </w:t>
      </w:r>
      <w:hyperlink w:anchor="AUTO_1985_60" w:history="1">
        <w:r w:rsidRPr="00506787">
          <w:rPr>
            <w:rStyle w:val="TextoNormalCaracter"/>
          </w:rPr>
          <w:t>60/1985</w:t>
        </w:r>
      </w:hyperlink>
      <w:r w:rsidRPr="00506787">
        <w:rPr>
          <w:rStyle w:val="TextoNormalCaracter"/>
        </w:rPr>
        <w:t xml:space="preserve">; </w:t>
      </w:r>
      <w:hyperlink w:anchor="AUTO_1985_63" w:history="1">
        <w:r w:rsidRPr="00506787">
          <w:rPr>
            <w:rStyle w:val="TextoNormalCaracter"/>
          </w:rPr>
          <w:t>63/1985</w:t>
        </w:r>
      </w:hyperlink>
      <w:r w:rsidRPr="00506787">
        <w:rPr>
          <w:rStyle w:val="TextoNormalCaracter"/>
        </w:rPr>
        <w:t xml:space="preserve">; </w:t>
      </w:r>
      <w:hyperlink w:anchor="AUTO_1985_66" w:history="1">
        <w:r w:rsidRPr="00506787">
          <w:rPr>
            <w:rStyle w:val="TextoNormalCaracter"/>
          </w:rPr>
          <w:t>66/1985</w:t>
        </w:r>
      </w:hyperlink>
      <w:r w:rsidRPr="00506787">
        <w:rPr>
          <w:rStyle w:val="TextoNormalCaracter"/>
        </w:rPr>
        <w:t xml:space="preserve">; </w:t>
      </w:r>
      <w:hyperlink w:anchor="AUTO_1985_67" w:history="1">
        <w:r w:rsidRPr="00506787">
          <w:rPr>
            <w:rStyle w:val="TextoNormalCaracter"/>
          </w:rPr>
          <w:t>67/1985</w:t>
        </w:r>
      </w:hyperlink>
      <w:r w:rsidRPr="00506787">
        <w:rPr>
          <w:rStyle w:val="TextoNormalCaracter"/>
        </w:rPr>
        <w:t xml:space="preserve">; </w:t>
      </w:r>
      <w:hyperlink w:anchor="AUTO_1985_69" w:history="1">
        <w:r w:rsidRPr="00506787">
          <w:rPr>
            <w:rStyle w:val="TextoNormalCaracter"/>
          </w:rPr>
          <w:t>69/1985</w:t>
        </w:r>
      </w:hyperlink>
      <w:r w:rsidRPr="00506787">
        <w:rPr>
          <w:rStyle w:val="TextoNormalCaracter"/>
        </w:rPr>
        <w:t xml:space="preserve">; </w:t>
      </w:r>
      <w:hyperlink w:anchor="AUTO_1985_70" w:history="1">
        <w:r w:rsidRPr="00506787">
          <w:rPr>
            <w:rStyle w:val="TextoNormalCaracter"/>
          </w:rPr>
          <w:t>70/1985</w:t>
        </w:r>
      </w:hyperlink>
      <w:r w:rsidRPr="00506787">
        <w:rPr>
          <w:rStyle w:val="TextoNormalCaracter"/>
        </w:rPr>
        <w:t xml:space="preserve">; </w:t>
      </w:r>
      <w:hyperlink w:anchor="AUTO_1985_73" w:history="1">
        <w:r w:rsidRPr="00506787">
          <w:rPr>
            <w:rStyle w:val="TextoNormalCaracter"/>
          </w:rPr>
          <w:t>73/1985</w:t>
        </w:r>
      </w:hyperlink>
      <w:r w:rsidRPr="00506787">
        <w:rPr>
          <w:rStyle w:val="TextoNormalCaracter"/>
        </w:rPr>
        <w:t xml:space="preserve">; </w:t>
      </w:r>
      <w:hyperlink w:anchor="AUTO_1985_76" w:history="1">
        <w:r w:rsidRPr="00506787">
          <w:rPr>
            <w:rStyle w:val="TextoNormalCaracter"/>
          </w:rPr>
          <w:t>76/1985</w:t>
        </w:r>
      </w:hyperlink>
      <w:r w:rsidRPr="00506787">
        <w:rPr>
          <w:rStyle w:val="TextoNormalCaracter"/>
        </w:rPr>
        <w:t xml:space="preserve">; </w:t>
      </w:r>
      <w:hyperlink w:anchor="AUTO_1985_77" w:history="1">
        <w:r w:rsidRPr="00506787">
          <w:rPr>
            <w:rStyle w:val="TextoNormalCaracter"/>
          </w:rPr>
          <w:t>77/1985</w:t>
        </w:r>
      </w:hyperlink>
      <w:r w:rsidRPr="00506787">
        <w:rPr>
          <w:rStyle w:val="TextoNormalCaracter"/>
        </w:rPr>
        <w:t xml:space="preserve">; </w:t>
      </w:r>
      <w:hyperlink w:anchor="AUTO_1985_78" w:history="1">
        <w:r w:rsidRPr="00506787">
          <w:rPr>
            <w:rStyle w:val="TextoNormalCaracter"/>
          </w:rPr>
          <w:t>78/1985</w:t>
        </w:r>
      </w:hyperlink>
      <w:r w:rsidRPr="00506787">
        <w:rPr>
          <w:rStyle w:val="TextoNormalCaracter"/>
        </w:rPr>
        <w:t xml:space="preserve">; </w:t>
      </w:r>
      <w:hyperlink w:anchor="AUTO_1985_79" w:history="1">
        <w:r w:rsidRPr="00506787">
          <w:rPr>
            <w:rStyle w:val="TextoNormalCaracter"/>
          </w:rPr>
          <w:t>79/1985</w:t>
        </w:r>
      </w:hyperlink>
      <w:r w:rsidRPr="00506787">
        <w:rPr>
          <w:rStyle w:val="TextoNormalCaracter"/>
        </w:rPr>
        <w:t xml:space="preserve">; </w:t>
      </w:r>
      <w:hyperlink w:anchor="AUTO_1985_81" w:history="1">
        <w:r w:rsidRPr="00506787">
          <w:rPr>
            <w:rStyle w:val="TextoNormalCaracter"/>
          </w:rPr>
          <w:t>81/1985</w:t>
        </w:r>
      </w:hyperlink>
      <w:r w:rsidRPr="00506787">
        <w:rPr>
          <w:rStyle w:val="TextoNormalCaracter"/>
        </w:rPr>
        <w:t xml:space="preserve">; </w:t>
      </w:r>
      <w:hyperlink w:anchor="AUTO_1985_82" w:history="1">
        <w:r w:rsidRPr="00506787">
          <w:rPr>
            <w:rStyle w:val="TextoNormalCaracter"/>
          </w:rPr>
          <w:t>82/1985</w:t>
        </w:r>
      </w:hyperlink>
      <w:r w:rsidRPr="00506787">
        <w:rPr>
          <w:rStyle w:val="TextoNormalCaracter"/>
        </w:rPr>
        <w:t xml:space="preserve">; </w:t>
      </w:r>
      <w:hyperlink w:anchor="AUTO_1985_83" w:history="1">
        <w:r w:rsidRPr="00506787">
          <w:rPr>
            <w:rStyle w:val="TextoNormalCaracter"/>
          </w:rPr>
          <w:t>83/1985</w:t>
        </w:r>
      </w:hyperlink>
      <w:r w:rsidRPr="00506787">
        <w:rPr>
          <w:rStyle w:val="TextoNormalCaracter"/>
        </w:rPr>
        <w:t xml:space="preserve">; </w:t>
      </w:r>
      <w:hyperlink w:anchor="AUTO_1985_86" w:history="1">
        <w:r w:rsidRPr="00506787">
          <w:rPr>
            <w:rStyle w:val="TextoNormalCaracter"/>
          </w:rPr>
          <w:t>86/1985</w:t>
        </w:r>
      </w:hyperlink>
      <w:r w:rsidRPr="00506787">
        <w:rPr>
          <w:rStyle w:val="TextoNormalCaracter"/>
        </w:rPr>
        <w:t xml:space="preserve">; </w:t>
      </w:r>
      <w:hyperlink w:anchor="AUTO_1985_87" w:history="1">
        <w:r w:rsidRPr="00506787">
          <w:rPr>
            <w:rStyle w:val="TextoNormalCaracter"/>
          </w:rPr>
          <w:t>87/1985</w:t>
        </w:r>
      </w:hyperlink>
      <w:r w:rsidRPr="00506787">
        <w:rPr>
          <w:rStyle w:val="TextoNormalCaracter"/>
        </w:rPr>
        <w:t xml:space="preserve">; </w:t>
      </w:r>
      <w:hyperlink w:anchor="AUTO_1985_88" w:history="1">
        <w:r w:rsidRPr="00506787">
          <w:rPr>
            <w:rStyle w:val="TextoNormalCaracter"/>
          </w:rPr>
          <w:t>88/1985</w:t>
        </w:r>
      </w:hyperlink>
      <w:r w:rsidRPr="00506787">
        <w:rPr>
          <w:rStyle w:val="TextoNormalCaracter"/>
        </w:rPr>
        <w:t xml:space="preserve">; </w:t>
      </w:r>
      <w:hyperlink w:anchor="AUTO_1985_89" w:history="1">
        <w:r w:rsidRPr="00506787">
          <w:rPr>
            <w:rStyle w:val="TextoNormalCaracter"/>
          </w:rPr>
          <w:t>89/1985</w:t>
        </w:r>
      </w:hyperlink>
      <w:r w:rsidRPr="00506787">
        <w:rPr>
          <w:rStyle w:val="TextoNormalCaracter"/>
        </w:rPr>
        <w:t xml:space="preserve">; </w:t>
      </w:r>
      <w:hyperlink w:anchor="AUTO_1985_90" w:history="1">
        <w:r w:rsidRPr="00506787">
          <w:rPr>
            <w:rStyle w:val="TextoNormalCaracter"/>
          </w:rPr>
          <w:t>90/1985</w:t>
        </w:r>
      </w:hyperlink>
      <w:r w:rsidRPr="00506787">
        <w:rPr>
          <w:rStyle w:val="TextoNormalCaracter"/>
        </w:rPr>
        <w:t xml:space="preserve">; </w:t>
      </w:r>
      <w:hyperlink w:anchor="AUTO_1985_94" w:history="1">
        <w:r w:rsidRPr="00506787">
          <w:rPr>
            <w:rStyle w:val="TextoNormalCaracter"/>
          </w:rPr>
          <w:t>94/1985</w:t>
        </w:r>
      </w:hyperlink>
      <w:r w:rsidRPr="00506787">
        <w:rPr>
          <w:rStyle w:val="TextoNormalCaracter"/>
        </w:rPr>
        <w:t xml:space="preserve">; </w:t>
      </w:r>
      <w:hyperlink w:anchor="AUTO_1985_95" w:history="1">
        <w:r w:rsidRPr="00506787">
          <w:rPr>
            <w:rStyle w:val="TextoNormalCaracter"/>
          </w:rPr>
          <w:t>95/1985</w:t>
        </w:r>
      </w:hyperlink>
      <w:r w:rsidRPr="00506787">
        <w:rPr>
          <w:rStyle w:val="TextoNormalCaracter"/>
        </w:rPr>
        <w:t xml:space="preserve">; </w:t>
      </w:r>
      <w:hyperlink w:anchor="AUTO_1985_97" w:history="1">
        <w:r w:rsidRPr="00506787">
          <w:rPr>
            <w:rStyle w:val="TextoNormalCaracter"/>
          </w:rPr>
          <w:t>97/1985</w:t>
        </w:r>
      </w:hyperlink>
      <w:r w:rsidRPr="00506787">
        <w:rPr>
          <w:rStyle w:val="TextoNormalCaracter"/>
        </w:rPr>
        <w:t xml:space="preserve">; </w:t>
      </w:r>
      <w:hyperlink w:anchor="AUTO_1985_98" w:history="1">
        <w:r w:rsidRPr="00506787">
          <w:rPr>
            <w:rStyle w:val="TextoNormalCaracter"/>
          </w:rPr>
          <w:t>98/1985</w:t>
        </w:r>
      </w:hyperlink>
      <w:r w:rsidRPr="00506787">
        <w:rPr>
          <w:rStyle w:val="TextoNormalCaracter"/>
        </w:rPr>
        <w:t xml:space="preserve">; </w:t>
      </w:r>
      <w:hyperlink w:anchor="AUTO_1985_103" w:history="1">
        <w:r w:rsidRPr="00506787">
          <w:rPr>
            <w:rStyle w:val="TextoNormalCaracter"/>
          </w:rPr>
          <w:t>103/1985</w:t>
        </w:r>
      </w:hyperlink>
      <w:r w:rsidRPr="00506787">
        <w:rPr>
          <w:rStyle w:val="TextoNormalCaracter"/>
        </w:rPr>
        <w:t xml:space="preserve">; </w:t>
      </w:r>
      <w:hyperlink w:anchor="AUTO_1985_104" w:history="1">
        <w:r w:rsidRPr="00506787">
          <w:rPr>
            <w:rStyle w:val="TextoNormalCaracter"/>
          </w:rPr>
          <w:t>104/1985</w:t>
        </w:r>
      </w:hyperlink>
      <w:r w:rsidRPr="00506787">
        <w:rPr>
          <w:rStyle w:val="TextoNormalCaracter"/>
        </w:rPr>
        <w:t xml:space="preserve">; </w:t>
      </w:r>
      <w:hyperlink w:anchor="AUTO_1985_105" w:history="1">
        <w:r w:rsidRPr="00506787">
          <w:rPr>
            <w:rStyle w:val="TextoNormalCaracter"/>
          </w:rPr>
          <w:t>105/1985</w:t>
        </w:r>
      </w:hyperlink>
      <w:r w:rsidRPr="00506787">
        <w:rPr>
          <w:rStyle w:val="TextoNormalCaracter"/>
        </w:rPr>
        <w:t xml:space="preserve">; </w:t>
      </w:r>
      <w:hyperlink w:anchor="AUTO_1985_107" w:history="1">
        <w:r w:rsidRPr="00506787">
          <w:rPr>
            <w:rStyle w:val="TextoNormalCaracter"/>
          </w:rPr>
          <w:t>107/1985</w:t>
        </w:r>
      </w:hyperlink>
      <w:r w:rsidRPr="00506787">
        <w:rPr>
          <w:rStyle w:val="TextoNormalCaracter"/>
        </w:rPr>
        <w:t xml:space="preserve">; </w:t>
      </w:r>
      <w:hyperlink w:anchor="AUTO_1985_109" w:history="1">
        <w:r w:rsidRPr="00506787">
          <w:rPr>
            <w:rStyle w:val="TextoNormalCaracter"/>
          </w:rPr>
          <w:t>109/1985</w:t>
        </w:r>
      </w:hyperlink>
      <w:r w:rsidRPr="00506787">
        <w:rPr>
          <w:rStyle w:val="TextoNormalCaracter"/>
        </w:rPr>
        <w:t xml:space="preserve">; </w:t>
      </w:r>
      <w:hyperlink w:anchor="AUTO_1985_116" w:history="1">
        <w:r w:rsidRPr="00506787">
          <w:rPr>
            <w:rStyle w:val="TextoNormalCaracter"/>
          </w:rPr>
          <w:t>116/1985</w:t>
        </w:r>
      </w:hyperlink>
      <w:r w:rsidRPr="00506787">
        <w:rPr>
          <w:rStyle w:val="TextoNormalCaracter"/>
        </w:rPr>
        <w:t xml:space="preserve">; </w:t>
      </w:r>
      <w:hyperlink w:anchor="AUTO_1985_118" w:history="1">
        <w:r w:rsidRPr="00506787">
          <w:rPr>
            <w:rStyle w:val="TextoNormalCaracter"/>
          </w:rPr>
          <w:t>118/1985</w:t>
        </w:r>
      </w:hyperlink>
      <w:r w:rsidRPr="00506787">
        <w:rPr>
          <w:rStyle w:val="TextoNormalCaracter"/>
        </w:rPr>
        <w:t xml:space="preserve">; </w:t>
      </w:r>
      <w:hyperlink w:anchor="AUTO_1985_119" w:history="1">
        <w:r w:rsidRPr="00506787">
          <w:rPr>
            <w:rStyle w:val="TextoNormalCaracter"/>
          </w:rPr>
          <w:t>119/1985</w:t>
        </w:r>
      </w:hyperlink>
      <w:r w:rsidRPr="00506787">
        <w:rPr>
          <w:rStyle w:val="TextoNormalCaracter"/>
        </w:rPr>
        <w:t xml:space="preserve">; </w:t>
      </w:r>
      <w:hyperlink w:anchor="AUTO_1985_122" w:history="1">
        <w:r w:rsidRPr="00506787">
          <w:rPr>
            <w:rStyle w:val="TextoNormalCaracter"/>
          </w:rPr>
          <w:t>122/1985</w:t>
        </w:r>
      </w:hyperlink>
      <w:r w:rsidRPr="00506787">
        <w:rPr>
          <w:rStyle w:val="TextoNormalCaracter"/>
        </w:rPr>
        <w:t xml:space="preserve">; </w:t>
      </w:r>
      <w:hyperlink w:anchor="AUTO_1985_130" w:history="1">
        <w:r w:rsidRPr="00506787">
          <w:rPr>
            <w:rStyle w:val="TextoNormalCaracter"/>
          </w:rPr>
          <w:t>130/1985</w:t>
        </w:r>
      </w:hyperlink>
      <w:r w:rsidRPr="00506787">
        <w:rPr>
          <w:rStyle w:val="TextoNormalCaracter"/>
        </w:rPr>
        <w:t xml:space="preserve">; </w:t>
      </w:r>
      <w:hyperlink w:anchor="AUTO_1985_131" w:history="1">
        <w:r w:rsidRPr="00506787">
          <w:rPr>
            <w:rStyle w:val="TextoNormalCaracter"/>
          </w:rPr>
          <w:t>131/1985</w:t>
        </w:r>
      </w:hyperlink>
      <w:r w:rsidRPr="00506787">
        <w:rPr>
          <w:rStyle w:val="TextoNormalCaracter"/>
        </w:rPr>
        <w:t xml:space="preserve">; </w:t>
      </w:r>
      <w:hyperlink w:anchor="AUTO_1985_138" w:history="1">
        <w:r w:rsidRPr="00506787">
          <w:rPr>
            <w:rStyle w:val="TextoNormalCaracter"/>
          </w:rPr>
          <w:t>138/1985</w:t>
        </w:r>
      </w:hyperlink>
      <w:r w:rsidRPr="00506787">
        <w:rPr>
          <w:rStyle w:val="TextoNormalCaracter"/>
        </w:rPr>
        <w:t xml:space="preserve">; </w:t>
      </w:r>
      <w:hyperlink w:anchor="AUTO_1985_143" w:history="1">
        <w:r w:rsidRPr="00506787">
          <w:rPr>
            <w:rStyle w:val="TextoNormalCaracter"/>
          </w:rPr>
          <w:t>143/1985</w:t>
        </w:r>
      </w:hyperlink>
      <w:r w:rsidRPr="00506787">
        <w:rPr>
          <w:rStyle w:val="TextoNormalCaracter"/>
        </w:rPr>
        <w:t xml:space="preserve">; </w:t>
      </w:r>
      <w:hyperlink w:anchor="AUTO_1985_146" w:history="1">
        <w:r w:rsidRPr="00506787">
          <w:rPr>
            <w:rStyle w:val="TextoNormalCaracter"/>
          </w:rPr>
          <w:t>146/1985</w:t>
        </w:r>
      </w:hyperlink>
      <w:r w:rsidRPr="00506787">
        <w:rPr>
          <w:rStyle w:val="TextoNormalCaracter"/>
        </w:rPr>
        <w:t xml:space="preserve">; </w:t>
      </w:r>
      <w:hyperlink w:anchor="AUTO_1985_150" w:history="1">
        <w:r w:rsidRPr="00506787">
          <w:rPr>
            <w:rStyle w:val="TextoNormalCaracter"/>
          </w:rPr>
          <w:t>150/1985</w:t>
        </w:r>
      </w:hyperlink>
      <w:r w:rsidRPr="00506787">
        <w:rPr>
          <w:rStyle w:val="TextoNormalCaracter"/>
        </w:rPr>
        <w:t xml:space="preserve">; </w:t>
      </w:r>
      <w:hyperlink w:anchor="AUTO_1985_153" w:history="1">
        <w:r w:rsidRPr="00506787">
          <w:rPr>
            <w:rStyle w:val="TextoNormalCaracter"/>
          </w:rPr>
          <w:t>153/1985</w:t>
        </w:r>
      </w:hyperlink>
      <w:r w:rsidRPr="00506787">
        <w:rPr>
          <w:rStyle w:val="TextoNormalCaracter"/>
        </w:rPr>
        <w:t xml:space="preserve">; </w:t>
      </w:r>
      <w:hyperlink w:anchor="AUTO_1985_155" w:history="1">
        <w:r w:rsidRPr="00506787">
          <w:rPr>
            <w:rStyle w:val="TextoNormalCaracter"/>
          </w:rPr>
          <w:t>155/1985</w:t>
        </w:r>
      </w:hyperlink>
      <w:r w:rsidRPr="00506787">
        <w:rPr>
          <w:rStyle w:val="TextoNormalCaracter"/>
        </w:rPr>
        <w:t xml:space="preserve">; </w:t>
      </w:r>
      <w:hyperlink w:anchor="AUTO_1985_157" w:history="1">
        <w:r w:rsidRPr="00506787">
          <w:rPr>
            <w:rStyle w:val="TextoNormalCaracter"/>
          </w:rPr>
          <w:t>157/1985</w:t>
        </w:r>
      </w:hyperlink>
      <w:r w:rsidRPr="00506787">
        <w:rPr>
          <w:rStyle w:val="TextoNormalCaracter"/>
        </w:rPr>
        <w:t xml:space="preserve">; </w:t>
      </w:r>
      <w:hyperlink w:anchor="AUTO_1985_159" w:history="1">
        <w:r w:rsidRPr="00506787">
          <w:rPr>
            <w:rStyle w:val="TextoNormalCaracter"/>
          </w:rPr>
          <w:t>159/1985</w:t>
        </w:r>
      </w:hyperlink>
      <w:r w:rsidRPr="00506787">
        <w:rPr>
          <w:rStyle w:val="TextoNormalCaracter"/>
        </w:rPr>
        <w:t xml:space="preserve">; </w:t>
      </w:r>
      <w:hyperlink w:anchor="AUTO_1985_160" w:history="1">
        <w:r w:rsidRPr="00506787">
          <w:rPr>
            <w:rStyle w:val="TextoNormalCaracter"/>
          </w:rPr>
          <w:t>160/1985</w:t>
        </w:r>
      </w:hyperlink>
      <w:r w:rsidRPr="00506787">
        <w:rPr>
          <w:rStyle w:val="TextoNormalCaracter"/>
        </w:rPr>
        <w:t xml:space="preserve">; </w:t>
      </w:r>
      <w:hyperlink w:anchor="AUTO_1985_161" w:history="1">
        <w:r w:rsidRPr="00506787">
          <w:rPr>
            <w:rStyle w:val="TextoNormalCaracter"/>
          </w:rPr>
          <w:t>161/1985</w:t>
        </w:r>
      </w:hyperlink>
      <w:r w:rsidRPr="00506787">
        <w:rPr>
          <w:rStyle w:val="TextoNormalCaracter"/>
        </w:rPr>
        <w:t xml:space="preserve">; </w:t>
      </w:r>
      <w:hyperlink w:anchor="AUTO_1985_163" w:history="1">
        <w:r w:rsidRPr="00506787">
          <w:rPr>
            <w:rStyle w:val="TextoNormalCaracter"/>
          </w:rPr>
          <w:t>163/1985</w:t>
        </w:r>
      </w:hyperlink>
      <w:r w:rsidRPr="00506787">
        <w:rPr>
          <w:rStyle w:val="TextoNormalCaracter"/>
        </w:rPr>
        <w:t xml:space="preserve">; </w:t>
      </w:r>
      <w:hyperlink w:anchor="AUTO_1985_164" w:history="1">
        <w:r w:rsidRPr="00506787">
          <w:rPr>
            <w:rStyle w:val="TextoNormalCaracter"/>
          </w:rPr>
          <w:t>164/1985</w:t>
        </w:r>
      </w:hyperlink>
      <w:r w:rsidRPr="00506787">
        <w:rPr>
          <w:rStyle w:val="TextoNormalCaracter"/>
        </w:rPr>
        <w:t xml:space="preserve">; </w:t>
      </w:r>
      <w:hyperlink w:anchor="AUTO_1985_166" w:history="1">
        <w:r w:rsidRPr="00506787">
          <w:rPr>
            <w:rStyle w:val="TextoNormalCaracter"/>
          </w:rPr>
          <w:t>166/1985</w:t>
        </w:r>
      </w:hyperlink>
      <w:r w:rsidRPr="00506787">
        <w:rPr>
          <w:rStyle w:val="TextoNormalCaracter"/>
        </w:rPr>
        <w:t xml:space="preserve">; </w:t>
      </w:r>
      <w:hyperlink w:anchor="AUTO_1985_168" w:history="1">
        <w:r w:rsidRPr="00506787">
          <w:rPr>
            <w:rStyle w:val="TextoNormalCaracter"/>
          </w:rPr>
          <w:t>168/1985</w:t>
        </w:r>
      </w:hyperlink>
      <w:r w:rsidRPr="00506787">
        <w:rPr>
          <w:rStyle w:val="TextoNormalCaracter"/>
        </w:rPr>
        <w:t xml:space="preserve">; </w:t>
      </w:r>
      <w:hyperlink w:anchor="AUTO_1985_169" w:history="1">
        <w:r w:rsidRPr="00506787">
          <w:rPr>
            <w:rStyle w:val="TextoNormalCaracter"/>
          </w:rPr>
          <w:t>169/1985</w:t>
        </w:r>
      </w:hyperlink>
      <w:r w:rsidRPr="00506787">
        <w:rPr>
          <w:rStyle w:val="TextoNormalCaracter"/>
        </w:rPr>
        <w:t xml:space="preserve">; </w:t>
      </w:r>
      <w:hyperlink w:anchor="AUTO_1985_170" w:history="1">
        <w:r w:rsidRPr="00506787">
          <w:rPr>
            <w:rStyle w:val="TextoNormalCaracter"/>
          </w:rPr>
          <w:t>170/1985</w:t>
        </w:r>
      </w:hyperlink>
      <w:r w:rsidRPr="00506787">
        <w:rPr>
          <w:rStyle w:val="TextoNormalCaracter"/>
        </w:rPr>
        <w:t xml:space="preserve">; </w:t>
      </w:r>
      <w:hyperlink w:anchor="AUTO_1985_171" w:history="1">
        <w:r w:rsidRPr="00506787">
          <w:rPr>
            <w:rStyle w:val="TextoNormalCaracter"/>
          </w:rPr>
          <w:t>171/1985</w:t>
        </w:r>
      </w:hyperlink>
      <w:r w:rsidRPr="00506787">
        <w:rPr>
          <w:rStyle w:val="TextoNormalCaracter"/>
        </w:rPr>
        <w:t xml:space="preserve">; </w:t>
      </w:r>
      <w:hyperlink w:anchor="AUTO_1985_177" w:history="1">
        <w:r w:rsidRPr="00506787">
          <w:rPr>
            <w:rStyle w:val="TextoNormalCaracter"/>
          </w:rPr>
          <w:t>177/1985</w:t>
        </w:r>
      </w:hyperlink>
      <w:r w:rsidRPr="00506787">
        <w:rPr>
          <w:rStyle w:val="TextoNormalCaracter"/>
        </w:rPr>
        <w:t xml:space="preserve">; </w:t>
      </w:r>
      <w:hyperlink w:anchor="AUTO_1985_179" w:history="1">
        <w:r w:rsidRPr="00506787">
          <w:rPr>
            <w:rStyle w:val="TextoNormalCaracter"/>
          </w:rPr>
          <w:t>179/1985</w:t>
        </w:r>
      </w:hyperlink>
      <w:r w:rsidRPr="00506787">
        <w:rPr>
          <w:rStyle w:val="TextoNormalCaracter"/>
        </w:rPr>
        <w:t xml:space="preserve">; </w:t>
      </w:r>
      <w:hyperlink w:anchor="AUTO_1985_180" w:history="1">
        <w:r w:rsidRPr="00506787">
          <w:rPr>
            <w:rStyle w:val="TextoNormalCaracter"/>
          </w:rPr>
          <w:t>180/1985</w:t>
        </w:r>
      </w:hyperlink>
      <w:r w:rsidRPr="00506787">
        <w:rPr>
          <w:rStyle w:val="TextoNormalCaracter"/>
        </w:rPr>
        <w:t xml:space="preserve">; </w:t>
      </w:r>
      <w:hyperlink w:anchor="AUTO_1985_186" w:history="1">
        <w:r w:rsidRPr="00506787">
          <w:rPr>
            <w:rStyle w:val="TextoNormalCaracter"/>
          </w:rPr>
          <w:t>186/1985</w:t>
        </w:r>
      </w:hyperlink>
      <w:r w:rsidRPr="00506787">
        <w:rPr>
          <w:rStyle w:val="TextoNormalCaracter"/>
        </w:rPr>
        <w:t xml:space="preserve">; </w:t>
      </w:r>
      <w:hyperlink w:anchor="AUTO_1985_187" w:history="1">
        <w:r w:rsidRPr="00506787">
          <w:rPr>
            <w:rStyle w:val="TextoNormalCaracter"/>
          </w:rPr>
          <w:t>187/1985</w:t>
        </w:r>
      </w:hyperlink>
      <w:r w:rsidRPr="00506787">
        <w:rPr>
          <w:rStyle w:val="TextoNormalCaracter"/>
        </w:rPr>
        <w:t xml:space="preserve">; </w:t>
      </w:r>
      <w:hyperlink w:anchor="AUTO_1985_189" w:history="1">
        <w:r w:rsidRPr="00506787">
          <w:rPr>
            <w:rStyle w:val="TextoNormalCaracter"/>
          </w:rPr>
          <w:t>189/1985</w:t>
        </w:r>
      </w:hyperlink>
      <w:r w:rsidRPr="00506787">
        <w:rPr>
          <w:rStyle w:val="TextoNormalCaracter"/>
        </w:rPr>
        <w:t xml:space="preserve">; </w:t>
      </w:r>
      <w:hyperlink w:anchor="AUTO_1985_190" w:history="1">
        <w:r w:rsidRPr="00506787">
          <w:rPr>
            <w:rStyle w:val="TextoNormalCaracter"/>
          </w:rPr>
          <w:t>190/1985</w:t>
        </w:r>
      </w:hyperlink>
      <w:r w:rsidRPr="00506787">
        <w:rPr>
          <w:rStyle w:val="TextoNormalCaracter"/>
        </w:rPr>
        <w:t xml:space="preserve">; </w:t>
      </w:r>
      <w:hyperlink w:anchor="AUTO_1985_191" w:history="1">
        <w:r w:rsidRPr="00506787">
          <w:rPr>
            <w:rStyle w:val="TextoNormalCaracter"/>
          </w:rPr>
          <w:t>191/1985</w:t>
        </w:r>
      </w:hyperlink>
      <w:r w:rsidRPr="00506787">
        <w:rPr>
          <w:rStyle w:val="TextoNormalCaracter"/>
        </w:rPr>
        <w:t xml:space="preserve">; </w:t>
      </w:r>
      <w:hyperlink w:anchor="AUTO_1985_192" w:history="1">
        <w:r w:rsidRPr="00506787">
          <w:rPr>
            <w:rStyle w:val="TextoNormalCaracter"/>
          </w:rPr>
          <w:t>192/1985</w:t>
        </w:r>
      </w:hyperlink>
      <w:r w:rsidRPr="00506787">
        <w:rPr>
          <w:rStyle w:val="TextoNormalCaracter"/>
        </w:rPr>
        <w:t xml:space="preserve">; </w:t>
      </w:r>
      <w:hyperlink w:anchor="AUTO_1985_195" w:history="1">
        <w:r w:rsidRPr="00506787">
          <w:rPr>
            <w:rStyle w:val="TextoNormalCaracter"/>
          </w:rPr>
          <w:t>195/1985</w:t>
        </w:r>
      </w:hyperlink>
      <w:r w:rsidRPr="00506787">
        <w:rPr>
          <w:rStyle w:val="TextoNormalCaracter"/>
        </w:rPr>
        <w:t xml:space="preserve">; </w:t>
      </w:r>
      <w:hyperlink w:anchor="AUTO_1985_196" w:history="1">
        <w:r w:rsidRPr="00506787">
          <w:rPr>
            <w:rStyle w:val="TextoNormalCaracter"/>
          </w:rPr>
          <w:t>196/1985</w:t>
        </w:r>
      </w:hyperlink>
      <w:r w:rsidRPr="00506787">
        <w:rPr>
          <w:rStyle w:val="TextoNormalCaracter"/>
        </w:rPr>
        <w:t xml:space="preserve">; </w:t>
      </w:r>
      <w:hyperlink w:anchor="AUTO_1985_198" w:history="1">
        <w:r w:rsidRPr="00506787">
          <w:rPr>
            <w:rStyle w:val="TextoNormalCaracter"/>
          </w:rPr>
          <w:t>198/1985</w:t>
        </w:r>
      </w:hyperlink>
      <w:r w:rsidRPr="00506787">
        <w:rPr>
          <w:rStyle w:val="TextoNormalCaracter"/>
        </w:rPr>
        <w:t xml:space="preserve">; </w:t>
      </w:r>
      <w:hyperlink w:anchor="AUTO_1985_202" w:history="1">
        <w:r w:rsidRPr="00506787">
          <w:rPr>
            <w:rStyle w:val="TextoNormalCaracter"/>
          </w:rPr>
          <w:t>202/1985</w:t>
        </w:r>
      </w:hyperlink>
      <w:r w:rsidRPr="00506787">
        <w:rPr>
          <w:rStyle w:val="TextoNormalCaracter"/>
        </w:rPr>
        <w:t xml:space="preserve">; </w:t>
      </w:r>
      <w:hyperlink w:anchor="AUTO_1985_204" w:history="1">
        <w:r w:rsidRPr="00506787">
          <w:rPr>
            <w:rStyle w:val="TextoNormalCaracter"/>
          </w:rPr>
          <w:t>204/1985</w:t>
        </w:r>
      </w:hyperlink>
      <w:r w:rsidRPr="00506787">
        <w:rPr>
          <w:rStyle w:val="TextoNormalCaracter"/>
        </w:rPr>
        <w:t xml:space="preserve">; </w:t>
      </w:r>
      <w:hyperlink w:anchor="AUTO_1985_205" w:history="1">
        <w:r w:rsidRPr="00506787">
          <w:rPr>
            <w:rStyle w:val="TextoNormalCaracter"/>
          </w:rPr>
          <w:t>205/1985</w:t>
        </w:r>
      </w:hyperlink>
      <w:r w:rsidRPr="00506787">
        <w:rPr>
          <w:rStyle w:val="TextoNormalCaracter"/>
        </w:rPr>
        <w:t xml:space="preserve">; </w:t>
      </w:r>
      <w:hyperlink w:anchor="AUTO_1985_206" w:history="1">
        <w:r w:rsidRPr="00506787">
          <w:rPr>
            <w:rStyle w:val="TextoNormalCaracter"/>
          </w:rPr>
          <w:t>206/1985</w:t>
        </w:r>
      </w:hyperlink>
      <w:r w:rsidRPr="00506787">
        <w:rPr>
          <w:rStyle w:val="TextoNormalCaracter"/>
        </w:rPr>
        <w:t xml:space="preserve">; </w:t>
      </w:r>
      <w:hyperlink w:anchor="AUTO_1985_208" w:history="1">
        <w:r w:rsidRPr="00506787">
          <w:rPr>
            <w:rStyle w:val="TextoNormalCaracter"/>
          </w:rPr>
          <w:t>208/1985</w:t>
        </w:r>
      </w:hyperlink>
      <w:r w:rsidRPr="00506787">
        <w:rPr>
          <w:rStyle w:val="TextoNormalCaracter"/>
        </w:rPr>
        <w:t xml:space="preserve">; </w:t>
      </w:r>
      <w:hyperlink w:anchor="AUTO_1985_210" w:history="1">
        <w:r w:rsidRPr="00506787">
          <w:rPr>
            <w:rStyle w:val="TextoNormalCaracter"/>
          </w:rPr>
          <w:t>210/1985</w:t>
        </w:r>
      </w:hyperlink>
      <w:r w:rsidRPr="00506787">
        <w:rPr>
          <w:rStyle w:val="TextoNormalCaracter"/>
        </w:rPr>
        <w:t xml:space="preserve">; </w:t>
      </w:r>
      <w:hyperlink w:anchor="AUTO_1985_212" w:history="1">
        <w:r w:rsidRPr="00506787">
          <w:rPr>
            <w:rStyle w:val="TextoNormalCaracter"/>
          </w:rPr>
          <w:t>212/1985</w:t>
        </w:r>
      </w:hyperlink>
      <w:r w:rsidRPr="00506787">
        <w:rPr>
          <w:rStyle w:val="TextoNormalCaracter"/>
        </w:rPr>
        <w:t xml:space="preserve">; </w:t>
      </w:r>
      <w:hyperlink w:anchor="AUTO_1985_217" w:history="1">
        <w:r w:rsidRPr="00506787">
          <w:rPr>
            <w:rStyle w:val="TextoNormalCaracter"/>
          </w:rPr>
          <w:t>217/1985</w:t>
        </w:r>
      </w:hyperlink>
      <w:r w:rsidRPr="00506787">
        <w:rPr>
          <w:rStyle w:val="TextoNormalCaracter"/>
        </w:rPr>
        <w:t xml:space="preserve">; </w:t>
      </w:r>
      <w:hyperlink w:anchor="AUTO_1985_218" w:history="1">
        <w:r w:rsidRPr="00506787">
          <w:rPr>
            <w:rStyle w:val="TextoNormalCaracter"/>
          </w:rPr>
          <w:t>218/1985</w:t>
        </w:r>
      </w:hyperlink>
      <w:r w:rsidRPr="00506787">
        <w:rPr>
          <w:rStyle w:val="TextoNormalCaracter"/>
        </w:rPr>
        <w:t xml:space="preserve">; </w:t>
      </w:r>
      <w:hyperlink w:anchor="AUTO_1985_219" w:history="1">
        <w:r w:rsidRPr="00506787">
          <w:rPr>
            <w:rStyle w:val="TextoNormalCaracter"/>
          </w:rPr>
          <w:t>219/1985</w:t>
        </w:r>
      </w:hyperlink>
      <w:r w:rsidRPr="00506787">
        <w:rPr>
          <w:rStyle w:val="TextoNormalCaracter"/>
        </w:rPr>
        <w:t xml:space="preserve">; </w:t>
      </w:r>
      <w:hyperlink w:anchor="AUTO_1985_222" w:history="1">
        <w:r w:rsidRPr="00506787">
          <w:rPr>
            <w:rStyle w:val="TextoNormalCaracter"/>
          </w:rPr>
          <w:t>222/1985</w:t>
        </w:r>
      </w:hyperlink>
      <w:r w:rsidRPr="00506787">
        <w:rPr>
          <w:rStyle w:val="TextoNormalCaracter"/>
        </w:rPr>
        <w:t xml:space="preserve">; </w:t>
      </w:r>
      <w:hyperlink w:anchor="AUTO_1985_225" w:history="1">
        <w:r w:rsidRPr="00506787">
          <w:rPr>
            <w:rStyle w:val="TextoNormalCaracter"/>
          </w:rPr>
          <w:t>225/1985</w:t>
        </w:r>
      </w:hyperlink>
      <w:r w:rsidRPr="00506787">
        <w:rPr>
          <w:rStyle w:val="TextoNormalCaracter"/>
        </w:rPr>
        <w:t xml:space="preserve">; </w:t>
      </w:r>
      <w:hyperlink w:anchor="AUTO_1985_233" w:history="1">
        <w:r w:rsidRPr="00506787">
          <w:rPr>
            <w:rStyle w:val="TextoNormalCaracter"/>
          </w:rPr>
          <w:t>233/1985</w:t>
        </w:r>
      </w:hyperlink>
      <w:r w:rsidRPr="00506787">
        <w:rPr>
          <w:rStyle w:val="TextoNormalCaracter"/>
        </w:rPr>
        <w:t xml:space="preserve">; </w:t>
      </w:r>
      <w:hyperlink w:anchor="AUTO_1985_234" w:history="1">
        <w:r w:rsidRPr="00506787">
          <w:rPr>
            <w:rStyle w:val="TextoNormalCaracter"/>
          </w:rPr>
          <w:t>234/1985</w:t>
        </w:r>
      </w:hyperlink>
      <w:r w:rsidRPr="00506787">
        <w:rPr>
          <w:rStyle w:val="TextoNormalCaracter"/>
        </w:rPr>
        <w:t xml:space="preserve">; </w:t>
      </w:r>
      <w:hyperlink w:anchor="AUTO_1985_235" w:history="1">
        <w:r w:rsidRPr="00506787">
          <w:rPr>
            <w:rStyle w:val="TextoNormalCaracter"/>
          </w:rPr>
          <w:t>235/1985</w:t>
        </w:r>
      </w:hyperlink>
      <w:r w:rsidRPr="00506787">
        <w:rPr>
          <w:rStyle w:val="TextoNormalCaracter"/>
        </w:rPr>
        <w:t xml:space="preserve">; </w:t>
      </w:r>
      <w:hyperlink w:anchor="AUTO_1985_236" w:history="1">
        <w:r w:rsidRPr="00506787">
          <w:rPr>
            <w:rStyle w:val="TextoNormalCaracter"/>
          </w:rPr>
          <w:t>236/1985</w:t>
        </w:r>
      </w:hyperlink>
      <w:r w:rsidRPr="00506787">
        <w:rPr>
          <w:rStyle w:val="TextoNormalCaracter"/>
        </w:rPr>
        <w:t xml:space="preserve">; </w:t>
      </w:r>
      <w:hyperlink w:anchor="AUTO_1985_238" w:history="1">
        <w:r w:rsidRPr="00506787">
          <w:rPr>
            <w:rStyle w:val="TextoNormalCaracter"/>
          </w:rPr>
          <w:t>238/1985</w:t>
        </w:r>
      </w:hyperlink>
      <w:r w:rsidRPr="00506787">
        <w:rPr>
          <w:rStyle w:val="TextoNormalCaracter"/>
        </w:rPr>
        <w:t xml:space="preserve">; </w:t>
      </w:r>
      <w:hyperlink w:anchor="AUTO_1985_240" w:history="1">
        <w:r w:rsidRPr="00506787">
          <w:rPr>
            <w:rStyle w:val="TextoNormalCaracter"/>
          </w:rPr>
          <w:t>240/1985</w:t>
        </w:r>
      </w:hyperlink>
      <w:r w:rsidRPr="00506787">
        <w:rPr>
          <w:rStyle w:val="TextoNormalCaracter"/>
        </w:rPr>
        <w:t xml:space="preserve">; </w:t>
      </w:r>
      <w:hyperlink w:anchor="AUTO_1985_242" w:history="1">
        <w:r w:rsidRPr="00506787">
          <w:rPr>
            <w:rStyle w:val="TextoNormalCaracter"/>
          </w:rPr>
          <w:t>242/1985</w:t>
        </w:r>
      </w:hyperlink>
      <w:r w:rsidRPr="00506787">
        <w:rPr>
          <w:rStyle w:val="TextoNormalCaracter"/>
        </w:rPr>
        <w:t xml:space="preserve">; </w:t>
      </w:r>
      <w:hyperlink w:anchor="AUTO_1985_243" w:history="1">
        <w:r w:rsidRPr="00506787">
          <w:rPr>
            <w:rStyle w:val="TextoNormalCaracter"/>
          </w:rPr>
          <w:t>243/1985</w:t>
        </w:r>
      </w:hyperlink>
      <w:r w:rsidRPr="00506787">
        <w:rPr>
          <w:rStyle w:val="TextoNormalCaracter"/>
        </w:rPr>
        <w:t xml:space="preserve">; </w:t>
      </w:r>
      <w:hyperlink w:anchor="AUTO_1985_245" w:history="1">
        <w:r w:rsidRPr="00506787">
          <w:rPr>
            <w:rStyle w:val="TextoNormalCaracter"/>
          </w:rPr>
          <w:t>245/1985</w:t>
        </w:r>
      </w:hyperlink>
      <w:r w:rsidRPr="00506787">
        <w:rPr>
          <w:rStyle w:val="TextoNormalCaracter"/>
        </w:rPr>
        <w:t xml:space="preserve">; </w:t>
      </w:r>
      <w:hyperlink w:anchor="AUTO_1985_246" w:history="1">
        <w:r w:rsidRPr="00506787">
          <w:rPr>
            <w:rStyle w:val="TextoNormalCaracter"/>
          </w:rPr>
          <w:t>246/1985</w:t>
        </w:r>
      </w:hyperlink>
      <w:r w:rsidRPr="00506787">
        <w:rPr>
          <w:rStyle w:val="TextoNormalCaracter"/>
        </w:rPr>
        <w:t xml:space="preserve">; </w:t>
      </w:r>
      <w:hyperlink w:anchor="AUTO_1985_247" w:history="1">
        <w:r w:rsidRPr="00506787">
          <w:rPr>
            <w:rStyle w:val="TextoNormalCaracter"/>
          </w:rPr>
          <w:t>247/1985</w:t>
        </w:r>
      </w:hyperlink>
      <w:r w:rsidRPr="00506787">
        <w:rPr>
          <w:rStyle w:val="TextoNormalCaracter"/>
        </w:rPr>
        <w:t xml:space="preserve">; </w:t>
      </w:r>
      <w:hyperlink w:anchor="AUTO_1985_248" w:history="1">
        <w:r w:rsidRPr="00506787">
          <w:rPr>
            <w:rStyle w:val="TextoNormalCaracter"/>
          </w:rPr>
          <w:t>248/1985</w:t>
        </w:r>
      </w:hyperlink>
      <w:r w:rsidRPr="00506787">
        <w:rPr>
          <w:rStyle w:val="TextoNormalCaracter"/>
        </w:rPr>
        <w:t xml:space="preserve">; </w:t>
      </w:r>
      <w:hyperlink w:anchor="AUTO_1985_249" w:history="1">
        <w:r w:rsidRPr="00506787">
          <w:rPr>
            <w:rStyle w:val="TextoNormalCaracter"/>
          </w:rPr>
          <w:t>249/1985</w:t>
        </w:r>
      </w:hyperlink>
      <w:r w:rsidRPr="00506787">
        <w:rPr>
          <w:rStyle w:val="TextoNormalCaracter"/>
        </w:rPr>
        <w:t xml:space="preserve">; </w:t>
      </w:r>
      <w:hyperlink w:anchor="AUTO_1985_252" w:history="1">
        <w:r w:rsidRPr="00506787">
          <w:rPr>
            <w:rStyle w:val="TextoNormalCaracter"/>
          </w:rPr>
          <w:t>252/1985</w:t>
        </w:r>
      </w:hyperlink>
      <w:r w:rsidRPr="00506787">
        <w:rPr>
          <w:rStyle w:val="TextoNormalCaracter"/>
        </w:rPr>
        <w:t xml:space="preserve">; </w:t>
      </w:r>
      <w:hyperlink w:anchor="AUTO_1985_253" w:history="1">
        <w:r w:rsidRPr="00506787">
          <w:rPr>
            <w:rStyle w:val="TextoNormalCaracter"/>
          </w:rPr>
          <w:t>253/1985</w:t>
        </w:r>
      </w:hyperlink>
      <w:r w:rsidRPr="00506787">
        <w:rPr>
          <w:rStyle w:val="TextoNormalCaracter"/>
        </w:rPr>
        <w:t xml:space="preserve">; </w:t>
      </w:r>
      <w:hyperlink w:anchor="AUTO_1985_254" w:history="1">
        <w:r w:rsidRPr="00506787">
          <w:rPr>
            <w:rStyle w:val="TextoNormalCaracter"/>
          </w:rPr>
          <w:t>254/1985</w:t>
        </w:r>
      </w:hyperlink>
      <w:r w:rsidRPr="00506787">
        <w:rPr>
          <w:rStyle w:val="TextoNormalCaracter"/>
        </w:rPr>
        <w:t xml:space="preserve">; </w:t>
      </w:r>
      <w:hyperlink w:anchor="AUTO_1985_257" w:history="1">
        <w:r w:rsidRPr="00506787">
          <w:rPr>
            <w:rStyle w:val="TextoNormalCaracter"/>
          </w:rPr>
          <w:t>257/1985</w:t>
        </w:r>
      </w:hyperlink>
      <w:r w:rsidRPr="00506787">
        <w:rPr>
          <w:rStyle w:val="TextoNormalCaracter"/>
        </w:rPr>
        <w:t xml:space="preserve">; </w:t>
      </w:r>
      <w:hyperlink w:anchor="AUTO_1985_259" w:history="1">
        <w:r w:rsidRPr="00506787">
          <w:rPr>
            <w:rStyle w:val="TextoNormalCaracter"/>
          </w:rPr>
          <w:t>259/1985</w:t>
        </w:r>
      </w:hyperlink>
      <w:r w:rsidRPr="00506787">
        <w:rPr>
          <w:rStyle w:val="TextoNormalCaracter"/>
        </w:rPr>
        <w:t xml:space="preserve">; </w:t>
      </w:r>
      <w:hyperlink w:anchor="AUTO_1985_261" w:history="1">
        <w:r w:rsidRPr="00506787">
          <w:rPr>
            <w:rStyle w:val="TextoNormalCaracter"/>
          </w:rPr>
          <w:t>261/1985</w:t>
        </w:r>
      </w:hyperlink>
      <w:r w:rsidRPr="00506787">
        <w:rPr>
          <w:rStyle w:val="TextoNormalCaracter"/>
        </w:rPr>
        <w:t xml:space="preserve">; </w:t>
      </w:r>
      <w:hyperlink w:anchor="AUTO_1985_264" w:history="1">
        <w:r w:rsidRPr="00506787">
          <w:rPr>
            <w:rStyle w:val="TextoNormalCaracter"/>
          </w:rPr>
          <w:t>264/1985</w:t>
        </w:r>
      </w:hyperlink>
      <w:r w:rsidRPr="00506787">
        <w:rPr>
          <w:rStyle w:val="TextoNormalCaracter"/>
        </w:rPr>
        <w:t xml:space="preserve">; </w:t>
      </w:r>
      <w:hyperlink w:anchor="AUTO_1985_265" w:history="1">
        <w:r w:rsidRPr="00506787">
          <w:rPr>
            <w:rStyle w:val="TextoNormalCaracter"/>
          </w:rPr>
          <w:t>265/1985</w:t>
        </w:r>
      </w:hyperlink>
      <w:r w:rsidRPr="00506787">
        <w:rPr>
          <w:rStyle w:val="TextoNormalCaracter"/>
        </w:rPr>
        <w:t xml:space="preserve">; </w:t>
      </w:r>
      <w:hyperlink w:anchor="AUTO_1985_267" w:history="1">
        <w:r w:rsidRPr="00506787">
          <w:rPr>
            <w:rStyle w:val="TextoNormalCaracter"/>
          </w:rPr>
          <w:t>267/1985</w:t>
        </w:r>
      </w:hyperlink>
      <w:r w:rsidRPr="00506787">
        <w:rPr>
          <w:rStyle w:val="TextoNormalCaracter"/>
        </w:rPr>
        <w:t xml:space="preserve">; </w:t>
      </w:r>
      <w:hyperlink w:anchor="AUTO_1985_269" w:history="1">
        <w:r w:rsidRPr="00506787">
          <w:rPr>
            <w:rStyle w:val="TextoNormalCaracter"/>
          </w:rPr>
          <w:t>269/1985</w:t>
        </w:r>
      </w:hyperlink>
      <w:r w:rsidRPr="00506787">
        <w:rPr>
          <w:rStyle w:val="TextoNormalCaracter"/>
        </w:rPr>
        <w:t xml:space="preserve">; </w:t>
      </w:r>
      <w:hyperlink w:anchor="AUTO_1985_270" w:history="1">
        <w:r w:rsidRPr="00506787">
          <w:rPr>
            <w:rStyle w:val="TextoNormalCaracter"/>
          </w:rPr>
          <w:t>270/1985</w:t>
        </w:r>
      </w:hyperlink>
      <w:r w:rsidRPr="00506787">
        <w:rPr>
          <w:rStyle w:val="TextoNormalCaracter"/>
        </w:rPr>
        <w:t xml:space="preserve">; </w:t>
      </w:r>
      <w:hyperlink w:anchor="AUTO_1985_278" w:history="1">
        <w:r w:rsidRPr="00506787">
          <w:rPr>
            <w:rStyle w:val="TextoNormalCaracter"/>
          </w:rPr>
          <w:t>278/1985</w:t>
        </w:r>
      </w:hyperlink>
      <w:r w:rsidRPr="00506787">
        <w:rPr>
          <w:rStyle w:val="TextoNormalCaracter"/>
        </w:rPr>
        <w:t xml:space="preserve">; </w:t>
      </w:r>
      <w:hyperlink w:anchor="AUTO_1985_280" w:history="1">
        <w:r w:rsidRPr="00506787">
          <w:rPr>
            <w:rStyle w:val="TextoNormalCaracter"/>
          </w:rPr>
          <w:t>280/1985</w:t>
        </w:r>
      </w:hyperlink>
      <w:r w:rsidRPr="00506787">
        <w:rPr>
          <w:rStyle w:val="TextoNormalCaracter"/>
        </w:rPr>
        <w:t>.</w:t>
      </w:r>
    </w:p>
    <w:p w:rsidR="00506787" w:rsidRPr="00506787" w:rsidRDefault="00506787" w:rsidP="00506787">
      <w:pPr>
        <w:pStyle w:val="TextoNormalSangraFrancesa"/>
        <w:rPr>
          <w:rStyle w:val="TextoNormalCaracter"/>
        </w:rPr>
      </w:pPr>
      <w:bookmarkStart w:id="1000" w:name="DESCRIPTORALFABETICO128"/>
      <w:r w:rsidRPr="00506787">
        <w:rPr>
          <w:rStyle w:val="TextoNormalNegritaCaracter"/>
        </w:rPr>
        <w:t>Carencia de jurisdicción constitucional</w:t>
      </w:r>
      <w:bookmarkEnd w:id="1000"/>
      <w:r w:rsidRPr="00506787">
        <w:rPr>
          <w:rStyle w:val="TextoNormalCaracter"/>
        </w:rPr>
        <w:t xml:space="preserve">, Autos </w:t>
      </w:r>
      <w:hyperlink w:anchor="AUTO_1985_16" w:history="1">
        <w:r w:rsidRPr="00506787">
          <w:rPr>
            <w:rStyle w:val="TextoNormalCaracter"/>
          </w:rPr>
          <w:t>16/1985</w:t>
        </w:r>
      </w:hyperlink>
      <w:r w:rsidRPr="00506787">
        <w:rPr>
          <w:rStyle w:val="TextoNormalCaracter"/>
        </w:rPr>
        <w:t xml:space="preserve">; </w:t>
      </w:r>
      <w:hyperlink w:anchor="AUTO_1985_255" w:history="1">
        <w:r w:rsidRPr="00506787">
          <w:rPr>
            <w:rStyle w:val="TextoNormalCaracter"/>
          </w:rPr>
          <w:t>255/1985</w:t>
        </w:r>
      </w:hyperlink>
      <w:r w:rsidRPr="00506787">
        <w:rPr>
          <w:rStyle w:val="TextoNormalCaracter"/>
        </w:rPr>
        <w:t xml:space="preserve">; </w:t>
      </w:r>
      <w:hyperlink w:anchor="AUTO_1985_281" w:history="1">
        <w:r w:rsidRPr="00506787">
          <w:rPr>
            <w:rStyle w:val="TextoNormalCaracter"/>
          </w:rPr>
          <w:t>281/1985</w:t>
        </w:r>
      </w:hyperlink>
      <w:r w:rsidRPr="00506787">
        <w:rPr>
          <w:rStyle w:val="TextoNormalCaracter"/>
        </w:rPr>
        <w:t>.</w:t>
      </w:r>
    </w:p>
    <w:p w:rsidR="00506787" w:rsidRPr="00506787" w:rsidRDefault="00506787" w:rsidP="00506787">
      <w:pPr>
        <w:pStyle w:val="TextoNormalSangraFrancesa"/>
        <w:rPr>
          <w:rStyle w:val="TextoNormalCaracter"/>
        </w:rPr>
      </w:pPr>
      <w:bookmarkStart w:id="1001" w:name="DESCRIPTORALFABETICO193"/>
      <w:r w:rsidRPr="00506787">
        <w:rPr>
          <w:rStyle w:val="TextoNormalNegritaCaracter"/>
        </w:rPr>
        <w:t>Carga de acreditar el cumplimiento de los requisitos legales</w:t>
      </w:r>
      <w:bookmarkEnd w:id="1001"/>
      <w:r w:rsidRPr="00506787">
        <w:rPr>
          <w:rStyle w:val="TextoNormalCaracter"/>
        </w:rPr>
        <w:t xml:space="preserve">, Auto </w:t>
      </w:r>
      <w:hyperlink w:anchor="AUTO_1985_213" w:history="1">
        <w:r w:rsidRPr="00506787">
          <w:rPr>
            <w:rStyle w:val="TextoNormalCaracter"/>
          </w:rPr>
          <w:t>213/1985</w:t>
        </w:r>
      </w:hyperlink>
      <w:r w:rsidRPr="00506787">
        <w:rPr>
          <w:rStyle w:val="TextoNormalCaracter"/>
        </w:rPr>
        <w:t>.</w:t>
      </w:r>
    </w:p>
    <w:p w:rsidR="00506787" w:rsidRPr="00506787" w:rsidRDefault="00506787" w:rsidP="00506787">
      <w:pPr>
        <w:pStyle w:val="TextoNormalSangraFrancesa"/>
        <w:rPr>
          <w:rStyle w:val="TextoNormalCaracter"/>
        </w:rPr>
      </w:pPr>
      <w:bookmarkStart w:id="1002" w:name="DESCRIPTORALFABETICO407"/>
      <w:r w:rsidRPr="00506787">
        <w:rPr>
          <w:rStyle w:val="TextoNormalNegritaCaracter"/>
        </w:rPr>
        <w:t>Carta de despido</w:t>
      </w:r>
      <w:bookmarkEnd w:id="1002"/>
      <w:r w:rsidRPr="00506787">
        <w:rPr>
          <w:rStyle w:val="TextoNormalCaracter"/>
        </w:rPr>
        <w:t xml:space="preserve">, Auto </w:t>
      </w:r>
      <w:hyperlink w:anchor="AUTO_1985_45" w:history="1">
        <w:r w:rsidRPr="00506787">
          <w:rPr>
            <w:rStyle w:val="TextoNormalCaracter"/>
          </w:rPr>
          <w:t>45/1985</w:t>
        </w:r>
      </w:hyperlink>
      <w:r w:rsidRPr="00506787">
        <w:rPr>
          <w:rStyle w:val="TextoNormalCaracter"/>
        </w:rPr>
        <w:t>.</w:t>
      </w:r>
    </w:p>
    <w:p w:rsidR="00506787" w:rsidRPr="00506787" w:rsidRDefault="00506787" w:rsidP="00506787">
      <w:pPr>
        <w:pStyle w:val="TextoNormalSangraFrancesa"/>
        <w:rPr>
          <w:rStyle w:val="TextoNormalCaracter"/>
        </w:rPr>
      </w:pPr>
      <w:bookmarkStart w:id="1003" w:name="DESCRIPTORALFABETICO587"/>
      <w:r w:rsidRPr="00506787">
        <w:rPr>
          <w:rStyle w:val="TextoNormalNegritaCaracter"/>
        </w:rPr>
        <w:t>Cataluña</w:t>
      </w:r>
      <w:bookmarkEnd w:id="1003"/>
      <w:r w:rsidRPr="00506787">
        <w:rPr>
          <w:rStyle w:val="TextoNormalCaracter"/>
        </w:rPr>
        <w:t xml:space="preserve">, Sentencia </w:t>
      </w:r>
      <w:hyperlink w:anchor="SENTENCIA_1985_9" w:history="1">
        <w:r w:rsidRPr="00506787">
          <w:rPr>
            <w:rStyle w:val="TextoNormalCaracter"/>
          </w:rPr>
          <w:t>9/1985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139" w:history="1">
        <w:r w:rsidRPr="00506787">
          <w:rPr>
            <w:rStyle w:val="TextoNormalCaracter"/>
          </w:rPr>
          <w:t>139/1985</w:t>
        </w:r>
      </w:hyperlink>
      <w:r w:rsidRPr="00506787">
        <w:rPr>
          <w:rStyle w:val="TextoNormalCaracter"/>
        </w:rPr>
        <w:t>.</w:t>
      </w:r>
    </w:p>
    <w:p w:rsidR="00506787" w:rsidRPr="00506787" w:rsidRDefault="00506787" w:rsidP="00506787">
      <w:pPr>
        <w:pStyle w:val="TextoNormalSangraFrancesa"/>
        <w:rPr>
          <w:rStyle w:val="TextoNormalCaracter"/>
        </w:rPr>
      </w:pPr>
      <w:bookmarkStart w:id="1004" w:name="DESCRIPTORALFABETICO386"/>
      <w:r w:rsidRPr="00506787">
        <w:rPr>
          <w:rStyle w:val="TextoNormalNegritaCaracter"/>
        </w:rPr>
        <w:t>Causas de extinción del contrato de trabajo</w:t>
      </w:r>
      <w:bookmarkEnd w:id="1004"/>
      <w:r w:rsidRPr="00506787">
        <w:rPr>
          <w:rStyle w:val="TextoNormalCaracter"/>
        </w:rPr>
        <w:t xml:space="preserve">, Auto </w:t>
      </w:r>
      <w:hyperlink w:anchor="AUTO_1985_57" w:history="1">
        <w:r w:rsidRPr="00506787">
          <w:rPr>
            <w:rStyle w:val="TextoNormalCaracter"/>
          </w:rPr>
          <w:t>57/1985</w:t>
        </w:r>
      </w:hyperlink>
      <w:r w:rsidRPr="00506787">
        <w:rPr>
          <w:rStyle w:val="TextoNormalCaracter"/>
        </w:rPr>
        <w:t>.</w:t>
      </w:r>
    </w:p>
    <w:p w:rsidR="00506787" w:rsidRPr="00506787" w:rsidRDefault="00506787" w:rsidP="00506787">
      <w:pPr>
        <w:pStyle w:val="TextoNormalSangraFrancesa"/>
        <w:rPr>
          <w:rStyle w:val="TextoNormalCaracter"/>
        </w:rPr>
      </w:pPr>
      <w:bookmarkStart w:id="1005" w:name="DESCRIPTORALFABETICO165"/>
      <w:r w:rsidRPr="00506787">
        <w:rPr>
          <w:rStyle w:val="TextoNormalNegritaCaracter"/>
        </w:rPr>
        <w:t>Causas de inadmisión de la cuestión de inconstitucionalidad</w:t>
      </w:r>
      <w:bookmarkEnd w:id="1005"/>
      <w:r w:rsidRPr="00506787">
        <w:rPr>
          <w:rStyle w:val="TextoNormalCaracter"/>
        </w:rPr>
        <w:t xml:space="preserve">, Sentencias </w:t>
      </w:r>
      <w:hyperlink w:anchor="SENTENCIA_1985_21" w:history="1">
        <w:r w:rsidRPr="00506787">
          <w:rPr>
            <w:rStyle w:val="TextoNormalCaracter"/>
          </w:rPr>
          <w:t>21/1985</w:t>
        </w:r>
      </w:hyperlink>
      <w:r w:rsidRPr="00506787">
        <w:rPr>
          <w:rStyle w:val="TextoNormalCaracter"/>
        </w:rPr>
        <w:t xml:space="preserve">, f. 1; </w:t>
      </w:r>
      <w:hyperlink w:anchor="SENTENCIA_1985_58" w:history="1">
        <w:r w:rsidRPr="00506787">
          <w:rPr>
            <w:rStyle w:val="TextoNormalCaracter"/>
          </w:rPr>
          <w:t>58/1985</w:t>
        </w:r>
      </w:hyperlink>
      <w:r w:rsidRPr="00506787">
        <w:rPr>
          <w:rStyle w:val="TextoNormalCaracter"/>
        </w:rPr>
        <w:t>, ff. 1, 2.</w:t>
      </w:r>
    </w:p>
    <w:p w:rsidR="00506787" w:rsidRPr="00506787" w:rsidRDefault="00506787" w:rsidP="00506787">
      <w:pPr>
        <w:pStyle w:val="TextoNormalSangraFrancesa"/>
        <w:rPr>
          <w:rStyle w:val="TextoNormalCaracter"/>
        </w:rPr>
      </w:pPr>
      <w:bookmarkStart w:id="1006" w:name="DESCRIPTORALFABETICO551"/>
      <w:r w:rsidRPr="00506787">
        <w:rPr>
          <w:rStyle w:val="TextoNormalNegritaCaracter"/>
        </w:rPr>
        <w:t>Causas de inadmisión del recurso de suplicación</w:t>
      </w:r>
      <w:bookmarkEnd w:id="1006"/>
      <w:r w:rsidRPr="00506787">
        <w:rPr>
          <w:rStyle w:val="TextoNormalCaracter"/>
        </w:rPr>
        <w:t xml:space="preserve">, Auto </w:t>
      </w:r>
      <w:hyperlink w:anchor="AUTO_1985_117" w:history="1">
        <w:r w:rsidRPr="00506787">
          <w:rPr>
            <w:rStyle w:val="TextoNormalCaracter"/>
          </w:rPr>
          <w:t>117/1985</w:t>
        </w:r>
      </w:hyperlink>
      <w:r w:rsidRPr="00506787">
        <w:rPr>
          <w:rStyle w:val="TextoNormalCaracter"/>
        </w:rPr>
        <w:t>.</w:t>
      </w:r>
    </w:p>
    <w:p w:rsidR="00506787" w:rsidRPr="00506787" w:rsidRDefault="00506787" w:rsidP="00506787">
      <w:pPr>
        <w:pStyle w:val="TextoNormalSangraFrancesa"/>
        <w:rPr>
          <w:rStyle w:val="TextoNormalCaracter"/>
        </w:rPr>
      </w:pPr>
      <w:bookmarkStart w:id="1007" w:name="DESCRIPTORALFABETICO442"/>
      <w:r w:rsidRPr="00506787">
        <w:rPr>
          <w:rStyle w:val="TextoNormalNegritaCaracter"/>
        </w:rPr>
        <w:t>Cédula de notificación</w:t>
      </w:r>
      <w:bookmarkEnd w:id="1007"/>
      <w:r w:rsidRPr="00506787">
        <w:rPr>
          <w:rStyle w:val="TextoNormalCaracter"/>
        </w:rPr>
        <w:t xml:space="preserve">, Sentencia </w:t>
      </w:r>
      <w:hyperlink w:anchor="SENTENCIA_1985_21" w:history="1">
        <w:r w:rsidRPr="00506787">
          <w:rPr>
            <w:rStyle w:val="TextoNormalCaracter"/>
          </w:rPr>
          <w:t>21/1985</w:t>
        </w:r>
      </w:hyperlink>
      <w:r w:rsidRPr="00506787">
        <w:rPr>
          <w:rStyle w:val="TextoNormalCaracter"/>
        </w:rPr>
        <w:t>, f. 4.</w:t>
      </w:r>
    </w:p>
    <w:p w:rsidR="00506787" w:rsidRPr="00506787" w:rsidRDefault="00506787" w:rsidP="00506787">
      <w:pPr>
        <w:pStyle w:val="TextoNormalSangraFrancesa"/>
        <w:rPr>
          <w:rStyle w:val="TextoNormalCaracter"/>
        </w:rPr>
      </w:pPr>
      <w:bookmarkStart w:id="1008" w:name="DESCRIPTORALFABETICO282"/>
      <w:r w:rsidRPr="00506787">
        <w:rPr>
          <w:rStyle w:val="TextoNormalNegritaCaracter"/>
        </w:rPr>
        <w:t>Cédula de notificación del protesto</w:t>
      </w:r>
      <w:bookmarkEnd w:id="1008"/>
      <w:r w:rsidRPr="00506787">
        <w:rPr>
          <w:rStyle w:val="TextoNormalCaracter"/>
        </w:rPr>
        <w:t xml:space="preserve">, Sentencia </w:t>
      </w:r>
      <w:hyperlink w:anchor="SENTENCIA_1985_21" w:history="1">
        <w:r w:rsidRPr="00506787">
          <w:rPr>
            <w:rStyle w:val="TextoNormalCaracter"/>
          </w:rPr>
          <w:t>21/1985</w:t>
        </w:r>
      </w:hyperlink>
      <w:r w:rsidRPr="00506787">
        <w:rPr>
          <w:rStyle w:val="TextoNormalCaracter"/>
        </w:rPr>
        <w:t>, f. 4.</w:t>
      </w:r>
    </w:p>
    <w:p w:rsidR="00506787" w:rsidRPr="00506787" w:rsidRDefault="00506787" w:rsidP="00506787">
      <w:pPr>
        <w:pStyle w:val="TextoNormalSangraFrancesa"/>
        <w:rPr>
          <w:rStyle w:val="TextoNormalCaracter"/>
        </w:rPr>
      </w:pPr>
      <w:bookmarkStart w:id="1009" w:name="DESCRIPTORALFABETICO103"/>
      <w:r w:rsidRPr="00506787">
        <w:rPr>
          <w:rStyle w:val="TextoNormalNegritaCaracter"/>
        </w:rPr>
        <w:t>Censura previa</w:t>
      </w:r>
      <w:bookmarkEnd w:id="1009"/>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 1.</w:t>
      </w:r>
    </w:p>
    <w:p w:rsidR="00506787" w:rsidRPr="00506787" w:rsidRDefault="00506787" w:rsidP="00506787">
      <w:pPr>
        <w:pStyle w:val="TextoNormalSangraFrancesa"/>
        <w:rPr>
          <w:rStyle w:val="TextoNormalCaracter"/>
        </w:rPr>
      </w:pPr>
      <w:bookmarkStart w:id="1010" w:name="DESCRIPTORALFABETICO403"/>
      <w:r w:rsidRPr="00506787">
        <w:rPr>
          <w:rStyle w:val="TextoNormalNegritaCaracter"/>
        </w:rPr>
        <w:t>Cierre patronal</w:t>
      </w:r>
      <w:bookmarkEnd w:id="1010"/>
      <w:r w:rsidRPr="00506787">
        <w:rPr>
          <w:rStyle w:val="TextoNormalCaracter"/>
        </w:rPr>
        <w:t xml:space="preserve">, Autos </w:t>
      </w:r>
      <w:hyperlink w:anchor="AUTO_1985_165" w:history="1">
        <w:r w:rsidRPr="00506787">
          <w:rPr>
            <w:rStyle w:val="TextoNormalCaracter"/>
          </w:rPr>
          <w:t>165/1985</w:t>
        </w:r>
      </w:hyperlink>
      <w:r w:rsidRPr="00506787">
        <w:rPr>
          <w:rStyle w:val="TextoNormalCaracter"/>
        </w:rPr>
        <w:t xml:space="preserve">; </w:t>
      </w:r>
      <w:hyperlink w:anchor="AUTO_1985_167" w:history="1">
        <w:r w:rsidRPr="00506787">
          <w:rPr>
            <w:rStyle w:val="TextoNormalCaracter"/>
          </w:rPr>
          <w:t>167/1985</w:t>
        </w:r>
      </w:hyperlink>
      <w:r w:rsidRPr="00506787">
        <w:rPr>
          <w:rStyle w:val="TextoNormalCaracter"/>
        </w:rPr>
        <w:t>.</w:t>
      </w:r>
    </w:p>
    <w:p w:rsidR="00506787" w:rsidRPr="00506787" w:rsidRDefault="00506787" w:rsidP="00506787">
      <w:pPr>
        <w:pStyle w:val="TextoNormalSangraFrancesa"/>
        <w:rPr>
          <w:rStyle w:val="TextoNormalCaracter"/>
        </w:rPr>
      </w:pPr>
      <w:bookmarkStart w:id="1011" w:name="DESCRIPTORALFABETICO369"/>
      <w:r w:rsidRPr="00506787">
        <w:rPr>
          <w:rStyle w:val="TextoNormalNegritaCaracter"/>
        </w:rPr>
        <w:t>Circunstancias eximentes de la responsabilidad penal</w:t>
      </w:r>
      <w:bookmarkEnd w:id="1011"/>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11, VP IV.</w:t>
      </w:r>
    </w:p>
    <w:p w:rsidR="00506787" w:rsidRPr="00506787" w:rsidRDefault="00506787" w:rsidP="00506787">
      <w:pPr>
        <w:pStyle w:val="TextoNormalSangraFrancesa"/>
        <w:rPr>
          <w:rStyle w:val="TextoNormalCaracter"/>
        </w:rPr>
      </w:pPr>
      <w:bookmarkStart w:id="1012" w:name="DESCRIPTORALFABETICO434"/>
      <w:r w:rsidRPr="00506787">
        <w:rPr>
          <w:rStyle w:val="TextoNormalNegritaCaracter"/>
        </w:rPr>
        <w:t>Citación no recepticia</w:t>
      </w:r>
      <w:bookmarkEnd w:id="1012"/>
      <w:r w:rsidRPr="00506787">
        <w:rPr>
          <w:rStyle w:val="TextoNormalCaracter"/>
        </w:rPr>
        <w:t xml:space="preserve">, Sentencia </w:t>
      </w:r>
      <w:hyperlink w:anchor="SENTENCIA_1985_21" w:history="1">
        <w:r w:rsidRPr="00506787">
          <w:rPr>
            <w:rStyle w:val="TextoNormalCaracter"/>
          </w:rPr>
          <w:t>21/1985</w:t>
        </w:r>
      </w:hyperlink>
      <w:r w:rsidRPr="00506787">
        <w:rPr>
          <w:rStyle w:val="TextoNormalCaracter"/>
        </w:rPr>
        <w:t>, f. 3.</w:t>
      </w:r>
    </w:p>
    <w:p w:rsidR="00506787" w:rsidRPr="00506787" w:rsidRDefault="00506787" w:rsidP="00506787">
      <w:pPr>
        <w:pStyle w:val="TextoNormalSangraFrancesa"/>
        <w:rPr>
          <w:rStyle w:val="TextoNormalCaracter"/>
        </w:rPr>
      </w:pPr>
      <w:bookmarkStart w:id="1013" w:name="DESCRIPTORALFABETICO194"/>
      <w:r w:rsidRPr="00506787">
        <w:rPr>
          <w:rStyle w:val="TextoNormalNegritaCaracter"/>
        </w:rPr>
        <w:t>Claridad de la demanda de amparo</w:t>
      </w:r>
      <w:bookmarkEnd w:id="1013"/>
      <w:r w:rsidRPr="00506787">
        <w:rPr>
          <w:rStyle w:val="TextoNormalCaracter"/>
        </w:rPr>
        <w:t xml:space="preserve">, Autos </w:t>
      </w:r>
      <w:hyperlink w:anchor="AUTO_1985_11" w:history="1">
        <w:r w:rsidRPr="00506787">
          <w:rPr>
            <w:rStyle w:val="TextoNormalCaracter"/>
          </w:rPr>
          <w:t>11/1985</w:t>
        </w:r>
      </w:hyperlink>
      <w:r w:rsidRPr="00506787">
        <w:rPr>
          <w:rStyle w:val="TextoNormalCaracter"/>
        </w:rPr>
        <w:t xml:space="preserve">; </w:t>
      </w:r>
      <w:hyperlink w:anchor="AUTO_1985_25" w:history="1">
        <w:r w:rsidRPr="00506787">
          <w:rPr>
            <w:rStyle w:val="TextoNormalCaracter"/>
          </w:rPr>
          <w:t>25/1985</w:t>
        </w:r>
      </w:hyperlink>
      <w:r w:rsidRPr="00506787">
        <w:rPr>
          <w:rStyle w:val="TextoNormalCaracter"/>
        </w:rPr>
        <w:t xml:space="preserve">; </w:t>
      </w:r>
      <w:hyperlink w:anchor="AUTO_1985_40" w:history="1">
        <w:r w:rsidRPr="00506787">
          <w:rPr>
            <w:rStyle w:val="TextoNormalCaracter"/>
          </w:rPr>
          <w:t>40/1985</w:t>
        </w:r>
      </w:hyperlink>
      <w:r w:rsidRPr="00506787">
        <w:rPr>
          <w:rStyle w:val="TextoNormalCaracter"/>
        </w:rPr>
        <w:t xml:space="preserve">; </w:t>
      </w:r>
      <w:hyperlink w:anchor="AUTO_1985_86" w:history="1">
        <w:r w:rsidRPr="00506787">
          <w:rPr>
            <w:rStyle w:val="TextoNormalCaracter"/>
          </w:rPr>
          <w:t>86/1985</w:t>
        </w:r>
      </w:hyperlink>
      <w:r w:rsidRPr="00506787">
        <w:rPr>
          <w:rStyle w:val="TextoNormalCaracter"/>
        </w:rPr>
        <w:t xml:space="preserve">; </w:t>
      </w:r>
      <w:hyperlink w:anchor="AUTO_1985_194" w:history="1">
        <w:r w:rsidRPr="00506787">
          <w:rPr>
            <w:rStyle w:val="TextoNormalCaracter"/>
          </w:rPr>
          <w:t>194/1985</w:t>
        </w:r>
      </w:hyperlink>
      <w:r w:rsidRPr="00506787">
        <w:rPr>
          <w:rStyle w:val="TextoNormalCaracter"/>
        </w:rPr>
        <w:t xml:space="preserve">; </w:t>
      </w:r>
      <w:hyperlink w:anchor="AUTO_1985_202" w:history="1">
        <w:r w:rsidRPr="00506787">
          <w:rPr>
            <w:rStyle w:val="TextoNormalCaracter"/>
          </w:rPr>
          <w:t>202/1985</w:t>
        </w:r>
      </w:hyperlink>
      <w:r w:rsidRPr="00506787">
        <w:rPr>
          <w:rStyle w:val="TextoNormalCaracter"/>
        </w:rPr>
        <w:t>.</w:t>
      </w:r>
    </w:p>
    <w:p w:rsidR="00506787" w:rsidRPr="00506787" w:rsidRDefault="00506787" w:rsidP="00506787">
      <w:pPr>
        <w:pStyle w:val="TextoNormalSangraFrancesa"/>
        <w:rPr>
          <w:rStyle w:val="TextoNormalCaracter"/>
        </w:rPr>
      </w:pPr>
      <w:bookmarkStart w:id="1014" w:name="DESCRIPTORALFABETICO497"/>
      <w:r w:rsidRPr="00506787">
        <w:rPr>
          <w:rStyle w:val="TextoNormalNegritaCaracter"/>
        </w:rPr>
        <w:t>Coadyuvantes</w:t>
      </w:r>
      <w:bookmarkEnd w:id="1014"/>
      <w:r w:rsidRPr="00506787">
        <w:rPr>
          <w:rStyle w:val="TextoNormalCaracter"/>
        </w:rPr>
        <w:t xml:space="preserve">, Auto </w:t>
      </w:r>
      <w:hyperlink w:anchor="AUTO_1985_6" w:history="1">
        <w:r w:rsidRPr="00506787">
          <w:rPr>
            <w:rStyle w:val="TextoNormalCaracter"/>
          </w:rPr>
          <w:t>6/1985</w:t>
        </w:r>
      </w:hyperlink>
      <w:r w:rsidRPr="00506787">
        <w:rPr>
          <w:rStyle w:val="TextoNormalCaracter"/>
        </w:rPr>
        <w:t>.</w:t>
      </w:r>
    </w:p>
    <w:p w:rsidR="00506787" w:rsidRPr="00506787" w:rsidRDefault="00506787" w:rsidP="00506787">
      <w:pPr>
        <w:pStyle w:val="TextoNormalSangraFrancesa"/>
        <w:rPr>
          <w:rStyle w:val="TextoNormalCaracter"/>
        </w:rPr>
      </w:pPr>
      <w:bookmarkStart w:id="1015" w:name="DESCRIPTORALFABETICO151"/>
      <w:r w:rsidRPr="00506787">
        <w:rPr>
          <w:rStyle w:val="TextoNormalNegritaCaracter"/>
        </w:rPr>
        <w:t>Coadyuvantes en procesos constitucionales</w:t>
      </w:r>
      <w:bookmarkEnd w:id="1015"/>
      <w:r w:rsidRPr="00506787">
        <w:rPr>
          <w:rStyle w:val="TextoNormalCaracter"/>
        </w:rPr>
        <w:t xml:space="preserve">, Auto </w:t>
      </w:r>
      <w:hyperlink w:anchor="AUTO_1985_6" w:history="1">
        <w:r w:rsidRPr="00506787">
          <w:rPr>
            <w:rStyle w:val="TextoNormalCaracter"/>
          </w:rPr>
          <w:t>6/1985</w:t>
        </w:r>
      </w:hyperlink>
      <w:r w:rsidRPr="00506787">
        <w:rPr>
          <w:rStyle w:val="TextoNormalCaracter"/>
        </w:rPr>
        <w:t>.</w:t>
      </w:r>
    </w:p>
    <w:p w:rsidR="00506787" w:rsidRPr="00506787" w:rsidRDefault="00506787" w:rsidP="00506787">
      <w:pPr>
        <w:pStyle w:val="TextoNormalSangraFrancesa"/>
        <w:rPr>
          <w:rStyle w:val="TextoNormalCaracter"/>
        </w:rPr>
      </w:pPr>
      <w:bookmarkStart w:id="1016" w:name="DESCRIPTORALFABETICO360"/>
      <w:r w:rsidRPr="00506787">
        <w:rPr>
          <w:rStyle w:val="TextoNormalNegritaCaracter"/>
        </w:rPr>
        <w:lastRenderedPageBreak/>
        <w:t>Colegiación profesional</w:t>
      </w:r>
      <w:bookmarkEnd w:id="1016"/>
      <w:r w:rsidRPr="00506787">
        <w:rPr>
          <w:rStyle w:val="TextoNormalCaracter"/>
        </w:rPr>
        <w:t xml:space="preserve">, Auto </w:t>
      </w:r>
      <w:hyperlink w:anchor="AUTO_1985_210" w:history="1">
        <w:r w:rsidRPr="00506787">
          <w:rPr>
            <w:rStyle w:val="TextoNormalCaracter"/>
          </w:rPr>
          <w:t>210/1985</w:t>
        </w:r>
      </w:hyperlink>
      <w:r w:rsidRPr="00506787">
        <w:rPr>
          <w:rStyle w:val="TextoNormalCaracter"/>
        </w:rPr>
        <w:t>.</w:t>
      </w:r>
    </w:p>
    <w:p w:rsidR="00506787" w:rsidRPr="00506787" w:rsidRDefault="00506787" w:rsidP="00506787">
      <w:pPr>
        <w:pStyle w:val="TextoNormalSangraFrancesa"/>
        <w:rPr>
          <w:rStyle w:val="TextoNormalCaracter"/>
        </w:rPr>
      </w:pPr>
      <w:bookmarkStart w:id="1017" w:name="DESCRIPTORALFABETICO359"/>
      <w:r w:rsidRPr="00506787">
        <w:rPr>
          <w:rStyle w:val="TextoNormalNegritaCaracter"/>
        </w:rPr>
        <w:t>Colegios profesionales</w:t>
      </w:r>
      <w:bookmarkEnd w:id="1017"/>
      <w:r w:rsidRPr="00506787">
        <w:rPr>
          <w:rStyle w:val="TextoNormalCaracter"/>
        </w:rPr>
        <w:t xml:space="preserve">, Auto </w:t>
      </w:r>
      <w:hyperlink w:anchor="AUTO_1985_103" w:history="1">
        <w:r w:rsidRPr="00506787">
          <w:rPr>
            <w:rStyle w:val="TextoNormalCaracter"/>
          </w:rPr>
          <w:t>103/1985</w:t>
        </w:r>
      </w:hyperlink>
      <w:r w:rsidRPr="00506787">
        <w:rPr>
          <w:rStyle w:val="TextoNormalCaracter"/>
        </w:rPr>
        <w:t>.</w:t>
      </w:r>
    </w:p>
    <w:p w:rsidR="00506787" w:rsidRPr="00506787" w:rsidRDefault="00506787" w:rsidP="00506787">
      <w:pPr>
        <w:pStyle w:val="TextoNormalSangraFrancesa"/>
        <w:rPr>
          <w:rStyle w:val="TextoNormalCaracter"/>
        </w:rPr>
      </w:pPr>
      <w:bookmarkStart w:id="1018" w:name="DESCRIPTORALFABETICO273"/>
      <w:r w:rsidRPr="00506787">
        <w:rPr>
          <w:rStyle w:val="TextoNormalNegritaCaracter"/>
        </w:rPr>
        <w:t>Comisiones informativas locales</w:t>
      </w:r>
      <w:bookmarkEnd w:id="1018"/>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019" w:name="DESCRIPTORALFABETICO272"/>
      <w:r w:rsidRPr="00506787">
        <w:rPr>
          <w:rStyle w:val="TextoNormalNegritaCaracter"/>
        </w:rPr>
        <w:t>Comisiones municipales</w:t>
      </w:r>
      <w:bookmarkEnd w:id="1019"/>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020" w:name="DESCRIPTORALFABETICO130"/>
      <w:r w:rsidRPr="00506787">
        <w:rPr>
          <w:rStyle w:val="TextoNormalNegritaCaracter"/>
        </w:rPr>
        <w:t>Competencia en recurso previo de inconstitucionalidad</w:t>
      </w:r>
      <w:bookmarkEnd w:id="1020"/>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12, VP I, VP III, VP IV.</w:t>
      </w:r>
    </w:p>
    <w:p w:rsidR="00506787" w:rsidRPr="00506787" w:rsidRDefault="00506787" w:rsidP="00506787">
      <w:pPr>
        <w:pStyle w:val="TextoNormalSangraFrancesa"/>
        <w:rPr>
          <w:rStyle w:val="TextoNormalCaracter"/>
        </w:rPr>
      </w:pPr>
      <w:bookmarkStart w:id="1021" w:name="DESCRIPTORALFABETICO413"/>
      <w:r w:rsidRPr="00506787">
        <w:rPr>
          <w:rStyle w:val="TextoNormalNegritaCaracter"/>
        </w:rPr>
        <w:t>Competencia material</w:t>
      </w:r>
      <w:bookmarkEnd w:id="1021"/>
      <w:r w:rsidRPr="00506787">
        <w:rPr>
          <w:rStyle w:val="TextoNormalCaracter"/>
        </w:rPr>
        <w:t xml:space="preserve">, Auto </w:t>
      </w:r>
      <w:hyperlink w:anchor="AUTO_1985_280" w:history="1">
        <w:r w:rsidRPr="00506787">
          <w:rPr>
            <w:rStyle w:val="TextoNormalCaracter"/>
          </w:rPr>
          <w:t>280/1985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Competencia para la protección de las libertades constitucionales</w:t>
      </w:r>
      <w:r>
        <w:t xml:space="preserve"> véase </w:t>
      </w:r>
      <w:hyperlink w:anchor="DESCRIPTORALFABETICO131" w:history="1">
        <w:r w:rsidRPr="00506787">
          <w:rPr>
            <w:rStyle w:val="TextoNormalNegritaCaracter"/>
          </w:rPr>
          <w:t>Competencia para la protección de los derechos fundamentales</w:t>
        </w:r>
      </w:hyperlink>
    </w:p>
    <w:p w:rsidR="00506787" w:rsidRPr="00506787" w:rsidRDefault="00506787" w:rsidP="00506787">
      <w:pPr>
        <w:pStyle w:val="TextoNormalSangraFrancesa"/>
        <w:rPr>
          <w:rStyle w:val="TextoNormalCaracter"/>
        </w:rPr>
      </w:pPr>
      <w:bookmarkStart w:id="1022" w:name="DESCRIPTORALFABETICO131"/>
      <w:r w:rsidRPr="00506787">
        <w:rPr>
          <w:rStyle w:val="TextoNormalNegritaCaracter"/>
        </w:rPr>
        <w:t>Competencia para la protección de los derechos fundamentales</w:t>
      </w:r>
      <w:bookmarkEnd w:id="1022"/>
      <w:r w:rsidRPr="00506787">
        <w:rPr>
          <w:rStyle w:val="TextoNormalCaracter"/>
        </w:rPr>
        <w:t xml:space="preserve">, Sentencia </w:t>
      </w:r>
      <w:hyperlink w:anchor="SENTENCIA_1985_8" w:history="1">
        <w:r w:rsidRPr="00506787">
          <w:rPr>
            <w:rStyle w:val="TextoNormalCaracter"/>
          </w:rPr>
          <w:t>8/1985</w:t>
        </w:r>
      </w:hyperlink>
      <w:r w:rsidRPr="00506787">
        <w:rPr>
          <w:rStyle w:val="TextoNormalCaracter"/>
        </w:rPr>
        <w:t>, ff. 3, 4.</w:t>
      </w:r>
    </w:p>
    <w:p w:rsidR="00506787" w:rsidRPr="00506787" w:rsidRDefault="00506787" w:rsidP="00506787">
      <w:pPr>
        <w:pStyle w:val="TextoNormalSangraFrancesa"/>
        <w:rPr>
          <w:rStyle w:val="TextoNormalNegritaCaracter"/>
        </w:rPr>
      </w:pPr>
      <w:r w:rsidRPr="00506787">
        <w:rPr>
          <w:rStyle w:val="TextoNormalCursivaCaracter"/>
        </w:rPr>
        <w:t>Competencias autonómicas</w:t>
      </w:r>
      <w:r>
        <w:t xml:space="preserve"> véase </w:t>
      </w:r>
      <w:hyperlink w:anchor="DESCRIPTORALFABETICO3" w:history="1">
        <w:r w:rsidRPr="00506787">
          <w:rPr>
            <w:rStyle w:val="TextoNormalNegritaCaracter"/>
          </w:rPr>
          <w:t>Competencias de las Comunidades Autónomas</w:t>
        </w:r>
      </w:hyperlink>
    </w:p>
    <w:p w:rsidR="00506787" w:rsidRPr="00506787" w:rsidRDefault="00506787" w:rsidP="00506787">
      <w:pPr>
        <w:pStyle w:val="TextoNormalSangraFrancesa"/>
        <w:rPr>
          <w:rStyle w:val="TextoNormalCaracter"/>
        </w:rPr>
      </w:pPr>
      <w:bookmarkStart w:id="1023" w:name="DESCRIPTORALFABETICO2"/>
      <w:r w:rsidRPr="00506787">
        <w:rPr>
          <w:rStyle w:val="TextoNormalNegritaCaracter"/>
        </w:rPr>
        <w:t>Competencias compartidas</w:t>
      </w:r>
      <w:bookmarkEnd w:id="1023"/>
      <w:r w:rsidRPr="00506787">
        <w:rPr>
          <w:rStyle w:val="TextoNormalCaracter"/>
        </w:rPr>
        <w:t xml:space="preserve">, Sentencia </w:t>
      </w:r>
      <w:hyperlink w:anchor="SENTENCIA_1985_7" w:history="1">
        <w:r w:rsidRPr="00506787">
          <w:rPr>
            <w:rStyle w:val="TextoNormalCaracter"/>
          </w:rPr>
          <w:t>7/1985</w:t>
        </w:r>
      </w:hyperlink>
      <w:r w:rsidRPr="00506787">
        <w:rPr>
          <w:rStyle w:val="TextoNormalCaracter"/>
        </w:rPr>
        <w:t>, f. 2.</w:t>
      </w:r>
    </w:p>
    <w:p w:rsidR="00506787" w:rsidRPr="00506787" w:rsidRDefault="00506787" w:rsidP="00506787">
      <w:pPr>
        <w:pStyle w:val="TextoNormalSangraFrancesa"/>
        <w:rPr>
          <w:rStyle w:val="TextoNormalCaracter"/>
        </w:rPr>
      </w:pPr>
      <w:bookmarkStart w:id="1024" w:name="DESCRIPTORALFABETICO3"/>
      <w:r w:rsidRPr="00506787">
        <w:rPr>
          <w:rStyle w:val="TextoNormalNegritaCaracter"/>
        </w:rPr>
        <w:t>Competencias de las Comunidades Autónomas</w:t>
      </w:r>
      <w:bookmarkEnd w:id="1024"/>
      <w:r w:rsidRPr="00506787">
        <w:rPr>
          <w:rStyle w:val="TextoNormalCaracter"/>
        </w:rPr>
        <w:t xml:space="preserve">, Sentencias </w:t>
      </w:r>
      <w:hyperlink w:anchor="SENTENCIA_1985_7" w:history="1">
        <w:r w:rsidRPr="00506787">
          <w:rPr>
            <w:rStyle w:val="TextoNormalCaracter"/>
          </w:rPr>
          <w:t>7/1985</w:t>
        </w:r>
      </w:hyperlink>
      <w:r w:rsidRPr="00506787">
        <w:rPr>
          <w:rStyle w:val="TextoNormalCaracter"/>
        </w:rPr>
        <w:t xml:space="preserve">, f. 2; </w:t>
      </w:r>
      <w:hyperlink w:anchor="SENTENCIA_1985_12" w:history="1">
        <w:r w:rsidRPr="00506787">
          <w:rPr>
            <w:rStyle w:val="TextoNormalCaracter"/>
          </w:rPr>
          <w:t>12/1985</w:t>
        </w:r>
      </w:hyperlink>
      <w:r w:rsidRPr="00506787">
        <w:rPr>
          <w:rStyle w:val="TextoNormalCaracter"/>
        </w:rPr>
        <w:t xml:space="preserve">, f. 2; </w:t>
      </w:r>
      <w:hyperlink w:anchor="SENTENCIA_1985_48" w:history="1">
        <w:r w:rsidRPr="00506787">
          <w:rPr>
            <w:rStyle w:val="TextoNormalCaracter"/>
          </w:rPr>
          <w:t>48/1985</w:t>
        </w:r>
      </w:hyperlink>
      <w:r w:rsidRPr="00506787">
        <w:rPr>
          <w:rStyle w:val="TextoNormalCaracter"/>
        </w:rPr>
        <w:t>, f. 5.</w:t>
      </w:r>
    </w:p>
    <w:p w:rsidR="00506787" w:rsidRPr="00506787" w:rsidRDefault="00506787" w:rsidP="00506787">
      <w:pPr>
        <w:pStyle w:val="TextoNormalSangraFrancesa"/>
        <w:rPr>
          <w:rStyle w:val="TextoNormalCaracter"/>
        </w:rPr>
      </w:pPr>
      <w:bookmarkStart w:id="1025" w:name="DESCRIPTORALFABETICO412"/>
      <w:r w:rsidRPr="00506787">
        <w:rPr>
          <w:rStyle w:val="TextoNormalNegritaCaracter"/>
        </w:rPr>
        <w:t>Competencias de los órganos judiciales</w:t>
      </w:r>
      <w:bookmarkEnd w:id="1025"/>
      <w:r w:rsidRPr="00506787">
        <w:rPr>
          <w:rStyle w:val="TextoNormalCaracter"/>
        </w:rPr>
        <w:t xml:space="preserve">, Sentencia </w:t>
      </w:r>
      <w:hyperlink w:anchor="SENTENCIA_1985_39" w:history="1">
        <w:r w:rsidRPr="00506787">
          <w:rPr>
            <w:rStyle w:val="TextoNormalCaracter"/>
          </w:rPr>
          <w:t>39/1985</w:t>
        </w:r>
      </w:hyperlink>
      <w:r w:rsidRPr="00506787">
        <w:rPr>
          <w:rStyle w:val="TextoNormalCaracter"/>
        </w:rPr>
        <w:t>, f. 3, VP.</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97" w:history="1">
        <w:r w:rsidRPr="00506787">
          <w:rPr>
            <w:rStyle w:val="TextoNormalCaracter"/>
          </w:rPr>
          <w:t>97/1985</w:t>
        </w:r>
      </w:hyperlink>
      <w:r w:rsidRPr="00506787">
        <w:rPr>
          <w:rStyle w:val="TextoNormalCaracter"/>
        </w:rPr>
        <w:t>.</w:t>
      </w:r>
    </w:p>
    <w:p w:rsidR="00506787" w:rsidRPr="00506787" w:rsidRDefault="00506787" w:rsidP="00506787">
      <w:pPr>
        <w:pStyle w:val="TextoNormalSangraFrancesa"/>
        <w:rPr>
          <w:rStyle w:val="TextoNormalCaracter"/>
        </w:rPr>
      </w:pPr>
      <w:bookmarkStart w:id="1026" w:name="DESCRIPTORALFABETICO4"/>
      <w:r w:rsidRPr="00506787">
        <w:rPr>
          <w:rStyle w:val="TextoNormalNegritaCaracter"/>
        </w:rPr>
        <w:t>Competencias del Estado</w:t>
      </w:r>
      <w:bookmarkEnd w:id="1026"/>
      <w:r w:rsidRPr="00506787">
        <w:rPr>
          <w:rStyle w:val="TextoNormalCaracter"/>
        </w:rPr>
        <w:t xml:space="preserve">, Sentencias </w:t>
      </w:r>
      <w:hyperlink w:anchor="SENTENCIA_1985_7" w:history="1">
        <w:r w:rsidRPr="00506787">
          <w:rPr>
            <w:rStyle w:val="TextoNormalCaracter"/>
          </w:rPr>
          <w:t>7/1985</w:t>
        </w:r>
      </w:hyperlink>
      <w:r w:rsidRPr="00506787">
        <w:rPr>
          <w:rStyle w:val="TextoNormalCaracter"/>
        </w:rPr>
        <w:t xml:space="preserve">, f. 2; </w:t>
      </w:r>
      <w:hyperlink w:anchor="SENTENCIA_1985_9" w:history="1">
        <w:r w:rsidRPr="00506787">
          <w:rPr>
            <w:rStyle w:val="TextoNormalCaracter"/>
          </w:rPr>
          <w:t>9/1985</w:t>
        </w:r>
      </w:hyperlink>
      <w:r w:rsidRPr="00506787">
        <w:rPr>
          <w:rStyle w:val="TextoNormalCaracter"/>
        </w:rPr>
        <w:t xml:space="preserve">, ff. 1, 2, 3; </w:t>
      </w:r>
      <w:hyperlink w:anchor="SENTENCIA_1985_12" w:history="1">
        <w:r w:rsidRPr="00506787">
          <w:rPr>
            <w:rStyle w:val="TextoNormalCaracter"/>
          </w:rPr>
          <w:t>12/1985</w:t>
        </w:r>
      </w:hyperlink>
      <w:r w:rsidRPr="00506787">
        <w:rPr>
          <w:rStyle w:val="TextoNormalCaracter"/>
        </w:rPr>
        <w:t xml:space="preserve">, ff. 3, 4; </w:t>
      </w:r>
      <w:hyperlink w:anchor="SENTENCIA_1985_46" w:history="1">
        <w:r w:rsidRPr="00506787">
          <w:rPr>
            <w:rStyle w:val="TextoNormalCaracter"/>
          </w:rPr>
          <w:t>46/1985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027" w:name="DESCRIPTORALFABETICO414"/>
      <w:r w:rsidRPr="00506787">
        <w:rPr>
          <w:rStyle w:val="TextoNormalNegritaCaracter"/>
        </w:rPr>
        <w:t>Competencias del Juez civil para autorizar la entrada en el domicilio</w:t>
      </w:r>
      <w:bookmarkEnd w:id="1027"/>
      <w:r w:rsidRPr="00506787">
        <w:rPr>
          <w:rStyle w:val="TextoNormalCaracter"/>
        </w:rPr>
        <w:t xml:space="preserve">, Auto </w:t>
      </w:r>
      <w:hyperlink w:anchor="AUTO_1985_272" w:history="1">
        <w:r w:rsidRPr="00506787">
          <w:rPr>
            <w:rStyle w:val="TextoNormalCaracter"/>
          </w:rPr>
          <w:t>272/1985</w:t>
        </w:r>
      </w:hyperlink>
      <w:r w:rsidRPr="00506787">
        <w:rPr>
          <w:rStyle w:val="TextoNormalCaracter"/>
        </w:rPr>
        <w:t>.</w:t>
      </w:r>
    </w:p>
    <w:p w:rsidR="00506787" w:rsidRPr="00506787" w:rsidRDefault="00506787" w:rsidP="00506787">
      <w:pPr>
        <w:pStyle w:val="TextoNormalSangraFrancesa"/>
        <w:rPr>
          <w:rStyle w:val="TextoNormalCaracter"/>
        </w:rPr>
      </w:pPr>
      <w:bookmarkStart w:id="1028" w:name="DESCRIPTORALFABETICO129"/>
      <w:r w:rsidRPr="00506787">
        <w:rPr>
          <w:rStyle w:val="TextoNormalNegritaCaracter"/>
        </w:rPr>
        <w:t>Competencias del Tribunal Constitucional</w:t>
      </w:r>
      <w:bookmarkEnd w:id="1028"/>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VP I, VP II, VP III, VP IV, VP V.</w:t>
      </w:r>
    </w:p>
    <w:p w:rsidR="00506787" w:rsidRPr="00506787" w:rsidRDefault="00506787" w:rsidP="00506787">
      <w:pPr>
        <w:pStyle w:val="TextoNormalSangraFrancesa"/>
        <w:rPr>
          <w:rStyle w:val="TextoNormalCaracter"/>
        </w:rPr>
      </w:pPr>
      <w:bookmarkStart w:id="1029" w:name="DESCRIPTORALFABETICO7"/>
      <w:r w:rsidRPr="00506787">
        <w:rPr>
          <w:rStyle w:val="TextoNormalNegritaCaracter"/>
        </w:rPr>
        <w:t>Competencias en materia de educación</w:t>
      </w:r>
      <w:bookmarkEnd w:id="1029"/>
      <w:r w:rsidRPr="00506787">
        <w:rPr>
          <w:rStyle w:val="TextoNormalCaracter"/>
        </w:rPr>
        <w:t xml:space="preserve">, Sentencia </w:t>
      </w:r>
      <w:hyperlink w:anchor="SENTENCIA_1985_48" w:history="1">
        <w:r w:rsidRPr="00506787">
          <w:rPr>
            <w:rStyle w:val="TextoNormalCaracter"/>
          </w:rPr>
          <w:t>48/1985</w:t>
        </w:r>
      </w:hyperlink>
      <w:r w:rsidRPr="00506787">
        <w:rPr>
          <w:rStyle w:val="TextoNormalCaracter"/>
        </w:rPr>
        <w:t>, f. 5.</w:t>
      </w:r>
    </w:p>
    <w:p w:rsidR="00506787" w:rsidRPr="00506787" w:rsidRDefault="00506787" w:rsidP="00506787">
      <w:pPr>
        <w:pStyle w:val="TextoNormalSangraFrancesa"/>
        <w:rPr>
          <w:rStyle w:val="TextoNormalNegritaCaracter"/>
        </w:rPr>
      </w:pPr>
      <w:r w:rsidRPr="00506787">
        <w:rPr>
          <w:rStyle w:val="TextoNormalCursivaCaracter"/>
        </w:rPr>
        <w:t>Competencias en materia de enseñanza</w:t>
      </w:r>
      <w:r>
        <w:t xml:space="preserve"> véase </w:t>
      </w:r>
      <w:hyperlink w:anchor="DESCRIPTORALFABETICO7" w:history="1">
        <w:r w:rsidRPr="00506787">
          <w:rPr>
            <w:rStyle w:val="TextoNormalNegritaCaracter"/>
          </w:rPr>
          <w:t>Competencias en materia de educación</w:t>
        </w:r>
      </w:hyperlink>
    </w:p>
    <w:p w:rsidR="00506787" w:rsidRPr="00506787" w:rsidRDefault="00506787" w:rsidP="00506787">
      <w:pPr>
        <w:pStyle w:val="TextoNormalSangraFrancesa"/>
        <w:rPr>
          <w:rStyle w:val="TextoNormalCaracter"/>
        </w:rPr>
      </w:pPr>
      <w:bookmarkStart w:id="1030" w:name="DESCRIPTORALFABETICO8"/>
      <w:r w:rsidRPr="00506787">
        <w:rPr>
          <w:rStyle w:val="TextoNormalNegritaCaracter"/>
        </w:rPr>
        <w:t>Competencias en materia de industria</w:t>
      </w:r>
      <w:bookmarkEnd w:id="1030"/>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ff. 1, 2, 3, 4, 5, 6, 7, 8, 9, 10.</w:t>
      </w:r>
    </w:p>
    <w:p w:rsidR="00506787" w:rsidRPr="00506787" w:rsidRDefault="00506787" w:rsidP="00506787">
      <w:pPr>
        <w:pStyle w:val="TextoNormalSangraFrancesa"/>
        <w:rPr>
          <w:rStyle w:val="TextoNormalCaracter"/>
        </w:rPr>
      </w:pPr>
      <w:bookmarkStart w:id="1031" w:name="DESCRIPTORALFABETICO9"/>
      <w:r w:rsidRPr="00506787">
        <w:rPr>
          <w:rStyle w:val="TextoNormalNegritaCaracter"/>
        </w:rPr>
        <w:t>Competencias en materia de régimen energético</w:t>
      </w:r>
      <w:bookmarkEnd w:id="1031"/>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ff. 1, 2, 3, 4, 5, 6, 7, 8, 9, 10.</w:t>
      </w:r>
    </w:p>
    <w:p w:rsidR="00506787" w:rsidRPr="00506787" w:rsidRDefault="00506787" w:rsidP="00506787">
      <w:pPr>
        <w:pStyle w:val="TextoNormalSangraFrancesa"/>
        <w:rPr>
          <w:rStyle w:val="TextoNormalCaracter"/>
        </w:rPr>
      </w:pPr>
      <w:bookmarkStart w:id="1032" w:name="DESCRIPTORALFABETICO10"/>
      <w:r w:rsidRPr="00506787">
        <w:rPr>
          <w:rStyle w:val="TextoNormalNegritaCaracter"/>
        </w:rPr>
        <w:t>Competencias en materia de Seguridad Social</w:t>
      </w:r>
      <w:bookmarkEnd w:id="1032"/>
      <w:r w:rsidRPr="00506787">
        <w:rPr>
          <w:rStyle w:val="TextoNormalCaracter"/>
        </w:rPr>
        <w:t xml:space="preserve">, Sentencia </w:t>
      </w:r>
      <w:hyperlink w:anchor="SENTENCIA_1985_46" w:history="1">
        <w:r w:rsidRPr="00506787">
          <w:rPr>
            <w:rStyle w:val="TextoNormalCaracter"/>
          </w:rPr>
          <w:t>46/1985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033" w:name="DESCRIPTORALFABETICO11"/>
      <w:r w:rsidRPr="00506787">
        <w:rPr>
          <w:rStyle w:val="TextoNormalNegritaCaracter"/>
        </w:rPr>
        <w:t>Competencias en materia de transporte</w:t>
      </w:r>
      <w:bookmarkEnd w:id="1033"/>
      <w:r w:rsidRPr="00506787">
        <w:rPr>
          <w:rStyle w:val="TextoNormalCaracter"/>
        </w:rPr>
        <w:t xml:space="preserve">, Sentencia </w:t>
      </w:r>
      <w:hyperlink w:anchor="SENTENCIA_1985_9" w:history="1">
        <w:r w:rsidRPr="00506787">
          <w:rPr>
            <w:rStyle w:val="TextoNormalCaracter"/>
          </w:rPr>
          <w:t>9/1985</w:t>
        </w:r>
      </w:hyperlink>
      <w:r w:rsidRPr="00506787">
        <w:rPr>
          <w:rStyle w:val="TextoNormalCaracter"/>
        </w:rPr>
        <w:t>, f. 3.</w:t>
      </w:r>
    </w:p>
    <w:p w:rsidR="00506787" w:rsidRPr="00506787" w:rsidRDefault="00506787" w:rsidP="00506787">
      <w:pPr>
        <w:pStyle w:val="TextoNormalSangraFrancesa"/>
        <w:rPr>
          <w:rStyle w:val="TextoNormalNegritaCaracter"/>
        </w:rPr>
      </w:pPr>
      <w:r w:rsidRPr="00506787">
        <w:rPr>
          <w:rStyle w:val="TextoNormalCursivaCaracter"/>
        </w:rPr>
        <w:t>Competencias en materia energética</w:t>
      </w:r>
      <w:r>
        <w:t xml:space="preserve"> véase </w:t>
      </w:r>
      <w:hyperlink w:anchor="DESCRIPTORALFABETICO9" w:history="1">
        <w:r w:rsidRPr="00506787">
          <w:rPr>
            <w:rStyle w:val="TextoNormalNegritaCaracter"/>
          </w:rPr>
          <w:t>Competencias en materia de régimen energético</w:t>
        </w:r>
      </w:hyperlink>
    </w:p>
    <w:p w:rsidR="00506787" w:rsidRPr="00506787" w:rsidRDefault="00506787" w:rsidP="00506787">
      <w:pPr>
        <w:pStyle w:val="TextoNormalSangraFrancesa"/>
        <w:rPr>
          <w:rStyle w:val="TextoNormalCaracter"/>
        </w:rPr>
      </w:pPr>
      <w:bookmarkStart w:id="1034" w:name="DESCRIPTORALFABETICO236"/>
      <w:r w:rsidRPr="00506787">
        <w:rPr>
          <w:rStyle w:val="TextoNormalNegritaCaracter"/>
        </w:rPr>
        <w:t>Composición en Salas y Secciones</w:t>
      </w:r>
      <w:bookmarkEnd w:id="1034"/>
      <w:r w:rsidRPr="00506787">
        <w:rPr>
          <w:rStyle w:val="TextoNormalCaracter"/>
        </w:rPr>
        <w:t xml:space="preserve">, Auto </w:t>
      </w:r>
      <w:hyperlink w:anchor="AUTO_1985_196" w:history="1">
        <w:r w:rsidRPr="00506787">
          <w:rPr>
            <w:rStyle w:val="TextoNormalCaracter"/>
          </w:rPr>
          <w:t>196/1985</w:t>
        </w:r>
      </w:hyperlink>
      <w:r w:rsidRPr="00506787">
        <w:rPr>
          <w:rStyle w:val="TextoNormalCaracter"/>
        </w:rPr>
        <w:t>.</w:t>
      </w:r>
    </w:p>
    <w:p w:rsidR="00506787" w:rsidRPr="00506787" w:rsidRDefault="00506787" w:rsidP="00506787">
      <w:pPr>
        <w:pStyle w:val="TextoNormalSangraFrancesa"/>
        <w:rPr>
          <w:rStyle w:val="TextoNormalCaracter"/>
        </w:rPr>
      </w:pPr>
      <w:bookmarkStart w:id="1035" w:name="DESCRIPTORALFABETICO393"/>
      <w:r w:rsidRPr="00506787">
        <w:rPr>
          <w:rStyle w:val="TextoNormalNegritaCaracter"/>
        </w:rPr>
        <w:t>Cómputo de actividades sindicales</w:t>
      </w:r>
      <w:bookmarkEnd w:id="1035"/>
      <w:r w:rsidRPr="00506787">
        <w:rPr>
          <w:rStyle w:val="TextoNormalCaracter"/>
        </w:rPr>
        <w:t xml:space="preserve">, Sentencia </w:t>
      </w:r>
      <w:hyperlink w:anchor="SENTENCIA_1985_40" w:history="1">
        <w:r w:rsidRPr="00506787">
          <w:rPr>
            <w:rStyle w:val="TextoNormalCaracter"/>
          </w:rPr>
          <w:t>40/1985</w:t>
        </w:r>
      </w:hyperlink>
      <w:r w:rsidRPr="00506787">
        <w:rPr>
          <w:rStyle w:val="TextoNormalCaracter"/>
        </w:rPr>
        <w:t>, ff. 1, 2.</w:t>
      </w:r>
    </w:p>
    <w:p w:rsidR="00506787" w:rsidRPr="00506787" w:rsidRDefault="00506787" w:rsidP="00506787">
      <w:pPr>
        <w:pStyle w:val="TextoNormalSangraFrancesa"/>
        <w:rPr>
          <w:rStyle w:val="TextoNormalCaracter"/>
        </w:rPr>
      </w:pPr>
      <w:bookmarkStart w:id="1036" w:name="DESCRIPTORALFABETICO505"/>
      <w:r w:rsidRPr="00506787">
        <w:rPr>
          <w:rStyle w:val="TextoNormalNegritaCaracter"/>
        </w:rPr>
        <w:t>Cómputo de plazos procesales</w:t>
      </w:r>
      <w:bookmarkEnd w:id="1036"/>
      <w:r w:rsidRPr="00506787">
        <w:rPr>
          <w:rStyle w:val="TextoNormalCaracter"/>
        </w:rPr>
        <w:t xml:space="preserve">, Sentencias </w:t>
      </w:r>
      <w:hyperlink w:anchor="SENTENCIA_1985_45" w:history="1">
        <w:r w:rsidRPr="00506787">
          <w:rPr>
            <w:rStyle w:val="TextoNormalCaracter"/>
          </w:rPr>
          <w:t>45/1985</w:t>
        </w:r>
      </w:hyperlink>
      <w:r w:rsidRPr="00506787">
        <w:rPr>
          <w:rStyle w:val="TextoNormalCaracter"/>
        </w:rPr>
        <w:t xml:space="preserve">, f. 3; </w:t>
      </w:r>
      <w:hyperlink w:anchor="SENTENCIA_1985_56" w:history="1">
        <w:r w:rsidRPr="00506787">
          <w:rPr>
            <w:rStyle w:val="TextoNormalCaracter"/>
          </w:rPr>
          <w:t>56/1985</w:t>
        </w:r>
      </w:hyperlink>
      <w:r w:rsidRPr="00506787">
        <w:rPr>
          <w:rStyle w:val="TextoNormalCaracter"/>
        </w:rPr>
        <w:t>, f. 1.</w:t>
      </w:r>
    </w:p>
    <w:p w:rsidR="00506787" w:rsidRPr="00506787" w:rsidRDefault="00506787" w:rsidP="00506787">
      <w:pPr>
        <w:pStyle w:val="TextoNormalSangraFrancesa"/>
        <w:rPr>
          <w:rStyle w:val="TextoNormalCaracter"/>
        </w:rPr>
      </w:pPr>
      <w:bookmarkStart w:id="1037" w:name="DESCRIPTORALFABETICO274"/>
      <w:r w:rsidRPr="00506787">
        <w:rPr>
          <w:rStyle w:val="TextoNormalNegritaCaracter"/>
        </w:rPr>
        <w:t>Concejales</w:t>
      </w:r>
      <w:bookmarkEnd w:id="1037"/>
      <w:r w:rsidRPr="00506787">
        <w:rPr>
          <w:rStyle w:val="TextoNormalCaracter"/>
        </w:rPr>
        <w:t xml:space="preserve">, Sentencias </w:t>
      </w:r>
      <w:hyperlink w:anchor="SENTENCIA_1985_8" w:history="1">
        <w:r w:rsidRPr="00506787">
          <w:rPr>
            <w:rStyle w:val="TextoNormalCaracter"/>
          </w:rPr>
          <w:t>8/1985</w:t>
        </w:r>
      </w:hyperlink>
      <w:r w:rsidRPr="00506787">
        <w:rPr>
          <w:rStyle w:val="TextoNormalCaracter"/>
        </w:rPr>
        <w:t xml:space="preserve">, ff. 1, 2, 3, 4, 5; </w:t>
      </w:r>
      <w:hyperlink w:anchor="SENTENCIA_1985_32" w:history="1">
        <w:r w:rsidRPr="00506787">
          <w:rPr>
            <w:rStyle w:val="TextoNormalCaracter"/>
          </w:rPr>
          <w:t>32/1985</w:t>
        </w:r>
      </w:hyperlink>
      <w:r w:rsidRPr="00506787">
        <w:rPr>
          <w:rStyle w:val="TextoNormalCaracter"/>
        </w:rPr>
        <w:t>, ff. 2, 3.</w:t>
      </w:r>
    </w:p>
    <w:p w:rsidR="00506787" w:rsidRPr="00506787" w:rsidRDefault="00506787" w:rsidP="00506787">
      <w:pPr>
        <w:pStyle w:val="TextoNormalSangraFrancesa"/>
        <w:rPr>
          <w:rStyle w:val="TextoNormalCaracter"/>
        </w:rPr>
      </w:pPr>
      <w:bookmarkStart w:id="1038" w:name="DESCRIPTORALFABETICO330"/>
      <w:r w:rsidRPr="00506787">
        <w:rPr>
          <w:rStyle w:val="TextoNormalNegritaCaracter"/>
        </w:rPr>
        <w:t>Concepto de normas básicas</w:t>
      </w:r>
      <w:bookmarkEnd w:id="1038"/>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 3.</w:t>
      </w:r>
    </w:p>
    <w:p w:rsidR="00506787" w:rsidRPr="00506787" w:rsidRDefault="00506787" w:rsidP="00506787">
      <w:pPr>
        <w:pStyle w:val="TextoNormalSangraFrancesa"/>
        <w:rPr>
          <w:rStyle w:val="TextoNormalNegritaCaracter"/>
        </w:rPr>
      </w:pPr>
      <w:r w:rsidRPr="00506787">
        <w:rPr>
          <w:rStyle w:val="TextoNormalCursivaCaracter"/>
        </w:rPr>
        <w:t>Concesión de asistencia jurídica gratuita</w:t>
      </w:r>
      <w:r>
        <w:t xml:space="preserve"> véase </w:t>
      </w:r>
      <w:hyperlink w:anchor="DESCRIPTORALFABETICO495" w:history="1">
        <w:r w:rsidRPr="00506787">
          <w:rPr>
            <w:rStyle w:val="TextoNormalNegritaCaracter"/>
          </w:rPr>
          <w:t>Concesión de justicia gratuita</w:t>
        </w:r>
      </w:hyperlink>
    </w:p>
    <w:p w:rsidR="00506787" w:rsidRPr="00506787" w:rsidRDefault="00506787" w:rsidP="00506787">
      <w:pPr>
        <w:pStyle w:val="TextoNormalSangraFrancesa"/>
        <w:rPr>
          <w:rStyle w:val="TextoNormalCaracter"/>
        </w:rPr>
      </w:pPr>
      <w:bookmarkStart w:id="1039" w:name="DESCRIPTORALFABETICO495"/>
      <w:r w:rsidRPr="00506787">
        <w:rPr>
          <w:rStyle w:val="TextoNormalNegritaCaracter"/>
        </w:rPr>
        <w:t>Concesión de justicia gratuita</w:t>
      </w:r>
      <w:bookmarkEnd w:id="1039"/>
      <w:r w:rsidRPr="00506787">
        <w:rPr>
          <w:rStyle w:val="TextoNormalCaracter"/>
        </w:rPr>
        <w:t xml:space="preserve">, Auto </w:t>
      </w:r>
      <w:hyperlink w:anchor="AUTO_1985_19" w:history="1">
        <w:r w:rsidRPr="00506787">
          <w:rPr>
            <w:rStyle w:val="TextoNormalCaracter"/>
          </w:rPr>
          <w:t>19/1985</w:t>
        </w:r>
      </w:hyperlink>
      <w:r w:rsidRPr="00506787">
        <w:rPr>
          <w:rStyle w:val="TextoNormalCaracter"/>
        </w:rPr>
        <w:t>.</w:t>
      </w:r>
    </w:p>
    <w:p w:rsidR="00506787" w:rsidRPr="00506787" w:rsidRDefault="00506787" w:rsidP="00506787">
      <w:pPr>
        <w:pStyle w:val="TextoNormalSangraFrancesa"/>
        <w:rPr>
          <w:rStyle w:val="TextoNormalCaracter"/>
        </w:rPr>
      </w:pPr>
      <w:bookmarkStart w:id="1040" w:name="DESCRIPTORALFABETICO278"/>
      <w:r w:rsidRPr="00506787">
        <w:rPr>
          <w:rStyle w:val="TextoNormalNegritaCaracter"/>
        </w:rPr>
        <w:t>Concesiones administrativas</w:t>
      </w:r>
      <w:bookmarkEnd w:id="1040"/>
      <w:r w:rsidRPr="00506787">
        <w:rPr>
          <w:rStyle w:val="TextoNormalCaracter"/>
        </w:rPr>
        <w:t xml:space="preserve">, Auto </w:t>
      </w:r>
      <w:hyperlink w:anchor="AUTO_1985_237" w:history="1">
        <w:r w:rsidRPr="00506787">
          <w:rPr>
            <w:rStyle w:val="TextoNormalCaracter"/>
          </w:rPr>
          <w:t>237/1985</w:t>
        </w:r>
      </w:hyperlink>
      <w:r w:rsidRPr="00506787">
        <w:rPr>
          <w:rStyle w:val="TextoNormalCaracter"/>
        </w:rPr>
        <w:t>.</w:t>
      </w:r>
    </w:p>
    <w:p w:rsidR="00506787" w:rsidRPr="00506787" w:rsidRDefault="00506787" w:rsidP="00506787">
      <w:pPr>
        <w:pStyle w:val="TextoNormalSangraFrancesa"/>
        <w:rPr>
          <w:rStyle w:val="TextoNormalCaracter"/>
        </w:rPr>
      </w:pPr>
      <w:bookmarkStart w:id="1041" w:name="DESCRIPTORALFABETICO303"/>
      <w:r w:rsidRPr="00506787">
        <w:rPr>
          <w:rStyle w:val="TextoNormalNegritaCaracter"/>
        </w:rPr>
        <w:t>Concesiones de explotación de hidrocarburos</w:t>
      </w:r>
      <w:bookmarkEnd w:id="1041"/>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 7.</w:t>
      </w:r>
    </w:p>
    <w:p w:rsidR="00506787" w:rsidRPr="00506787" w:rsidRDefault="00506787" w:rsidP="00506787">
      <w:pPr>
        <w:pStyle w:val="TextoNormalSangraFrancesa"/>
        <w:rPr>
          <w:rStyle w:val="TextoNormalCaracter"/>
        </w:rPr>
      </w:pPr>
      <w:bookmarkStart w:id="1042" w:name="DESCRIPTORALFABETICO319"/>
      <w:r w:rsidRPr="00506787">
        <w:rPr>
          <w:rStyle w:val="TextoNormalNegritaCaracter"/>
        </w:rPr>
        <w:t>Concurso de méritos</w:t>
      </w:r>
      <w:bookmarkEnd w:id="1042"/>
      <w:r w:rsidRPr="00506787">
        <w:rPr>
          <w:rStyle w:val="TextoNormalCaracter"/>
        </w:rPr>
        <w:t xml:space="preserve">, Sentencia </w:t>
      </w:r>
      <w:hyperlink w:anchor="SENTENCIA_1985_48" w:history="1">
        <w:r w:rsidRPr="00506787">
          <w:rPr>
            <w:rStyle w:val="TextoNormalCaracter"/>
          </w:rPr>
          <w:t>48/1985</w:t>
        </w:r>
      </w:hyperlink>
      <w:r w:rsidRPr="00506787">
        <w:rPr>
          <w:rStyle w:val="TextoNormalCaracter"/>
        </w:rPr>
        <w:t>, ff. 1, 2, 3, 4, 5, 6, 7.</w:t>
      </w:r>
    </w:p>
    <w:p w:rsidR="00506787" w:rsidRPr="00506787" w:rsidRDefault="00506787" w:rsidP="00506787">
      <w:pPr>
        <w:pStyle w:val="TextoNormalSangraFrancesa"/>
        <w:rPr>
          <w:rStyle w:val="TextoNormalCaracter"/>
        </w:rPr>
      </w:pPr>
      <w:bookmarkStart w:id="1043" w:name="DESCRIPTORALFABETICO452"/>
      <w:r w:rsidRPr="00506787">
        <w:rPr>
          <w:rStyle w:val="TextoNormalNegritaCaracter"/>
        </w:rPr>
        <w:t>Condena en costas procesales</w:t>
      </w:r>
      <w:bookmarkEnd w:id="1043"/>
      <w:r w:rsidRPr="00506787">
        <w:rPr>
          <w:rStyle w:val="TextoNormalCaracter"/>
        </w:rPr>
        <w:t xml:space="preserve">, Autos </w:t>
      </w:r>
      <w:hyperlink w:anchor="AUTO_1985_47" w:history="1">
        <w:r w:rsidRPr="00506787">
          <w:rPr>
            <w:rStyle w:val="TextoNormalCaracter"/>
          </w:rPr>
          <w:t>47/1985</w:t>
        </w:r>
      </w:hyperlink>
      <w:r w:rsidRPr="00506787">
        <w:rPr>
          <w:rStyle w:val="TextoNormalCaracter"/>
        </w:rPr>
        <w:t xml:space="preserve">; </w:t>
      </w:r>
      <w:hyperlink w:anchor="AUTO_1985_52" w:history="1">
        <w:r w:rsidRPr="00506787">
          <w:rPr>
            <w:rStyle w:val="TextoNormalCaracter"/>
          </w:rPr>
          <w:t>52/1985</w:t>
        </w:r>
      </w:hyperlink>
      <w:r w:rsidRPr="00506787">
        <w:rPr>
          <w:rStyle w:val="TextoNormalCaracter"/>
        </w:rPr>
        <w:t xml:space="preserve">; </w:t>
      </w:r>
      <w:hyperlink w:anchor="AUTO_1985_63" w:history="1">
        <w:r w:rsidRPr="00506787">
          <w:rPr>
            <w:rStyle w:val="TextoNormalCaracter"/>
          </w:rPr>
          <w:t>63/1985</w:t>
        </w:r>
      </w:hyperlink>
      <w:r w:rsidRPr="00506787">
        <w:rPr>
          <w:rStyle w:val="TextoNormalCaracter"/>
        </w:rPr>
        <w:t xml:space="preserve">; </w:t>
      </w:r>
      <w:hyperlink w:anchor="AUTO_1985_106" w:history="1">
        <w:r w:rsidRPr="00506787">
          <w:rPr>
            <w:rStyle w:val="TextoNormalCaracter"/>
          </w:rPr>
          <w:t>106/1985</w:t>
        </w:r>
      </w:hyperlink>
      <w:r w:rsidRPr="00506787">
        <w:rPr>
          <w:rStyle w:val="TextoNormalCaracter"/>
        </w:rPr>
        <w:t xml:space="preserve">; </w:t>
      </w:r>
      <w:hyperlink w:anchor="AUTO_1985_124" w:history="1">
        <w:r w:rsidRPr="00506787">
          <w:rPr>
            <w:rStyle w:val="TextoNormalCaracter"/>
          </w:rPr>
          <w:t>124/1985</w:t>
        </w:r>
      </w:hyperlink>
      <w:r w:rsidRPr="00506787">
        <w:rPr>
          <w:rStyle w:val="TextoNormalCaracter"/>
        </w:rPr>
        <w:t xml:space="preserve">; </w:t>
      </w:r>
      <w:hyperlink w:anchor="AUTO_1985_133" w:history="1">
        <w:r w:rsidRPr="00506787">
          <w:rPr>
            <w:rStyle w:val="TextoNormalCaracter"/>
          </w:rPr>
          <w:t>133/1985</w:t>
        </w:r>
      </w:hyperlink>
      <w:r w:rsidRPr="00506787">
        <w:rPr>
          <w:rStyle w:val="TextoNormalCaracter"/>
        </w:rPr>
        <w:t xml:space="preserve">; </w:t>
      </w:r>
      <w:hyperlink w:anchor="AUTO_1985_193" w:history="1">
        <w:r w:rsidRPr="00506787">
          <w:rPr>
            <w:rStyle w:val="TextoNormalCaracter"/>
          </w:rPr>
          <w:t>193/1985</w:t>
        </w:r>
      </w:hyperlink>
      <w:r w:rsidRPr="00506787">
        <w:rPr>
          <w:rStyle w:val="TextoNormalCaracter"/>
        </w:rPr>
        <w:t xml:space="preserve">; </w:t>
      </w:r>
      <w:hyperlink w:anchor="AUTO_1985_194" w:history="1">
        <w:r w:rsidRPr="00506787">
          <w:rPr>
            <w:rStyle w:val="TextoNormalCaracter"/>
          </w:rPr>
          <w:t>194/1985</w:t>
        </w:r>
      </w:hyperlink>
      <w:r w:rsidRPr="00506787">
        <w:rPr>
          <w:rStyle w:val="TextoNormalCaracter"/>
        </w:rPr>
        <w:t xml:space="preserve">; </w:t>
      </w:r>
      <w:hyperlink w:anchor="AUTO_1985_198" w:history="1">
        <w:r w:rsidRPr="00506787">
          <w:rPr>
            <w:rStyle w:val="TextoNormalCaracter"/>
          </w:rPr>
          <w:t>198/1985</w:t>
        </w:r>
      </w:hyperlink>
      <w:r w:rsidRPr="00506787">
        <w:rPr>
          <w:rStyle w:val="TextoNormalCaracter"/>
        </w:rPr>
        <w:t xml:space="preserve">; </w:t>
      </w:r>
      <w:hyperlink w:anchor="AUTO_1985_204" w:history="1">
        <w:r w:rsidRPr="00506787">
          <w:rPr>
            <w:rStyle w:val="TextoNormalCaracter"/>
          </w:rPr>
          <w:t>204/1985</w:t>
        </w:r>
      </w:hyperlink>
      <w:r w:rsidRPr="00506787">
        <w:rPr>
          <w:rStyle w:val="TextoNormalCaracter"/>
        </w:rPr>
        <w:t xml:space="preserve">; </w:t>
      </w:r>
      <w:hyperlink w:anchor="AUTO_1985_207" w:history="1">
        <w:r w:rsidRPr="00506787">
          <w:rPr>
            <w:rStyle w:val="TextoNormalCaracter"/>
          </w:rPr>
          <w:t>207/1985</w:t>
        </w:r>
      </w:hyperlink>
      <w:r w:rsidRPr="00506787">
        <w:rPr>
          <w:rStyle w:val="TextoNormalCaracter"/>
        </w:rPr>
        <w:t xml:space="preserve">; </w:t>
      </w:r>
      <w:hyperlink w:anchor="AUTO_1985_219" w:history="1">
        <w:r w:rsidRPr="00506787">
          <w:rPr>
            <w:rStyle w:val="TextoNormalCaracter"/>
          </w:rPr>
          <w:t>219/1985</w:t>
        </w:r>
      </w:hyperlink>
      <w:r w:rsidRPr="00506787">
        <w:rPr>
          <w:rStyle w:val="TextoNormalCaracter"/>
        </w:rPr>
        <w:t xml:space="preserve">; </w:t>
      </w:r>
      <w:hyperlink w:anchor="AUTO_1985_256" w:history="1">
        <w:r w:rsidRPr="00506787">
          <w:rPr>
            <w:rStyle w:val="TextoNormalCaracter"/>
          </w:rPr>
          <w:t>256/1985</w:t>
        </w:r>
      </w:hyperlink>
      <w:r w:rsidRPr="00506787">
        <w:rPr>
          <w:rStyle w:val="TextoNormalCaracter"/>
        </w:rPr>
        <w:t>.</w:t>
      </w:r>
    </w:p>
    <w:p w:rsidR="00506787" w:rsidRPr="00506787" w:rsidRDefault="00506787" w:rsidP="00506787">
      <w:pPr>
        <w:pStyle w:val="TextoNormalSangraFrancesa"/>
        <w:rPr>
          <w:rStyle w:val="TextoNormalCaracter"/>
        </w:rPr>
      </w:pPr>
      <w:bookmarkStart w:id="1044" w:name="DESCRIPTORALFABETICO174"/>
      <w:r w:rsidRPr="00506787">
        <w:rPr>
          <w:rStyle w:val="TextoNormalNegritaCaracter"/>
        </w:rPr>
        <w:t>Condena en costas procesales en el recurso de amparo</w:t>
      </w:r>
      <w:bookmarkEnd w:id="1044"/>
      <w:r w:rsidRPr="00506787">
        <w:rPr>
          <w:rStyle w:val="TextoNormalCaracter"/>
        </w:rPr>
        <w:t xml:space="preserve">, Sentencia </w:t>
      </w:r>
      <w:hyperlink w:anchor="SENTENCIA_1985_45" w:history="1">
        <w:r w:rsidRPr="00506787">
          <w:rPr>
            <w:rStyle w:val="TextoNormalCaracter"/>
          </w:rPr>
          <w:t>45/1985</w:t>
        </w:r>
      </w:hyperlink>
      <w:r w:rsidRPr="00506787">
        <w:rPr>
          <w:rStyle w:val="TextoNormalCaracter"/>
        </w:rPr>
        <w:t>, f. 4.</w:t>
      </w:r>
    </w:p>
    <w:p w:rsidR="00506787" w:rsidRPr="00506787" w:rsidRDefault="00506787" w:rsidP="00506787">
      <w:pPr>
        <w:pStyle w:val="TextoNormalSangraFrancesa"/>
        <w:rPr>
          <w:rStyle w:val="TextoNormalCaracter"/>
        </w:rPr>
      </w:pPr>
      <w:bookmarkStart w:id="1045" w:name="DESCRIPTORALFABETICO498"/>
      <w:r w:rsidRPr="00506787">
        <w:rPr>
          <w:rStyle w:val="TextoNormalNegritaCaracter"/>
        </w:rPr>
        <w:t>Condición de parte del imputado</w:t>
      </w:r>
      <w:bookmarkEnd w:id="1045"/>
      <w:r w:rsidRPr="00506787">
        <w:rPr>
          <w:rStyle w:val="TextoNormalCaracter"/>
        </w:rPr>
        <w:t xml:space="preserve">, Sentencia </w:t>
      </w:r>
      <w:hyperlink w:anchor="SENTENCIA_1985_44" w:history="1">
        <w:r w:rsidRPr="00506787">
          <w:rPr>
            <w:rStyle w:val="TextoNormalCaracter"/>
          </w:rPr>
          <w:t>44/1985</w:t>
        </w:r>
      </w:hyperlink>
      <w:r w:rsidRPr="00506787">
        <w:rPr>
          <w:rStyle w:val="TextoNormalCaracter"/>
        </w:rPr>
        <w:t>, f. 3.</w:t>
      </w:r>
    </w:p>
    <w:p w:rsidR="00506787" w:rsidRPr="00506787" w:rsidRDefault="00506787" w:rsidP="00506787">
      <w:pPr>
        <w:pStyle w:val="TextoNormalSangraFrancesa"/>
        <w:rPr>
          <w:rStyle w:val="TextoNormalNegritaCaracter"/>
        </w:rPr>
      </w:pPr>
      <w:r w:rsidRPr="00506787">
        <w:rPr>
          <w:rStyle w:val="TextoNormalCursivaCaracter"/>
        </w:rPr>
        <w:t>Condición femenina</w:t>
      </w:r>
      <w:r>
        <w:t xml:space="preserve"> véase </w:t>
      </w:r>
      <w:hyperlink w:anchor="DESCRIPTORALFABETICO357" w:history="1">
        <w:r w:rsidRPr="00506787">
          <w:rPr>
            <w:rStyle w:val="TextoNormalNegritaCaracter"/>
          </w:rPr>
          <w:t>Mujer</w:t>
        </w:r>
      </w:hyperlink>
    </w:p>
    <w:p w:rsidR="00506787" w:rsidRPr="00506787" w:rsidRDefault="00506787" w:rsidP="00506787">
      <w:pPr>
        <w:pStyle w:val="TextoNormalSangraFrancesa"/>
        <w:rPr>
          <w:rStyle w:val="TextoNormalCaracter"/>
        </w:rPr>
      </w:pPr>
      <w:bookmarkStart w:id="1046" w:name="DESCRIPTORALFABETICO259"/>
      <w:r w:rsidRPr="00506787">
        <w:rPr>
          <w:rStyle w:val="TextoNormalNegritaCaracter"/>
        </w:rPr>
        <w:t>Conducta tipificada</w:t>
      </w:r>
      <w:bookmarkEnd w:id="1046"/>
      <w:r w:rsidRPr="00506787">
        <w:rPr>
          <w:rStyle w:val="TextoNormalCaracter"/>
        </w:rPr>
        <w:t xml:space="preserve">, Auto </w:t>
      </w:r>
      <w:hyperlink w:anchor="AUTO_1985_265" w:history="1">
        <w:r w:rsidRPr="00506787">
          <w:rPr>
            <w:rStyle w:val="TextoNormalCaracter"/>
          </w:rPr>
          <w:t>265/1985</w:t>
        </w:r>
      </w:hyperlink>
      <w:r w:rsidRPr="00506787">
        <w:rPr>
          <w:rStyle w:val="TextoNormalCaracter"/>
        </w:rPr>
        <w:t>.</w:t>
      </w:r>
    </w:p>
    <w:p w:rsidR="00506787" w:rsidRPr="00506787" w:rsidRDefault="00506787" w:rsidP="00506787">
      <w:pPr>
        <w:pStyle w:val="TextoNormalSangraFrancesa"/>
        <w:rPr>
          <w:rStyle w:val="TextoNormalCaracter"/>
        </w:rPr>
      </w:pPr>
      <w:bookmarkStart w:id="1047" w:name="DESCRIPTORALFABETICO482"/>
      <w:r w:rsidRPr="00506787">
        <w:rPr>
          <w:rStyle w:val="TextoNormalNegritaCaracter"/>
        </w:rPr>
        <w:t>Confesión del actor</w:t>
      </w:r>
      <w:bookmarkEnd w:id="1047"/>
      <w:r w:rsidRPr="00506787">
        <w:rPr>
          <w:rStyle w:val="TextoNormalCaracter"/>
        </w:rPr>
        <w:t xml:space="preserve">, Auto </w:t>
      </w:r>
      <w:hyperlink w:anchor="AUTO_1985_45" w:history="1">
        <w:r w:rsidRPr="00506787">
          <w:rPr>
            <w:rStyle w:val="TextoNormalCaracter"/>
          </w:rPr>
          <w:t>45/1985</w:t>
        </w:r>
      </w:hyperlink>
      <w:r w:rsidRPr="00506787">
        <w:rPr>
          <w:rStyle w:val="TextoNormalCaracter"/>
        </w:rPr>
        <w:t>.</w:t>
      </w:r>
    </w:p>
    <w:p w:rsidR="00506787" w:rsidRPr="00506787" w:rsidRDefault="00506787" w:rsidP="00506787">
      <w:pPr>
        <w:pStyle w:val="TextoNormalSangraFrancesa"/>
        <w:rPr>
          <w:rStyle w:val="TextoNormalCaracter"/>
        </w:rPr>
      </w:pPr>
      <w:bookmarkStart w:id="1048" w:name="DESCRIPTORALFABETICO483"/>
      <w:r w:rsidRPr="00506787">
        <w:rPr>
          <w:rStyle w:val="TextoNormalNegritaCaracter"/>
        </w:rPr>
        <w:lastRenderedPageBreak/>
        <w:t>Confesión en juicio</w:t>
      </w:r>
      <w:bookmarkEnd w:id="1048"/>
      <w:r w:rsidRPr="00506787">
        <w:rPr>
          <w:rStyle w:val="TextoNormalCaracter"/>
        </w:rPr>
        <w:t xml:space="preserve">, Auto </w:t>
      </w:r>
      <w:hyperlink w:anchor="AUTO_1985_168" w:history="1">
        <w:r w:rsidRPr="00506787">
          <w:rPr>
            <w:rStyle w:val="TextoNormalCaracter"/>
          </w:rPr>
          <w:t>168/1985</w:t>
        </w:r>
      </w:hyperlink>
      <w:r w:rsidRPr="00506787">
        <w:rPr>
          <w:rStyle w:val="TextoNormalCaracter"/>
        </w:rPr>
        <w:t>.</w:t>
      </w:r>
    </w:p>
    <w:p w:rsidR="00506787" w:rsidRPr="00506787" w:rsidRDefault="00506787" w:rsidP="00506787">
      <w:pPr>
        <w:pStyle w:val="TextoNormalSangraFrancesa"/>
        <w:rPr>
          <w:rStyle w:val="TextoNormalCaracter"/>
        </w:rPr>
      </w:pPr>
      <w:bookmarkStart w:id="1049" w:name="DESCRIPTORALFABETICO402"/>
      <w:r w:rsidRPr="00506787">
        <w:rPr>
          <w:rStyle w:val="TextoNormalNegritaCaracter"/>
        </w:rPr>
        <w:t>Conflictos colectivos</w:t>
      </w:r>
      <w:bookmarkEnd w:id="1049"/>
      <w:r w:rsidRPr="00506787">
        <w:rPr>
          <w:rStyle w:val="TextoNormalCaracter"/>
        </w:rPr>
        <w:t xml:space="preserve">, Autos </w:t>
      </w:r>
      <w:hyperlink w:anchor="AUTO_1985_66" w:history="1">
        <w:r w:rsidRPr="00506787">
          <w:rPr>
            <w:rStyle w:val="TextoNormalCaracter"/>
          </w:rPr>
          <w:t>66/1985</w:t>
        </w:r>
      </w:hyperlink>
      <w:r w:rsidRPr="00506787">
        <w:rPr>
          <w:rStyle w:val="TextoNormalCaracter"/>
        </w:rPr>
        <w:t xml:space="preserve">; </w:t>
      </w:r>
      <w:hyperlink w:anchor="AUTO_1985_100" w:history="1">
        <w:r w:rsidRPr="00506787">
          <w:rPr>
            <w:rStyle w:val="TextoNormalCaracter"/>
          </w:rPr>
          <w:t>100/1985</w:t>
        </w:r>
      </w:hyperlink>
      <w:r w:rsidRPr="00506787">
        <w:rPr>
          <w:rStyle w:val="TextoNormalCaracter"/>
        </w:rPr>
        <w:t>.</w:t>
      </w:r>
    </w:p>
    <w:p w:rsidR="00506787" w:rsidRPr="00506787" w:rsidRDefault="00506787" w:rsidP="00506787">
      <w:pPr>
        <w:pStyle w:val="TextoNormalSangraFrancesa"/>
        <w:rPr>
          <w:rStyle w:val="TextoNormalCaracter"/>
        </w:rPr>
      </w:pPr>
      <w:bookmarkStart w:id="1050" w:name="DESCRIPTORALFABETICO160"/>
      <w:r w:rsidRPr="00506787">
        <w:rPr>
          <w:rStyle w:val="TextoNormalNegritaCaracter"/>
        </w:rPr>
        <w:t>Conflictos constitucionales</w:t>
      </w:r>
      <w:bookmarkEnd w:id="1050"/>
      <w:r w:rsidRPr="00506787">
        <w:rPr>
          <w:rStyle w:val="TextoNormalCaracter"/>
        </w:rPr>
        <w:t xml:space="preserve">, Sentencia </w:t>
      </w:r>
      <w:hyperlink w:anchor="SENTENCIA_1985_12" w:history="1">
        <w:r w:rsidRPr="00506787">
          <w:rPr>
            <w:rStyle w:val="TextoNormalCaracter"/>
          </w:rPr>
          <w:t>12/1985</w:t>
        </w:r>
      </w:hyperlink>
      <w:r w:rsidRPr="00506787">
        <w:rPr>
          <w:rStyle w:val="TextoNormalCaracter"/>
        </w:rPr>
        <w:t>, f. 2.</w:t>
      </w:r>
    </w:p>
    <w:p w:rsidR="00506787" w:rsidRPr="00506787" w:rsidRDefault="00506787" w:rsidP="00506787">
      <w:pPr>
        <w:pStyle w:val="TextoNormalSangraFrancesa"/>
        <w:rPr>
          <w:rStyle w:val="TextoNormalCaracter"/>
        </w:rPr>
      </w:pPr>
      <w:bookmarkStart w:id="1051" w:name="DESCRIPTORALFABETICO161"/>
      <w:r w:rsidRPr="00506787">
        <w:rPr>
          <w:rStyle w:val="TextoNormalNegritaCaracter"/>
        </w:rPr>
        <w:t>Conflictos positivos de competencia</w:t>
      </w:r>
      <w:bookmarkEnd w:id="1051"/>
      <w:r w:rsidRPr="00506787">
        <w:rPr>
          <w:rStyle w:val="TextoNormalCaracter"/>
        </w:rPr>
        <w:t xml:space="preserve">, Sentencia </w:t>
      </w:r>
      <w:hyperlink w:anchor="SENTENCIA_1985_9" w:history="1">
        <w:r w:rsidRPr="00506787">
          <w:rPr>
            <w:rStyle w:val="TextoNormalCaracter"/>
          </w:rPr>
          <w:t>9/1985</w:t>
        </w:r>
      </w:hyperlink>
      <w:r w:rsidRPr="00506787">
        <w:rPr>
          <w:rStyle w:val="TextoNormalCaracter"/>
        </w:rPr>
        <w:t>, f. 2.</w:t>
      </w:r>
    </w:p>
    <w:p w:rsidR="00506787" w:rsidRPr="00506787" w:rsidRDefault="00506787" w:rsidP="00506787">
      <w:pPr>
        <w:pStyle w:val="TextoNormalSangraFrancesa"/>
        <w:rPr>
          <w:rStyle w:val="TextoNormalCaracter"/>
        </w:rPr>
      </w:pPr>
      <w:bookmarkStart w:id="1052" w:name="DESCRIPTORALFABETICO396"/>
      <w:r w:rsidRPr="00506787">
        <w:rPr>
          <w:rStyle w:val="TextoNormalNegritaCaracter"/>
        </w:rPr>
        <w:t>Confluencia de la autonomía individual y colectiva</w:t>
      </w:r>
      <w:bookmarkEnd w:id="1052"/>
      <w:r w:rsidRPr="00506787">
        <w:rPr>
          <w:rStyle w:val="TextoNormalCaracter"/>
        </w:rPr>
        <w:t xml:space="preserve">, Sentencia </w:t>
      </w:r>
      <w:hyperlink w:anchor="SENTENCIA_1985_58" w:history="1">
        <w:r w:rsidRPr="00506787">
          <w:rPr>
            <w:rStyle w:val="TextoNormalCaracter"/>
          </w:rPr>
          <w:t>58/1985</w:t>
        </w:r>
      </w:hyperlink>
      <w:r w:rsidRPr="00506787">
        <w:rPr>
          <w:rStyle w:val="TextoNormalCaracter"/>
        </w:rPr>
        <w:t>, f. 6.</w:t>
      </w:r>
    </w:p>
    <w:p w:rsidR="00506787" w:rsidRPr="00506787" w:rsidRDefault="00506787" w:rsidP="00506787">
      <w:pPr>
        <w:pStyle w:val="TextoNormalSangraFrancesa"/>
        <w:rPr>
          <w:rStyle w:val="TextoNormalCaracter"/>
        </w:rPr>
      </w:pPr>
      <w:bookmarkStart w:id="1053" w:name="DESCRIPTORALFABETICO53"/>
      <w:r w:rsidRPr="00506787">
        <w:rPr>
          <w:rStyle w:val="TextoNormalNegritaCaracter"/>
        </w:rPr>
        <w:t>Congruencia de la resolución judicial</w:t>
      </w:r>
      <w:bookmarkEnd w:id="1053"/>
      <w:r w:rsidRPr="00506787">
        <w:rPr>
          <w:rStyle w:val="TextoNormalCaracter"/>
        </w:rPr>
        <w:t xml:space="preserve">, Auto </w:t>
      </w:r>
      <w:hyperlink w:anchor="AUTO_1985_52" w:history="1">
        <w:r w:rsidRPr="00506787">
          <w:rPr>
            <w:rStyle w:val="TextoNormalCaracter"/>
          </w:rPr>
          <w:t>52/1985</w:t>
        </w:r>
      </w:hyperlink>
      <w:r w:rsidRPr="00506787">
        <w:rPr>
          <w:rStyle w:val="TextoNormalCaracter"/>
        </w:rPr>
        <w:t>.</w:t>
      </w:r>
    </w:p>
    <w:p w:rsidR="00506787" w:rsidRPr="00506787" w:rsidRDefault="00506787" w:rsidP="00506787">
      <w:pPr>
        <w:pStyle w:val="TextoNormalSangraFrancesa"/>
        <w:rPr>
          <w:rStyle w:val="TextoNormalCaracter"/>
        </w:rPr>
      </w:pPr>
      <w:bookmarkStart w:id="1054" w:name="DESCRIPTORALFABETICO585"/>
      <w:r w:rsidRPr="00506787">
        <w:rPr>
          <w:rStyle w:val="TextoNormalNegritaCaracter"/>
        </w:rPr>
        <w:t>Consejo ejecutivo de la Generalitat</w:t>
      </w:r>
      <w:bookmarkEnd w:id="1054"/>
      <w:r w:rsidRPr="00506787">
        <w:rPr>
          <w:rStyle w:val="TextoNormalCaracter"/>
        </w:rPr>
        <w:t xml:space="preserve">, Auto </w:t>
      </w:r>
      <w:hyperlink w:anchor="AUTO_1985_139" w:history="1">
        <w:r w:rsidRPr="00506787">
          <w:rPr>
            <w:rStyle w:val="TextoNormalCaracter"/>
          </w:rPr>
          <w:t>139/1985</w:t>
        </w:r>
      </w:hyperlink>
      <w:r w:rsidRPr="00506787">
        <w:rPr>
          <w:rStyle w:val="TextoNormalCaracter"/>
        </w:rPr>
        <w:t>.</w:t>
      </w:r>
    </w:p>
    <w:p w:rsidR="00506787" w:rsidRPr="00506787" w:rsidRDefault="00506787" w:rsidP="00506787">
      <w:pPr>
        <w:pStyle w:val="TextoNormalSangraFrancesa"/>
        <w:rPr>
          <w:rStyle w:val="TextoNormalCaracter"/>
        </w:rPr>
      </w:pPr>
      <w:bookmarkStart w:id="1055" w:name="DESCRIPTORALFABETICO448"/>
      <w:r w:rsidRPr="00506787">
        <w:rPr>
          <w:rStyle w:val="TextoNormalNegritaCaracter"/>
        </w:rPr>
        <w:t>Consignación</w:t>
      </w:r>
      <w:bookmarkEnd w:id="1055"/>
      <w:r w:rsidRPr="00506787">
        <w:rPr>
          <w:rStyle w:val="TextoNormalCaracter"/>
        </w:rPr>
        <w:t xml:space="preserve">, Sentencia </w:t>
      </w:r>
      <w:hyperlink w:anchor="SENTENCIA_1985_29" w:history="1">
        <w:r w:rsidRPr="00506787">
          <w:rPr>
            <w:rStyle w:val="TextoNormalCaracter"/>
          </w:rPr>
          <w:t>29/1985</w:t>
        </w:r>
      </w:hyperlink>
      <w:r w:rsidRPr="00506787">
        <w:rPr>
          <w:rStyle w:val="TextoNormalCaracter"/>
        </w:rPr>
        <w:t>, ff. 1, 2, 3, VP.</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42" w:history="1">
        <w:r w:rsidRPr="00506787">
          <w:rPr>
            <w:rStyle w:val="TextoNormalCaracter"/>
          </w:rPr>
          <w:t>42/1985</w:t>
        </w:r>
      </w:hyperlink>
      <w:r w:rsidRPr="00506787">
        <w:rPr>
          <w:rStyle w:val="TextoNormalCaracter"/>
        </w:rPr>
        <w:t>.</w:t>
      </w:r>
    </w:p>
    <w:p w:rsidR="00506787" w:rsidRPr="00506787" w:rsidRDefault="00506787" w:rsidP="00506787">
      <w:pPr>
        <w:pStyle w:val="TextoNormalSangraFrancesa"/>
        <w:rPr>
          <w:rStyle w:val="TextoNormalCaracter"/>
        </w:rPr>
      </w:pPr>
      <w:bookmarkStart w:id="1056" w:name="DESCRIPTORALFABETICO449"/>
      <w:r w:rsidRPr="00506787">
        <w:rPr>
          <w:rStyle w:val="TextoNormalNegritaCaracter"/>
        </w:rPr>
        <w:t>Consignación en recurso de suplicación</w:t>
      </w:r>
      <w:bookmarkEnd w:id="1056"/>
      <w:r w:rsidRPr="00506787">
        <w:rPr>
          <w:rStyle w:val="TextoNormalCaracter"/>
        </w:rPr>
        <w:t xml:space="preserve">, Auto </w:t>
      </w:r>
      <w:hyperlink w:anchor="AUTO_1985_42" w:history="1">
        <w:r w:rsidRPr="00506787">
          <w:rPr>
            <w:rStyle w:val="TextoNormalCaracter"/>
          </w:rPr>
          <w:t>42/1985</w:t>
        </w:r>
      </w:hyperlink>
      <w:r w:rsidRPr="00506787">
        <w:rPr>
          <w:rStyle w:val="TextoNormalCaracter"/>
        </w:rPr>
        <w:t>.</w:t>
      </w:r>
    </w:p>
    <w:p w:rsidR="00506787" w:rsidRPr="00506787" w:rsidRDefault="00506787" w:rsidP="00506787">
      <w:pPr>
        <w:pStyle w:val="TextoNormalSangraFrancesa"/>
        <w:rPr>
          <w:rStyle w:val="TextoNormalCaracter"/>
        </w:rPr>
      </w:pPr>
      <w:bookmarkStart w:id="1057" w:name="DESCRIPTORALFABETICO275"/>
      <w:r w:rsidRPr="00506787">
        <w:rPr>
          <w:rStyle w:val="TextoNormalNegritaCaracter"/>
        </w:rPr>
        <w:t>Constitución de corporaciones locales</w:t>
      </w:r>
      <w:bookmarkEnd w:id="1057"/>
      <w:r w:rsidRPr="00506787">
        <w:rPr>
          <w:rStyle w:val="TextoNormalCaracter"/>
        </w:rPr>
        <w:t xml:space="preserve">, Sentencia </w:t>
      </w:r>
      <w:hyperlink w:anchor="SENTENCIA_1985_8" w:history="1">
        <w:r w:rsidRPr="00506787">
          <w:rPr>
            <w:rStyle w:val="TextoNormalCaracter"/>
          </w:rPr>
          <w:t>8/1985</w:t>
        </w:r>
      </w:hyperlink>
      <w:r w:rsidRPr="00506787">
        <w:rPr>
          <w:rStyle w:val="TextoNormalCaracter"/>
        </w:rPr>
        <w:t>, f. 4.</w:t>
      </w:r>
    </w:p>
    <w:p w:rsidR="00506787" w:rsidRPr="00506787" w:rsidRDefault="00506787" w:rsidP="00506787">
      <w:pPr>
        <w:pStyle w:val="TextoNormalSangraFrancesa"/>
        <w:rPr>
          <w:rStyle w:val="TextoNormalCaracter"/>
        </w:rPr>
      </w:pPr>
      <w:bookmarkStart w:id="1058" w:name="DESCRIPTORALFABETICO115"/>
      <w:r w:rsidRPr="00506787">
        <w:rPr>
          <w:rStyle w:val="TextoNormalNegritaCaracter"/>
        </w:rPr>
        <w:t>Contenido de la libertad sindical</w:t>
      </w:r>
      <w:bookmarkEnd w:id="1058"/>
      <w:r w:rsidRPr="00506787">
        <w:rPr>
          <w:rStyle w:val="TextoNormalCaracter"/>
        </w:rPr>
        <w:t xml:space="preserve">, Sentencia </w:t>
      </w:r>
      <w:hyperlink w:anchor="SENTENCIA_1985_20" w:history="1">
        <w:r w:rsidRPr="00506787">
          <w:rPr>
            <w:rStyle w:val="TextoNormalCaracter"/>
          </w:rPr>
          <w:t>20/1985</w:t>
        </w:r>
      </w:hyperlink>
      <w:r w:rsidRPr="00506787">
        <w:rPr>
          <w:rStyle w:val="TextoNormalCaracter"/>
        </w:rPr>
        <w:t>, f. 2.</w:t>
      </w:r>
    </w:p>
    <w:p w:rsidR="00506787" w:rsidRPr="00506787" w:rsidRDefault="00506787" w:rsidP="00506787">
      <w:pPr>
        <w:pStyle w:val="TextoNormalSangraFrancesa"/>
        <w:rPr>
          <w:rStyle w:val="TextoNormalCaracter"/>
        </w:rPr>
      </w:pPr>
      <w:bookmarkStart w:id="1059" w:name="DESCRIPTORALFABETICO72"/>
      <w:r w:rsidRPr="00506787">
        <w:rPr>
          <w:rStyle w:val="TextoNormalNegritaCaracter"/>
        </w:rPr>
        <w:t>Contenido del derecho a la defensa</w:t>
      </w:r>
      <w:bookmarkEnd w:id="1059"/>
      <w:r w:rsidRPr="00506787">
        <w:rPr>
          <w:rStyle w:val="TextoNormalCaracter"/>
        </w:rPr>
        <w:t xml:space="preserve">, Auto </w:t>
      </w:r>
      <w:hyperlink w:anchor="AUTO_1985_144" w:history="1">
        <w:r w:rsidRPr="00506787">
          <w:rPr>
            <w:rStyle w:val="TextoNormalCaracter"/>
          </w:rPr>
          <w:t>144/1985</w:t>
        </w:r>
      </w:hyperlink>
      <w:r w:rsidRPr="00506787">
        <w:rPr>
          <w:rStyle w:val="TextoNormalCaracter"/>
        </w:rPr>
        <w:t>.</w:t>
      </w:r>
    </w:p>
    <w:p w:rsidR="00506787" w:rsidRPr="00506787" w:rsidRDefault="00506787" w:rsidP="00506787">
      <w:pPr>
        <w:pStyle w:val="TextoNormalSangraFrancesa"/>
        <w:rPr>
          <w:rStyle w:val="TextoNormalCaracter"/>
        </w:rPr>
      </w:pPr>
      <w:bookmarkStart w:id="1060" w:name="DESCRIPTORALFABETICO75"/>
      <w:r w:rsidRPr="00506787">
        <w:rPr>
          <w:rStyle w:val="TextoNormalNegritaCaracter"/>
        </w:rPr>
        <w:t>Contenido del derecho a la prueba</w:t>
      </w:r>
      <w:bookmarkEnd w:id="1060"/>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9.</w:t>
      </w:r>
    </w:p>
    <w:p w:rsidR="00506787" w:rsidRPr="00506787" w:rsidRDefault="00506787" w:rsidP="00506787">
      <w:pPr>
        <w:pStyle w:val="TextoNormalSangraFrancesa"/>
        <w:rPr>
          <w:rStyle w:val="TextoNormalCaracter"/>
        </w:rPr>
      </w:pPr>
      <w:bookmarkStart w:id="1061" w:name="DESCRIPTORALFABETICO47"/>
      <w:r w:rsidRPr="00506787">
        <w:rPr>
          <w:rStyle w:val="TextoNormalNegritaCaracter"/>
        </w:rPr>
        <w:t>Contenido del derecho a la tutela judicial efectiva</w:t>
      </w:r>
      <w:bookmarkEnd w:id="1061"/>
      <w:r w:rsidRPr="00506787">
        <w:rPr>
          <w:rStyle w:val="TextoNormalCaracter"/>
        </w:rPr>
        <w:t xml:space="preserve">, Sentencias </w:t>
      </w:r>
      <w:hyperlink w:anchor="SENTENCIA_1985_11" w:history="1">
        <w:r w:rsidRPr="00506787">
          <w:rPr>
            <w:rStyle w:val="TextoNormalCaracter"/>
          </w:rPr>
          <w:t>11/1985</w:t>
        </w:r>
      </w:hyperlink>
      <w:r w:rsidRPr="00506787">
        <w:rPr>
          <w:rStyle w:val="TextoNormalCaracter"/>
        </w:rPr>
        <w:t xml:space="preserve">, f. 2; </w:t>
      </w:r>
      <w:hyperlink w:anchor="SENTENCIA_1985_17" w:history="1">
        <w:r w:rsidRPr="00506787">
          <w:rPr>
            <w:rStyle w:val="TextoNormalCaracter"/>
          </w:rPr>
          <w:t>17/1985</w:t>
        </w:r>
      </w:hyperlink>
      <w:r w:rsidRPr="00506787">
        <w:rPr>
          <w:rStyle w:val="TextoNormalCaracter"/>
        </w:rPr>
        <w:t xml:space="preserve">, ff. 1, 2; </w:t>
      </w:r>
      <w:hyperlink w:anchor="SENTENCIA_1985_43" w:history="1">
        <w:r w:rsidRPr="00506787">
          <w:rPr>
            <w:rStyle w:val="TextoNormalCaracter"/>
          </w:rPr>
          <w:t>43/1985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76" w:history="1">
        <w:r w:rsidRPr="00506787">
          <w:rPr>
            <w:rStyle w:val="TextoNormalCaracter"/>
          </w:rPr>
          <w:t>76/1985</w:t>
        </w:r>
      </w:hyperlink>
      <w:r w:rsidRPr="00506787">
        <w:rPr>
          <w:rStyle w:val="TextoNormalCaracter"/>
        </w:rPr>
        <w:t xml:space="preserve">; </w:t>
      </w:r>
      <w:hyperlink w:anchor="AUTO_1985_94" w:history="1">
        <w:r w:rsidRPr="00506787">
          <w:rPr>
            <w:rStyle w:val="TextoNormalCaracter"/>
          </w:rPr>
          <w:t>94/1985</w:t>
        </w:r>
      </w:hyperlink>
      <w:r w:rsidRPr="00506787">
        <w:rPr>
          <w:rStyle w:val="TextoNormalCaracter"/>
        </w:rPr>
        <w:t xml:space="preserve">; </w:t>
      </w:r>
      <w:hyperlink w:anchor="AUTO_1985_190" w:history="1">
        <w:r w:rsidRPr="00506787">
          <w:rPr>
            <w:rStyle w:val="TextoNormalCaracter"/>
          </w:rPr>
          <w:t>190/1985</w:t>
        </w:r>
      </w:hyperlink>
      <w:r w:rsidRPr="00506787">
        <w:rPr>
          <w:rStyle w:val="TextoNormalCaracter"/>
        </w:rPr>
        <w:t xml:space="preserve">; </w:t>
      </w:r>
      <w:hyperlink w:anchor="AUTO_1985_203" w:history="1">
        <w:r w:rsidRPr="00506787">
          <w:rPr>
            <w:rStyle w:val="TextoNormalCaracter"/>
          </w:rPr>
          <w:t>203/1985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Contradicción procesal</w:t>
      </w:r>
      <w:r>
        <w:t xml:space="preserve"> véase </w:t>
      </w:r>
      <w:hyperlink w:anchor="DESCRIPTORALFABETICO515" w:history="1">
        <w:r w:rsidRPr="00506787">
          <w:rPr>
            <w:rStyle w:val="TextoNormalNegritaCaracter"/>
          </w:rPr>
          <w:t>Principio de contradicción</w:t>
        </w:r>
      </w:hyperlink>
    </w:p>
    <w:p w:rsidR="00506787" w:rsidRPr="00506787" w:rsidRDefault="00506787" w:rsidP="00506787">
      <w:pPr>
        <w:pStyle w:val="TextoNormalSangraFrancesa"/>
        <w:rPr>
          <w:rStyle w:val="TextoNormalCaracter"/>
        </w:rPr>
      </w:pPr>
      <w:bookmarkStart w:id="1062" w:name="DESCRIPTORALFABETICO296"/>
      <w:r w:rsidRPr="00506787">
        <w:rPr>
          <w:rStyle w:val="TextoNormalNegritaCaracter"/>
        </w:rPr>
        <w:t>Contratación de profesores</w:t>
      </w:r>
      <w:bookmarkEnd w:id="1062"/>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ff. 1, 2, 3, 4, 5.</w:t>
      </w:r>
    </w:p>
    <w:p w:rsidR="00506787" w:rsidRPr="00506787" w:rsidRDefault="00506787" w:rsidP="00506787">
      <w:pPr>
        <w:pStyle w:val="TextoNormalSangraFrancesa"/>
        <w:rPr>
          <w:rStyle w:val="TextoNormalCaracter"/>
        </w:rPr>
      </w:pPr>
      <w:bookmarkStart w:id="1063" w:name="DESCRIPTORALFABETICO385"/>
      <w:r w:rsidRPr="00506787">
        <w:rPr>
          <w:rStyle w:val="TextoNormalNegritaCaracter"/>
        </w:rPr>
        <w:t>Contrato de trabajo</w:t>
      </w:r>
      <w:bookmarkEnd w:id="1063"/>
      <w:r w:rsidRPr="00506787">
        <w:rPr>
          <w:rStyle w:val="TextoNormalCaracter"/>
        </w:rPr>
        <w:t xml:space="preserve">, Sentencias </w:t>
      </w:r>
      <w:hyperlink w:anchor="SENTENCIA_1985_19" w:history="1">
        <w:r w:rsidRPr="00506787">
          <w:rPr>
            <w:rStyle w:val="TextoNormalCaracter"/>
          </w:rPr>
          <w:t>19/1985</w:t>
        </w:r>
      </w:hyperlink>
      <w:r w:rsidRPr="00506787">
        <w:rPr>
          <w:rStyle w:val="TextoNormalCaracter"/>
        </w:rPr>
        <w:t xml:space="preserve">, f. 1; </w:t>
      </w:r>
      <w:hyperlink w:anchor="SENTENCIA_1985_58" w:history="1">
        <w:r w:rsidRPr="00506787">
          <w:rPr>
            <w:rStyle w:val="TextoNormalCaracter"/>
          </w:rPr>
          <w:t>58/1985</w:t>
        </w:r>
      </w:hyperlink>
      <w:r w:rsidRPr="00506787">
        <w:rPr>
          <w:rStyle w:val="TextoNormalCaracter"/>
        </w:rPr>
        <w:t>, f. 5.</w:t>
      </w:r>
    </w:p>
    <w:p w:rsidR="00506787" w:rsidRPr="00506787" w:rsidRDefault="00506787" w:rsidP="00506787">
      <w:pPr>
        <w:pStyle w:val="TextoNormalSangraFrancesa"/>
        <w:rPr>
          <w:rStyle w:val="TextoNormalCaracter"/>
        </w:rPr>
      </w:pPr>
      <w:bookmarkStart w:id="1064" w:name="DESCRIPTORALFABETICO283"/>
      <w:r w:rsidRPr="00506787">
        <w:rPr>
          <w:rStyle w:val="TextoNormalNegritaCaracter"/>
        </w:rPr>
        <w:t>Contratos</w:t>
      </w:r>
      <w:bookmarkEnd w:id="1064"/>
      <w:r w:rsidRPr="00506787">
        <w:rPr>
          <w:rStyle w:val="TextoNormalCaracter"/>
        </w:rPr>
        <w:t xml:space="preserve">, Auto </w:t>
      </w:r>
      <w:hyperlink w:anchor="AUTO_1985_106" w:history="1">
        <w:r w:rsidRPr="00506787">
          <w:rPr>
            <w:rStyle w:val="TextoNormalCaracter"/>
          </w:rPr>
          <w:t>106/1985</w:t>
        </w:r>
      </w:hyperlink>
      <w:r w:rsidRPr="00506787">
        <w:rPr>
          <w:rStyle w:val="TextoNormalCaracter"/>
        </w:rPr>
        <w:t>.</w:t>
      </w:r>
    </w:p>
    <w:p w:rsidR="00506787" w:rsidRPr="00506787" w:rsidRDefault="00506787" w:rsidP="00506787">
      <w:pPr>
        <w:pStyle w:val="TextoNormalSangraFrancesa"/>
        <w:rPr>
          <w:rStyle w:val="TextoNormalCaracter"/>
        </w:rPr>
      </w:pPr>
      <w:bookmarkStart w:id="1065" w:name="DESCRIPTORALFABETICO126"/>
      <w:r w:rsidRPr="00506787">
        <w:rPr>
          <w:rStyle w:val="TextoNormalNegritaCaracter"/>
        </w:rPr>
        <w:t>Control de constitucionalidad de las normas jurídicas</w:t>
      </w:r>
      <w:bookmarkEnd w:id="1065"/>
      <w:r w:rsidRPr="00506787">
        <w:rPr>
          <w:rStyle w:val="TextoNormalCaracter"/>
        </w:rPr>
        <w:t xml:space="preserve">, Auto </w:t>
      </w:r>
      <w:hyperlink w:anchor="AUTO_1985_9" w:history="1">
        <w:r w:rsidRPr="00506787">
          <w:rPr>
            <w:rStyle w:val="TextoNormalCaracter"/>
          </w:rPr>
          <w:t>9/1985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Objeto, </w:t>
      </w:r>
      <w:r w:rsidRPr="00506787">
        <w:rPr>
          <w:rStyle w:val="TextoNormalCaracter"/>
        </w:rPr>
        <w:t xml:space="preserve">Sentencia </w:t>
      </w:r>
      <w:hyperlink w:anchor="SENTENCIA_1985_53" w:history="1">
        <w:r w:rsidRPr="00506787">
          <w:rPr>
            <w:rStyle w:val="TextoNormalCaracter"/>
          </w:rPr>
          <w:t>53/1985</w:t>
        </w:r>
      </w:hyperlink>
      <w:r w:rsidRPr="00506787">
        <w:rPr>
          <w:rStyle w:val="TextoNormalCaracter"/>
        </w:rPr>
        <w:t>, f. 12, VP I, VP III, VP V.</w:t>
      </w:r>
    </w:p>
    <w:p w:rsidR="00506787" w:rsidRPr="00506787" w:rsidRDefault="00506787" w:rsidP="00506787">
      <w:pPr>
        <w:pStyle w:val="TextoNormalSangraFrancesa"/>
        <w:rPr>
          <w:rStyle w:val="TextoNormalCaracter"/>
        </w:rPr>
      </w:pPr>
      <w:bookmarkStart w:id="1066" w:name="DESCRIPTORALFABETICO240"/>
      <w:r w:rsidRPr="00506787">
        <w:rPr>
          <w:rStyle w:val="TextoNormalNegritaCaracter"/>
        </w:rPr>
        <w:t>Control de los requisitos procesales</w:t>
      </w:r>
      <w:bookmarkEnd w:id="1066"/>
      <w:r w:rsidRPr="00506787">
        <w:rPr>
          <w:rStyle w:val="TextoNormalCaracter"/>
        </w:rPr>
        <w:t xml:space="preserve">, Sentencia </w:t>
      </w:r>
      <w:hyperlink w:anchor="SENTENCIA_1985_39" w:history="1">
        <w:r w:rsidRPr="00506787">
          <w:rPr>
            <w:rStyle w:val="TextoNormalCaracter"/>
          </w:rPr>
          <w:t>39/1985</w:t>
        </w:r>
      </w:hyperlink>
      <w:r w:rsidRPr="00506787">
        <w:rPr>
          <w:rStyle w:val="TextoNormalCaracter"/>
        </w:rPr>
        <w:t>, f. 4.</w:t>
      </w:r>
    </w:p>
    <w:p w:rsidR="00506787" w:rsidRPr="00506787" w:rsidRDefault="00506787" w:rsidP="00506787">
      <w:pPr>
        <w:pStyle w:val="TextoNormalSangraFrancesa"/>
        <w:rPr>
          <w:rStyle w:val="TextoNormalNegritaCaracter"/>
        </w:rPr>
      </w:pPr>
      <w:r w:rsidRPr="00506787">
        <w:rPr>
          <w:rStyle w:val="TextoNormalCursivaCaracter"/>
        </w:rPr>
        <w:t>Convención de las Naciones Unidas sobre los derechos del niño</w:t>
      </w:r>
      <w:r>
        <w:t xml:space="preserve"> véase </w:t>
      </w:r>
      <w:hyperlink w:anchor="DESCRIPTORALFABETICO327" w:history="1">
        <w:r w:rsidRPr="00506787">
          <w:rPr>
            <w:rStyle w:val="TextoNormalNegritaCaracter"/>
          </w:rPr>
          <w:t>Tratados internacionales</w:t>
        </w:r>
      </w:hyperlink>
    </w:p>
    <w:p w:rsidR="00506787" w:rsidRPr="00506787" w:rsidRDefault="00506787" w:rsidP="00506787">
      <w:pPr>
        <w:pStyle w:val="TextoNormalSangraFrancesa"/>
        <w:rPr>
          <w:rStyle w:val="TextoNormalNegritaCaracter"/>
        </w:rPr>
      </w:pPr>
      <w:r w:rsidRPr="00506787">
        <w:rPr>
          <w:rStyle w:val="TextoNormalCursivaCaracter"/>
        </w:rPr>
        <w:t>Convenio de Viena sobre relaciones diplomáticas</w:t>
      </w:r>
      <w:r>
        <w:t xml:space="preserve"> véase </w:t>
      </w:r>
      <w:hyperlink w:anchor="DESCRIPTORALFABETICO327" w:history="1">
        <w:r w:rsidRPr="00506787">
          <w:rPr>
            <w:rStyle w:val="TextoNormalNegritaCaracter"/>
          </w:rPr>
          <w:t>Tratados internacionales</w:t>
        </w:r>
      </w:hyperlink>
    </w:p>
    <w:p w:rsidR="00506787" w:rsidRPr="00506787" w:rsidRDefault="00506787" w:rsidP="00506787">
      <w:pPr>
        <w:pStyle w:val="TextoNormalSangraFrancesa"/>
        <w:rPr>
          <w:rStyle w:val="TextoNormalNegritaCaracter"/>
        </w:rPr>
      </w:pPr>
      <w:r w:rsidRPr="00506787">
        <w:rPr>
          <w:rStyle w:val="TextoNormalCursivaCaracter"/>
        </w:rPr>
        <w:t>Convenio hispano-alemán sobre seguro de desempleo</w:t>
      </w:r>
      <w:r>
        <w:t xml:space="preserve"> véase </w:t>
      </w:r>
      <w:hyperlink w:anchor="DESCRIPTORALFABETICO327" w:history="1">
        <w:r w:rsidRPr="00506787">
          <w:rPr>
            <w:rStyle w:val="TextoNormalNegritaCaracter"/>
          </w:rPr>
          <w:t>Tratados internacionales</w:t>
        </w:r>
      </w:hyperlink>
    </w:p>
    <w:p w:rsidR="00506787" w:rsidRPr="00506787" w:rsidRDefault="00506787" w:rsidP="00506787">
      <w:pPr>
        <w:pStyle w:val="TextoNormalSangraFrancesa"/>
        <w:rPr>
          <w:rStyle w:val="TextoNormalNegritaCaracter"/>
        </w:rPr>
      </w:pPr>
      <w:r w:rsidRPr="00506787">
        <w:rPr>
          <w:rStyle w:val="TextoNormalCursivaCaracter"/>
        </w:rPr>
        <w:t>Convenio para la protección de las personas con respecto al tratamiento automatizado de datos de carácter personal</w:t>
      </w:r>
      <w:r>
        <w:t xml:space="preserve"> véase </w:t>
      </w:r>
      <w:hyperlink w:anchor="DESCRIPTORALFABETICO327" w:history="1">
        <w:r w:rsidRPr="00506787">
          <w:rPr>
            <w:rStyle w:val="TextoNormalNegritaCaracter"/>
          </w:rPr>
          <w:t>Tratados internacionales</w:t>
        </w:r>
      </w:hyperlink>
    </w:p>
    <w:p w:rsidR="00506787" w:rsidRPr="00506787" w:rsidRDefault="00506787" w:rsidP="00506787">
      <w:pPr>
        <w:pStyle w:val="TextoNormalSangraFrancesa"/>
        <w:rPr>
          <w:rStyle w:val="TextoNormalCaracter"/>
        </w:rPr>
      </w:pPr>
      <w:bookmarkStart w:id="1067" w:name="DESCRIPTORALFABETICO397"/>
      <w:r w:rsidRPr="00506787">
        <w:rPr>
          <w:rStyle w:val="TextoNormalNegritaCaracter"/>
        </w:rPr>
        <w:t>Convenios colectivos</w:t>
      </w:r>
      <w:bookmarkEnd w:id="1067"/>
      <w:r w:rsidRPr="00506787">
        <w:rPr>
          <w:rStyle w:val="TextoNormalCaracter"/>
        </w:rPr>
        <w:t xml:space="preserve">, Sentencia </w:t>
      </w:r>
      <w:hyperlink w:anchor="SENTENCIA_1985_58" w:history="1">
        <w:r w:rsidRPr="00506787">
          <w:rPr>
            <w:rStyle w:val="TextoNormalCaracter"/>
          </w:rPr>
          <w:t>58/1985</w:t>
        </w:r>
      </w:hyperlink>
      <w:r w:rsidRPr="00506787">
        <w:rPr>
          <w:rStyle w:val="TextoNormalCaracter"/>
        </w:rPr>
        <w:t>, ff. 1, 2, 3, 4, 5, 6, 7.</w:t>
      </w:r>
    </w:p>
    <w:p w:rsidR="00506787" w:rsidRPr="00506787" w:rsidRDefault="00506787" w:rsidP="00506787">
      <w:pPr>
        <w:pStyle w:val="TextoNormalSangraFrancesa"/>
        <w:rPr>
          <w:rStyle w:val="TextoNormalNegritaCaracter"/>
        </w:rPr>
      </w:pPr>
      <w:r w:rsidRPr="00506787">
        <w:rPr>
          <w:rStyle w:val="TextoNormalCursivaCaracter"/>
        </w:rPr>
        <w:t>Convenios internacionales</w:t>
      </w:r>
      <w:r>
        <w:t xml:space="preserve"> véase </w:t>
      </w:r>
      <w:hyperlink w:anchor="DESCRIPTORALFABETICO327" w:history="1">
        <w:r w:rsidRPr="00506787">
          <w:rPr>
            <w:rStyle w:val="TextoNormalNegritaCaracter"/>
          </w:rPr>
          <w:t>Tratados internacionales</w:t>
        </w:r>
      </w:hyperlink>
    </w:p>
    <w:p w:rsidR="00506787" w:rsidRPr="00506787" w:rsidRDefault="00506787" w:rsidP="00506787">
      <w:pPr>
        <w:pStyle w:val="TextoNormalSangraFrancesa"/>
        <w:rPr>
          <w:rStyle w:val="TextoNormalCaracter"/>
        </w:rPr>
      </w:pPr>
      <w:bookmarkStart w:id="1068" w:name="DESCRIPTORALFABETICO179"/>
      <w:r w:rsidRPr="00506787">
        <w:rPr>
          <w:rStyle w:val="TextoNormalNegritaCaracter"/>
        </w:rPr>
        <w:t>Copia de la resolución recaída</w:t>
      </w:r>
      <w:bookmarkEnd w:id="1068"/>
      <w:r w:rsidRPr="00506787">
        <w:rPr>
          <w:rStyle w:val="TextoNormalCaracter"/>
        </w:rPr>
        <w:t xml:space="preserve">, Autos </w:t>
      </w:r>
      <w:hyperlink w:anchor="AUTO_1985_44" w:history="1">
        <w:r w:rsidRPr="00506787">
          <w:rPr>
            <w:rStyle w:val="TextoNormalCaracter"/>
          </w:rPr>
          <w:t>44/1985</w:t>
        </w:r>
      </w:hyperlink>
      <w:r w:rsidRPr="00506787">
        <w:rPr>
          <w:rStyle w:val="TextoNormalCaracter"/>
        </w:rPr>
        <w:t xml:space="preserve">; </w:t>
      </w:r>
      <w:hyperlink w:anchor="AUTO_1985_60" w:history="1">
        <w:r w:rsidRPr="00506787">
          <w:rPr>
            <w:rStyle w:val="TextoNormalCaracter"/>
          </w:rPr>
          <w:t>60/1985</w:t>
        </w:r>
      </w:hyperlink>
      <w:r w:rsidRPr="00506787">
        <w:rPr>
          <w:rStyle w:val="TextoNormalCaracter"/>
        </w:rPr>
        <w:t xml:space="preserve">; </w:t>
      </w:r>
      <w:hyperlink w:anchor="AUTO_1985_85" w:history="1">
        <w:r w:rsidRPr="00506787">
          <w:rPr>
            <w:rStyle w:val="TextoNormalCaracter"/>
          </w:rPr>
          <w:t>85/1985</w:t>
        </w:r>
      </w:hyperlink>
      <w:r w:rsidRPr="00506787">
        <w:rPr>
          <w:rStyle w:val="TextoNormalCaracter"/>
        </w:rPr>
        <w:t xml:space="preserve">; </w:t>
      </w:r>
      <w:hyperlink w:anchor="AUTO_1985_86" w:history="1">
        <w:r w:rsidRPr="00506787">
          <w:rPr>
            <w:rStyle w:val="TextoNormalCaracter"/>
          </w:rPr>
          <w:t>86/1985</w:t>
        </w:r>
      </w:hyperlink>
      <w:r w:rsidRPr="00506787">
        <w:rPr>
          <w:rStyle w:val="TextoNormalCaracter"/>
        </w:rPr>
        <w:t xml:space="preserve">; </w:t>
      </w:r>
      <w:hyperlink w:anchor="AUTO_1985_141" w:history="1">
        <w:r w:rsidRPr="00506787">
          <w:rPr>
            <w:rStyle w:val="TextoNormalCaracter"/>
          </w:rPr>
          <w:t>141/1985</w:t>
        </w:r>
      </w:hyperlink>
      <w:r w:rsidRPr="00506787">
        <w:rPr>
          <w:rStyle w:val="TextoNormalCaracter"/>
        </w:rPr>
        <w:t xml:space="preserve">; </w:t>
      </w:r>
      <w:hyperlink w:anchor="AUTO_1985_150" w:history="1">
        <w:r w:rsidRPr="00506787">
          <w:rPr>
            <w:rStyle w:val="TextoNormalCaracter"/>
          </w:rPr>
          <w:t>150/1985</w:t>
        </w:r>
      </w:hyperlink>
      <w:r w:rsidRPr="00506787">
        <w:rPr>
          <w:rStyle w:val="TextoNormalCaracter"/>
        </w:rPr>
        <w:t xml:space="preserve">; </w:t>
      </w:r>
      <w:hyperlink w:anchor="AUTO_1985_157" w:history="1">
        <w:r w:rsidRPr="00506787">
          <w:rPr>
            <w:rStyle w:val="TextoNormalCaracter"/>
          </w:rPr>
          <w:t>157/1985</w:t>
        </w:r>
      </w:hyperlink>
      <w:r w:rsidRPr="00506787">
        <w:rPr>
          <w:rStyle w:val="TextoNormalCaracter"/>
        </w:rPr>
        <w:t xml:space="preserve">; </w:t>
      </w:r>
      <w:hyperlink w:anchor="AUTO_1985_193" w:history="1">
        <w:r w:rsidRPr="00506787">
          <w:rPr>
            <w:rStyle w:val="TextoNormalCaracter"/>
          </w:rPr>
          <w:t>193/1985</w:t>
        </w:r>
      </w:hyperlink>
      <w:r w:rsidRPr="00506787">
        <w:rPr>
          <w:rStyle w:val="TextoNormalCaracter"/>
        </w:rPr>
        <w:t xml:space="preserve">; </w:t>
      </w:r>
      <w:hyperlink w:anchor="AUTO_1985_218" w:history="1">
        <w:r w:rsidRPr="00506787">
          <w:rPr>
            <w:rStyle w:val="TextoNormalCaracter"/>
          </w:rPr>
          <w:t>218/1985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Crédito de horas sindicales</w:t>
      </w:r>
      <w:r>
        <w:t xml:space="preserve"> véase </w:t>
      </w:r>
      <w:hyperlink w:anchor="DESCRIPTORALFABETICO392" w:history="1">
        <w:r w:rsidRPr="00506787">
          <w:rPr>
            <w:rStyle w:val="TextoNormalNegritaCaracter"/>
          </w:rPr>
          <w:t>Crédito horario</w:t>
        </w:r>
      </w:hyperlink>
    </w:p>
    <w:p w:rsidR="00506787" w:rsidRPr="00506787" w:rsidRDefault="00506787" w:rsidP="00506787">
      <w:pPr>
        <w:pStyle w:val="TextoNormalSangraFrancesa"/>
        <w:rPr>
          <w:rStyle w:val="TextoNormalCaracter"/>
        </w:rPr>
      </w:pPr>
      <w:bookmarkStart w:id="1069" w:name="DESCRIPTORALFABETICO392"/>
      <w:r w:rsidRPr="00506787">
        <w:rPr>
          <w:rStyle w:val="TextoNormalNegritaCaracter"/>
        </w:rPr>
        <w:t>Crédito horario</w:t>
      </w:r>
      <w:bookmarkEnd w:id="1069"/>
      <w:r w:rsidRPr="00506787">
        <w:rPr>
          <w:rStyle w:val="TextoNormalCaracter"/>
        </w:rPr>
        <w:t xml:space="preserve">, Sentencia </w:t>
      </w:r>
      <w:hyperlink w:anchor="SENTENCIA_1985_40" w:history="1">
        <w:r w:rsidRPr="00506787">
          <w:rPr>
            <w:rStyle w:val="TextoNormalCaracter"/>
          </w:rPr>
          <w:t>40/1985</w:t>
        </w:r>
      </w:hyperlink>
      <w:r w:rsidRPr="00506787">
        <w:rPr>
          <w:rStyle w:val="TextoNormalCaracter"/>
        </w:rPr>
        <w:t>, ff. 1, 2.</w:t>
      </w:r>
    </w:p>
    <w:p w:rsidR="00506787" w:rsidRPr="00506787" w:rsidRDefault="00506787" w:rsidP="00506787">
      <w:pPr>
        <w:pStyle w:val="TextoNormalSangraFrancesa"/>
        <w:rPr>
          <w:rStyle w:val="TextoNormalCaracter"/>
        </w:rPr>
      </w:pPr>
      <w:bookmarkStart w:id="1070" w:name="DESCRIPTORALFABETICO78"/>
      <w:r w:rsidRPr="00506787">
        <w:rPr>
          <w:rStyle w:val="TextoNormalNegritaCaracter"/>
        </w:rPr>
        <w:t>Criterios de apreciación de dilaciones indebidas</w:t>
      </w:r>
      <w:bookmarkEnd w:id="1070"/>
      <w:r w:rsidRPr="00506787">
        <w:rPr>
          <w:rStyle w:val="TextoNormalCaracter"/>
        </w:rPr>
        <w:t xml:space="preserve">, Sentencia </w:t>
      </w:r>
      <w:hyperlink w:anchor="SENTENCIA_1985_5" w:history="1">
        <w:r w:rsidRPr="00506787">
          <w:rPr>
            <w:rStyle w:val="TextoNormalCaracter"/>
          </w:rPr>
          <w:t>5/1985</w:t>
        </w:r>
      </w:hyperlink>
      <w:r w:rsidRPr="00506787">
        <w:rPr>
          <w:rStyle w:val="TextoNormalCaracter"/>
        </w:rPr>
        <w:t>, f. 6, VP.</w:t>
      </w:r>
    </w:p>
    <w:p w:rsidR="00506787" w:rsidRPr="00506787" w:rsidRDefault="00506787" w:rsidP="00506787">
      <w:pPr>
        <w:pStyle w:val="TextoNormalSangraFrancesa"/>
        <w:rPr>
          <w:rStyle w:val="TextoNormalCaracter"/>
        </w:rPr>
      </w:pPr>
      <w:bookmarkStart w:id="1071" w:name="DESCRIPTORALFABETICO453"/>
      <w:r w:rsidRPr="00506787">
        <w:rPr>
          <w:rStyle w:val="TextoNormalNegritaCaracter"/>
        </w:rPr>
        <w:t>Cuantía litigiosa</w:t>
      </w:r>
      <w:bookmarkEnd w:id="1071"/>
      <w:r w:rsidRPr="00506787">
        <w:rPr>
          <w:rStyle w:val="TextoNormalCaracter"/>
        </w:rPr>
        <w:t xml:space="preserve">, Auto </w:t>
      </w:r>
      <w:hyperlink w:anchor="AUTO_1985_117" w:history="1">
        <w:r w:rsidRPr="00506787">
          <w:rPr>
            <w:rStyle w:val="TextoNormalCaracter"/>
          </w:rPr>
          <w:t>117/1985</w:t>
        </w:r>
      </w:hyperlink>
      <w:r w:rsidRPr="00506787">
        <w:rPr>
          <w:rStyle w:val="TextoNormalCaracter"/>
        </w:rPr>
        <w:t>.</w:t>
      </w:r>
    </w:p>
    <w:p w:rsidR="00506787" w:rsidRPr="00506787" w:rsidRDefault="00506787" w:rsidP="00506787">
      <w:pPr>
        <w:pStyle w:val="TextoNormalSangraFrancesa"/>
        <w:rPr>
          <w:rStyle w:val="TextoNormalCaracter"/>
        </w:rPr>
      </w:pPr>
      <w:bookmarkStart w:id="1072" w:name="DESCRIPTORALFABETICO228"/>
      <w:r w:rsidRPr="00506787">
        <w:rPr>
          <w:rStyle w:val="TextoNormalNegritaCaracter"/>
        </w:rPr>
        <w:t>Cuerpo de letrados de la Administración de justicia</w:t>
      </w:r>
      <w:bookmarkEnd w:id="1072"/>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Doctrina constitucional, </w:t>
      </w:r>
      <w:r w:rsidRPr="00506787">
        <w:rPr>
          <w:rStyle w:val="TextoNormalCaracter"/>
        </w:rPr>
        <w:t xml:space="preserve">Auto </w:t>
      </w:r>
      <w:hyperlink w:anchor="AUTO_1985_221" w:history="1">
        <w:r w:rsidRPr="00506787">
          <w:rPr>
            <w:rStyle w:val="TextoNormalCaracter"/>
          </w:rPr>
          <w:t>221/1985</w:t>
        </w:r>
      </w:hyperlink>
      <w:r w:rsidRPr="00506787">
        <w:rPr>
          <w:rStyle w:val="TextoNormalCaracter"/>
        </w:rPr>
        <w:t>.</w:t>
      </w:r>
    </w:p>
    <w:p w:rsidR="00506787" w:rsidRPr="00506787" w:rsidRDefault="00506787" w:rsidP="00506787">
      <w:pPr>
        <w:pStyle w:val="TextoNormalSangraFrancesa"/>
        <w:rPr>
          <w:rStyle w:val="TextoNormalCaracter"/>
        </w:rPr>
      </w:pPr>
      <w:bookmarkStart w:id="1073" w:name="DESCRIPTORALFABETICO315"/>
      <w:r w:rsidRPr="00506787">
        <w:rPr>
          <w:rStyle w:val="TextoNormalNegritaCaracter"/>
        </w:rPr>
        <w:t>Cuerpo especial de inspectores técnicos de formación profesional</w:t>
      </w:r>
      <w:bookmarkEnd w:id="1073"/>
      <w:r w:rsidRPr="00506787">
        <w:rPr>
          <w:rStyle w:val="TextoNormalCaracter"/>
        </w:rPr>
        <w:t xml:space="preserve">, Sentencia </w:t>
      </w:r>
      <w:hyperlink w:anchor="SENTENCIA_1985_48" w:history="1">
        <w:r w:rsidRPr="00506787">
          <w:rPr>
            <w:rStyle w:val="TextoNormalCaracter"/>
          </w:rPr>
          <w:t>48/1985</w:t>
        </w:r>
      </w:hyperlink>
      <w:r w:rsidRPr="00506787">
        <w:rPr>
          <w:rStyle w:val="TextoNormalCaracter"/>
        </w:rPr>
        <w:t>, ff. 1, 2, 3, 4, 5, 6, 7.</w:t>
      </w:r>
    </w:p>
    <w:p w:rsidR="00506787" w:rsidRPr="00506787" w:rsidRDefault="00506787" w:rsidP="00506787">
      <w:pPr>
        <w:pStyle w:val="TextoNormalSangraFrancesa"/>
        <w:rPr>
          <w:rStyle w:val="TextoNormalCaracter"/>
        </w:rPr>
      </w:pPr>
      <w:bookmarkStart w:id="1074" w:name="DESCRIPTORALFABETICO454"/>
      <w:r w:rsidRPr="00506787">
        <w:rPr>
          <w:rStyle w:val="TextoNormalNegritaCaracter"/>
        </w:rPr>
        <w:t>Cuestión de legalidad ordinaria</w:t>
      </w:r>
      <w:bookmarkEnd w:id="1074"/>
      <w:r w:rsidRPr="00506787">
        <w:rPr>
          <w:rStyle w:val="TextoNormalCaracter"/>
        </w:rPr>
        <w:t xml:space="preserve">, Sentencia </w:t>
      </w:r>
      <w:hyperlink w:anchor="SENTENCIA_1985_10" w:history="1">
        <w:r w:rsidRPr="00506787">
          <w:rPr>
            <w:rStyle w:val="TextoNormalCaracter"/>
          </w:rPr>
          <w:t>10/1985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31" w:history="1">
        <w:r w:rsidRPr="00506787">
          <w:rPr>
            <w:rStyle w:val="TextoNormalCaracter"/>
          </w:rPr>
          <w:t>31/1985</w:t>
        </w:r>
      </w:hyperlink>
      <w:r w:rsidRPr="00506787">
        <w:rPr>
          <w:rStyle w:val="TextoNormalCaracter"/>
        </w:rPr>
        <w:t xml:space="preserve">; </w:t>
      </w:r>
      <w:hyperlink w:anchor="AUTO_1985_50" w:history="1">
        <w:r w:rsidRPr="00506787">
          <w:rPr>
            <w:rStyle w:val="TextoNormalCaracter"/>
          </w:rPr>
          <w:t>50/1985</w:t>
        </w:r>
      </w:hyperlink>
      <w:r w:rsidRPr="00506787">
        <w:rPr>
          <w:rStyle w:val="TextoNormalCaracter"/>
        </w:rPr>
        <w:t xml:space="preserve">; </w:t>
      </w:r>
      <w:hyperlink w:anchor="AUTO_1985_52" w:history="1">
        <w:r w:rsidRPr="00506787">
          <w:rPr>
            <w:rStyle w:val="TextoNormalCaracter"/>
          </w:rPr>
          <w:t>52/1985</w:t>
        </w:r>
      </w:hyperlink>
      <w:r w:rsidRPr="00506787">
        <w:rPr>
          <w:rStyle w:val="TextoNormalCaracter"/>
        </w:rPr>
        <w:t xml:space="preserve">; </w:t>
      </w:r>
      <w:hyperlink w:anchor="AUTO_1985_60" w:history="1">
        <w:r w:rsidRPr="00506787">
          <w:rPr>
            <w:rStyle w:val="TextoNormalCaracter"/>
          </w:rPr>
          <w:t>60/1985</w:t>
        </w:r>
      </w:hyperlink>
      <w:r w:rsidRPr="00506787">
        <w:rPr>
          <w:rStyle w:val="TextoNormalCaracter"/>
        </w:rPr>
        <w:t xml:space="preserve">; </w:t>
      </w:r>
      <w:hyperlink w:anchor="AUTO_1985_67" w:history="1">
        <w:r w:rsidRPr="00506787">
          <w:rPr>
            <w:rStyle w:val="TextoNormalCaracter"/>
          </w:rPr>
          <w:t>67/1985</w:t>
        </w:r>
      </w:hyperlink>
      <w:r w:rsidRPr="00506787">
        <w:rPr>
          <w:rStyle w:val="TextoNormalCaracter"/>
        </w:rPr>
        <w:t xml:space="preserve">; </w:t>
      </w:r>
      <w:hyperlink w:anchor="AUTO_1985_78" w:history="1">
        <w:r w:rsidRPr="00506787">
          <w:rPr>
            <w:rStyle w:val="TextoNormalCaracter"/>
          </w:rPr>
          <w:t>78/1985</w:t>
        </w:r>
      </w:hyperlink>
      <w:r w:rsidRPr="00506787">
        <w:rPr>
          <w:rStyle w:val="TextoNormalCaracter"/>
        </w:rPr>
        <w:t xml:space="preserve">; </w:t>
      </w:r>
      <w:hyperlink w:anchor="AUTO_1985_81" w:history="1">
        <w:r w:rsidRPr="00506787">
          <w:rPr>
            <w:rStyle w:val="TextoNormalCaracter"/>
          </w:rPr>
          <w:t>81/1985</w:t>
        </w:r>
      </w:hyperlink>
      <w:r w:rsidRPr="00506787">
        <w:rPr>
          <w:rStyle w:val="TextoNormalCaracter"/>
        </w:rPr>
        <w:t xml:space="preserve">; </w:t>
      </w:r>
      <w:hyperlink w:anchor="AUTO_1985_82" w:history="1">
        <w:r w:rsidRPr="00506787">
          <w:rPr>
            <w:rStyle w:val="TextoNormalCaracter"/>
          </w:rPr>
          <w:t>82/1985</w:t>
        </w:r>
      </w:hyperlink>
      <w:r w:rsidRPr="00506787">
        <w:rPr>
          <w:rStyle w:val="TextoNormalCaracter"/>
        </w:rPr>
        <w:t xml:space="preserve">; </w:t>
      </w:r>
      <w:hyperlink w:anchor="AUTO_1985_83" w:history="1">
        <w:r w:rsidRPr="00506787">
          <w:rPr>
            <w:rStyle w:val="TextoNormalCaracter"/>
          </w:rPr>
          <w:t>83/1985</w:t>
        </w:r>
      </w:hyperlink>
      <w:r w:rsidRPr="00506787">
        <w:rPr>
          <w:rStyle w:val="TextoNormalCaracter"/>
        </w:rPr>
        <w:t xml:space="preserve">; </w:t>
      </w:r>
      <w:hyperlink w:anchor="AUTO_1985_86" w:history="1">
        <w:r w:rsidRPr="00506787">
          <w:rPr>
            <w:rStyle w:val="TextoNormalCaracter"/>
          </w:rPr>
          <w:t>86/1985</w:t>
        </w:r>
      </w:hyperlink>
      <w:r w:rsidRPr="00506787">
        <w:rPr>
          <w:rStyle w:val="TextoNormalCaracter"/>
        </w:rPr>
        <w:t xml:space="preserve">; </w:t>
      </w:r>
      <w:hyperlink w:anchor="AUTO_1985_94" w:history="1">
        <w:r w:rsidRPr="00506787">
          <w:rPr>
            <w:rStyle w:val="TextoNormalCaracter"/>
          </w:rPr>
          <w:t>94/1985</w:t>
        </w:r>
      </w:hyperlink>
      <w:r w:rsidRPr="00506787">
        <w:rPr>
          <w:rStyle w:val="TextoNormalCaracter"/>
        </w:rPr>
        <w:t xml:space="preserve">; </w:t>
      </w:r>
      <w:hyperlink w:anchor="AUTO_1985_104" w:history="1">
        <w:r w:rsidRPr="00506787">
          <w:rPr>
            <w:rStyle w:val="TextoNormalCaracter"/>
          </w:rPr>
          <w:t>104/1985</w:t>
        </w:r>
      </w:hyperlink>
      <w:r w:rsidRPr="00506787">
        <w:rPr>
          <w:rStyle w:val="TextoNormalCaracter"/>
        </w:rPr>
        <w:t xml:space="preserve">; </w:t>
      </w:r>
      <w:hyperlink w:anchor="AUTO_1985_121" w:history="1">
        <w:r w:rsidRPr="00506787">
          <w:rPr>
            <w:rStyle w:val="TextoNormalCaracter"/>
          </w:rPr>
          <w:t>121/1985</w:t>
        </w:r>
      </w:hyperlink>
      <w:r w:rsidRPr="00506787">
        <w:rPr>
          <w:rStyle w:val="TextoNormalCaracter"/>
        </w:rPr>
        <w:t xml:space="preserve">; </w:t>
      </w:r>
      <w:hyperlink w:anchor="AUTO_1985_124" w:history="1">
        <w:r w:rsidRPr="00506787">
          <w:rPr>
            <w:rStyle w:val="TextoNormalCaracter"/>
          </w:rPr>
          <w:t>124/1985</w:t>
        </w:r>
      </w:hyperlink>
      <w:r w:rsidRPr="00506787">
        <w:rPr>
          <w:rStyle w:val="TextoNormalCaracter"/>
        </w:rPr>
        <w:t xml:space="preserve">; </w:t>
      </w:r>
      <w:hyperlink w:anchor="AUTO_1985_131" w:history="1">
        <w:r w:rsidRPr="00506787">
          <w:rPr>
            <w:rStyle w:val="TextoNormalCaracter"/>
          </w:rPr>
          <w:t>131/1985</w:t>
        </w:r>
      </w:hyperlink>
      <w:r w:rsidRPr="00506787">
        <w:rPr>
          <w:rStyle w:val="TextoNormalCaracter"/>
        </w:rPr>
        <w:t xml:space="preserve">; </w:t>
      </w:r>
      <w:hyperlink w:anchor="AUTO_1985_144" w:history="1">
        <w:r w:rsidRPr="00506787">
          <w:rPr>
            <w:rStyle w:val="TextoNormalCaracter"/>
          </w:rPr>
          <w:t>144/1985</w:t>
        </w:r>
      </w:hyperlink>
      <w:r w:rsidRPr="00506787">
        <w:rPr>
          <w:rStyle w:val="TextoNormalCaracter"/>
        </w:rPr>
        <w:t xml:space="preserve">; </w:t>
      </w:r>
      <w:hyperlink w:anchor="AUTO_1985_155" w:history="1">
        <w:r w:rsidRPr="00506787">
          <w:rPr>
            <w:rStyle w:val="TextoNormalCaracter"/>
          </w:rPr>
          <w:t>155/1985</w:t>
        </w:r>
      </w:hyperlink>
      <w:r w:rsidRPr="00506787">
        <w:rPr>
          <w:rStyle w:val="TextoNormalCaracter"/>
        </w:rPr>
        <w:t xml:space="preserve">; </w:t>
      </w:r>
      <w:hyperlink w:anchor="AUTO_1985_163" w:history="1">
        <w:r w:rsidRPr="00506787">
          <w:rPr>
            <w:rStyle w:val="TextoNormalCaracter"/>
          </w:rPr>
          <w:t>163/1985</w:t>
        </w:r>
      </w:hyperlink>
      <w:r w:rsidRPr="00506787">
        <w:rPr>
          <w:rStyle w:val="TextoNormalCaracter"/>
        </w:rPr>
        <w:t xml:space="preserve">; </w:t>
      </w:r>
      <w:hyperlink w:anchor="AUTO_1985_206" w:history="1">
        <w:r w:rsidRPr="00506787">
          <w:rPr>
            <w:rStyle w:val="TextoNormalCaracter"/>
          </w:rPr>
          <w:t>206/1985</w:t>
        </w:r>
      </w:hyperlink>
      <w:r w:rsidRPr="00506787">
        <w:rPr>
          <w:rStyle w:val="TextoNormalCaracter"/>
        </w:rPr>
        <w:t xml:space="preserve">; </w:t>
      </w:r>
      <w:hyperlink w:anchor="AUTO_1985_214" w:history="1">
        <w:r w:rsidRPr="00506787">
          <w:rPr>
            <w:rStyle w:val="TextoNormalCaracter"/>
          </w:rPr>
          <w:t>214/1985</w:t>
        </w:r>
      </w:hyperlink>
      <w:r w:rsidRPr="00506787">
        <w:rPr>
          <w:rStyle w:val="TextoNormalCaracter"/>
        </w:rPr>
        <w:t xml:space="preserve">; </w:t>
      </w:r>
      <w:hyperlink w:anchor="AUTO_1985_222" w:history="1">
        <w:r w:rsidRPr="00506787">
          <w:rPr>
            <w:rStyle w:val="TextoNormalCaracter"/>
          </w:rPr>
          <w:t>222/1985</w:t>
        </w:r>
      </w:hyperlink>
      <w:r w:rsidRPr="00506787">
        <w:rPr>
          <w:rStyle w:val="TextoNormalCaracter"/>
        </w:rPr>
        <w:t xml:space="preserve">; </w:t>
      </w:r>
      <w:hyperlink w:anchor="AUTO_1985_237" w:history="1">
        <w:r w:rsidRPr="00506787">
          <w:rPr>
            <w:rStyle w:val="TextoNormalCaracter"/>
          </w:rPr>
          <w:t>237/1985</w:t>
        </w:r>
      </w:hyperlink>
      <w:r w:rsidRPr="00506787">
        <w:rPr>
          <w:rStyle w:val="TextoNormalCaracter"/>
        </w:rPr>
        <w:t xml:space="preserve">; </w:t>
      </w:r>
      <w:hyperlink w:anchor="AUTO_1985_245" w:history="1">
        <w:r w:rsidRPr="00506787">
          <w:rPr>
            <w:rStyle w:val="TextoNormalCaracter"/>
          </w:rPr>
          <w:t>245/1985</w:t>
        </w:r>
      </w:hyperlink>
      <w:r w:rsidRPr="00506787">
        <w:rPr>
          <w:rStyle w:val="TextoNormalCaracter"/>
        </w:rPr>
        <w:t>.</w:t>
      </w:r>
    </w:p>
    <w:p w:rsidR="00506787" w:rsidRPr="00506787" w:rsidRDefault="00506787" w:rsidP="00506787">
      <w:pPr>
        <w:pStyle w:val="TextoNormalSangraFrancesa"/>
        <w:rPr>
          <w:rStyle w:val="TextoNormalCaracter"/>
        </w:rPr>
      </w:pPr>
      <w:bookmarkStart w:id="1075" w:name="DESCRIPTORALFABETICO455"/>
      <w:r w:rsidRPr="00506787">
        <w:rPr>
          <w:rStyle w:val="TextoNormalNegritaCaracter"/>
        </w:rPr>
        <w:t>Cuestión nueva</w:t>
      </w:r>
      <w:bookmarkEnd w:id="1075"/>
      <w:r w:rsidRPr="00506787">
        <w:rPr>
          <w:rStyle w:val="TextoNormalCaracter"/>
        </w:rPr>
        <w:t xml:space="preserve">, Auto </w:t>
      </w:r>
      <w:hyperlink w:anchor="AUTO_1985_25" w:history="1">
        <w:r w:rsidRPr="00506787">
          <w:rPr>
            <w:rStyle w:val="TextoNormalCaracter"/>
          </w:rPr>
          <w:t>25/1985</w:t>
        </w:r>
      </w:hyperlink>
      <w:r w:rsidRPr="00506787">
        <w:rPr>
          <w:rStyle w:val="TextoNormalCaracter"/>
        </w:rPr>
        <w:t>.</w:t>
      </w:r>
    </w:p>
    <w:p w:rsidR="00506787" w:rsidRPr="00506787" w:rsidRDefault="00506787" w:rsidP="00506787">
      <w:pPr>
        <w:pStyle w:val="TextoNormalSangraFrancesa"/>
        <w:rPr>
          <w:rStyle w:val="TextoNormalCaracter"/>
        </w:rPr>
      </w:pPr>
      <w:bookmarkStart w:id="1076" w:name="DESCRIPTORALFABETICO423"/>
      <w:r w:rsidRPr="00506787">
        <w:rPr>
          <w:rStyle w:val="TextoNormalNegritaCaracter"/>
        </w:rPr>
        <w:t>Cuestión prejudicial civil</w:t>
      </w:r>
      <w:bookmarkEnd w:id="1076"/>
      <w:r w:rsidRPr="00506787">
        <w:rPr>
          <w:rStyle w:val="TextoNormalCaracter"/>
        </w:rPr>
        <w:t xml:space="preserve">, Auto </w:t>
      </w:r>
      <w:hyperlink w:anchor="AUTO_1985_267" w:history="1">
        <w:r w:rsidRPr="00506787">
          <w:rPr>
            <w:rStyle w:val="TextoNormalCaracter"/>
          </w:rPr>
          <w:t>267/1985</w:t>
        </w:r>
      </w:hyperlink>
      <w:r w:rsidRPr="00506787">
        <w:rPr>
          <w:rStyle w:val="TextoNormalCaracter"/>
        </w:rPr>
        <w:t>.</w:t>
      </w:r>
    </w:p>
    <w:p w:rsidR="00506787" w:rsidRPr="00506787" w:rsidRDefault="00506787" w:rsidP="00506787">
      <w:pPr>
        <w:pStyle w:val="TextoNormalSangraFrancesa"/>
        <w:rPr>
          <w:rStyle w:val="TextoNormalCaracter"/>
        </w:rPr>
      </w:pPr>
      <w:bookmarkStart w:id="1077" w:name="DESCRIPTORALFABETICO424"/>
      <w:r w:rsidRPr="00506787">
        <w:rPr>
          <w:rStyle w:val="TextoNormalNegritaCaracter"/>
        </w:rPr>
        <w:lastRenderedPageBreak/>
        <w:t>Cuestión prejudicial penal</w:t>
      </w:r>
      <w:bookmarkEnd w:id="1077"/>
      <w:r w:rsidRPr="00506787">
        <w:rPr>
          <w:rStyle w:val="TextoNormalCaracter"/>
        </w:rPr>
        <w:t xml:space="preserve">, Sentencia </w:t>
      </w:r>
      <w:hyperlink w:anchor="SENTENCIA_1985_36" w:history="1">
        <w:r w:rsidRPr="00506787">
          <w:rPr>
            <w:rStyle w:val="TextoNormalCaracter"/>
          </w:rPr>
          <w:t>36/1985</w:t>
        </w:r>
      </w:hyperlink>
      <w:r w:rsidRPr="00506787">
        <w:rPr>
          <w:rStyle w:val="TextoNormalCaracter"/>
        </w:rPr>
        <w:t>, f. 4.</w:t>
      </w:r>
    </w:p>
    <w:p w:rsidR="00506787" w:rsidRPr="00506787" w:rsidRDefault="00506787" w:rsidP="00506787">
      <w:pPr>
        <w:pStyle w:val="TextoNormalSangraFrancesa"/>
        <w:rPr>
          <w:rStyle w:val="TextoNormalCaracter"/>
        </w:rPr>
      </w:pPr>
      <w:bookmarkStart w:id="1078" w:name="DESCRIPTORALFABETICO421"/>
      <w:r w:rsidRPr="00506787">
        <w:rPr>
          <w:rStyle w:val="TextoNormalNegritaCaracter"/>
        </w:rPr>
        <w:t>Cuestiones de competencia judicial</w:t>
      </w:r>
      <w:bookmarkEnd w:id="1078"/>
      <w:r w:rsidRPr="00506787">
        <w:rPr>
          <w:rStyle w:val="TextoNormalCaracter"/>
        </w:rPr>
        <w:t xml:space="preserve">, Sentencias </w:t>
      </w:r>
      <w:hyperlink w:anchor="SENTENCIA_1985_22" w:history="1">
        <w:r w:rsidRPr="00506787">
          <w:rPr>
            <w:rStyle w:val="TextoNormalCaracter"/>
          </w:rPr>
          <w:t>22/1985</w:t>
        </w:r>
      </w:hyperlink>
      <w:r w:rsidRPr="00506787">
        <w:rPr>
          <w:rStyle w:val="TextoNormalCaracter"/>
        </w:rPr>
        <w:t xml:space="preserve">, f. 4, VP; </w:t>
      </w:r>
      <w:hyperlink w:anchor="SENTENCIA_1985_39" w:history="1">
        <w:r w:rsidRPr="00506787">
          <w:rPr>
            <w:rStyle w:val="TextoNormalCaracter"/>
          </w:rPr>
          <w:t>39/1985</w:t>
        </w:r>
      </w:hyperlink>
      <w:r w:rsidRPr="00506787">
        <w:rPr>
          <w:rStyle w:val="TextoNormalCaracter"/>
        </w:rPr>
        <w:t>, ff. 1, 2, 3, 4.</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72" w:history="1">
        <w:r w:rsidRPr="00506787">
          <w:rPr>
            <w:rStyle w:val="TextoNormalCaracter"/>
          </w:rPr>
          <w:t>272/1985</w:t>
        </w:r>
      </w:hyperlink>
      <w:r w:rsidRPr="00506787">
        <w:rPr>
          <w:rStyle w:val="TextoNormalCaracter"/>
        </w:rPr>
        <w:t>.</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D</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079" w:name="DESCRIPTORALFABETICO229"/>
      <w:r w:rsidRPr="00506787">
        <w:rPr>
          <w:rStyle w:val="TextoNormalNegritaCaracter"/>
        </w:rPr>
        <w:t>Deberes de los letrados de la Administración de justicia</w:t>
      </w:r>
      <w:bookmarkEnd w:id="1079"/>
      <w:r w:rsidRPr="00506787">
        <w:rPr>
          <w:rStyle w:val="TextoNormalCaracter"/>
        </w:rPr>
        <w:t xml:space="preserve">, Sentencia </w:t>
      </w:r>
      <w:hyperlink w:anchor="SENTENCIA_1985_41" w:history="1">
        <w:r w:rsidRPr="00506787">
          <w:rPr>
            <w:rStyle w:val="TextoNormalCaracter"/>
          </w:rPr>
          <w:t>41/1985</w:t>
        </w:r>
      </w:hyperlink>
      <w:r w:rsidRPr="00506787">
        <w:rPr>
          <w:rStyle w:val="TextoNormalCaracter"/>
        </w:rPr>
        <w:t>, f. 3.</w:t>
      </w:r>
    </w:p>
    <w:p w:rsidR="00506787" w:rsidRPr="00506787" w:rsidRDefault="00506787" w:rsidP="00506787">
      <w:pPr>
        <w:pStyle w:val="TextoNormalSangraFrancesa"/>
        <w:rPr>
          <w:rStyle w:val="TextoNormalCaracter"/>
        </w:rPr>
      </w:pPr>
      <w:bookmarkStart w:id="1080" w:name="DESCRIPTORALFABETICO389"/>
      <w:r w:rsidRPr="00506787">
        <w:rPr>
          <w:rStyle w:val="TextoNormalNegritaCaracter"/>
        </w:rPr>
        <w:t>Deberes laborales</w:t>
      </w:r>
      <w:bookmarkEnd w:id="1080"/>
      <w:r w:rsidRPr="00506787">
        <w:rPr>
          <w:rStyle w:val="TextoNormalCaracter"/>
        </w:rPr>
        <w:t xml:space="preserve">, Sentencia </w:t>
      </w:r>
      <w:hyperlink w:anchor="SENTENCIA_1985_19" w:history="1">
        <w:r w:rsidRPr="00506787">
          <w:rPr>
            <w:rStyle w:val="TextoNormalCaracter"/>
          </w:rPr>
          <w:t>19/1985</w:t>
        </w:r>
      </w:hyperlink>
      <w:r w:rsidRPr="00506787">
        <w:rPr>
          <w:rStyle w:val="TextoNormalCaracter"/>
        </w:rPr>
        <w:t>, f. 1.</w:t>
      </w:r>
    </w:p>
    <w:p w:rsidR="00506787" w:rsidRPr="00506787" w:rsidRDefault="00506787" w:rsidP="00506787">
      <w:pPr>
        <w:pStyle w:val="TextoNormalSangraFrancesa"/>
        <w:rPr>
          <w:rStyle w:val="TextoNormalCaracter"/>
        </w:rPr>
      </w:pPr>
      <w:bookmarkStart w:id="1081" w:name="DESCRIPTORALFABETICO366"/>
      <w:r w:rsidRPr="00506787">
        <w:rPr>
          <w:rStyle w:val="TextoNormalNegritaCaracter"/>
        </w:rPr>
        <w:t>Deberes religiosos</w:t>
      </w:r>
      <w:bookmarkEnd w:id="1081"/>
      <w:r w:rsidRPr="00506787">
        <w:rPr>
          <w:rStyle w:val="TextoNormalCaracter"/>
        </w:rPr>
        <w:t xml:space="preserve">, Sentencia </w:t>
      </w:r>
      <w:hyperlink w:anchor="SENTENCIA_1985_19" w:history="1">
        <w:r w:rsidRPr="00506787">
          <w:rPr>
            <w:rStyle w:val="TextoNormalCaracter"/>
          </w:rPr>
          <w:t>19/1985</w:t>
        </w:r>
      </w:hyperlink>
      <w:r w:rsidRPr="00506787">
        <w:rPr>
          <w:rStyle w:val="TextoNormalCaracter"/>
        </w:rPr>
        <w:t>, ff. 3, 4.</w:t>
      </w:r>
    </w:p>
    <w:p w:rsidR="00506787" w:rsidRPr="00506787" w:rsidRDefault="00506787" w:rsidP="00506787">
      <w:pPr>
        <w:pStyle w:val="TextoNormalSangraFrancesa"/>
        <w:rPr>
          <w:rStyle w:val="TextoNormalCaracter"/>
        </w:rPr>
      </w:pPr>
      <w:bookmarkStart w:id="1082" w:name="DESCRIPTORALFABETICO415"/>
      <w:r w:rsidRPr="00506787">
        <w:rPr>
          <w:rStyle w:val="TextoNormalNegritaCaracter"/>
        </w:rPr>
        <w:t>Declaración de competencia de jurisdicción</w:t>
      </w:r>
      <w:bookmarkEnd w:id="1082"/>
      <w:r w:rsidRPr="00506787">
        <w:rPr>
          <w:rStyle w:val="TextoNormalCaracter"/>
        </w:rPr>
        <w:t xml:space="preserve">, Auto </w:t>
      </w:r>
      <w:hyperlink w:anchor="AUTO_1985_34" w:history="1">
        <w:r w:rsidRPr="00506787">
          <w:rPr>
            <w:rStyle w:val="TextoNormalCaracter"/>
          </w:rPr>
          <w:t>34/1985</w:t>
        </w:r>
      </w:hyperlink>
      <w:r w:rsidRPr="00506787">
        <w:rPr>
          <w:rStyle w:val="TextoNormalCaracter"/>
        </w:rPr>
        <w:t>.</w:t>
      </w:r>
    </w:p>
    <w:p w:rsidR="00506787" w:rsidRPr="00506787" w:rsidRDefault="00506787" w:rsidP="00506787">
      <w:pPr>
        <w:pStyle w:val="TextoNormalSangraFrancesa"/>
        <w:rPr>
          <w:rStyle w:val="TextoNormalCaracter"/>
        </w:rPr>
      </w:pPr>
      <w:bookmarkStart w:id="1083" w:name="DESCRIPTORALFABETICO417"/>
      <w:r w:rsidRPr="00506787">
        <w:rPr>
          <w:rStyle w:val="TextoNormalNegritaCaracter"/>
        </w:rPr>
        <w:t>Declaración de incompetencia de jurisdicción</w:t>
      </w:r>
      <w:bookmarkEnd w:id="1083"/>
      <w:r w:rsidRPr="00506787">
        <w:rPr>
          <w:rStyle w:val="TextoNormalCaracter"/>
        </w:rPr>
        <w:t xml:space="preserve">, Sentencias </w:t>
      </w:r>
      <w:hyperlink w:anchor="SENTENCIA_1985_22" w:history="1">
        <w:r w:rsidRPr="00506787">
          <w:rPr>
            <w:rStyle w:val="TextoNormalCaracter"/>
          </w:rPr>
          <w:t>22/1985</w:t>
        </w:r>
      </w:hyperlink>
      <w:r w:rsidRPr="00506787">
        <w:rPr>
          <w:rStyle w:val="TextoNormalCaracter"/>
        </w:rPr>
        <w:t xml:space="preserve">, ff. 3, 4, VP; </w:t>
      </w:r>
      <w:hyperlink w:anchor="SENTENCIA_1985_39" w:history="1">
        <w:r w:rsidRPr="00506787">
          <w:rPr>
            <w:rStyle w:val="TextoNormalCaracter"/>
          </w:rPr>
          <w:t>39/1985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72" w:history="1">
        <w:r w:rsidRPr="00506787">
          <w:rPr>
            <w:rStyle w:val="TextoNormalCaracter"/>
          </w:rPr>
          <w:t>272/1985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Declaración de incompetencia por el Juez</w:t>
      </w:r>
      <w:r>
        <w:t xml:space="preserve"> véase </w:t>
      </w:r>
      <w:hyperlink w:anchor="DESCRIPTORALFABETICO417" w:history="1">
        <w:r w:rsidRPr="00506787">
          <w:rPr>
            <w:rStyle w:val="TextoNormalNegritaCaracter"/>
          </w:rPr>
          <w:t>Declaración de incompetencia de jurisdicción</w:t>
        </w:r>
      </w:hyperlink>
    </w:p>
    <w:p w:rsidR="00506787" w:rsidRPr="00506787" w:rsidRDefault="00506787" w:rsidP="00506787">
      <w:pPr>
        <w:pStyle w:val="TextoNormalSangraFrancesa"/>
        <w:rPr>
          <w:rStyle w:val="TextoNormalCaracter"/>
        </w:rPr>
      </w:pPr>
      <w:bookmarkStart w:id="1084" w:name="DESCRIPTORALFABETICO341"/>
      <w:r w:rsidRPr="00506787">
        <w:rPr>
          <w:rStyle w:val="TextoNormalNegritaCaracter"/>
        </w:rPr>
        <w:t>Decretos de traspaso de servicios</w:t>
      </w:r>
      <w:bookmarkEnd w:id="1084"/>
      <w:r w:rsidRPr="00506787">
        <w:rPr>
          <w:rStyle w:val="TextoNormalCaracter"/>
        </w:rPr>
        <w:t xml:space="preserve">, Sentencia </w:t>
      </w:r>
      <w:hyperlink w:anchor="SENTENCIA_1985_48" w:history="1">
        <w:r w:rsidRPr="00506787">
          <w:rPr>
            <w:rStyle w:val="TextoNormalCaracter"/>
          </w:rPr>
          <w:t>48/1985</w:t>
        </w:r>
      </w:hyperlink>
      <w:r w:rsidRPr="00506787">
        <w:rPr>
          <w:rStyle w:val="TextoNormalCaracter"/>
        </w:rPr>
        <w:t>, f. 5.</w:t>
      </w:r>
    </w:p>
    <w:p w:rsidR="00506787" w:rsidRPr="00506787" w:rsidRDefault="00506787" w:rsidP="00506787">
      <w:pPr>
        <w:pStyle w:val="TextoNormalSangraFrancesa"/>
        <w:rPr>
          <w:rStyle w:val="TextoNormalCaracter"/>
        </w:rPr>
      </w:pPr>
      <w:bookmarkStart w:id="1085" w:name="DESCRIPTORALFABETICO175"/>
      <w:r w:rsidRPr="00506787">
        <w:rPr>
          <w:rStyle w:val="TextoNormalNegritaCaracter"/>
        </w:rPr>
        <w:t>Defectos de la demanda de amparo</w:t>
      </w:r>
      <w:bookmarkEnd w:id="1085"/>
      <w:r w:rsidRPr="00506787">
        <w:rPr>
          <w:rStyle w:val="TextoNormalCaracter"/>
        </w:rPr>
        <w:t xml:space="preserve">, Autos </w:t>
      </w:r>
      <w:hyperlink w:anchor="AUTO_1985_44" w:history="1">
        <w:r w:rsidRPr="00506787">
          <w:rPr>
            <w:rStyle w:val="TextoNormalCaracter"/>
          </w:rPr>
          <w:t>44/1985</w:t>
        </w:r>
      </w:hyperlink>
      <w:r w:rsidRPr="00506787">
        <w:rPr>
          <w:rStyle w:val="TextoNormalCaracter"/>
        </w:rPr>
        <w:t xml:space="preserve">; </w:t>
      </w:r>
      <w:hyperlink w:anchor="AUTO_1985_60" w:history="1">
        <w:r w:rsidRPr="00506787">
          <w:rPr>
            <w:rStyle w:val="TextoNormalCaracter"/>
          </w:rPr>
          <w:t>60/1985</w:t>
        </w:r>
      </w:hyperlink>
      <w:r w:rsidRPr="00506787">
        <w:rPr>
          <w:rStyle w:val="TextoNormalCaracter"/>
        </w:rPr>
        <w:t xml:space="preserve">; </w:t>
      </w:r>
      <w:hyperlink w:anchor="AUTO_1985_85" w:history="1">
        <w:r w:rsidRPr="00506787">
          <w:rPr>
            <w:rStyle w:val="TextoNormalCaracter"/>
          </w:rPr>
          <w:t>85/1985</w:t>
        </w:r>
      </w:hyperlink>
      <w:r w:rsidRPr="00506787">
        <w:rPr>
          <w:rStyle w:val="TextoNormalCaracter"/>
        </w:rPr>
        <w:t xml:space="preserve">; </w:t>
      </w:r>
      <w:hyperlink w:anchor="AUTO_1985_86" w:history="1">
        <w:r w:rsidRPr="00506787">
          <w:rPr>
            <w:rStyle w:val="TextoNormalCaracter"/>
          </w:rPr>
          <w:t>86/1985</w:t>
        </w:r>
      </w:hyperlink>
      <w:r w:rsidRPr="00506787">
        <w:rPr>
          <w:rStyle w:val="TextoNormalCaracter"/>
        </w:rPr>
        <w:t xml:space="preserve">; </w:t>
      </w:r>
      <w:hyperlink w:anchor="AUTO_1985_141" w:history="1">
        <w:r w:rsidRPr="00506787">
          <w:rPr>
            <w:rStyle w:val="TextoNormalCaracter"/>
          </w:rPr>
          <w:t>141/1985</w:t>
        </w:r>
      </w:hyperlink>
      <w:r w:rsidRPr="00506787">
        <w:rPr>
          <w:rStyle w:val="TextoNormalCaracter"/>
        </w:rPr>
        <w:t xml:space="preserve">; </w:t>
      </w:r>
      <w:hyperlink w:anchor="AUTO_1985_150" w:history="1">
        <w:r w:rsidRPr="00506787">
          <w:rPr>
            <w:rStyle w:val="TextoNormalCaracter"/>
          </w:rPr>
          <w:t>150/1985</w:t>
        </w:r>
      </w:hyperlink>
      <w:r w:rsidRPr="00506787">
        <w:rPr>
          <w:rStyle w:val="TextoNormalCaracter"/>
        </w:rPr>
        <w:t xml:space="preserve">; </w:t>
      </w:r>
      <w:hyperlink w:anchor="AUTO_1985_157" w:history="1">
        <w:r w:rsidRPr="00506787">
          <w:rPr>
            <w:rStyle w:val="TextoNormalCaracter"/>
          </w:rPr>
          <w:t>157/1985</w:t>
        </w:r>
      </w:hyperlink>
      <w:r w:rsidRPr="00506787">
        <w:rPr>
          <w:rStyle w:val="TextoNormalCaracter"/>
        </w:rPr>
        <w:t xml:space="preserve">; </w:t>
      </w:r>
      <w:hyperlink w:anchor="AUTO_1985_193" w:history="1">
        <w:r w:rsidRPr="00506787">
          <w:rPr>
            <w:rStyle w:val="TextoNormalCaracter"/>
          </w:rPr>
          <w:t>193/1985</w:t>
        </w:r>
      </w:hyperlink>
      <w:r w:rsidRPr="00506787">
        <w:rPr>
          <w:rStyle w:val="TextoNormalCaracter"/>
        </w:rPr>
        <w:t xml:space="preserve">; </w:t>
      </w:r>
      <w:hyperlink w:anchor="AUTO_1985_218" w:history="1">
        <w:r w:rsidRPr="00506787">
          <w:rPr>
            <w:rStyle w:val="TextoNormalCaracter"/>
          </w:rPr>
          <w:t>218/1985</w:t>
        </w:r>
      </w:hyperlink>
      <w:r w:rsidRPr="00506787">
        <w:rPr>
          <w:rStyle w:val="TextoNormalCaracter"/>
        </w:rPr>
        <w:t>.</w:t>
      </w:r>
    </w:p>
    <w:p w:rsidR="00506787" w:rsidRPr="00506787" w:rsidRDefault="00506787" w:rsidP="00506787">
      <w:pPr>
        <w:pStyle w:val="TextoNormalSangraFrancesa"/>
        <w:rPr>
          <w:rStyle w:val="TextoNormalCaracter"/>
        </w:rPr>
      </w:pPr>
      <w:bookmarkStart w:id="1086" w:name="DESCRIPTORALFABETICO456"/>
      <w:r w:rsidRPr="00506787">
        <w:rPr>
          <w:rStyle w:val="TextoNormalNegritaCaracter"/>
        </w:rPr>
        <w:t>Defectos procesales</w:t>
      </w:r>
      <w:bookmarkEnd w:id="1086"/>
      <w:r w:rsidRPr="00506787">
        <w:rPr>
          <w:rStyle w:val="TextoNormalCaracter"/>
        </w:rPr>
        <w:t xml:space="preserve">, Autos </w:t>
      </w:r>
      <w:hyperlink w:anchor="AUTO_1985_168" w:history="1">
        <w:r w:rsidRPr="00506787">
          <w:rPr>
            <w:rStyle w:val="TextoNormalCaracter"/>
          </w:rPr>
          <w:t>168/1985</w:t>
        </w:r>
      </w:hyperlink>
      <w:r w:rsidRPr="00506787">
        <w:rPr>
          <w:rStyle w:val="TextoNormalCaracter"/>
        </w:rPr>
        <w:t xml:space="preserve">; </w:t>
      </w:r>
      <w:hyperlink w:anchor="AUTO_1985_278" w:history="1">
        <w:r w:rsidRPr="00506787">
          <w:rPr>
            <w:rStyle w:val="TextoNormalCaracter"/>
          </w:rPr>
          <w:t>278/1985</w:t>
        </w:r>
      </w:hyperlink>
      <w:r w:rsidRPr="00506787">
        <w:rPr>
          <w:rStyle w:val="TextoNormalCaracter"/>
        </w:rPr>
        <w:t>.</w:t>
      </w:r>
    </w:p>
    <w:p w:rsidR="00506787" w:rsidRPr="00506787" w:rsidRDefault="00506787" w:rsidP="00506787">
      <w:pPr>
        <w:pStyle w:val="TextoNormalSangraFrancesa"/>
        <w:rPr>
          <w:rStyle w:val="TextoNormalCaracter"/>
        </w:rPr>
      </w:pPr>
      <w:bookmarkStart w:id="1087" w:name="DESCRIPTORALFABETICO5"/>
      <w:r w:rsidRPr="00506787">
        <w:rPr>
          <w:rStyle w:val="TextoNormalNegritaCaracter"/>
        </w:rPr>
        <w:t>Delegación de competencias del Estado</w:t>
      </w:r>
      <w:bookmarkEnd w:id="1087"/>
      <w:r w:rsidRPr="00506787">
        <w:rPr>
          <w:rStyle w:val="TextoNormalCaracter"/>
        </w:rPr>
        <w:t xml:space="preserve">, Sentencia </w:t>
      </w:r>
      <w:hyperlink w:anchor="SENTENCIA_1985_9" w:history="1">
        <w:r w:rsidRPr="00506787">
          <w:rPr>
            <w:rStyle w:val="TextoNormalCaracter"/>
          </w:rPr>
          <w:t>9/1985</w:t>
        </w:r>
      </w:hyperlink>
      <w:r w:rsidRPr="00506787">
        <w:rPr>
          <w:rStyle w:val="TextoNormalCaracter"/>
        </w:rPr>
        <w:t>, ff. 1, 2, 3.</w:t>
      </w:r>
    </w:p>
    <w:p w:rsidR="00506787" w:rsidRPr="00506787" w:rsidRDefault="00506787" w:rsidP="00506787">
      <w:pPr>
        <w:pStyle w:val="TextoNormalSangraFrancesa"/>
        <w:rPr>
          <w:rStyle w:val="TextoNormalCaracter"/>
        </w:rPr>
      </w:pPr>
      <w:bookmarkStart w:id="1088" w:name="DESCRIPTORALFABETICO416"/>
      <w:r w:rsidRPr="00506787">
        <w:rPr>
          <w:rStyle w:val="TextoNormalNegritaCaracter"/>
        </w:rPr>
        <w:t>Delimitación de competencias judiciales</w:t>
      </w:r>
      <w:bookmarkEnd w:id="1088"/>
      <w:r w:rsidRPr="00506787">
        <w:rPr>
          <w:rStyle w:val="TextoNormalCaracter"/>
        </w:rPr>
        <w:t xml:space="preserve">, Sentencia </w:t>
      </w:r>
      <w:hyperlink w:anchor="SENTENCIA_1985_43" w:history="1">
        <w:r w:rsidRPr="00506787">
          <w:rPr>
            <w:rStyle w:val="TextoNormalCaracter"/>
          </w:rPr>
          <w:t>43/1985</w:t>
        </w:r>
      </w:hyperlink>
      <w:r w:rsidRPr="00506787">
        <w:rPr>
          <w:rStyle w:val="TextoNormalCaracter"/>
        </w:rPr>
        <w:t>, f. 1.</w:t>
      </w:r>
    </w:p>
    <w:p w:rsidR="00506787" w:rsidRPr="00506787" w:rsidRDefault="00506787" w:rsidP="00506787">
      <w:pPr>
        <w:pStyle w:val="TextoNormalSangraFrancesa"/>
        <w:rPr>
          <w:rStyle w:val="TextoNormalCaracter"/>
        </w:rPr>
      </w:pPr>
      <w:bookmarkStart w:id="1089" w:name="DESCRIPTORALFABETICO247"/>
      <w:r w:rsidRPr="00506787">
        <w:rPr>
          <w:rStyle w:val="TextoNormalNegritaCaracter"/>
        </w:rPr>
        <w:t>Delimitación de la inviolabilidad parlamentaria</w:t>
      </w:r>
      <w:bookmarkEnd w:id="1089"/>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4.</w:t>
      </w:r>
    </w:p>
    <w:p w:rsidR="00506787" w:rsidRPr="00506787" w:rsidRDefault="00506787" w:rsidP="00506787">
      <w:pPr>
        <w:pStyle w:val="TextoNormalSangraFrancesa"/>
        <w:rPr>
          <w:rStyle w:val="TextoNormalCaracter"/>
        </w:rPr>
      </w:pPr>
      <w:bookmarkStart w:id="1090" w:name="DESCRIPTORALFABETICO321"/>
      <w:r w:rsidRPr="00506787">
        <w:rPr>
          <w:rStyle w:val="TextoNormalNegritaCaracter"/>
        </w:rPr>
        <w:t>Delitos fiscales</w:t>
      </w:r>
      <w:bookmarkEnd w:id="1090"/>
      <w:r w:rsidRPr="00506787">
        <w:rPr>
          <w:rStyle w:val="TextoNormalCaracter"/>
        </w:rPr>
        <w:t xml:space="preserve">, Auto </w:t>
      </w:r>
      <w:hyperlink w:anchor="AUTO_1985_59" w:history="1">
        <w:r w:rsidRPr="00506787">
          <w:rPr>
            <w:rStyle w:val="TextoNormalCaracter"/>
          </w:rPr>
          <w:t>59/1985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Demora procesal</w:t>
      </w:r>
      <w:r>
        <w:t xml:space="preserve"> véase </w:t>
      </w:r>
      <w:hyperlink w:anchor="DESCRIPTORALFABETICO458" w:history="1">
        <w:r w:rsidRPr="00506787">
          <w:rPr>
            <w:rStyle w:val="TextoNormalNegritaCaracter"/>
          </w:rPr>
          <w:t>Dilaciones indebidas en el procedimiento</w:t>
        </w:r>
      </w:hyperlink>
    </w:p>
    <w:p w:rsidR="00506787" w:rsidRPr="00506787" w:rsidRDefault="00506787" w:rsidP="00506787">
      <w:pPr>
        <w:pStyle w:val="TextoNormalSangraFrancesa"/>
        <w:rPr>
          <w:rStyle w:val="TextoNormalCaracter"/>
        </w:rPr>
      </w:pPr>
      <w:bookmarkStart w:id="1091" w:name="DESCRIPTORALFABETICO73"/>
      <w:r w:rsidRPr="00506787">
        <w:rPr>
          <w:rStyle w:val="TextoNormalNegritaCaracter"/>
        </w:rPr>
        <w:t>Denegación de asistencia letrada</w:t>
      </w:r>
      <w:bookmarkEnd w:id="1091"/>
      <w:r w:rsidRPr="00506787">
        <w:rPr>
          <w:rStyle w:val="TextoNormalCaracter"/>
        </w:rPr>
        <w:t xml:space="preserve">, Auto </w:t>
      </w:r>
      <w:hyperlink w:anchor="AUTO_1985_51" w:history="1">
        <w:r w:rsidRPr="00506787">
          <w:rPr>
            <w:rStyle w:val="TextoNormalCaracter"/>
          </w:rPr>
          <w:t>51/1985</w:t>
        </w:r>
      </w:hyperlink>
      <w:r w:rsidRPr="00506787">
        <w:rPr>
          <w:rStyle w:val="TextoNormalCaracter"/>
        </w:rPr>
        <w:t>.</w:t>
      </w:r>
    </w:p>
    <w:p w:rsidR="00506787" w:rsidRPr="00506787" w:rsidRDefault="00506787" w:rsidP="00506787">
      <w:pPr>
        <w:pStyle w:val="TextoNormalSangraFrancesa"/>
        <w:rPr>
          <w:rStyle w:val="TextoNormalCaracter"/>
        </w:rPr>
      </w:pPr>
      <w:bookmarkStart w:id="1092" w:name="DESCRIPTORALFABETICO141"/>
      <w:r w:rsidRPr="00506787">
        <w:rPr>
          <w:rStyle w:val="TextoNormalNegritaCaracter"/>
        </w:rPr>
        <w:t>Denegación de la suspensión de disposiciones de las Comunidades Autónomas</w:t>
      </w:r>
      <w:bookmarkEnd w:id="1092"/>
      <w:r w:rsidRPr="00506787">
        <w:rPr>
          <w:rStyle w:val="TextoNormalCaracter"/>
        </w:rPr>
        <w:t xml:space="preserve">, Auto </w:t>
      </w:r>
      <w:hyperlink w:anchor="AUTO_1985_284" w:history="1">
        <w:r w:rsidRPr="00506787">
          <w:rPr>
            <w:rStyle w:val="TextoNormalCaracter"/>
          </w:rPr>
          <w:t>284/1985</w:t>
        </w:r>
      </w:hyperlink>
      <w:r w:rsidRPr="00506787">
        <w:rPr>
          <w:rStyle w:val="TextoNormalCaracter"/>
        </w:rPr>
        <w:t>.</w:t>
      </w:r>
    </w:p>
    <w:p w:rsidR="00506787" w:rsidRPr="00506787" w:rsidRDefault="00506787" w:rsidP="00506787">
      <w:pPr>
        <w:pStyle w:val="TextoNormalSangraFrancesa"/>
        <w:rPr>
          <w:rStyle w:val="TextoNormalCaracter"/>
        </w:rPr>
      </w:pPr>
      <w:bookmarkStart w:id="1093" w:name="DESCRIPTORALFABETICO500"/>
      <w:r w:rsidRPr="00506787">
        <w:rPr>
          <w:rStyle w:val="TextoNormalNegritaCaracter"/>
        </w:rPr>
        <w:t>Denegación de legitimación procesal</w:t>
      </w:r>
      <w:bookmarkEnd w:id="1093"/>
      <w:r w:rsidRPr="00506787">
        <w:rPr>
          <w:rStyle w:val="TextoNormalCaracter"/>
        </w:rPr>
        <w:t xml:space="preserve">, Auto </w:t>
      </w:r>
      <w:hyperlink w:anchor="AUTO_1985_100" w:history="1">
        <w:r w:rsidRPr="00506787">
          <w:rPr>
            <w:rStyle w:val="TextoNormalCaracter"/>
          </w:rPr>
          <w:t>100/1985</w:t>
        </w:r>
      </w:hyperlink>
      <w:r w:rsidRPr="00506787">
        <w:rPr>
          <w:rStyle w:val="TextoNormalCaracter"/>
        </w:rPr>
        <w:t>.</w:t>
      </w:r>
    </w:p>
    <w:p w:rsidR="00506787" w:rsidRPr="00506787" w:rsidRDefault="00506787" w:rsidP="00506787">
      <w:pPr>
        <w:pStyle w:val="TextoNormalSangraFrancesa"/>
        <w:rPr>
          <w:rStyle w:val="TextoNormalCaracter"/>
        </w:rPr>
      </w:pPr>
      <w:bookmarkStart w:id="1094" w:name="DESCRIPTORALFABETICO471"/>
      <w:r w:rsidRPr="00506787">
        <w:rPr>
          <w:rStyle w:val="TextoNormalNegritaCaracter"/>
        </w:rPr>
        <w:t>Denegación de prueba</w:t>
      </w:r>
      <w:bookmarkEnd w:id="1094"/>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9.</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21" w:history="1">
        <w:r w:rsidRPr="00506787">
          <w:rPr>
            <w:rStyle w:val="TextoNormalCaracter"/>
          </w:rPr>
          <w:t>21/1985</w:t>
        </w:r>
      </w:hyperlink>
      <w:r w:rsidRPr="00506787">
        <w:rPr>
          <w:rStyle w:val="TextoNormalCaracter"/>
        </w:rPr>
        <w:t xml:space="preserve">; </w:t>
      </w:r>
      <w:hyperlink w:anchor="AUTO_1985_25" w:history="1">
        <w:r w:rsidRPr="00506787">
          <w:rPr>
            <w:rStyle w:val="TextoNormalCaracter"/>
          </w:rPr>
          <w:t>25/1985</w:t>
        </w:r>
      </w:hyperlink>
      <w:r w:rsidRPr="00506787">
        <w:rPr>
          <w:rStyle w:val="TextoNormalCaracter"/>
        </w:rPr>
        <w:t xml:space="preserve">; </w:t>
      </w:r>
      <w:hyperlink w:anchor="AUTO_1985_70" w:history="1">
        <w:r w:rsidRPr="00506787">
          <w:rPr>
            <w:rStyle w:val="TextoNormalCaracter"/>
          </w:rPr>
          <w:t>70/1985</w:t>
        </w:r>
      </w:hyperlink>
      <w:r w:rsidRPr="00506787">
        <w:rPr>
          <w:rStyle w:val="TextoNormalCaracter"/>
        </w:rPr>
        <w:t xml:space="preserve">; </w:t>
      </w:r>
      <w:hyperlink w:anchor="AUTO_1985_82" w:history="1">
        <w:r w:rsidRPr="00506787">
          <w:rPr>
            <w:rStyle w:val="TextoNormalCaracter"/>
          </w:rPr>
          <w:t>82/1985</w:t>
        </w:r>
      </w:hyperlink>
      <w:r w:rsidRPr="00506787">
        <w:rPr>
          <w:rStyle w:val="TextoNormalCaracter"/>
        </w:rPr>
        <w:t xml:space="preserve">; </w:t>
      </w:r>
      <w:hyperlink w:anchor="AUTO_1985_157" w:history="1">
        <w:r w:rsidRPr="00506787">
          <w:rPr>
            <w:rStyle w:val="TextoNormalCaracter"/>
          </w:rPr>
          <w:t>157/1985</w:t>
        </w:r>
      </w:hyperlink>
      <w:r w:rsidRPr="00506787">
        <w:rPr>
          <w:rStyle w:val="TextoNormalCaracter"/>
        </w:rPr>
        <w:t xml:space="preserve">; </w:t>
      </w:r>
      <w:hyperlink w:anchor="AUTO_1985_198" w:history="1">
        <w:r w:rsidRPr="00506787">
          <w:rPr>
            <w:rStyle w:val="TextoNormalCaracter"/>
          </w:rPr>
          <w:t>198/1985</w:t>
        </w:r>
      </w:hyperlink>
      <w:r w:rsidRPr="00506787">
        <w:rPr>
          <w:rStyle w:val="TextoNormalCaracter"/>
        </w:rPr>
        <w:t xml:space="preserve">; </w:t>
      </w:r>
      <w:hyperlink w:anchor="AUTO_1985_200" w:history="1">
        <w:r w:rsidRPr="00506787">
          <w:rPr>
            <w:rStyle w:val="TextoNormalCaracter"/>
          </w:rPr>
          <w:t>200/1985</w:t>
        </w:r>
      </w:hyperlink>
      <w:r w:rsidRPr="00506787">
        <w:rPr>
          <w:rStyle w:val="TextoNormalCaracter"/>
        </w:rPr>
        <w:t xml:space="preserve">; </w:t>
      </w:r>
      <w:hyperlink w:anchor="AUTO_1985_208" w:history="1">
        <w:r w:rsidRPr="00506787">
          <w:rPr>
            <w:rStyle w:val="TextoNormalCaracter"/>
          </w:rPr>
          <w:t>208/1985</w:t>
        </w:r>
      </w:hyperlink>
      <w:r w:rsidRPr="00506787">
        <w:rPr>
          <w:rStyle w:val="TextoNormalCaracter"/>
        </w:rPr>
        <w:t xml:space="preserve">; </w:t>
      </w:r>
      <w:hyperlink w:anchor="AUTO_1985_219" w:history="1">
        <w:r w:rsidRPr="00506787">
          <w:rPr>
            <w:rStyle w:val="TextoNormalCaracter"/>
          </w:rPr>
          <w:t>219/1985</w:t>
        </w:r>
      </w:hyperlink>
      <w:r w:rsidRPr="00506787">
        <w:rPr>
          <w:rStyle w:val="TextoNormalCaracter"/>
        </w:rPr>
        <w:t xml:space="preserve">; </w:t>
      </w:r>
      <w:hyperlink w:anchor="AUTO_1985_230" w:history="1">
        <w:r w:rsidRPr="00506787">
          <w:rPr>
            <w:rStyle w:val="TextoNormalCaracter"/>
          </w:rPr>
          <w:t>230/1985</w:t>
        </w:r>
      </w:hyperlink>
      <w:r w:rsidRPr="00506787">
        <w:rPr>
          <w:rStyle w:val="TextoNormalCaracter"/>
        </w:rPr>
        <w:t xml:space="preserve">; </w:t>
      </w:r>
      <w:hyperlink w:anchor="AUTO_1985_249" w:history="1">
        <w:r w:rsidRPr="00506787">
          <w:rPr>
            <w:rStyle w:val="TextoNormalCaracter"/>
          </w:rPr>
          <w:t>249/1985</w:t>
        </w:r>
      </w:hyperlink>
      <w:r w:rsidRPr="00506787">
        <w:rPr>
          <w:rStyle w:val="TextoNormalCaracter"/>
        </w:rPr>
        <w:t xml:space="preserve">; </w:t>
      </w:r>
      <w:hyperlink w:anchor="AUTO_1985_267" w:history="1">
        <w:r w:rsidRPr="00506787">
          <w:rPr>
            <w:rStyle w:val="TextoNormalCaracter"/>
          </w:rPr>
          <w:t>267/1985</w:t>
        </w:r>
      </w:hyperlink>
      <w:r w:rsidRPr="00506787">
        <w:rPr>
          <w:rStyle w:val="TextoNormalCaracter"/>
        </w:rPr>
        <w:t xml:space="preserve">; </w:t>
      </w:r>
      <w:hyperlink w:anchor="AUTO_1985_269" w:history="1">
        <w:r w:rsidRPr="00506787">
          <w:rPr>
            <w:rStyle w:val="TextoNormalCaracter"/>
          </w:rPr>
          <w:t>269/1985</w:t>
        </w:r>
      </w:hyperlink>
      <w:r w:rsidRPr="00506787">
        <w:rPr>
          <w:rStyle w:val="TextoNormalCaracter"/>
        </w:rPr>
        <w:t>.</w:t>
      </w:r>
    </w:p>
    <w:p w:rsidR="00506787" w:rsidRPr="00506787" w:rsidRDefault="00506787" w:rsidP="00506787">
      <w:pPr>
        <w:pStyle w:val="TextoNormalSangraFrancesa"/>
        <w:rPr>
          <w:rStyle w:val="TextoNormalCaracter"/>
        </w:rPr>
      </w:pPr>
      <w:bookmarkStart w:id="1095" w:name="DESCRIPTORALFABETICO472"/>
      <w:r w:rsidRPr="00506787">
        <w:rPr>
          <w:rStyle w:val="TextoNormalNegritaCaracter"/>
        </w:rPr>
        <w:t>Denegación de prueba en caso de extradición</w:t>
      </w:r>
      <w:bookmarkEnd w:id="1095"/>
      <w:r w:rsidRPr="00506787">
        <w:rPr>
          <w:rStyle w:val="TextoNormalCaracter"/>
        </w:rPr>
        <w:t xml:space="preserve">, Auto </w:t>
      </w:r>
      <w:hyperlink w:anchor="AUTO_1985_198" w:history="1">
        <w:r w:rsidRPr="00506787">
          <w:rPr>
            <w:rStyle w:val="TextoNormalCaracter"/>
          </w:rPr>
          <w:t>198/1985</w:t>
        </w:r>
      </w:hyperlink>
      <w:r w:rsidRPr="00506787">
        <w:rPr>
          <w:rStyle w:val="TextoNormalCaracter"/>
        </w:rPr>
        <w:t>.</w:t>
      </w:r>
    </w:p>
    <w:p w:rsidR="00506787" w:rsidRPr="00506787" w:rsidRDefault="00506787" w:rsidP="00506787">
      <w:pPr>
        <w:pStyle w:val="TextoNormalSangraFrancesa"/>
        <w:rPr>
          <w:rStyle w:val="TextoNormalCaracter"/>
        </w:rPr>
      </w:pPr>
      <w:bookmarkStart w:id="1096" w:name="DESCRIPTORALFABETICO18"/>
      <w:r w:rsidRPr="00506787">
        <w:rPr>
          <w:rStyle w:val="TextoNormalNegritaCaracter"/>
        </w:rPr>
        <w:t>Derecho a acceder a los cargos públicos</w:t>
      </w:r>
      <w:bookmarkEnd w:id="1096"/>
      <w:r w:rsidRPr="00506787">
        <w:rPr>
          <w:rStyle w:val="TextoNormalCaracter"/>
        </w:rPr>
        <w:t xml:space="preserve">, Sentencias </w:t>
      </w:r>
      <w:hyperlink w:anchor="SENTENCIA_1985_8" w:history="1">
        <w:r w:rsidRPr="00506787">
          <w:rPr>
            <w:rStyle w:val="TextoNormalCaracter"/>
          </w:rPr>
          <w:t>8/1985</w:t>
        </w:r>
      </w:hyperlink>
      <w:r w:rsidRPr="00506787">
        <w:rPr>
          <w:rStyle w:val="TextoNormalCaracter"/>
        </w:rPr>
        <w:t xml:space="preserve">, ff. 1, 2, 3, 4, 5; </w:t>
      </w:r>
      <w:hyperlink w:anchor="SENTENCIA_1985_32" w:history="1">
        <w:r w:rsidRPr="00506787">
          <w:rPr>
            <w:rStyle w:val="TextoNormalCaracter"/>
          </w:rPr>
          <w:t>32/1985</w:t>
        </w:r>
      </w:hyperlink>
      <w:r w:rsidRPr="00506787">
        <w:rPr>
          <w:rStyle w:val="TextoNormalCaracter"/>
        </w:rPr>
        <w:t xml:space="preserve">, f. 3; </w:t>
      </w:r>
      <w:hyperlink w:anchor="SENTENCIA_1985_51" w:history="1">
        <w:r w:rsidRPr="00506787">
          <w:rPr>
            <w:rStyle w:val="TextoNormalCaracter"/>
          </w:rPr>
          <w:t>51/1985</w:t>
        </w:r>
      </w:hyperlink>
      <w:r w:rsidRPr="00506787">
        <w:rPr>
          <w:rStyle w:val="TextoNormalCaracter"/>
        </w:rPr>
        <w:t>, f. 6.</w:t>
      </w:r>
    </w:p>
    <w:p w:rsidR="00506787" w:rsidRPr="00506787" w:rsidRDefault="00506787" w:rsidP="00506787">
      <w:pPr>
        <w:pStyle w:val="TextoNormalSangraFrancesa"/>
        <w:rPr>
          <w:rStyle w:val="TextoNormalCaracter"/>
        </w:rPr>
      </w:pPr>
      <w:bookmarkStart w:id="1097" w:name="DESCRIPTORALFABETICO106"/>
      <w:r w:rsidRPr="00506787">
        <w:rPr>
          <w:rStyle w:val="TextoNormalNegritaCaracter"/>
        </w:rPr>
        <w:t>Derecho a comunicar libremente información</w:t>
      </w:r>
      <w:bookmarkEnd w:id="1097"/>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ff. 1, 2, 3.</w:t>
      </w:r>
    </w:p>
    <w:p w:rsidR="00506787" w:rsidRPr="00506787" w:rsidRDefault="00506787" w:rsidP="00506787">
      <w:pPr>
        <w:pStyle w:val="TextoNormalSangraFrancesa"/>
        <w:rPr>
          <w:rStyle w:val="TextoNormalCaracter"/>
        </w:rPr>
      </w:pPr>
      <w:bookmarkStart w:id="1098" w:name="DESCRIPTORALFABETICO116"/>
      <w:r w:rsidRPr="00506787">
        <w:rPr>
          <w:rStyle w:val="TextoNormalNegritaCaracter"/>
        </w:rPr>
        <w:t>Derecho a ejercer actividades sindicales</w:t>
      </w:r>
      <w:bookmarkEnd w:id="1098"/>
      <w:r w:rsidRPr="00506787">
        <w:rPr>
          <w:rStyle w:val="TextoNormalCaracter"/>
        </w:rPr>
        <w:t xml:space="preserve">, Sentencia </w:t>
      </w:r>
      <w:hyperlink w:anchor="SENTENCIA_1985_40" w:history="1">
        <w:r w:rsidRPr="00506787">
          <w:rPr>
            <w:rStyle w:val="TextoNormalCaracter"/>
          </w:rPr>
          <w:t>40/1985</w:t>
        </w:r>
      </w:hyperlink>
      <w:r w:rsidRPr="00506787">
        <w:rPr>
          <w:rStyle w:val="TextoNormalCaracter"/>
        </w:rPr>
        <w:t>, ff. 1, 2.</w:t>
      </w:r>
    </w:p>
    <w:p w:rsidR="00506787" w:rsidRPr="00506787" w:rsidRDefault="00506787" w:rsidP="00506787">
      <w:pPr>
        <w:pStyle w:val="TextoNormalSangraFrancesa"/>
        <w:rPr>
          <w:rStyle w:val="TextoNormalCaracter"/>
        </w:rPr>
      </w:pPr>
      <w:bookmarkStart w:id="1099" w:name="DESCRIPTORALFABETICO96"/>
      <w:r w:rsidRPr="00506787">
        <w:rPr>
          <w:rStyle w:val="TextoNormalNegritaCaracter"/>
        </w:rPr>
        <w:t>Derecho a entrar y salir libremente de España</w:t>
      </w:r>
      <w:bookmarkEnd w:id="1099"/>
      <w:r w:rsidRPr="00506787">
        <w:rPr>
          <w:rStyle w:val="TextoNormalCaracter"/>
        </w:rPr>
        <w:t xml:space="preserve">, Auto </w:t>
      </w:r>
      <w:hyperlink w:anchor="AUTO_1985_182" w:history="1">
        <w:r w:rsidRPr="00506787">
          <w:rPr>
            <w:rStyle w:val="TextoNormalCaracter"/>
          </w:rPr>
          <w:t>182/1985</w:t>
        </w:r>
      </w:hyperlink>
      <w:r w:rsidRPr="00506787">
        <w:rPr>
          <w:rStyle w:val="TextoNormalCaracter"/>
        </w:rPr>
        <w:t>.</w:t>
      </w:r>
    </w:p>
    <w:p w:rsidR="00506787" w:rsidRPr="00506787" w:rsidRDefault="00506787" w:rsidP="00506787">
      <w:pPr>
        <w:pStyle w:val="TextoNormalSangraFrancesa"/>
        <w:rPr>
          <w:rStyle w:val="TextoNormalCaracter"/>
        </w:rPr>
      </w:pPr>
      <w:bookmarkStart w:id="1100" w:name="DESCRIPTORALFABETICO98"/>
      <w:r w:rsidRPr="00506787">
        <w:rPr>
          <w:rStyle w:val="TextoNormalNegritaCaracter"/>
        </w:rPr>
        <w:t>Derecho a establecer un ideario educativo</w:t>
      </w:r>
      <w:bookmarkEnd w:id="1100"/>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 3.</w:t>
      </w:r>
    </w:p>
    <w:p w:rsidR="00506787" w:rsidRPr="00506787" w:rsidRDefault="00506787" w:rsidP="00506787">
      <w:pPr>
        <w:pStyle w:val="TextoNormalSangraFrancesa"/>
        <w:rPr>
          <w:rStyle w:val="TextoNormalCaracter"/>
        </w:rPr>
      </w:pPr>
      <w:bookmarkStart w:id="1101" w:name="DESCRIPTORALFABETICO71"/>
      <w:r w:rsidRPr="00506787">
        <w:rPr>
          <w:rStyle w:val="TextoNormalNegritaCaracter"/>
        </w:rPr>
        <w:t>Derecho a la defensa</w:t>
      </w:r>
      <w:bookmarkEnd w:id="1101"/>
      <w:r w:rsidRPr="00506787">
        <w:rPr>
          <w:rStyle w:val="TextoNormalCaracter"/>
        </w:rPr>
        <w:t xml:space="preserve">, Sentencias </w:t>
      </w:r>
      <w:hyperlink w:anchor="SENTENCIA_1985_7" w:history="1">
        <w:r w:rsidRPr="00506787">
          <w:rPr>
            <w:rStyle w:val="TextoNormalCaracter"/>
          </w:rPr>
          <w:t>7/1985</w:t>
        </w:r>
      </w:hyperlink>
      <w:r w:rsidRPr="00506787">
        <w:rPr>
          <w:rStyle w:val="TextoNormalCaracter"/>
        </w:rPr>
        <w:t xml:space="preserve">, f. 2; </w:t>
      </w:r>
      <w:hyperlink w:anchor="SENTENCIA_1985_44" w:history="1">
        <w:r w:rsidRPr="00506787">
          <w:rPr>
            <w:rStyle w:val="TextoNormalCaracter"/>
          </w:rPr>
          <w:t>44/1985</w:t>
        </w:r>
      </w:hyperlink>
      <w:r w:rsidRPr="00506787">
        <w:rPr>
          <w:rStyle w:val="TextoNormalCaracter"/>
        </w:rPr>
        <w:t xml:space="preserve">, f. 3; </w:t>
      </w:r>
      <w:hyperlink w:anchor="SENTENCIA_1985_54" w:history="1">
        <w:r w:rsidRPr="00506787">
          <w:rPr>
            <w:rStyle w:val="TextoNormalCaracter"/>
          </w:rPr>
          <w:t>54/1985</w:t>
        </w:r>
      </w:hyperlink>
      <w:r w:rsidRPr="00506787">
        <w:rPr>
          <w:rStyle w:val="TextoNormalCaracter"/>
        </w:rPr>
        <w:t>, f. 6.</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21" w:history="1">
        <w:r w:rsidRPr="00506787">
          <w:rPr>
            <w:rStyle w:val="TextoNormalCaracter"/>
          </w:rPr>
          <w:t>121/1985</w:t>
        </w:r>
      </w:hyperlink>
      <w:r w:rsidRPr="00506787">
        <w:rPr>
          <w:rStyle w:val="TextoNormalCaracter"/>
        </w:rPr>
        <w:t xml:space="preserve">; </w:t>
      </w:r>
      <w:hyperlink w:anchor="AUTO_1985_273" w:history="1">
        <w:r w:rsidRPr="00506787">
          <w:rPr>
            <w:rStyle w:val="TextoNormalCaracter"/>
          </w:rPr>
          <w:t>273/1985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Respetado, </w:t>
      </w:r>
      <w:r w:rsidRPr="00506787">
        <w:rPr>
          <w:rStyle w:val="TextoNormalCaracter"/>
        </w:rPr>
        <w:t xml:space="preserve">Sentencia </w:t>
      </w:r>
      <w:hyperlink w:anchor="SENTENCIA_1985_34" w:history="1">
        <w:r w:rsidRPr="00506787">
          <w:rPr>
            <w:rStyle w:val="TextoNormalCaracter"/>
          </w:rPr>
          <w:t>34/1985</w:t>
        </w:r>
      </w:hyperlink>
      <w:r w:rsidRPr="00506787">
        <w:rPr>
          <w:rStyle w:val="TextoNormalCaracter"/>
        </w:rPr>
        <w:t>, f. 3.</w:t>
      </w:r>
    </w:p>
    <w:p w:rsidR="00506787" w:rsidRPr="00506787" w:rsidRDefault="00506787" w:rsidP="00506787">
      <w:pPr>
        <w:pStyle w:val="TextoNormalSangraFrancesa"/>
        <w:rPr>
          <w:rStyle w:val="TextoNormalNegritaCaracter"/>
        </w:rPr>
      </w:pPr>
      <w:r w:rsidRPr="00506787">
        <w:rPr>
          <w:rStyle w:val="TextoNormalCursivaCaracter"/>
        </w:rPr>
        <w:t>Derecho a la defensa contradictoria entre las partes</w:t>
      </w:r>
      <w:r>
        <w:t xml:space="preserve"> véase </w:t>
      </w:r>
      <w:hyperlink w:anchor="DESCRIPTORALFABETICO515" w:history="1">
        <w:r w:rsidRPr="00506787">
          <w:rPr>
            <w:rStyle w:val="TextoNormalNegritaCaracter"/>
          </w:rPr>
          <w:t>Principio de contradicción</w:t>
        </w:r>
      </w:hyperlink>
    </w:p>
    <w:p w:rsidR="00506787" w:rsidRPr="00506787" w:rsidRDefault="00506787" w:rsidP="00506787">
      <w:pPr>
        <w:pStyle w:val="TextoNormalSangraFrancesa"/>
        <w:rPr>
          <w:rStyle w:val="TextoNormalCaracter"/>
        </w:rPr>
      </w:pPr>
      <w:bookmarkStart w:id="1102" w:name="DESCRIPTORALFABETICO48"/>
      <w:r w:rsidRPr="00506787">
        <w:rPr>
          <w:rStyle w:val="TextoNormalNegritaCaracter"/>
        </w:rPr>
        <w:t>Derecho a la ejecución de sentencias</w:t>
      </w:r>
      <w:bookmarkEnd w:id="1102"/>
      <w:r w:rsidRPr="00506787">
        <w:rPr>
          <w:rStyle w:val="TextoNormalCaracter"/>
        </w:rPr>
        <w:t xml:space="preserve">, Auto </w:t>
      </w:r>
      <w:hyperlink w:anchor="AUTO_1985_136" w:history="1">
        <w:r w:rsidRPr="00506787">
          <w:rPr>
            <w:rStyle w:val="TextoNormalCaracter"/>
          </w:rPr>
          <w:t>136/1985</w:t>
        </w:r>
      </w:hyperlink>
      <w:r w:rsidRPr="00506787">
        <w:rPr>
          <w:rStyle w:val="TextoNormalCaracter"/>
        </w:rPr>
        <w:t>.</w:t>
      </w:r>
    </w:p>
    <w:p w:rsidR="00506787" w:rsidRPr="00506787" w:rsidRDefault="00506787" w:rsidP="00506787">
      <w:pPr>
        <w:pStyle w:val="TextoNormalSangraFrancesa"/>
        <w:rPr>
          <w:rStyle w:val="TextoNormalCaracter"/>
        </w:rPr>
      </w:pPr>
      <w:bookmarkStart w:id="1103" w:name="DESCRIPTORALFABETICO22"/>
      <w:r w:rsidRPr="00506787">
        <w:rPr>
          <w:rStyle w:val="TextoNormalNegritaCaracter"/>
        </w:rPr>
        <w:t>Derecho a la huelga</w:t>
      </w:r>
      <w:bookmarkEnd w:id="1103"/>
      <w:r w:rsidRPr="00506787">
        <w:rPr>
          <w:rStyle w:val="TextoNormalCaracter"/>
        </w:rPr>
        <w:t xml:space="preserve">, Autos </w:t>
      </w:r>
      <w:hyperlink w:anchor="AUTO_1985_156" w:history="1">
        <w:r w:rsidRPr="00506787">
          <w:rPr>
            <w:rStyle w:val="TextoNormalCaracter"/>
          </w:rPr>
          <w:t>156/1985</w:t>
        </w:r>
      </w:hyperlink>
      <w:r w:rsidRPr="00506787">
        <w:rPr>
          <w:rStyle w:val="TextoNormalCaracter"/>
        </w:rPr>
        <w:t xml:space="preserve">; </w:t>
      </w:r>
      <w:hyperlink w:anchor="AUTO_1985_165" w:history="1">
        <w:r w:rsidRPr="00506787">
          <w:rPr>
            <w:rStyle w:val="TextoNormalCaracter"/>
          </w:rPr>
          <w:t>165/1985</w:t>
        </w:r>
      </w:hyperlink>
      <w:r w:rsidRPr="00506787">
        <w:rPr>
          <w:rStyle w:val="TextoNormalCaracter"/>
        </w:rPr>
        <w:t xml:space="preserve">; </w:t>
      </w:r>
      <w:hyperlink w:anchor="AUTO_1985_167" w:history="1">
        <w:r w:rsidRPr="00506787">
          <w:rPr>
            <w:rStyle w:val="TextoNormalCaracter"/>
          </w:rPr>
          <w:t>167/1985</w:t>
        </w:r>
      </w:hyperlink>
      <w:r w:rsidRPr="00506787">
        <w:rPr>
          <w:rStyle w:val="TextoNormalCaracter"/>
        </w:rPr>
        <w:t>.</w:t>
      </w:r>
    </w:p>
    <w:p w:rsidR="00506787" w:rsidRPr="00506787" w:rsidRDefault="00506787" w:rsidP="00506787">
      <w:pPr>
        <w:pStyle w:val="TextoNormalSangraFrancesa"/>
        <w:rPr>
          <w:rStyle w:val="TextoNormalCaracter"/>
        </w:rPr>
      </w:pPr>
      <w:bookmarkStart w:id="1104" w:name="DESCRIPTORALFABETICO29"/>
      <w:r w:rsidRPr="00506787">
        <w:rPr>
          <w:rStyle w:val="TextoNormalNegritaCaracter"/>
        </w:rPr>
        <w:t>Derecho a la integridad física y moral</w:t>
      </w:r>
      <w:bookmarkEnd w:id="1104"/>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8.</w:t>
      </w:r>
    </w:p>
    <w:p w:rsidR="00506787" w:rsidRPr="00506787" w:rsidRDefault="00506787" w:rsidP="00506787">
      <w:pPr>
        <w:pStyle w:val="TextoNormalSangraFrancesa"/>
        <w:rPr>
          <w:rStyle w:val="TextoNormalCaracter"/>
        </w:rPr>
      </w:pPr>
      <w:r w:rsidRPr="00506787">
        <w:rPr>
          <w:rStyle w:val="TextoNormalCaracter"/>
        </w:rPr>
        <w:lastRenderedPageBreak/>
        <w:t xml:space="preserve">    Auto </w:t>
      </w:r>
      <w:hyperlink w:anchor="AUTO_1985_238" w:history="1">
        <w:r w:rsidRPr="00506787">
          <w:rPr>
            <w:rStyle w:val="TextoNormalCaracter"/>
          </w:rPr>
          <w:t>238/1985</w:t>
        </w:r>
      </w:hyperlink>
      <w:r w:rsidRPr="00506787">
        <w:rPr>
          <w:rStyle w:val="TextoNormalCaracter"/>
        </w:rPr>
        <w:t>.</w:t>
      </w:r>
    </w:p>
    <w:p w:rsidR="00506787" w:rsidRPr="00506787" w:rsidRDefault="00506787" w:rsidP="00506787">
      <w:pPr>
        <w:pStyle w:val="TextoNormalSangraFrancesa"/>
        <w:rPr>
          <w:rStyle w:val="TextoNormalCaracter"/>
        </w:rPr>
      </w:pPr>
      <w:bookmarkStart w:id="1105" w:name="DESCRIPTORALFABETICO30"/>
      <w:r w:rsidRPr="00506787">
        <w:rPr>
          <w:rStyle w:val="TextoNormalNegritaCaracter"/>
        </w:rPr>
        <w:t>Derecho a la intimidad</w:t>
      </w:r>
      <w:bookmarkEnd w:id="1105"/>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8.</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57" w:history="1">
        <w:r w:rsidRPr="00506787">
          <w:rPr>
            <w:rStyle w:val="TextoNormalCaracter"/>
          </w:rPr>
          <w:t>257/1985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Derecho a la intimidad personal</w:t>
      </w:r>
      <w:r>
        <w:t xml:space="preserve"> véase </w:t>
      </w:r>
      <w:hyperlink w:anchor="DESCRIPTORALFABETICO30" w:history="1">
        <w:r w:rsidRPr="00506787">
          <w:rPr>
            <w:rStyle w:val="TextoNormalNegritaCaracter"/>
          </w:rPr>
          <w:t>Derecho a la intimidad</w:t>
        </w:r>
      </w:hyperlink>
    </w:p>
    <w:p w:rsidR="00506787" w:rsidRPr="00506787" w:rsidRDefault="00506787" w:rsidP="00506787">
      <w:pPr>
        <w:pStyle w:val="TextoNormalSangraFrancesa"/>
        <w:rPr>
          <w:rStyle w:val="TextoNormalNegritaCaracter"/>
        </w:rPr>
      </w:pPr>
      <w:r w:rsidRPr="00506787">
        <w:rPr>
          <w:rStyle w:val="TextoNormalCursivaCaracter"/>
        </w:rPr>
        <w:t>Derecho a la intimidad personal y familiar</w:t>
      </w:r>
      <w:r>
        <w:t xml:space="preserve"> véase </w:t>
      </w:r>
      <w:hyperlink w:anchor="DESCRIPTORALFABETICO30" w:history="1">
        <w:r w:rsidRPr="00506787">
          <w:rPr>
            <w:rStyle w:val="TextoNormalNegritaCaracter"/>
          </w:rPr>
          <w:t>Derecho a la intimidad</w:t>
        </w:r>
      </w:hyperlink>
    </w:p>
    <w:p w:rsidR="00506787" w:rsidRPr="00506787" w:rsidRDefault="00506787" w:rsidP="00506787">
      <w:pPr>
        <w:pStyle w:val="TextoNormalSangraFrancesa"/>
        <w:rPr>
          <w:rStyle w:val="TextoNormalCaracter"/>
        </w:rPr>
      </w:pPr>
      <w:bookmarkStart w:id="1106" w:name="DESCRIPTORALFABETICO32"/>
      <w:r w:rsidRPr="00506787">
        <w:rPr>
          <w:rStyle w:val="TextoNormalNegritaCaracter"/>
        </w:rPr>
        <w:t>Derecho a la inviolabilidad del domicilio</w:t>
      </w:r>
      <w:bookmarkEnd w:id="1106"/>
      <w:r w:rsidRPr="00506787">
        <w:rPr>
          <w:rStyle w:val="TextoNormalCaracter"/>
        </w:rPr>
        <w:t xml:space="preserve">, Autos </w:t>
      </w:r>
      <w:hyperlink w:anchor="AUTO_1985_106" w:history="1">
        <w:r w:rsidRPr="00506787">
          <w:rPr>
            <w:rStyle w:val="TextoNormalCaracter"/>
          </w:rPr>
          <w:t>106/1985</w:t>
        </w:r>
      </w:hyperlink>
      <w:r w:rsidRPr="00506787">
        <w:rPr>
          <w:rStyle w:val="TextoNormalCaracter"/>
        </w:rPr>
        <w:t xml:space="preserve">; </w:t>
      </w:r>
      <w:hyperlink w:anchor="AUTO_1985_272" w:history="1">
        <w:r w:rsidRPr="00506787">
          <w:rPr>
            <w:rStyle w:val="TextoNormalCaracter"/>
          </w:rPr>
          <w:t>272/1985</w:t>
        </w:r>
      </w:hyperlink>
      <w:r w:rsidRPr="00506787">
        <w:rPr>
          <w:rStyle w:val="TextoNormalCaracter"/>
        </w:rPr>
        <w:t>.</w:t>
      </w:r>
    </w:p>
    <w:p w:rsidR="00506787" w:rsidRPr="00506787" w:rsidRDefault="00506787" w:rsidP="00506787">
      <w:pPr>
        <w:pStyle w:val="TextoNormalSangraFrancesa"/>
        <w:rPr>
          <w:rStyle w:val="TextoNormalCaracter"/>
        </w:rPr>
      </w:pPr>
      <w:bookmarkStart w:id="1107" w:name="DESCRIPTORALFABETICO33"/>
      <w:r w:rsidRPr="00506787">
        <w:rPr>
          <w:rStyle w:val="TextoNormalNegritaCaracter"/>
        </w:rPr>
        <w:t>Derecho a la libertad personal</w:t>
      </w:r>
      <w:bookmarkEnd w:id="1107"/>
      <w:r w:rsidRPr="00506787">
        <w:rPr>
          <w:rStyle w:val="TextoNormalCaracter"/>
        </w:rPr>
        <w:t xml:space="preserve">, Sentencias </w:t>
      </w:r>
      <w:hyperlink w:anchor="SENTENCIA_1985_11" w:history="1">
        <w:r w:rsidRPr="00506787">
          <w:rPr>
            <w:rStyle w:val="TextoNormalCaracter"/>
          </w:rPr>
          <w:t>11/1985</w:t>
        </w:r>
      </w:hyperlink>
      <w:r w:rsidRPr="00506787">
        <w:rPr>
          <w:rStyle w:val="TextoNormalCaracter"/>
        </w:rPr>
        <w:t xml:space="preserve">, f. 4; </w:t>
      </w:r>
      <w:hyperlink w:anchor="SENTENCIA_1985_31" w:history="1">
        <w:r w:rsidRPr="00506787">
          <w:rPr>
            <w:rStyle w:val="TextoNormalCaracter"/>
          </w:rPr>
          <w:t>31/1985</w:t>
        </w:r>
      </w:hyperlink>
      <w:r w:rsidRPr="00506787">
        <w:rPr>
          <w:rStyle w:val="TextoNormalCaracter"/>
        </w:rPr>
        <w:t>, ff. 2,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36" w:history="1">
        <w:r w:rsidRPr="00506787">
          <w:rPr>
            <w:rStyle w:val="TextoNormalCaracter"/>
          </w:rPr>
          <w:t>36/1985</w:t>
        </w:r>
      </w:hyperlink>
      <w:r w:rsidRPr="00506787">
        <w:rPr>
          <w:rStyle w:val="TextoNormalCaracter"/>
        </w:rPr>
        <w:t xml:space="preserve">; </w:t>
      </w:r>
      <w:hyperlink w:anchor="AUTO_1985_204" w:history="1">
        <w:r w:rsidRPr="00506787">
          <w:rPr>
            <w:rStyle w:val="TextoNormalCaracter"/>
          </w:rPr>
          <w:t>204/1985</w:t>
        </w:r>
      </w:hyperlink>
      <w:r w:rsidRPr="00506787">
        <w:rPr>
          <w:rStyle w:val="TextoNormalCaracter"/>
        </w:rPr>
        <w:t>.</w:t>
      </w:r>
    </w:p>
    <w:p w:rsidR="00506787" w:rsidRPr="00506787" w:rsidRDefault="00506787" w:rsidP="00506787">
      <w:pPr>
        <w:pStyle w:val="TextoNormalSangraFrancesa"/>
        <w:rPr>
          <w:rStyle w:val="TextoNormalCaracter"/>
        </w:rPr>
      </w:pPr>
      <w:bookmarkStart w:id="1108" w:name="DESCRIPTORALFABETICO36"/>
      <w:r w:rsidRPr="00506787">
        <w:rPr>
          <w:rStyle w:val="TextoNormalNegritaCaracter"/>
        </w:rPr>
        <w:t>Derecho a la participación en los asuntos públicos</w:t>
      </w:r>
      <w:bookmarkEnd w:id="1108"/>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6.</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6" w:history="1">
        <w:r w:rsidRPr="00506787">
          <w:rPr>
            <w:rStyle w:val="TextoNormalCaracter"/>
          </w:rPr>
          <w:t>26/1985</w:t>
        </w:r>
      </w:hyperlink>
      <w:r w:rsidRPr="00506787">
        <w:rPr>
          <w:rStyle w:val="TextoNormalCaracter"/>
        </w:rPr>
        <w:t>.</w:t>
      </w:r>
    </w:p>
    <w:p w:rsidR="00506787" w:rsidRPr="00506787" w:rsidRDefault="00506787" w:rsidP="00506787">
      <w:pPr>
        <w:pStyle w:val="TextoNormalSangraFrancesa"/>
        <w:rPr>
          <w:rStyle w:val="TextoNormalCaracter"/>
        </w:rPr>
      </w:pPr>
      <w:bookmarkStart w:id="1109" w:name="DESCRIPTORALFABETICO37"/>
      <w:r w:rsidRPr="00506787">
        <w:rPr>
          <w:rStyle w:val="TextoNormalNegritaCaracter"/>
        </w:rPr>
        <w:t>Derecho a la presunción de inocencia</w:t>
      </w:r>
      <w:bookmarkEnd w:id="1109"/>
      <w:r w:rsidRPr="00506787">
        <w:rPr>
          <w:rStyle w:val="TextoNormalCaracter"/>
        </w:rPr>
        <w:t xml:space="preserve">, Sentencias </w:t>
      </w:r>
      <w:hyperlink w:anchor="SENTENCIA_1985_25" w:history="1">
        <w:r w:rsidRPr="00506787">
          <w:rPr>
            <w:rStyle w:val="TextoNormalCaracter"/>
          </w:rPr>
          <w:t>25/1985</w:t>
        </w:r>
      </w:hyperlink>
      <w:r w:rsidRPr="00506787">
        <w:rPr>
          <w:rStyle w:val="TextoNormalCaracter"/>
        </w:rPr>
        <w:t xml:space="preserve">, f. 2; </w:t>
      </w:r>
      <w:hyperlink w:anchor="SENTENCIA_1985_36" w:history="1">
        <w:r w:rsidRPr="00506787">
          <w:rPr>
            <w:rStyle w:val="TextoNormalCaracter"/>
          </w:rPr>
          <w:t>36/1985</w:t>
        </w:r>
      </w:hyperlink>
      <w:r w:rsidRPr="00506787">
        <w:rPr>
          <w:rStyle w:val="TextoNormalCaracter"/>
        </w:rPr>
        <w:t xml:space="preserve">, ff. 2, 3, 4; </w:t>
      </w:r>
      <w:hyperlink w:anchor="SENTENCIA_1985_37" w:history="1">
        <w:r w:rsidRPr="00506787">
          <w:rPr>
            <w:rStyle w:val="TextoNormalCaracter"/>
          </w:rPr>
          <w:t>37/1985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21" w:history="1">
        <w:r w:rsidRPr="00506787">
          <w:rPr>
            <w:rStyle w:val="TextoNormalCaracter"/>
          </w:rPr>
          <w:t>21/1985</w:t>
        </w:r>
      </w:hyperlink>
      <w:r w:rsidRPr="00506787">
        <w:rPr>
          <w:rStyle w:val="TextoNormalCaracter"/>
        </w:rPr>
        <w:t xml:space="preserve">; </w:t>
      </w:r>
      <w:hyperlink w:anchor="AUTO_1985_64" w:history="1">
        <w:r w:rsidRPr="00506787">
          <w:rPr>
            <w:rStyle w:val="TextoNormalCaracter"/>
          </w:rPr>
          <w:t>64/1985</w:t>
        </w:r>
      </w:hyperlink>
      <w:r w:rsidRPr="00506787">
        <w:rPr>
          <w:rStyle w:val="TextoNormalCaracter"/>
        </w:rPr>
        <w:t xml:space="preserve">; </w:t>
      </w:r>
      <w:hyperlink w:anchor="AUTO_1985_82" w:history="1">
        <w:r w:rsidRPr="00506787">
          <w:rPr>
            <w:rStyle w:val="TextoNormalCaracter"/>
          </w:rPr>
          <w:t>82/1985</w:t>
        </w:r>
      </w:hyperlink>
      <w:r w:rsidRPr="00506787">
        <w:rPr>
          <w:rStyle w:val="TextoNormalCaracter"/>
        </w:rPr>
        <w:t xml:space="preserve">; </w:t>
      </w:r>
      <w:hyperlink w:anchor="AUTO_1985_106" w:history="1">
        <w:r w:rsidRPr="00506787">
          <w:rPr>
            <w:rStyle w:val="TextoNormalCaracter"/>
          </w:rPr>
          <w:t>106/1985</w:t>
        </w:r>
      </w:hyperlink>
      <w:r w:rsidRPr="00506787">
        <w:rPr>
          <w:rStyle w:val="TextoNormalCaracter"/>
        </w:rPr>
        <w:t xml:space="preserve">; </w:t>
      </w:r>
      <w:hyperlink w:anchor="AUTO_1985_120" w:history="1">
        <w:r w:rsidRPr="00506787">
          <w:rPr>
            <w:rStyle w:val="TextoNormalCaracter"/>
          </w:rPr>
          <w:t>120/1985</w:t>
        </w:r>
      </w:hyperlink>
      <w:r w:rsidRPr="00506787">
        <w:rPr>
          <w:rStyle w:val="TextoNormalCaracter"/>
        </w:rPr>
        <w:t xml:space="preserve">; </w:t>
      </w:r>
      <w:hyperlink w:anchor="AUTO_1985_180" w:history="1">
        <w:r w:rsidRPr="00506787">
          <w:rPr>
            <w:rStyle w:val="TextoNormalCaracter"/>
          </w:rPr>
          <w:t>180/1985</w:t>
        </w:r>
      </w:hyperlink>
      <w:r w:rsidRPr="00506787">
        <w:rPr>
          <w:rStyle w:val="TextoNormalCaracter"/>
        </w:rPr>
        <w:t xml:space="preserve">; </w:t>
      </w:r>
      <w:hyperlink w:anchor="AUTO_1985_189" w:history="1">
        <w:r w:rsidRPr="00506787">
          <w:rPr>
            <w:rStyle w:val="TextoNormalCaracter"/>
          </w:rPr>
          <w:t>189/1985</w:t>
        </w:r>
      </w:hyperlink>
      <w:r w:rsidRPr="00506787">
        <w:rPr>
          <w:rStyle w:val="TextoNormalCaracter"/>
        </w:rPr>
        <w:t xml:space="preserve">; </w:t>
      </w:r>
      <w:hyperlink w:anchor="AUTO_1985_216" w:history="1">
        <w:r w:rsidRPr="00506787">
          <w:rPr>
            <w:rStyle w:val="TextoNormalCaracter"/>
          </w:rPr>
          <w:t>216/1985</w:t>
        </w:r>
      </w:hyperlink>
      <w:r w:rsidRPr="00506787">
        <w:rPr>
          <w:rStyle w:val="TextoNormalCaracter"/>
        </w:rPr>
        <w:t xml:space="preserve">; </w:t>
      </w:r>
      <w:hyperlink w:anchor="AUTO_1985_219" w:history="1">
        <w:r w:rsidRPr="00506787">
          <w:rPr>
            <w:rStyle w:val="TextoNormalCaracter"/>
          </w:rPr>
          <w:t>219/1985</w:t>
        </w:r>
      </w:hyperlink>
      <w:r w:rsidRPr="00506787">
        <w:rPr>
          <w:rStyle w:val="TextoNormalCaracter"/>
        </w:rPr>
        <w:t xml:space="preserve">; </w:t>
      </w:r>
      <w:hyperlink w:anchor="AUTO_1985_253" w:history="1">
        <w:r w:rsidRPr="00506787">
          <w:rPr>
            <w:rStyle w:val="TextoNormalCaracter"/>
          </w:rPr>
          <w:t>253/1985</w:t>
        </w:r>
      </w:hyperlink>
      <w:r w:rsidRPr="00506787">
        <w:rPr>
          <w:rStyle w:val="TextoNormalCaracter"/>
        </w:rPr>
        <w:t xml:space="preserve">; </w:t>
      </w:r>
      <w:hyperlink w:anchor="AUTO_1985_265" w:history="1">
        <w:r w:rsidRPr="00506787">
          <w:rPr>
            <w:rStyle w:val="TextoNormalCaracter"/>
          </w:rPr>
          <w:t>265/1985</w:t>
        </w:r>
      </w:hyperlink>
      <w:r w:rsidRPr="00506787">
        <w:rPr>
          <w:rStyle w:val="TextoNormalCaracter"/>
        </w:rPr>
        <w:t xml:space="preserve">; </w:t>
      </w:r>
      <w:hyperlink w:anchor="AUTO_1985_267" w:history="1">
        <w:r w:rsidRPr="00506787">
          <w:rPr>
            <w:rStyle w:val="TextoNormalCaracter"/>
          </w:rPr>
          <w:t>267/1985</w:t>
        </w:r>
      </w:hyperlink>
      <w:r w:rsidRPr="00506787">
        <w:rPr>
          <w:rStyle w:val="TextoNormalCaracter"/>
        </w:rPr>
        <w:t>.</w:t>
      </w:r>
    </w:p>
    <w:p w:rsidR="00506787" w:rsidRPr="00506787" w:rsidRDefault="00506787" w:rsidP="00506787">
      <w:pPr>
        <w:pStyle w:val="TextoNormalSangraFrancesa"/>
        <w:rPr>
          <w:rStyle w:val="TextoNormalCaracter"/>
        </w:rPr>
      </w:pPr>
      <w:bookmarkStart w:id="1110" w:name="DESCRIPTORALFABETICO39"/>
      <w:r w:rsidRPr="00506787">
        <w:rPr>
          <w:rStyle w:val="TextoNormalNegritaCaracter"/>
        </w:rPr>
        <w:t>Derecho a la propia imagen</w:t>
      </w:r>
      <w:bookmarkEnd w:id="1110"/>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8.</w:t>
      </w:r>
    </w:p>
    <w:p w:rsidR="00506787" w:rsidRPr="00506787" w:rsidRDefault="00506787" w:rsidP="00506787">
      <w:pPr>
        <w:pStyle w:val="TextoNormalSangraFrancesa"/>
        <w:rPr>
          <w:rStyle w:val="TextoNormalCaracter"/>
        </w:rPr>
      </w:pPr>
      <w:bookmarkStart w:id="1111" w:name="DESCRIPTORALFABETICO74"/>
      <w:r w:rsidRPr="00506787">
        <w:rPr>
          <w:rStyle w:val="TextoNormalNegritaCaracter"/>
        </w:rPr>
        <w:t>Derecho a la prueba</w:t>
      </w:r>
      <w:bookmarkEnd w:id="1111"/>
      <w:r w:rsidRPr="00506787">
        <w:rPr>
          <w:rStyle w:val="TextoNormalCaracter"/>
        </w:rPr>
        <w:t xml:space="preserve">, Sentencias </w:t>
      </w:r>
      <w:hyperlink w:anchor="SENTENCIA_1985_23" w:history="1">
        <w:r w:rsidRPr="00506787">
          <w:rPr>
            <w:rStyle w:val="TextoNormalCaracter"/>
          </w:rPr>
          <w:t>23/1985</w:t>
        </w:r>
      </w:hyperlink>
      <w:r w:rsidRPr="00506787">
        <w:rPr>
          <w:rStyle w:val="TextoNormalCaracter"/>
        </w:rPr>
        <w:t xml:space="preserve">, f. 3; </w:t>
      </w:r>
      <w:hyperlink w:anchor="SENTENCIA_1985_51" w:history="1">
        <w:r w:rsidRPr="00506787">
          <w:rPr>
            <w:rStyle w:val="TextoNormalCaracter"/>
          </w:rPr>
          <w:t>51/1985</w:t>
        </w:r>
      </w:hyperlink>
      <w:r w:rsidRPr="00506787">
        <w:rPr>
          <w:rStyle w:val="TextoNormalCaracter"/>
        </w:rPr>
        <w:t>, f. 9.</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25" w:history="1">
        <w:r w:rsidRPr="00506787">
          <w:rPr>
            <w:rStyle w:val="TextoNormalCaracter"/>
          </w:rPr>
          <w:t>25/1985</w:t>
        </w:r>
      </w:hyperlink>
      <w:r w:rsidRPr="00506787">
        <w:rPr>
          <w:rStyle w:val="TextoNormalCaracter"/>
        </w:rPr>
        <w:t xml:space="preserve">; </w:t>
      </w:r>
      <w:hyperlink w:anchor="AUTO_1985_34" w:history="1">
        <w:r w:rsidRPr="00506787">
          <w:rPr>
            <w:rStyle w:val="TextoNormalCaracter"/>
          </w:rPr>
          <w:t>34/1985</w:t>
        </w:r>
      </w:hyperlink>
      <w:r w:rsidRPr="00506787">
        <w:rPr>
          <w:rStyle w:val="TextoNormalCaracter"/>
        </w:rPr>
        <w:t xml:space="preserve">; </w:t>
      </w:r>
      <w:hyperlink w:anchor="AUTO_1985_45" w:history="1">
        <w:r w:rsidRPr="00506787">
          <w:rPr>
            <w:rStyle w:val="TextoNormalCaracter"/>
          </w:rPr>
          <w:t>45/1985</w:t>
        </w:r>
      </w:hyperlink>
      <w:r w:rsidRPr="00506787">
        <w:rPr>
          <w:rStyle w:val="TextoNormalCaracter"/>
        </w:rPr>
        <w:t xml:space="preserve">; </w:t>
      </w:r>
      <w:hyperlink w:anchor="AUTO_1985_70" w:history="1">
        <w:r w:rsidRPr="00506787">
          <w:rPr>
            <w:rStyle w:val="TextoNormalCaracter"/>
          </w:rPr>
          <w:t>70/1985</w:t>
        </w:r>
      </w:hyperlink>
      <w:r w:rsidRPr="00506787">
        <w:rPr>
          <w:rStyle w:val="TextoNormalCaracter"/>
        </w:rPr>
        <w:t xml:space="preserve">; </w:t>
      </w:r>
      <w:hyperlink w:anchor="AUTO_1985_118" w:history="1">
        <w:r w:rsidRPr="00506787">
          <w:rPr>
            <w:rStyle w:val="TextoNormalCaracter"/>
          </w:rPr>
          <w:t>118/1985</w:t>
        </w:r>
      </w:hyperlink>
      <w:r w:rsidRPr="00506787">
        <w:rPr>
          <w:rStyle w:val="TextoNormalCaracter"/>
        </w:rPr>
        <w:t xml:space="preserve">; </w:t>
      </w:r>
      <w:hyperlink w:anchor="AUTO_1985_119" w:history="1">
        <w:r w:rsidRPr="00506787">
          <w:rPr>
            <w:rStyle w:val="TextoNormalCaracter"/>
          </w:rPr>
          <w:t>119/1985</w:t>
        </w:r>
      </w:hyperlink>
      <w:r w:rsidRPr="00506787">
        <w:rPr>
          <w:rStyle w:val="TextoNormalCaracter"/>
        </w:rPr>
        <w:t xml:space="preserve">; </w:t>
      </w:r>
      <w:hyperlink w:anchor="AUTO_1985_150" w:history="1">
        <w:r w:rsidRPr="00506787">
          <w:rPr>
            <w:rStyle w:val="TextoNormalCaracter"/>
          </w:rPr>
          <w:t>150/1985</w:t>
        </w:r>
      </w:hyperlink>
      <w:r w:rsidRPr="00506787">
        <w:rPr>
          <w:rStyle w:val="TextoNormalCaracter"/>
        </w:rPr>
        <w:t xml:space="preserve">; </w:t>
      </w:r>
      <w:hyperlink w:anchor="AUTO_1985_157" w:history="1">
        <w:r w:rsidRPr="00506787">
          <w:rPr>
            <w:rStyle w:val="TextoNormalCaracter"/>
          </w:rPr>
          <w:t>157/1985</w:t>
        </w:r>
      </w:hyperlink>
      <w:r w:rsidRPr="00506787">
        <w:rPr>
          <w:rStyle w:val="TextoNormalCaracter"/>
        </w:rPr>
        <w:t xml:space="preserve">; </w:t>
      </w:r>
      <w:hyperlink w:anchor="AUTO_1985_166" w:history="1">
        <w:r w:rsidRPr="00506787">
          <w:rPr>
            <w:rStyle w:val="TextoNormalCaracter"/>
          </w:rPr>
          <w:t>166/1985</w:t>
        </w:r>
      </w:hyperlink>
      <w:r w:rsidRPr="00506787">
        <w:rPr>
          <w:rStyle w:val="TextoNormalCaracter"/>
        </w:rPr>
        <w:t xml:space="preserve">; </w:t>
      </w:r>
      <w:hyperlink w:anchor="AUTO_1985_169" w:history="1">
        <w:r w:rsidRPr="00506787">
          <w:rPr>
            <w:rStyle w:val="TextoNormalCaracter"/>
          </w:rPr>
          <w:t>169/1985</w:t>
        </w:r>
      </w:hyperlink>
      <w:r w:rsidRPr="00506787">
        <w:rPr>
          <w:rStyle w:val="TextoNormalCaracter"/>
        </w:rPr>
        <w:t xml:space="preserve">; </w:t>
      </w:r>
      <w:hyperlink w:anchor="AUTO_1985_198" w:history="1">
        <w:r w:rsidRPr="00506787">
          <w:rPr>
            <w:rStyle w:val="TextoNormalCaracter"/>
          </w:rPr>
          <w:t>198/1985</w:t>
        </w:r>
      </w:hyperlink>
      <w:r w:rsidRPr="00506787">
        <w:rPr>
          <w:rStyle w:val="TextoNormalCaracter"/>
        </w:rPr>
        <w:t xml:space="preserve">; </w:t>
      </w:r>
      <w:hyperlink w:anchor="AUTO_1985_200" w:history="1">
        <w:r w:rsidRPr="00506787">
          <w:rPr>
            <w:rStyle w:val="TextoNormalCaracter"/>
          </w:rPr>
          <w:t>200/1985</w:t>
        </w:r>
      </w:hyperlink>
      <w:r w:rsidRPr="00506787">
        <w:rPr>
          <w:rStyle w:val="TextoNormalCaracter"/>
        </w:rPr>
        <w:t xml:space="preserve">; </w:t>
      </w:r>
      <w:hyperlink w:anchor="AUTO_1985_208" w:history="1">
        <w:r w:rsidRPr="00506787">
          <w:rPr>
            <w:rStyle w:val="TextoNormalCaracter"/>
          </w:rPr>
          <w:t>208/1985</w:t>
        </w:r>
      </w:hyperlink>
      <w:r w:rsidRPr="00506787">
        <w:rPr>
          <w:rStyle w:val="TextoNormalCaracter"/>
        </w:rPr>
        <w:t xml:space="preserve">; </w:t>
      </w:r>
      <w:hyperlink w:anchor="AUTO_1985_219" w:history="1">
        <w:r w:rsidRPr="00506787">
          <w:rPr>
            <w:rStyle w:val="TextoNormalCaracter"/>
          </w:rPr>
          <w:t>219/1985</w:t>
        </w:r>
      </w:hyperlink>
      <w:r w:rsidRPr="00506787">
        <w:rPr>
          <w:rStyle w:val="TextoNormalCaracter"/>
        </w:rPr>
        <w:t xml:space="preserve">; </w:t>
      </w:r>
      <w:hyperlink w:anchor="AUTO_1985_230" w:history="1">
        <w:r w:rsidRPr="00506787">
          <w:rPr>
            <w:rStyle w:val="TextoNormalCaracter"/>
          </w:rPr>
          <w:t>230/1985</w:t>
        </w:r>
      </w:hyperlink>
      <w:r w:rsidRPr="00506787">
        <w:rPr>
          <w:rStyle w:val="TextoNormalCaracter"/>
        </w:rPr>
        <w:t xml:space="preserve">; </w:t>
      </w:r>
      <w:hyperlink w:anchor="AUTO_1985_249" w:history="1">
        <w:r w:rsidRPr="00506787">
          <w:rPr>
            <w:rStyle w:val="TextoNormalCaracter"/>
          </w:rPr>
          <w:t>249/1985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Respetado, </w:t>
      </w:r>
      <w:r w:rsidRPr="00506787">
        <w:rPr>
          <w:rStyle w:val="TextoNormalCaracter"/>
        </w:rPr>
        <w:t xml:space="preserve">Sentencia </w:t>
      </w:r>
      <w:hyperlink w:anchor="SENTENCIA_1985_51" w:history="1">
        <w:r w:rsidRPr="00506787">
          <w:rPr>
            <w:rStyle w:val="TextoNormalCaracter"/>
          </w:rPr>
          <w:t>51/1985</w:t>
        </w:r>
      </w:hyperlink>
      <w:r w:rsidRPr="00506787">
        <w:rPr>
          <w:rStyle w:val="TextoNormalCaracter"/>
        </w:rPr>
        <w:t>, f. 9.</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21" w:history="1">
        <w:r w:rsidRPr="00506787">
          <w:rPr>
            <w:rStyle w:val="TextoNormalCaracter"/>
          </w:rPr>
          <w:t>21/1985</w:t>
        </w:r>
      </w:hyperlink>
      <w:r w:rsidRPr="00506787">
        <w:rPr>
          <w:rStyle w:val="TextoNormalCaracter"/>
        </w:rPr>
        <w:t xml:space="preserve">; </w:t>
      </w:r>
      <w:hyperlink w:anchor="AUTO_1985_82" w:history="1">
        <w:r w:rsidRPr="00506787">
          <w:rPr>
            <w:rStyle w:val="TextoNormalCaracter"/>
          </w:rPr>
          <w:t>82/1985</w:t>
        </w:r>
      </w:hyperlink>
      <w:r w:rsidRPr="00506787">
        <w:rPr>
          <w:rStyle w:val="TextoNormalCaracter"/>
        </w:rPr>
        <w:t xml:space="preserve">; </w:t>
      </w:r>
      <w:hyperlink w:anchor="AUTO_1985_267" w:history="1">
        <w:r w:rsidRPr="00506787">
          <w:rPr>
            <w:rStyle w:val="TextoNormalCaracter"/>
          </w:rPr>
          <w:t>267/1985</w:t>
        </w:r>
      </w:hyperlink>
      <w:r w:rsidRPr="00506787">
        <w:rPr>
          <w:rStyle w:val="TextoNormalCaracter"/>
        </w:rPr>
        <w:t xml:space="preserve">; </w:t>
      </w:r>
      <w:hyperlink w:anchor="AUTO_1985_269" w:history="1">
        <w:r w:rsidRPr="00506787">
          <w:rPr>
            <w:rStyle w:val="TextoNormalCaracter"/>
          </w:rPr>
          <w:t>269/1985</w:t>
        </w:r>
      </w:hyperlink>
      <w:r w:rsidRPr="00506787">
        <w:rPr>
          <w:rStyle w:val="TextoNormalCaracter"/>
        </w:rPr>
        <w:t>.</w:t>
      </w:r>
    </w:p>
    <w:p w:rsidR="00506787" w:rsidRPr="00506787" w:rsidRDefault="00506787" w:rsidP="00506787">
      <w:pPr>
        <w:pStyle w:val="TextoNormalSangraFrancesa"/>
        <w:rPr>
          <w:rStyle w:val="TextoNormalCaracter"/>
        </w:rPr>
      </w:pPr>
      <w:bookmarkStart w:id="1112" w:name="DESCRIPTORALFABETICO40"/>
      <w:r w:rsidRPr="00506787">
        <w:rPr>
          <w:rStyle w:val="TextoNormalNegritaCaracter"/>
        </w:rPr>
        <w:t>Derecho a la seguridad personal</w:t>
      </w:r>
      <w:bookmarkEnd w:id="1112"/>
      <w:r w:rsidRPr="00506787">
        <w:rPr>
          <w:rStyle w:val="TextoNormalCaracter"/>
        </w:rPr>
        <w:t xml:space="preserve">, Auto </w:t>
      </w:r>
      <w:hyperlink w:anchor="AUTO_1985_245" w:history="1">
        <w:r w:rsidRPr="00506787">
          <w:rPr>
            <w:rStyle w:val="TextoNormalCaracter"/>
          </w:rPr>
          <w:t>245/1985</w:t>
        </w:r>
      </w:hyperlink>
      <w:r w:rsidRPr="00506787">
        <w:rPr>
          <w:rStyle w:val="TextoNormalCaracter"/>
        </w:rPr>
        <w:t>.</w:t>
      </w:r>
    </w:p>
    <w:p w:rsidR="00506787" w:rsidRPr="00506787" w:rsidRDefault="00506787" w:rsidP="00506787">
      <w:pPr>
        <w:pStyle w:val="TextoNormalSangraFrancesa"/>
        <w:rPr>
          <w:rStyle w:val="TextoNormalCaracter"/>
        </w:rPr>
      </w:pPr>
      <w:bookmarkStart w:id="1113" w:name="DESCRIPTORALFABETICO41"/>
      <w:r w:rsidRPr="00506787">
        <w:rPr>
          <w:rStyle w:val="TextoNormalNegritaCaracter"/>
        </w:rPr>
        <w:t>Derecho a la tutela judicial efectiva</w:t>
      </w:r>
      <w:bookmarkEnd w:id="1113"/>
      <w:r w:rsidRPr="00506787">
        <w:rPr>
          <w:rStyle w:val="TextoNormalCaracter"/>
        </w:rPr>
        <w:t xml:space="preserve">, Sentencias </w:t>
      </w:r>
      <w:hyperlink w:anchor="SENTENCIA_1985_1" w:history="1">
        <w:r w:rsidRPr="00506787">
          <w:rPr>
            <w:rStyle w:val="TextoNormalCaracter"/>
          </w:rPr>
          <w:t>1/1985</w:t>
        </w:r>
      </w:hyperlink>
      <w:r w:rsidRPr="00506787">
        <w:rPr>
          <w:rStyle w:val="TextoNormalCaracter"/>
        </w:rPr>
        <w:t xml:space="preserve">, ff. 1, 2, 3, 4; </w:t>
      </w:r>
      <w:hyperlink w:anchor="SENTENCIA_1985_5" w:history="1">
        <w:r w:rsidRPr="00506787">
          <w:rPr>
            <w:rStyle w:val="TextoNormalCaracter"/>
          </w:rPr>
          <w:t>5/1985</w:t>
        </w:r>
      </w:hyperlink>
      <w:r w:rsidRPr="00506787">
        <w:rPr>
          <w:rStyle w:val="TextoNormalCaracter"/>
        </w:rPr>
        <w:t xml:space="preserve">, ff. 1, 2, 3, 4, 5, 6, 7, 8, 9, 10, VP; </w:t>
      </w:r>
      <w:hyperlink w:anchor="SENTENCIA_1985_16" w:history="1">
        <w:r w:rsidRPr="00506787">
          <w:rPr>
            <w:rStyle w:val="TextoNormalCaracter"/>
          </w:rPr>
          <w:t>16/1985</w:t>
        </w:r>
      </w:hyperlink>
      <w:r w:rsidRPr="00506787">
        <w:rPr>
          <w:rStyle w:val="TextoNormalCaracter"/>
        </w:rPr>
        <w:t xml:space="preserve">, f. 5; </w:t>
      </w:r>
      <w:hyperlink w:anchor="SENTENCIA_1985_17" w:history="1">
        <w:r w:rsidRPr="00506787">
          <w:rPr>
            <w:rStyle w:val="TextoNormalCaracter"/>
          </w:rPr>
          <w:t>17/1985</w:t>
        </w:r>
      </w:hyperlink>
      <w:r w:rsidRPr="00506787">
        <w:rPr>
          <w:rStyle w:val="TextoNormalCaracter"/>
        </w:rPr>
        <w:t xml:space="preserve">, f. 2; </w:t>
      </w:r>
      <w:hyperlink w:anchor="SENTENCIA_1985_54" w:history="1">
        <w:r w:rsidRPr="00506787">
          <w:rPr>
            <w:rStyle w:val="TextoNormalCaracter"/>
          </w:rPr>
          <w:t>54/1985</w:t>
        </w:r>
      </w:hyperlink>
      <w:r w:rsidRPr="00506787">
        <w:rPr>
          <w:rStyle w:val="TextoNormalCaracter"/>
        </w:rPr>
        <w:t xml:space="preserve">, f. 6; </w:t>
      </w:r>
      <w:hyperlink w:anchor="SENTENCIA_1985_57" w:history="1">
        <w:r w:rsidRPr="00506787">
          <w:rPr>
            <w:rStyle w:val="TextoNormalCaracter"/>
          </w:rPr>
          <w:t>57/1985</w:t>
        </w:r>
      </w:hyperlink>
      <w:r w:rsidRPr="00506787">
        <w:rPr>
          <w:rStyle w:val="TextoNormalCaracter"/>
        </w:rPr>
        <w:t>, ff. 3,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7" w:history="1">
        <w:r w:rsidRPr="00506787">
          <w:rPr>
            <w:rStyle w:val="TextoNormalCaracter"/>
          </w:rPr>
          <w:t>7/1985</w:t>
        </w:r>
      </w:hyperlink>
      <w:r w:rsidRPr="00506787">
        <w:rPr>
          <w:rStyle w:val="TextoNormalCaracter"/>
        </w:rPr>
        <w:t xml:space="preserve">; </w:t>
      </w:r>
      <w:hyperlink w:anchor="AUTO_1985_8" w:history="1">
        <w:r w:rsidRPr="00506787">
          <w:rPr>
            <w:rStyle w:val="TextoNormalCaracter"/>
          </w:rPr>
          <w:t>8/1985</w:t>
        </w:r>
      </w:hyperlink>
      <w:r w:rsidRPr="00506787">
        <w:rPr>
          <w:rStyle w:val="TextoNormalCaracter"/>
        </w:rPr>
        <w:t xml:space="preserve">; </w:t>
      </w:r>
      <w:hyperlink w:anchor="AUTO_1985_15" w:history="1">
        <w:r w:rsidRPr="00506787">
          <w:rPr>
            <w:rStyle w:val="TextoNormalCaracter"/>
          </w:rPr>
          <w:t>15/1985</w:t>
        </w:r>
      </w:hyperlink>
      <w:r w:rsidRPr="00506787">
        <w:rPr>
          <w:rStyle w:val="TextoNormalCaracter"/>
        </w:rPr>
        <w:t xml:space="preserve">; </w:t>
      </w:r>
      <w:hyperlink w:anchor="AUTO_1985_31" w:history="1">
        <w:r w:rsidRPr="00506787">
          <w:rPr>
            <w:rStyle w:val="TextoNormalCaracter"/>
          </w:rPr>
          <w:t>31/1985</w:t>
        </w:r>
      </w:hyperlink>
      <w:r w:rsidRPr="00506787">
        <w:rPr>
          <w:rStyle w:val="TextoNormalCaracter"/>
        </w:rPr>
        <w:t xml:space="preserve">; </w:t>
      </w:r>
      <w:hyperlink w:anchor="AUTO_1985_50" w:history="1">
        <w:r w:rsidRPr="00506787">
          <w:rPr>
            <w:rStyle w:val="TextoNormalCaracter"/>
          </w:rPr>
          <w:t>50/1985</w:t>
        </w:r>
      </w:hyperlink>
      <w:r w:rsidRPr="00506787">
        <w:rPr>
          <w:rStyle w:val="TextoNormalCaracter"/>
        </w:rPr>
        <w:t xml:space="preserve">; </w:t>
      </w:r>
      <w:hyperlink w:anchor="AUTO_1985_52" w:history="1">
        <w:r w:rsidRPr="00506787">
          <w:rPr>
            <w:rStyle w:val="TextoNormalCaracter"/>
          </w:rPr>
          <w:t>52/1985</w:t>
        </w:r>
      </w:hyperlink>
      <w:r w:rsidRPr="00506787">
        <w:rPr>
          <w:rStyle w:val="TextoNormalCaracter"/>
        </w:rPr>
        <w:t xml:space="preserve">; </w:t>
      </w:r>
      <w:hyperlink w:anchor="AUTO_1985_59" w:history="1">
        <w:r w:rsidRPr="00506787">
          <w:rPr>
            <w:rStyle w:val="TextoNormalCaracter"/>
          </w:rPr>
          <w:t>59/1985</w:t>
        </w:r>
      </w:hyperlink>
      <w:r w:rsidRPr="00506787">
        <w:rPr>
          <w:rStyle w:val="TextoNormalCaracter"/>
        </w:rPr>
        <w:t xml:space="preserve">; </w:t>
      </w:r>
      <w:hyperlink w:anchor="AUTO_1985_60" w:history="1">
        <w:r w:rsidRPr="00506787">
          <w:rPr>
            <w:rStyle w:val="TextoNormalCaracter"/>
          </w:rPr>
          <w:t>60/1985</w:t>
        </w:r>
      </w:hyperlink>
      <w:r w:rsidRPr="00506787">
        <w:rPr>
          <w:rStyle w:val="TextoNormalCaracter"/>
        </w:rPr>
        <w:t xml:space="preserve">; </w:t>
      </w:r>
      <w:hyperlink w:anchor="AUTO_1985_76" w:history="1">
        <w:r w:rsidRPr="00506787">
          <w:rPr>
            <w:rStyle w:val="TextoNormalCaracter"/>
          </w:rPr>
          <w:t>76/1985</w:t>
        </w:r>
      </w:hyperlink>
      <w:r w:rsidRPr="00506787">
        <w:rPr>
          <w:rStyle w:val="TextoNormalCaracter"/>
        </w:rPr>
        <w:t xml:space="preserve">; </w:t>
      </w:r>
      <w:hyperlink w:anchor="AUTO_1985_78" w:history="1">
        <w:r w:rsidRPr="00506787">
          <w:rPr>
            <w:rStyle w:val="TextoNormalCaracter"/>
          </w:rPr>
          <w:t>78/1985</w:t>
        </w:r>
      </w:hyperlink>
      <w:r w:rsidRPr="00506787">
        <w:rPr>
          <w:rStyle w:val="TextoNormalCaracter"/>
        </w:rPr>
        <w:t xml:space="preserve">; </w:t>
      </w:r>
      <w:hyperlink w:anchor="AUTO_1985_81" w:history="1">
        <w:r w:rsidRPr="00506787">
          <w:rPr>
            <w:rStyle w:val="TextoNormalCaracter"/>
          </w:rPr>
          <w:t>81/1985</w:t>
        </w:r>
      </w:hyperlink>
      <w:r w:rsidRPr="00506787">
        <w:rPr>
          <w:rStyle w:val="TextoNormalCaracter"/>
        </w:rPr>
        <w:t xml:space="preserve">; </w:t>
      </w:r>
      <w:hyperlink w:anchor="AUTO_1985_82" w:history="1">
        <w:r w:rsidRPr="00506787">
          <w:rPr>
            <w:rStyle w:val="TextoNormalCaracter"/>
          </w:rPr>
          <w:t>82/1985</w:t>
        </w:r>
      </w:hyperlink>
      <w:r w:rsidRPr="00506787">
        <w:rPr>
          <w:rStyle w:val="TextoNormalCaracter"/>
        </w:rPr>
        <w:t xml:space="preserve">; </w:t>
      </w:r>
      <w:hyperlink w:anchor="AUTO_1985_83" w:history="1">
        <w:r w:rsidRPr="00506787">
          <w:rPr>
            <w:rStyle w:val="TextoNormalCaracter"/>
          </w:rPr>
          <w:t>83/1985</w:t>
        </w:r>
      </w:hyperlink>
      <w:r w:rsidRPr="00506787">
        <w:rPr>
          <w:rStyle w:val="TextoNormalCaracter"/>
        </w:rPr>
        <w:t xml:space="preserve">; </w:t>
      </w:r>
      <w:hyperlink w:anchor="AUTO_1985_86" w:history="1">
        <w:r w:rsidRPr="00506787">
          <w:rPr>
            <w:rStyle w:val="TextoNormalCaracter"/>
          </w:rPr>
          <w:t>86/1985</w:t>
        </w:r>
      </w:hyperlink>
      <w:r w:rsidRPr="00506787">
        <w:rPr>
          <w:rStyle w:val="TextoNormalCaracter"/>
        </w:rPr>
        <w:t xml:space="preserve">; </w:t>
      </w:r>
      <w:hyperlink w:anchor="AUTO_1985_94" w:history="1">
        <w:r w:rsidRPr="00506787">
          <w:rPr>
            <w:rStyle w:val="TextoNormalCaracter"/>
          </w:rPr>
          <w:t>94/1985</w:t>
        </w:r>
      </w:hyperlink>
      <w:r w:rsidRPr="00506787">
        <w:rPr>
          <w:rStyle w:val="TextoNormalCaracter"/>
        </w:rPr>
        <w:t xml:space="preserve">; </w:t>
      </w:r>
      <w:hyperlink w:anchor="AUTO_1985_95" w:history="1">
        <w:r w:rsidRPr="00506787">
          <w:rPr>
            <w:rStyle w:val="TextoNormalCaracter"/>
          </w:rPr>
          <w:t>95/1985</w:t>
        </w:r>
      </w:hyperlink>
      <w:r w:rsidRPr="00506787">
        <w:rPr>
          <w:rStyle w:val="TextoNormalCaracter"/>
        </w:rPr>
        <w:t xml:space="preserve">; </w:t>
      </w:r>
      <w:hyperlink w:anchor="AUTO_1985_103" w:history="1">
        <w:r w:rsidRPr="00506787">
          <w:rPr>
            <w:rStyle w:val="TextoNormalCaracter"/>
          </w:rPr>
          <w:t>103/1985</w:t>
        </w:r>
      </w:hyperlink>
      <w:r w:rsidRPr="00506787">
        <w:rPr>
          <w:rStyle w:val="TextoNormalCaracter"/>
        </w:rPr>
        <w:t xml:space="preserve">; </w:t>
      </w:r>
      <w:hyperlink w:anchor="AUTO_1985_104" w:history="1">
        <w:r w:rsidRPr="00506787">
          <w:rPr>
            <w:rStyle w:val="TextoNormalCaracter"/>
          </w:rPr>
          <w:t>104/1985</w:t>
        </w:r>
      </w:hyperlink>
      <w:r w:rsidRPr="00506787">
        <w:rPr>
          <w:rStyle w:val="TextoNormalCaracter"/>
        </w:rPr>
        <w:t xml:space="preserve">; </w:t>
      </w:r>
      <w:hyperlink w:anchor="AUTO_1985_105" w:history="1">
        <w:r w:rsidRPr="00506787">
          <w:rPr>
            <w:rStyle w:val="TextoNormalCaracter"/>
          </w:rPr>
          <w:t>105/1985</w:t>
        </w:r>
      </w:hyperlink>
      <w:r w:rsidRPr="00506787">
        <w:rPr>
          <w:rStyle w:val="TextoNormalCaracter"/>
        </w:rPr>
        <w:t xml:space="preserve">; </w:t>
      </w:r>
      <w:hyperlink w:anchor="AUTO_1985_121" w:history="1">
        <w:r w:rsidRPr="00506787">
          <w:rPr>
            <w:rStyle w:val="TextoNormalCaracter"/>
          </w:rPr>
          <w:t>121/1985</w:t>
        </w:r>
      </w:hyperlink>
      <w:r w:rsidRPr="00506787">
        <w:rPr>
          <w:rStyle w:val="TextoNormalCaracter"/>
        </w:rPr>
        <w:t xml:space="preserve">; </w:t>
      </w:r>
      <w:hyperlink w:anchor="AUTO_1985_123" w:history="1">
        <w:r w:rsidRPr="00506787">
          <w:rPr>
            <w:rStyle w:val="TextoNormalCaracter"/>
          </w:rPr>
          <w:t>123/1985</w:t>
        </w:r>
      </w:hyperlink>
      <w:r w:rsidRPr="00506787">
        <w:rPr>
          <w:rStyle w:val="TextoNormalCaracter"/>
        </w:rPr>
        <w:t xml:space="preserve">; </w:t>
      </w:r>
      <w:hyperlink w:anchor="AUTO_1985_124" w:history="1">
        <w:r w:rsidRPr="00506787">
          <w:rPr>
            <w:rStyle w:val="TextoNormalCaracter"/>
          </w:rPr>
          <w:t>124/1985</w:t>
        </w:r>
      </w:hyperlink>
      <w:r w:rsidRPr="00506787">
        <w:rPr>
          <w:rStyle w:val="TextoNormalCaracter"/>
        </w:rPr>
        <w:t xml:space="preserve">; </w:t>
      </w:r>
      <w:hyperlink w:anchor="AUTO_1985_131" w:history="1">
        <w:r w:rsidRPr="00506787">
          <w:rPr>
            <w:rStyle w:val="TextoNormalCaracter"/>
          </w:rPr>
          <w:t>131/1985</w:t>
        </w:r>
      </w:hyperlink>
      <w:r w:rsidRPr="00506787">
        <w:rPr>
          <w:rStyle w:val="TextoNormalCaracter"/>
        </w:rPr>
        <w:t xml:space="preserve">; </w:t>
      </w:r>
      <w:hyperlink w:anchor="AUTO_1985_144" w:history="1">
        <w:r w:rsidRPr="00506787">
          <w:rPr>
            <w:rStyle w:val="TextoNormalCaracter"/>
          </w:rPr>
          <w:t>144/1985</w:t>
        </w:r>
      </w:hyperlink>
      <w:r w:rsidRPr="00506787">
        <w:rPr>
          <w:rStyle w:val="TextoNormalCaracter"/>
        </w:rPr>
        <w:t xml:space="preserve">; </w:t>
      </w:r>
      <w:hyperlink w:anchor="AUTO_1985_150" w:history="1">
        <w:r w:rsidRPr="00506787">
          <w:rPr>
            <w:rStyle w:val="TextoNormalCaracter"/>
          </w:rPr>
          <w:t>150/1985</w:t>
        </w:r>
      </w:hyperlink>
      <w:r w:rsidRPr="00506787">
        <w:rPr>
          <w:rStyle w:val="TextoNormalCaracter"/>
        </w:rPr>
        <w:t xml:space="preserve">; </w:t>
      </w:r>
      <w:hyperlink w:anchor="AUTO_1985_155" w:history="1">
        <w:r w:rsidRPr="00506787">
          <w:rPr>
            <w:rStyle w:val="TextoNormalCaracter"/>
          </w:rPr>
          <w:t>155/1985</w:t>
        </w:r>
      </w:hyperlink>
      <w:r w:rsidRPr="00506787">
        <w:rPr>
          <w:rStyle w:val="TextoNormalCaracter"/>
        </w:rPr>
        <w:t xml:space="preserve">; </w:t>
      </w:r>
      <w:hyperlink w:anchor="AUTO_1985_163" w:history="1">
        <w:r w:rsidRPr="00506787">
          <w:rPr>
            <w:rStyle w:val="TextoNormalCaracter"/>
          </w:rPr>
          <w:t>163/1985</w:t>
        </w:r>
      </w:hyperlink>
      <w:r w:rsidRPr="00506787">
        <w:rPr>
          <w:rStyle w:val="TextoNormalCaracter"/>
        </w:rPr>
        <w:t xml:space="preserve">; </w:t>
      </w:r>
      <w:hyperlink w:anchor="AUTO_1985_164" w:history="1">
        <w:r w:rsidRPr="00506787">
          <w:rPr>
            <w:rStyle w:val="TextoNormalCaracter"/>
          </w:rPr>
          <w:t>164/1985</w:t>
        </w:r>
      </w:hyperlink>
      <w:r w:rsidRPr="00506787">
        <w:rPr>
          <w:rStyle w:val="TextoNormalCaracter"/>
        </w:rPr>
        <w:t xml:space="preserve">; </w:t>
      </w:r>
      <w:hyperlink w:anchor="AUTO_1985_168" w:history="1">
        <w:r w:rsidRPr="00506787">
          <w:rPr>
            <w:rStyle w:val="TextoNormalCaracter"/>
          </w:rPr>
          <w:t>168/1985</w:t>
        </w:r>
      </w:hyperlink>
      <w:r w:rsidRPr="00506787">
        <w:rPr>
          <w:rStyle w:val="TextoNormalCaracter"/>
        </w:rPr>
        <w:t xml:space="preserve">; </w:t>
      </w:r>
      <w:hyperlink w:anchor="AUTO_1985_169" w:history="1">
        <w:r w:rsidRPr="00506787">
          <w:rPr>
            <w:rStyle w:val="TextoNormalCaracter"/>
          </w:rPr>
          <w:t>169/1985</w:t>
        </w:r>
      </w:hyperlink>
      <w:r w:rsidRPr="00506787">
        <w:rPr>
          <w:rStyle w:val="TextoNormalCaracter"/>
        </w:rPr>
        <w:t xml:space="preserve">; </w:t>
      </w:r>
      <w:hyperlink w:anchor="AUTO_1985_177" w:history="1">
        <w:r w:rsidRPr="00506787">
          <w:rPr>
            <w:rStyle w:val="TextoNormalCaracter"/>
          </w:rPr>
          <w:t>177/1985</w:t>
        </w:r>
      </w:hyperlink>
      <w:r w:rsidRPr="00506787">
        <w:rPr>
          <w:rStyle w:val="TextoNormalCaracter"/>
        </w:rPr>
        <w:t xml:space="preserve">; </w:t>
      </w:r>
      <w:hyperlink w:anchor="AUTO_1985_184" w:history="1">
        <w:r w:rsidRPr="00506787">
          <w:rPr>
            <w:rStyle w:val="TextoNormalCaracter"/>
          </w:rPr>
          <w:t>184/1985</w:t>
        </w:r>
      </w:hyperlink>
      <w:r w:rsidRPr="00506787">
        <w:rPr>
          <w:rStyle w:val="TextoNormalCaracter"/>
        </w:rPr>
        <w:t xml:space="preserve">; </w:t>
      </w:r>
      <w:hyperlink w:anchor="AUTO_1985_188" w:history="1">
        <w:r w:rsidRPr="00506787">
          <w:rPr>
            <w:rStyle w:val="TextoNormalCaracter"/>
          </w:rPr>
          <w:t>188/1985</w:t>
        </w:r>
      </w:hyperlink>
      <w:r w:rsidRPr="00506787">
        <w:rPr>
          <w:rStyle w:val="TextoNormalCaracter"/>
        </w:rPr>
        <w:t xml:space="preserve">; </w:t>
      </w:r>
      <w:hyperlink w:anchor="AUTO_1985_191" w:history="1">
        <w:r w:rsidRPr="00506787">
          <w:rPr>
            <w:rStyle w:val="TextoNormalCaracter"/>
          </w:rPr>
          <w:t>191/1985</w:t>
        </w:r>
      </w:hyperlink>
      <w:r w:rsidRPr="00506787">
        <w:rPr>
          <w:rStyle w:val="TextoNormalCaracter"/>
        </w:rPr>
        <w:t xml:space="preserve">; </w:t>
      </w:r>
      <w:hyperlink w:anchor="AUTO_1985_192" w:history="1">
        <w:r w:rsidRPr="00506787">
          <w:rPr>
            <w:rStyle w:val="TextoNormalCaracter"/>
          </w:rPr>
          <w:t>192/1985</w:t>
        </w:r>
      </w:hyperlink>
      <w:r w:rsidRPr="00506787">
        <w:rPr>
          <w:rStyle w:val="TextoNormalCaracter"/>
        </w:rPr>
        <w:t xml:space="preserve">; </w:t>
      </w:r>
      <w:hyperlink w:anchor="AUTO_1985_196" w:history="1">
        <w:r w:rsidRPr="00506787">
          <w:rPr>
            <w:rStyle w:val="TextoNormalCaracter"/>
          </w:rPr>
          <w:t>196/1985</w:t>
        </w:r>
      </w:hyperlink>
      <w:r w:rsidRPr="00506787">
        <w:rPr>
          <w:rStyle w:val="TextoNormalCaracter"/>
        </w:rPr>
        <w:t xml:space="preserve">; </w:t>
      </w:r>
      <w:hyperlink w:anchor="AUTO_1985_203" w:history="1">
        <w:r w:rsidRPr="00506787">
          <w:rPr>
            <w:rStyle w:val="TextoNormalCaracter"/>
          </w:rPr>
          <w:t>203/1985</w:t>
        </w:r>
      </w:hyperlink>
      <w:r w:rsidRPr="00506787">
        <w:rPr>
          <w:rStyle w:val="TextoNormalCaracter"/>
        </w:rPr>
        <w:t xml:space="preserve">; </w:t>
      </w:r>
      <w:hyperlink w:anchor="AUTO_1985_205" w:history="1">
        <w:r w:rsidRPr="00506787">
          <w:rPr>
            <w:rStyle w:val="TextoNormalCaracter"/>
          </w:rPr>
          <w:t>205/1985</w:t>
        </w:r>
      </w:hyperlink>
      <w:r w:rsidRPr="00506787">
        <w:rPr>
          <w:rStyle w:val="TextoNormalCaracter"/>
        </w:rPr>
        <w:t xml:space="preserve">; </w:t>
      </w:r>
      <w:hyperlink w:anchor="AUTO_1985_206" w:history="1">
        <w:r w:rsidRPr="00506787">
          <w:rPr>
            <w:rStyle w:val="TextoNormalCaracter"/>
          </w:rPr>
          <w:t>206/1985</w:t>
        </w:r>
      </w:hyperlink>
      <w:r w:rsidRPr="00506787">
        <w:rPr>
          <w:rStyle w:val="TextoNormalCaracter"/>
        </w:rPr>
        <w:t xml:space="preserve">; </w:t>
      </w:r>
      <w:hyperlink w:anchor="AUTO_1985_210" w:history="1">
        <w:r w:rsidRPr="00506787">
          <w:rPr>
            <w:rStyle w:val="TextoNormalCaracter"/>
          </w:rPr>
          <w:t>210/1985</w:t>
        </w:r>
      </w:hyperlink>
      <w:r w:rsidRPr="00506787">
        <w:rPr>
          <w:rStyle w:val="TextoNormalCaracter"/>
        </w:rPr>
        <w:t xml:space="preserve">; </w:t>
      </w:r>
      <w:hyperlink w:anchor="AUTO_1985_214" w:history="1">
        <w:r w:rsidRPr="00506787">
          <w:rPr>
            <w:rStyle w:val="TextoNormalCaracter"/>
          </w:rPr>
          <w:t>214/1985</w:t>
        </w:r>
      </w:hyperlink>
      <w:r w:rsidRPr="00506787">
        <w:rPr>
          <w:rStyle w:val="TextoNormalCaracter"/>
        </w:rPr>
        <w:t xml:space="preserve">; </w:t>
      </w:r>
      <w:hyperlink w:anchor="AUTO_1985_222" w:history="1">
        <w:r w:rsidRPr="00506787">
          <w:rPr>
            <w:rStyle w:val="TextoNormalCaracter"/>
          </w:rPr>
          <w:t>222/1985</w:t>
        </w:r>
      </w:hyperlink>
      <w:r w:rsidRPr="00506787">
        <w:rPr>
          <w:rStyle w:val="TextoNormalCaracter"/>
        </w:rPr>
        <w:t xml:space="preserve">; </w:t>
      </w:r>
      <w:hyperlink w:anchor="AUTO_1985_237" w:history="1">
        <w:r w:rsidRPr="00506787">
          <w:rPr>
            <w:rStyle w:val="TextoNormalCaracter"/>
          </w:rPr>
          <w:t>237/1985</w:t>
        </w:r>
      </w:hyperlink>
      <w:r w:rsidRPr="00506787">
        <w:rPr>
          <w:rStyle w:val="TextoNormalCaracter"/>
        </w:rPr>
        <w:t xml:space="preserve">; </w:t>
      </w:r>
      <w:hyperlink w:anchor="AUTO_1985_241" w:history="1">
        <w:r w:rsidRPr="00506787">
          <w:rPr>
            <w:rStyle w:val="TextoNormalCaracter"/>
          </w:rPr>
          <w:t>241/1985</w:t>
        </w:r>
      </w:hyperlink>
      <w:r w:rsidRPr="00506787">
        <w:rPr>
          <w:rStyle w:val="TextoNormalCaracter"/>
        </w:rPr>
        <w:t xml:space="preserve">; </w:t>
      </w:r>
      <w:hyperlink w:anchor="AUTO_1985_245" w:history="1">
        <w:r w:rsidRPr="00506787">
          <w:rPr>
            <w:rStyle w:val="TextoNormalCaracter"/>
          </w:rPr>
          <w:t>245/1985</w:t>
        </w:r>
      </w:hyperlink>
      <w:r w:rsidRPr="00506787">
        <w:rPr>
          <w:rStyle w:val="TextoNormalCaracter"/>
        </w:rPr>
        <w:t xml:space="preserve">; </w:t>
      </w:r>
      <w:hyperlink w:anchor="AUTO_1985_265" w:history="1">
        <w:r w:rsidRPr="00506787">
          <w:rPr>
            <w:rStyle w:val="TextoNormalCaracter"/>
          </w:rPr>
          <w:t>265/1985</w:t>
        </w:r>
      </w:hyperlink>
      <w:r w:rsidRPr="00506787">
        <w:rPr>
          <w:rStyle w:val="TextoNormalCaracter"/>
        </w:rPr>
        <w:t xml:space="preserve">; </w:t>
      </w:r>
      <w:hyperlink w:anchor="AUTO_1985_273" w:history="1">
        <w:r w:rsidRPr="00506787">
          <w:rPr>
            <w:rStyle w:val="TextoNormalCaracter"/>
          </w:rPr>
          <w:t>273/1985</w:t>
        </w:r>
      </w:hyperlink>
      <w:r w:rsidRPr="00506787">
        <w:rPr>
          <w:rStyle w:val="TextoNormalCaracter"/>
        </w:rPr>
        <w:t>.</w:t>
      </w:r>
    </w:p>
    <w:p w:rsidR="00506787" w:rsidRPr="00506787" w:rsidRDefault="00506787" w:rsidP="00506787">
      <w:pPr>
        <w:pStyle w:val="TextoNormalSangraFrancesa"/>
        <w:rPr>
          <w:rStyle w:val="TextoNormalCaracter"/>
        </w:rPr>
      </w:pPr>
      <w:bookmarkStart w:id="1114" w:name="DESCRIPTORALFABETICO61"/>
      <w:r w:rsidRPr="00506787">
        <w:rPr>
          <w:rStyle w:val="TextoNormalNegritaCaracter"/>
        </w:rPr>
        <w:t>Derecho a la tutela judicial sin indefensión</w:t>
      </w:r>
      <w:bookmarkEnd w:id="1114"/>
      <w:r w:rsidRPr="00506787">
        <w:rPr>
          <w:rStyle w:val="TextoNormalCaracter"/>
        </w:rPr>
        <w:t xml:space="preserve">, Sentencias </w:t>
      </w:r>
      <w:hyperlink w:anchor="SENTENCIA_1985_2" w:history="1">
        <w:r w:rsidRPr="00506787">
          <w:rPr>
            <w:rStyle w:val="TextoNormalCaracter"/>
          </w:rPr>
          <w:t>2/1985</w:t>
        </w:r>
      </w:hyperlink>
      <w:r w:rsidRPr="00506787">
        <w:rPr>
          <w:rStyle w:val="TextoNormalCaracter"/>
        </w:rPr>
        <w:t xml:space="preserve">, ff. 1, 2; </w:t>
      </w:r>
      <w:hyperlink w:anchor="SENTENCIA_1985_3" w:history="1">
        <w:r w:rsidRPr="00506787">
          <w:rPr>
            <w:rStyle w:val="TextoNormalCaracter"/>
          </w:rPr>
          <w:t>3/1985</w:t>
        </w:r>
      </w:hyperlink>
      <w:r w:rsidRPr="00506787">
        <w:rPr>
          <w:rStyle w:val="TextoNormalCaracter"/>
        </w:rPr>
        <w:t xml:space="preserve">, ff. 1, 2; </w:t>
      </w:r>
      <w:hyperlink w:anchor="SENTENCIA_1985_6" w:history="1">
        <w:r w:rsidRPr="00506787">
          <w:rPr>
            <w:rStyle w:val="TextoNormalCaracter"/>
          </w:rPr>
          <w:t>6/1985</w:t>
        </w:r>
      </w:hyperlink>
      <w:r w:rsidRPr="00506787">
        <w:rPr>
          <w:rStyle w:val="TextoNormalCaracter"/>
        </w:rPr>
        <w:t>, ff. 1, 2.</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18" w:history="1">
        <w:r w:rsidRPr="00506787">
          <w:rPr>
            <w:rStyle w:val="TextoNormalCaracter"/>
          </w:rPr>
          <w:t>218/1985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Respetado, </w:t>
      </w:r>
      <w:r w:rsidRPr="00506787">
        <w:rPr>
          <w:rStyle w:val="TextoNormalCaracter"/>
        </w:rPr>
        <w:t xml:space="preserve">Sentencia </w:t>
      </w:r>
      <w:hyperlink w:anchor="SENTENCIA_1985_18" w:history="1">
        <w:r w:rsidRPr="00506787">
          <w:rPr>
            <w:rStyle w:val="TextoNormalCaracter"/>
          </w:rPr>
          <w:t>18/1985</w:t>
        </w:r>
      </w:hyperlink>
      <w:r w:rsidRPr="00506787">
        <w:rPr>
          <w:rStyle w:val="TextoNormalCaracter"/>
        </w:rPr>
        <w:t>, ff. 1, 2, 3, 4, 5.</w:t>
      </w:r>
    </w:p>
    <w:p w:rsidR="00506787" w:rsidRPr="00506787" w:rsidRDefault="00506787" w:rsidP="00506787">
      <w:pPr>
        <w:pStyle w:val="TextoNormalSangraFrancesa"/>
        <w:rPr>
          <w:rStyle w:val="TextoNormalCaracter"/>
        </w:rPr>
      </w:pPr>
      <w:bookmarkStart w:id="1115" w:name="DESCRIPTORALFABETICO64"/>
      <w:r w:rsidRPr="00506787">
        <w:rPr>
          <w:rStyle w:val="TextoNormalNegritaCaracter"/>
        </w:rPr>
        <w:t>Derecho a la vida</w:t>
      </w:r>
      <w:bookmarkEnd w:id="1115"/>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ff. 3, 8.</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41" w:history="1">
        <w:r w:rsidRPr="00506787">
          <w:rPr>
            <w:rStyle w:val="TextoNormalCaracter"/>
          </w:rPr>
          <w:t>241/1985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Derecho a promover la persecución penal</w:t>
      </w:r>
      <w:r>
        <w:t xml:space="preserve"> véase </w:t>
      </w:r>
      <w:hyperlink w:anchor="DESCRIPTORALFABETICO44" w:history="1">
        <w:r w:rsidRPr="00506787">
          <w:rPr>
            <w:rStyle w:val="TextoNormalNegritaCaracter"/>
            <w:i/>
          </w:rPr>
          <w:t>Ius ut procedatur</w:t>
        </w:r>
      </w:hyperlink>
    </w:p>
    <w:p w:rsidR="00506787" w:rsidRPr="00506787" w:rsidRDefault="00506787" w:rsidP="00506787">
      <w:pPr>
        <w:pStyle w:val="TextoNormalSangraFrancesa"/>
        <w:rPr>
          <w:rStyle w:val="TextoNormalCaracter"/>
        </w:rPr>
      </w:pPr>
      <w:bookmarkStart w:id="1116" w:name="DESCRIPTORALFABETICO76"/>
      <w:r w:rsidRPr="00506787">
        <w:rPr>
          <w:rStyle w:val="TextoNormalNegritaCaracter"/>
        </w:rPr>
        <w:t>Derecho a ser informado de la acusación</w:t>
      </w:r>
      <w:bookmarkEnd w:id="1116"/>
      <w:r w:rsidRPr="00506787">
        <w:rPr>
          <w:rStyle w:val="TextoNormalCaracter"/>
        </w:rPr>
        <w:t xml:space="preserve">, Sentencias </w:t>
      </w:r>
      <w:hyperlink w:anchor="SENTENCIA_1985_34" w:history="1">
        <w:r w:rsidRPr="00506787">
          <w:rPr>
            <w:rStyle w:val="TextoNormalCaracter"/>
          </w:rPr>
          <w:t>34/1985</w:t>
        </w:r>
      </w:hyperlink>
      <w:r w:rsidRPr="00506787">
        <w:rPr>
          <w:rStyle w:val="TextoNormalCaracter"/>
        </w:rPr>
        <w:t xml:space="preserve">, f. 2; </w:t>
      </w:r>
      <w:hyperlink w:anchor="SENTENCIA_1985_54" w:history="1">
        <w:r w:rsidRPr="00506787">
          <w:rPr>
            <w:rStyle w:val="TextoNormalCaracter"/>
          </w:rPr>
          <w:t>54/1985</w:t>
        </w:r>
      </w:hyperlink>
      <w:r w:rsidRPr="00506787">
        <w:rPr>
          <w:rStyle w:val="TextoNormalCaracter"/>
        </w:rPr>
        <w:t>, f. 6.</w:t>
      </w:r>
    </w:p>
    <w:p w:rsidR="00506787" w:rsidRPr="00506787" w:rsidRDefault="00506787" w:rsidP="00506787">
      <w:pPr>
        <w:pStyle w:val="TextoNormalSangraFrancesa"/>
        <w:rPr>
          <w:rStyle w:val="TextoNormalCaracter"/>
        </w:rPr>
      </w:pPr>
      <w:bookmarkStart w:id="1117" w:name="DESCRIPTORALFABETICO77"/>
      <w:r w:rsidRPr="00506787">
        <w:rPr>
          <w:rStyle w:val="TextoNormalNegritaCaracter"/>
        </w:rPr>
        <w:t>Derecho a un proceso sin dilaciones indebidas</w:t>
      </w:r>
      <w:bookmarkEnd w:id="1117"/>
      <w:r w:rsidRPr="00506787">
        <w:rPr>
          <w:rStyle w:val="TextoNormalCaracter"/>
        </w:rPr>
        <w:t xml:space="preserve">, Sentencias </w:t>
      </w:r>
      <w:hyperlink w:anchor="SENTENCIA_1985_5" w:history="1">
        <w:r w:rsidRPr="00506787">
          <w:rPr>
            <w:rStyle w:val="TextoNormalCaracter"/>
          </w:rPr>
          <w:t>5/1985</w:t>
        </w:r>
      </w:hyperlink>
      <w:r w:rsidRPr="00506787">
        <w:rPr>
          <w:rStyle w:val="TextoNormalCaracter"/>
        </w:rPr>
        <w:t xml:space="preserve">, ff. 1, 2, 3, 4, 5, 6, 7, 8, 9, 10, VP; </w:t>
      </w:r>
      <w:hyperlink w:anchor="SENTENCIA_1985_51" w:history="1">
        <w:r w:rsidRPr="00506787">
          <w:rPr>
            <w:rStyle w:val="TextoNormalCaracter"/>
          </w:rPr>
          <w:t>51/1985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98" w:history="1">
        <w:r w:rsidRPr="00506787">
          <w:rPr>
            <w:rStyle w:val="TextoNormalCaracter"/>
          </w:rPr>
          <w:t>98/1985</w:t>
        </w:r>
      </w:hyperlink>
      <w:r w:rsidRPr="00506787">
        <w:rPr>
          <w:rStyle w:val="TextoNormalCaracter"/>
        </w:rPr>
        <w:t xml:space="preserve">; </w:t>
      </w:r>
      <w:hyperlink w:anchor="AUTO_1985_179" w:history="1">
        <w:r w:rsidRPr="00506787">
          <w:rPr>
            <w:rStyle w:val="TextoNormalCaracter"/>
          </w:rPr>
          <w:t>179/1985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Derecho a utilizar los medios de prueba pertinentes</w:t>
      </w:r>
      <w:r>
        <w:t xml:space="preserve"> véase </w:t>
      </w:r>
      <w:hyperlink w:anchor="DESCRIPTORALFABETICO74" w:history="1">
        <w:r w:rsidRPr="00506787">
          <w:rPr>
            <w:rStyle w:val="TextoNormalNegritaCaracter"/>
          </w:rPr>
          <w:t>Derecho a la prueba</w:t>
        </w:r>
      </w:hyperlink>
    </w:p>
    <w:p w:rsidR="00506787" w:rsidRPr="00506787" w:rsidRDefault="00506787" w:rsidP="00506787">
      <w:pPr>
        <w:pStyle w:val="TextoNormalSangraFrancesa"/>
        <w:rPr>
          <w:rStyle w:val="TextoNormalCaracter"/>
        </w:rPr>
      </w:pPr>
      <w:bookmarkStart w:id="1118" w:name="DESCRIPTORALFABETICO89"/>
      <w:r w:rsidRPr="00506787">
        <w:rPr>
          <w:rStyle w:val="TextoNormalNegritaCaracter"/>
        </w:rPr>
        <w:t>Derecho al honor</w:t>
      </w:r>
      <w:bookmarkEnd w:id="1118"/>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8.</w:t>
      </w:r>
    </w:p>
    <w:p w:rsidR="00506787" w:rsidRPr="00506787" w:rsidRDefault="00506787" w:rsidP="00506787">
      <w:pPr>
        <w:pStyle w:val="TextoNormalSangraFrancesa"/>
        <w:rPr>
          <w:rStyle w:val="TextoNormalCaracter"/>
        </w:rPr>
      </w:pPr>
      <w:bookmarkStart w:id="1119" w:name="DESCRIPTORALFABETICO84"/>
      <w:r w:rsidRPr="00506787">
        <w:rPr>
          <w:rStyle w:val="TextoNormalNegritaCaracter"/>
        </w:rPr>
        <w:t>Derecho al juez legal</w:t>
      </w:r>
      <w:bookmarkEnd w:id="1119"/>
      <w:r w:rsidRPr="00506787">
        <w:rPr>
          <w:rStyle w:val="TextoNormalCaracter"/>
        </w:rPr>
        <w:t xml:space="preserve">, Sentencias </w:t>
      </w:r>
      <w:hyperlink w:anchor="SENTENCIA_1985_22" w:history="1">
        <w:r w:rsidRPr="00506787">
          <w:rPr>
            <w:rStyle w:val="TextoNormalCaracter"/>
          </w:rPr>
          <w:t>22/1985</w:t>
        </w:r>
      </w:hyperlink>
      <w:r w:rsidRPr="00506787">
        <w:rPr>
          <w:rStyle w:val="TextoNormalCaracter"/>
        </w:rPr>
        <w:t xml:space="preserve">, f. 3; </w:t>
      </w:r>
      <w:hyperlink w:anchor="SENTENCIA_1985_44" w:history="1">
        <w:r w:rsidRPr="00506787">
          <w:rPr>
            <w:rStyle w:val="TextoNormalCaracter"/>
          </w:rPr>
          <w:t>44/1985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96" w:history="1">
        <w:r w:rsidRPr="00506787">
          <w:rPr>
            <w:rStyle w:val="TextoNormalCaracter"/>
          </w:rPr>
          <w:t>196/1985</w:t>
        </w:r>
      </w:hyperlink>
      <w:r w:rsidRPr="00506787">
        <w:rPr>
          <w:rStyle w:val="TextoNormalCaracter"/>
        </w:rPr>
        <w:t xml:space="preserve">; </w:t>
      </w:r>
      <w:hyperlink w:anchor="AUTO_1985_242" w:history="1">
        <w:r w:rsidRPr="00506787">
          <w:rPr>
            <w:rStyle w:val="TextoNormalCaracter"/>
          </w:rPr>
          <w:t>242/1985</w:t>
        </w:r>
      </w:hyperlink>
      <w:r w:rsidRPr="00506787">
        <w:rPr>
          <w:rStyle w:val="TextoNormalCaracter"/>
        </w:rPr>
        <w:t xml:space="preserve">; </w:t>
      </w:r>
      <w:hyperlink w:anchor="AUTO_1985_280" w:history="1">
        <w:r w:rsidRPr="00506787">
          <w:rPr>
            <w:rStyle w:val="TextoNormalCaracter"/>
          </w:rPr>
          <w:t>280/1985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Respetado, </w:t>
      </w:r>
      <w:r w:rsidRPr="00506787">
        <w:rPr>
          <w:rStyle w:val="TextoNormalCaracter"/>
        </w:rPr>
        <w:t xml:space="preserve">Auto </w:t>
      </w:r>
      <w:hyperlink w:anchor="AUTO_1985_203" w:history="1">
        <w:r w:rsidRPr="00506787">
          <w:rPr>
            <w:rStyle w:val="TextoNormalCaracter"/>
          </w:rPr>
          <w:t>203/1985</w:t>
        </w:r>
      </w:hyperlink>
      <w:r w:rsidRPr="00506787">
        <w:rPr>
          <w:rStyle w:val="TextoNormalCaracter"/>
        </w:rPr>
        <w:t>.</w:t>
      </w:r>
    </w:p>
    <w:p w:rsidR="00506787" w:rsidRPr="00506787" w:rsidRDefault="00506787" w:rsidP="00506787">
      <w:pPr>
        <w:pStyle w:val="TextoNormalSangraFrancesa"/>
        <w:rPr>
          <w:rStyle w:val="TextoNormalCaracter"/>
        </w:rPr>
      </w:pPr>
      <w:bookmarkStart w:id="1120" w:name="DESCRIPTORALFABETICO90"/>
      <w:r w:rsidRPr="00506787">
        <w:rPr>
          <w:rStyle w:val="TextoNormalNegritaCaracter"/>
        </w:rPr>
        <w:t>Derecho al libre desarrollo de la personalidad</w:t>
      </w:r>
      <w:bookmarkEnd w:id="1120"/>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8.</w:t>
      </w:r>
    </w:p>
    <w:p w:rsidR="00506787" w:rsidRPr="00506787" w:rsidRDefault="00506787" w:rsidP="00506787">
      <w:pPr>
        <w:pStyle w:val="TextoNormalSangraFrancesa"/>
        <w:rPr>
          <w:rStyle w:val="TextoNormalCaracter"/>
        </w:rPr>
      </w:pPr>
      <w:bookmarkStart w:id="1121" w:name="DESCRIPTORALFABETICO49"/>
      <w:r w:rsidRPr="00506787">
        <w:rPr>
          <w:rStyle w:val="TextoNormalNegritaCaracter"/>
        </w:rPr>
        <w:t>Derecho al recurso legal</w:t>
      </w:r>
      <w:bookmarkEnd w:id="1121"/>
      <w:r w:rsidRPr="00506787">
        <w:rPr>
          <w:rStyle w:val="TextoNormalCaracter"/>
        </w:rPr>
        <w:t xml:space="preserve">, Auto </w:t>
      </w:r>
      <w:hyperlink w:anchor="AUTO_1985_279" w:history="1">
        <w:r w:rsidRPr="00506787">
          <w:rPr>
            <w:rStyle w:val="TextoNormalCaracter"/>
          </w:rPr>
          <w:t>279/1985</w:t>
        </w:r>
      </w:hyperlink>
      <w:r w:rsidRPr="00506787">
        <w:rPr>
          <w:rStyle w:val="TextoNormalCaracter"/>
        </w:rPr>
        <w:t>.</w:t>
      </w:r>
    </w:p>
    <w:p w:rsidR="00506787" w:rsidRPr="00506787" w:rsidRDefault="00506787" w:rsidP="00506787">
      <w:pPr>
        <w:pStyle w:val="TextoNormalSangraFrancesa"/>
        <w:rPr>
          <w:rStyle w:val="TextoNormalCaracter"/>
        </w:rPr>
      </w:pPr>
      <w:bookmarkStart w:id="1122" w:name="DESCRIPTORALFABETICO308"/>
      <w:r w:rsidRPr="00506787">
        <w:rPr>
          <w:rStyle w:val="TextoNormalNegritaCaracter"/>
        </w:rPr>
        <w:t>Derecho de alimentos</w:t>
      </w:r>
      <w:bookmarkEnd w:id="1122"/>
      <w:r w:rsidRPr="00506787">
        <w:rPr>
          <w:rStyle w:val="TextoNormalCaracter"/>
        </w:rPr>
        <w:t xml:space="preserve">, Auto </w:t>
      </w:r>
      <w:hyperlink w:anchor="AUTO_1985_150" w:history="1">
        <w:r w:rsidRPr="00506787">
          <w:rPr>
            <w:rStyle w:val="TextoNormalCaracter"/>
          </w:rPr>
          <w:t>150/1985</w:t>
        </w:r>
      </w:hyperlink>
      <w:r w:rsidRPr="00506787">
        <w:rPr>
          <w:rStyle w:val="TextoNormalCaracter"/>
        </w:rPr>
        <w:t>.</w:t>
      </w:r>
    </w:p>
    <w:p w:rsidR="00506787" w:rsidRPr="00506787" w:rsidRDefault="00506787" w:rsidP="00506787">
      <w:pPr>
        <w:pStyle w:val="TextoNormalSangraFrancesa"/>
        <w:rPr>
          <w:rStyle w:val="TextoNormalCaracter"/>
        </w:rPr>
      </w:pPr>
      <w:bookmarkStart w:id="1123" w:name="DESCRIPTORALFABETICO92"/>
      <w:r w:rsidRPr="00506787">
        <w:rPr>
          <w:rStyle w:val="TextoNormalNegritaCaracter"/>
        </w:rPr>
        <w:lastRenderedPageBreak/>
        <w:t>Derecho de asociación</w:t>
      </w:r>
      <w:bookmarkEnd w:id="1123"/>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Respetado, </w:t>
      </w:r>
      <w:r w:rsidRPr="00506787">
        <w:rPr>
          <w:rStyle w:val="TextoNormalCaracter"/>
        </w:rPr>
        <w:t xml:space="preserve">Auto </w:t>
      </w:r>
      <w:hyperlink w:anchor="AUTO_1985_205" w:history="1">
        <w:r w:rsidRPr="00506787">
          <w:rPr>
            <w:rStyle w:val="TextoNormalCaracter"/>
          </w:rPr>
          <w:t>205/1985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Derecho de los titulares de centros docentes a establecer un ideario educativo</w:t>
      </w:r>
      <w:r>
        <w:t xml:space="preserve"> véase </w:t>
      </w:r>
      <w:hyperlink w:anchor="DESCRIPTORALFABETICO98" w:history="1">
        <w:r w:rsidRPr="00506787">
          <w:rPr>
            <w:rStyle w:val="TextoNormalNegritaCaracter"/>
          </w:rPr>
          <w:t>Derecho a establecer un ideario educativo</w:t>
        </w:r>
      </w:hyperlink>
    </w:p>
    <w:p w:rsidR="00506787" w:rsidRPr="00506787" w:rsidRDefault="00506787" w:rsidP="00506787">
      <w:pPr>
        <w:pStyle w:val="TextoNormalSangraFrancesa"/>
        <w:rPr>
          <w:rStyle w:val="TextoNormalCaracter"/>
        </w:rPr>
      </w:pPr>
      <w:bookmarkStart w:id="1124" w:name="DESCRIPTORALFABETICO292"/>
      <w:r w:rsidRPr="00506787">
        <w:rPr>
          <w:rStyle w:val="TextoNormalNegritaCaracter"/>
        </w:rPr>
        <w:t>Derecho de propiedad</w:t>
      </w:r>
      <w:bookmarkEnd w:id="1124"/>
      <w:r w:rsidRPr="00506787">
        <w:rPr>
          <w:rStyle w:val="TextoNormalCaracter"/>
        </w:rPr>
        <w:t xml:space="preserve">, Auto </w:t>
      </w:r>
      <w:hyperlink w:anchor="AUTO_1985_87" w:history="1">
        <w:r w:rsidRPr="00506787">
          <w:rPr>
            <w:rStyle w:val="TextoNormalCaracter"/>
          </w:rPr>
          <w:t>87/1985</w:t>
        </w:r>
      </w:hyperlink>
      <w:r w:rsidRPr="00506787">
        <w:rPr>
          <w:rStyle w:val="TextoNormalCaracter"/>
        </w:rPr>
        <w:t>.</w:t>
      </w:r>
    </w:p>
    <w:p w:rsidR="00506787" w:rsidRPr="00506787" w:rsidRDefault="00506787" w:rsidP="00506787">
      <w:pPr>
        <w:pStyle w:val="TextoNormalSangraFrancesa"/>
        <w:rPr>
          <w:rStyle w:val="TextoNormalCaracter"/>
        </w:rPr>
      </w:pPr>
      <w:bookmarkStart w:id="1125" w:name="DESCRIPTORALFABETICO339"/>
      <w:r w:rsidRPr="00506787">
        <w:rPr>
          <w:rStyle w:val="TextoNormalNegritaCaracter"/>
        </w:rPr>
        <w:t>Derecho supletorio</w:t>
      </w:r>
      <w:bookmarkEnd w:id="1125"/>
      <w:r w:rsidRPr="00506787">
        <w:rPr>
          <w:rStyle w:val="TextoNormalCaracter"/>
        </w:rPr>
        <w:t xml:space="preserve">, Auto </w:t>
      </w:r>
      <w:hyperlink w:anchor="AUTO_1985_43" w:history="1">
        <w:r w:rsidRPr="00506787">
          <w:rPr>
            <w:rStyle w:val="TextoNormalCaracter"/>
          </w:rPr>
          <w:t>43/1985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Derechos &lt;em&gt;ex lege&lt;/em&gt;</w:t>
      </w:r>
      <w:r>
        <w:t xml:space="preserve"> véase </w:t>
      </w:r>
      <w:hyperlink w:anchor="DESCRIPTORALFABETICO93" w:history="1">
        <w:r w:rsidRPr="00506787">
          <w:rPr>
            <w:rStyle w:val="TextoNormalNegritaCaracter"/>
          </w:rPr>
          <w:t>Derechos de configuración legal</w:t>
        </w:r>
      </w:hyperlink>
    </w:p>
    <w:p w:rsidR="00506787" w:rsidRPr="00506787" w:rsidRDefault="00506787" w:rsidP="00506787">
      <w:pPr>
        <w:pStyle w:val="TextoNormalSangraFrancesa"/>
        <w:rPr>
          <w:rStyle w:val="TextoNormalCaracter"/>
        </w:rPr>
      </w:pPr>
      <w:bookmarkStart w:id="1126" w:name="DESCRIPTORALFABETICO118"/>
      <w:r w:rsidRPr="00506787">
        <w:rPr>
          <w:rStyle w:val="TextoNormalNegritaCaracter"/>
        </w:rPr>
        <w:t>Derechos de carácter reaccional</w:t>
      </w:r>
      <w:bookmarkEnd w:id="1126"/>
      <w:r w:rsidRPr="00506787">
        <w:rPr>
          <w:rStyle w:val="TextoNormalCaracter"/>
        </w:rPr>
        <w:t xml:space="preserve">, Sentencia </w:t>
      </w:r>
      <w:hyperlink w:anchor="SENTENCIA_1985_1" w:history="1">
        <w:r w:rsidRPr="00506787">
          <w:rPr>
            <w:rStyle w:val="TextoNormalCaracter"/>
          </w:rPr>
          <w:t>1/1985</w:t>
        </w:r>
      </w:hyperlink>
      <w:r w:rsidRPr="00506787">
        <w:rPr>
          <w:rStyle w:val="TextoNormalCaracter"/>
        </w:rPr>
        <w:t>, f. 4.</w:t>
      </w:r>
    </w:p>
    <w:p w:rsidR="00506787" w:rsidRPr="00506787" w:rsidRDefault="00506787" w:rsidP="00506787">
      <w:pPr>
        <w:pStyle w:val="TextoNormalSangraFrancesa"/>
        <w:rPr>
          <w:rStyle w:val="TextoNormalCaracter"/>
        </w:rPr>
      </w:pPr>
      <w:bookmarkStart w:id="1127" w:name="DESCRIPTORALFABETICO93"/>
      <w:r w:rsidRPr="00506787">
        <w:rPr>
          <w:rStyle w:val="TextoNormalNegritaCaracter"/>
        </w:rPr>
        <w:t>Derechos de configuración legal</w:t>
      </w:r>
      <w:bookmarkEnd w:id="1127"/>
      <w:r w:rsidRPr="00506787">
        <w:rPr>
          <w:rStyle w:val="TextoNormalCaracter"/>
        </w:rPr>
        <w:t xml:space="preserve">, Auto </w:t>
      </w:r>
      <w:hyperlink w:anchor="AUTO_1985_130" w:history="1">
        <w:r w:rsidRPr="00506787">
          <w:rPr>
            <w:rStyle w:val="TextoNormalCaracter"/>
          </w:rPr>
          <w:t>130/1985</w:t>
        </w:r>
      </w:hyperlink>
      <w:r w:rsidRPr="00506787">
        <w:rPr>
          <w:rStyle w:val="TextoNormalCaracter"/>
        </w:rPr>
        <w:t>.</w:t>
      </w:r>
    </w:p>
    <w:p w:rsidR="00506787" w:rsidRPr="00506787" w:rsidRDefault="00506787" w:rsidP="00506787">
      <w:pPr>
        <w:pStyle w:val="TextoNormalSangraFrancesa"/>
        <w:rPr>
          <w:rStyle w:val="TextoNormalCaracter"/>
        </w:rPr>
      </w:pPr>
      <w:bookmarkStart w:id="1128" w:name="DESCRIPTORALFABETICO94"/>
      <w:r w:rsidRPr="00506787">
        <w:rPr>
          <w:rStyle w:val="TextoNormalNegritaCaracter"/>
        </w:rPr>
        <w:t>Derechos de la mujer</w:t>
      </w:r>
      <w:bookmarkEnd w:id="1128"/>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9.</w:t>
      </w:r>
    </w:p>
    <w:p w:rsidR="00506787" w:rsidRPr="00506787" w:rsidRDefault="00506787" w:rsidP="00506787">
      <w:pPr>
        <w:pStyle w:val="TextoNormalSangraFrancesa"/>
        <w:rPr>
          <w:rStyle w:val="TextoNormalNegritaCaracter"/>
        </w:rPr>
      </w:pPr>
      <w:r w:rsidRPr="00506787">
        <w:rPr>
          <w:rStyle w:val="TextoNormalCursivaCaracter"/>
        </w:rPr>
        <w:t>Derechos y libertades fundamentales</w:t>
      </w:r>
      <w:r>
        <w:t xml:space="preserve"> véase </w:t>
      </w:r>
      <w:hyperlink w:anchor="DESCRIPTORALFABETICO117" w:history="1">
        <w:r w:rsidRPr="00506787">
          <w:rPr>
            <w:rStyle w:val="TextoNormalNegritaCaracter"/>
          </w:rPr>
          <w:t>Teoría general de los derechos fundamentales</w:t>
        </w:r>
      </w:hyperlink>
    </w:p>
    <w:p w:rsidR="00506787" w:rsidRPr="00506787" w:rsidRDefault="00506787" w:rsidP="00506787">
      <w:pPr>
        <w:pStyle w:val="TextoNormalSangraFrancesa"/>
        <w:rPr>
          <w:rStyle w:val="TextoNormalCaracter"/>
        </w:rPr>
      </w:pPr>
      <w:bookmarkStart w:id="1129" w:name="DESCRIPTORALFABETICO195"/>
      <w:r w:rsidRPr="00506787">
        <w:rPr>
          <w:rStyle w:val="TextoNormalNegritaCaracter"/>
        </w:rPr>
        <w:t>Derechos y libertades no susceptibles de amparo</w:t>
      </w:r>
      <w:bookmarkEnd w:id="1129"/>
      <w:r w:rsidRPr="00506787">
        <w:rPr>
          <w:rStyle w:val="TextoNormalCaracter"/>
        </w:rPr>
        <w:t xml:space="preserve">, Sentencias </w:t>
      </w:r>
      <w:hyperlink w:anchor="SENTENCIA_1985_30" w:history="1">
        <w:r w:rsidRPr="00506787">
          <w:rPr>
            <w:rStyle w:val="TextoNormalCaracter"/>
          </w:rPr>
          <w:t>30/1985</w:t>
        </w:r>
      </w:hyperlink>
      <w:r w:rsidRPr="00506787">
        <w:rPr>
          <w:rStyle w:val="TextoNormalCaracter"/>
        </w:rPr>
        <w:t xml:space="preserve">, f. 2; </w:t>
      </w:r>
      <w:hyperlink w:anchor="SENTENCIA_1985_47" w:history="1">
        <w:r w:rsidRPr="00506787">
          <w:rPr>
            <w:rStyle w:val="TextoNormalCaracter"/>
          </w:rPr>
          <w:t>47/1985</w:t>
        </w:r>
      </w:hyperlink>
      <w:r w:rsidRPr="00506787">
        <w:rPr>
          <w:rStyle w:val="TextoNormalCaracter"/>
        </w:rPr>
        <w:t xml:space="preserve">, f. 5; </w:t>
      </w:r>
      <w:hyperlink w:anchor="SENTENCIA_1985_58" w:history="1">
        <w:r w:rsidRPr="00506787">
          <w:rPr>
            <w:rStyle w:val="TextoNormalCaracter"/>
          </w:rPr>
          <w:t>58/1985</w:t>
        </w:r>
      </w:hyperlink>
      <w:r w:rsidRPr="00506787">
        <w:rPr>
          <w:rStyle w:val="TextoNormalCaracter"/>
        </w:rPr>
        <w:t>, f. 5.</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4" w:history="1">
        <w:r w:rsidRPr="00506787">
          <w:rPr>
            <w:rStyle w:val="TextoNormalCaracter"/>
          </w:rPr>
          <w:t>4/1985</w:t>
        </w:r>
      </w:hyperlink>
      <w:r w:rsidRPr="00506787">
        <w:rPr>
          <w:rStyle w:val="TextoNormalCaracter"/>
        </w:rPr>
        <w:t xml:space="preserve">; </w:t>
      </w:r>
      <w:hyperlink w:anchor="AUTO_1985_9" w:history="1">
        <w:r w:rsidRPr="00506787">
          <w:rPr>
            <w:rStyle w:val="TextoNormalCaracter"/>
          </w:rPr>
          <w:t>9/1985</w:t>
        </w:r>
      </w:hyperlink>
      <w:r w:rsidRPr="00506787">
        <w:rPr>
          <w:rStyle w:val="TextoNormalCaracter"/>
        </w:rPr>
        <w:t xml:space="preserve">; </w:t>
      </w:r>
      <w:hyperlink w:anchor="AUTO_1985_87" w:history="1">
        <w:r w:rsidRPr="00506787">
          <w:rPr>
            <w:rStyle w:val="TextoNormalCaracter"/>
          </w:rPr>
          <w:t>87/1985</w:t>
        </w:r>
      </w:hyperlink>
      <w:r w:rsidRPr="00506787">
        <w:rPr>
          <w:rStyle w:val="TextoNormalCaracter"/>
        </w:rPr>
        <w:t xml:space="preserve">; </w:t>
      </w:r>
      <w:hyperlink w:anchor="AUTO_1985_193" w:history="1">
        <w:r w:rsidRPr="00506787">
          <w:rPr>
            <w:rStyle w:val="TextoNormalCaracter"/>
          </w:rPr>
          <w:t>193/1985</w:t>
        </w:r>
      </w:hyperlink>
      <w:r w:rsidRPr="00506787">
        <w:rPr>
          <w:rStyle w:val="TextoNormalCaracter"/>
        </w:rPr>
        <w:t xml:space="preserve">; </w:t>
      </w:r>
      <w:hyperlink w:anchor="AUTO_1985_241" w:history="1">
        <w:r w:rsidRPr="00506787">
          <w:rPr>
            <w:rStyle w:val="TextoNormalCaracter"/>
          </w:rPr>
          <w:t>241/1985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Doctrina constitucional, </w:t>
      </w:r>
      <w:r w:rsidRPr="00506787">
        <w:rPr>
          <w:rStyle w:val="TextoNormalCaracter"/>
        </w:rPr>
        <w:t xml:space="preserve">Autos </w:t>
      </w:r>
      <w:hyperlink w:anchor="AUTO_1985_27" w:history="1">
        <w:r w:rsidRPr="00506787">
          <w:rPr>
            <w:rStyle w:val="TextoNormalCaracter"/>
          </w:rPr>
          <w:t>27/1985</w:t>
        </w:r>
      </w:hyperlink>
      <w:r w:rsidRPr="00506787">
        <w:rPr>
          <w:rStyle w:val="TextoNormalCaracter"/>
        </w:rPr>
        <w:t xml:space="preserve">; </w:t>
      </w:r>
      <w:hyperlink w:anchor="AUTO_1985_32" w:history="1">
        <w:r w:rsidRPr="00506787">
          <w:rPr>
            <w:rStyle w:val="TextoNormalCaracter"/>
          </w:rPr>
          <w:t>32/1985</w:t>
        </w:r>
      </w:hyperlink>
      <w:r w:rsidRPr="00506787">
        <w:rPr>
          <w:rStyle w:val="TextoNormalCaracter"/>
        </w:rPr>
        <w:t xml:space="preserve">; </w:t>
      </w:r>
      <w:hyperlink w:anchor="AUTO_1985_57" w:history="1">
        <w:r w:rsidRPr="00506787">
          <w:rPr>
            <w:rStyle w:val="TextoNormalCaracter"/>
          </w:rPr>
          <w:t>57/1985</w:t>
        </w:r>
      </w:hyperlink>
      <w:r w:rsidRPr="00506787">
        <w:rPr>
          <w:rStyle w:val="TextoNormalCaracter"/>
        </w:rPr>
        <w:t xml:space="preserve">; </w:t>
      </w:r>
      <w:hyperlink w:anchor="AUTO_1985_212" w:history="1">
        <w:r w:rsidRPr="00506787">
          <w:rPr>
            <w:rStyle w:val="TextoNormalCaracter"/>
          </w:rPr>
          <w:t>212/1985</w:t>
        </w:r>
      </w:hyperlink>
      <w:r w:rsidRPr="00506787">
        <w:rPr>
          <w:rStyle w:val="TextoNormalCaracter"/>
        </w:rPr>
        <w:t>.</w:t>
      </w:r>
    </w:p>
    <w:p w:rsidR="00506787" w:rsidRPr="00506787" w:rsidRDefault="00506787" w:rsidP="00506787">
      <w:pPr>
        <w:pStyle w:val="TextoNormalSangraFrancesa"/>
        <w:rPr>
          <w:rStyle w:val="TextoNormalCaracter"/>
        </w:rPr>
      </w:pPr>
      <w:bookmarkStart w:id="1130" w:name="DESCRIPTORALFABETICO322"/>
      <w:r w:rsidRPr="00506787">
        <w:rPr>
          <w:rStyle w:val="TextoNormalNegritaCaracter"/>
        </w:rPr>
        <w:t>Desacato</w:t>
      </w:r>
      <w:bookmarkEnd w:id="1130"/>
      <w:r w:rsidRPr="00506787">
        <w:rPr>
          <w:rStyle w:val="TextoNormalCaracter"/>
        </w:rPr>
        <w:t xml:space="preserve">, Auto </w:t>
      </w:r>
      <w:hyperlink w:anchor="AUTO_1985_122" w:history="1">
        <w:r w:rsidRPr="00506787">
          <w:rPr>
            <w:rStyle w:val="TextoNormalCaracter"/>
          </w:rPr>
          <w:t>122/1985</w:t>
        </w:r>
      </w:hyperlink>
      <w:r w:rsidRPr="00506787">
        <w:rPr>
          <w:rStyle w:val="TextoNormalCaracter"/>
        </w:rPr>
        <w:t>.</w:t>
      </w:r>
    </w:p>
    <w:p w:rsidR="00506787" w:rsidRPr="00506787" w:rsidRDefault="00506787" w:rsidP="00506787">
      <w:pPr>
        <w:pStyle w:val="TextoNormalSangraFrancesa"/>
        <w:rPr>
          <w:rStyle w:val="TextoNormalCaracter"/>
        </w:rPr>
      </w:pPr>
      <w:bookmarkStart w:id="1131" w:name="DESCRIPTORALFABETICO394"/>
      <w:r w:rsidRPr="00506787">
        <w:rPr>
          <w:rStyle w:val="TextoNormalNegritaCaracter"/>
        </w:rPr>
        <w:t>Descanso semanal</w:t>
      </w:r>
      <w:bookmarkEnd w:id="1131"/>
      <w:r w:rsidRPr="00506787">
        <w:rPr>
          <w:rStyle w:val="TextoNormalCaracter"/>
        </w:rPr>
        <w:t xml:space="preserve">, Sentencia </w:t>
      </w:r>
      <w:hyperlink w:anchor="SENTENCIA_1985_19" w:history="1">
        <w:r w:rsidRPr="00506787">
          <w:rPr>
            <w:rStyle w:val="TextoNormalCaracter"/>
          </w:rPr>
          <w:t>19/1985</w:t>
        </w:r>
      </w:hyperlink>
      <w:r w:rsidRPr="00506787">
        <w:rPr>
          <w:rStyle w:val="TextoNormalCaracter"/>
        </w:rPr>
        <w:t>, ff. 3, 4.</w:t>
      </w:r>
    </w:p>
    <w:p w:rsidR="00506787" w:rsidRPr="00506787" w:rsidRDefault="00506787" w:rsidP="00506787">
      <w:pPr>
        <w:pStyle w:val="TextoNormalSangraFrancesa"/>
        <w:rPr>
          <w:rStyle w:val="TextoNormalCaracter"/>
        </w:rPr>
      </w:pPr>
      <w:r w:rsidRPr="00506787">
        <w:rPr>
          <w:rStyle w:val="TextoNormalCursivaCaracter"/>
        </w:rPr>
        <w:t xml:space="preserve">    Régimen jurídico, </w:t>
      </w:r>
      <w:r w:rsidRPr="00506787">
        <w:rPr>
          <w:rStyle w:val="TextoNormalCaracter"/>
        </w:rPr>
        <w:t xml:space="preserve">Sentencia </w:t>
      </w:r>
      <w:hyperlink w:anchor="SENTENCIA_1985_19" w:history="1">
        <w:r w:rsidRPr="00506787">
          <w:rPr>
            <w:rStyle w:val="TextoNormalCaracter"/>
          </w:rPr>
          <w:t>19/1985</w:t>
        </w:r>
      </w:hyperlink>
      <w:r w:rsidRPr="00506787">
        <w:rPr>
          <w:rStyle w:val="TextoNormalCaracter"/>
        </w:rPr>
        <w:t>, f. 3.</w:t>
      </w:r>
    </w:p>
    <w:p w:rsidR="00506787" w:rsidRPr="00506787" w:rsidRDefault="00506787" w:rsidP="00506787">
      <w:pPr>
        <w:pStyle w:val="TextoNormalSangraFrancesa"/>
        <w:rPr>
          <w:rStyle w:val="TextoNormalCaracter"/>
        </w:rPr>
      </w:pPr>
      <w:bookmarkStart w:id="1132" w:name="DESCRIPTORALFABETICO547"/>
      <w:r w:rsidRPr="00506787">
        <w:rPr>
          <w:rStyle w:val="TextoNormalNegritaCaracter"/>
        </w:rPr>
        <w:t>Desestimación de recurso de casación laboral</w:t>
      </w:r>
      <w:bookmarkEnd w:id="1132"/>
      <w:r w:rsidRPr="00506787">
        <w:rPr>
          <w:rStyle w:val="TextoNormalCaracter"/>
        </w:rPr>
        <w:t xml:space="preserve">, Sentencias </w:t>
      </w:r>
      <w:hyperlink w:anchor="SENTENCIA_1985_17" w:history="1">
        <w:r w:rsidRPr="00506787">
          <w:rPr>
            <w:rStyle w:val="TextoNormalCaracter"/>
          </w:rPr>
          <w:t>17/1985</w:t>
        </w:r>
      </w:hyperlink>
      <w:r w:rsidRPr="00506787">
        <w:rPr>
          <w:rStyle w:val="TextoNormalCaracter"/>
        </w:rPr>
        <w:t xml:space="preserve">, ff. 1, 2, 3, 4, 5; </w:t>
      </w:r>
      <w:hyperlink w:anchor="SENTENCIA_1985_57" w:history="1">
        <w:r w:rsidRPr="00506787">
          <w:rPr>
            <w:rStyle w:val="TextoNormalCaracter"/>
          </w:rPr>
          <w:t>57/1985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133" w:name="DESCRIPTORALFABETICO155"/>
      <w:r w:rsidRPr="00506787">
        <w:rPr>
          <w:rStyle w:val="TextoNormalNegritaCaracter"/>
        </w:rPr>
        <w:t>Desestimación de recurso de súplica contra Autos del Tribunal Constitucional</w:t>
      </w:r>
      <w:bookmarkEnd w:id="1133"/>
      <w:r w:rsidRPr="00506787">
        <w:rPr>
          <w:rStyle w:val="TextoNormalCaracter"/>
        </w:rPr>
        <w:t xml:space="preserve">, Auto </w:t>
      </w:r>
      <w:hyperlink w:anchor="AUTO_1985_2" w:history="1">
        <w:r w:rsidRPr="00506787">
          <w:rPr>
            <w:rStyle w:val="TextoNormalCaracter"/>
          </w:rPr>
          <w:t>2/1985</w:t>
        </w:r>
      </w:hyperlink>
      <w:r w:rsidRPr="00506787">
        <w:rPr>
          <w:rStyle w:val="TextoNormalCaracter"/>
        </w:rPr>
        <w:t>.</w:t>
      </w:r>
    </w:p>
    <w:p w:rsidR="00506787" w:rsidRPr="00506787" w:rsidRDefault="00506787" w:rsidP="00506787">
      <w:pPr>
        <w:pStyle w:val="TextoNormalSangraFrancesa"/>
        <w:rPr>
          <w:rStyle w:val="TextoNormalCaracter"/>
        </w:rPr>
      </w:pPr>
      <w:bookmarkStart w:id="1134" w:name="DESCRIPTORALFABETICO156"/>
      <w:r w:rsidRPr="00506787">
        <w:rPr>
          <w:rStyle w:val="TextoNormalNegritaCaracter"/>
        </w:rPr>
        <w:t>Desestimación de recurso de súplica contra providencias del Tribunal Constitucional</w:t>
      </w:r>
      <w:bookmarkEnd w:id="1134"/>
      <w:r w:rsidRPr="00506787">
        <w:rPr>
          <w:rStyle w:val="TextoNormalCaracter"/>
        </w:rPr>
        <w:t xml:space="preserve">, Auto </w:t>
      </w:r>
      <w:hyperlink w:anchor="AUTO_1985_22" w:history="1">
        <w:r w:rsidRPr="00506787">
          <w:rPr>
            <w:rStyle w:val="TextoNormalCaracter"/>
          </w:rPr>
          <w:t>22/1985</w:t>
        </w:r>
      </w:hyperlink>
      <w:r w:rsidRPr="00506787">
        <w:rPr>
          <w:rStyle w:val="TextoNormalCaracter"/>
        </w:rPr>
        <w:t>.</w:t>
      </w:r>
    </w:p>
    <w:p w:rsidR="00506787" w:rsidRPr="00506787" w:rsidRDefault="00506787" w:rsidP="00506787">
      <w:pPr>
        <w:pStyle w:val="TextoNormalSangraFrancesa"/>
        <w:rPr>
          <w:rStyle w:val="TextoNormalCaracter"/>
        </w:rPr>
      </w:pPr>
      <w:bookmarkStart w:id="1135" w:name="DESCRIPTORALFABETICO153"/>
      <w:r w:rsidRPr="00506787">
        <w:rPr>
          <w:rStyle w:val="TextoNormalNegritaCaracter"/>
        </w:rPr>
        <w:t>Desestimación previa por el Tribunal Constitucional en idéntico supuesto</w:t>
      </w:r>
      <w:bookmarkEnd w:id="1135"/>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Procedencia, </w:t>
      </w:r>
      <w:r w:rsidRPr="00506787">
        <w:rPr>
          <w:rStyle w:val="TextoNormalCaracter"/>
        </w:rPr>
        <w:t xml:space="preserve">Autos </w:t>
      </w:r>
      <w:hyperlink w:anchor="AUTO_1985_5" w:history="1">
        <w:r w:rsidRPr="00506787">
          <w:rPr>
            <w:rStyle w:val="TextoNormalCaracter"/>
          </w:rPr>
          <w:t>5/1985</w:t>
        </w:r>
      </w:hyperlink>
      <w:r w:rsidRPr="00506787">
        <w:rPr>
          <w:rStyle w:val="TextoNormalCaracter"/>
        </w:rPr>
        <w:t xml:space="preserve">; </w:t>
      </w:r>
      <w:hyperlink w:anchor="AUTO_1985_30" w:history="1">
        <w:r w:rsidRPr="00506787">
          <w:rPr>
            <w:rStyle w:val="TextoNormalCaracter"/>
          </w:rPr>
          <w:t>30/1985</w:t>
        </w:r>
      </w:hyperlink>
      <w:r w:rsidRPr="00506787">
        <w:rPr>
          <w:rStyle w:val="TextoNormalCaracter"/>
        </w:rPr>
        <w:t xml:space="preserve">; </w:t>
      </w:r>
      <w:hyperlink w:anchor="AUTO_1985_33" w:history="1">
        <w:r w:rsidRPr="00506787">
          <w:rPr>
            <w:rStyle w:val="TextoNormalCaracter"/>
          </w:rPr>
          <w:t>33/1985</w:t>
        </w:r>
      </w:hyperlink>
      <w:r w:rsidRPr="00506787">
        <w:rPr>
          <w:rStyle w:val="TextoNormalCaracter"/>
        </w:rPr>
        <w:t xml:space="preserve">; </w:t>
      </w:r>
      <w:hyperlink w:anchor="AUTO_1985_131" w:history="1">
        <w:r w:rsidRPr="00506787">
          <w:rPr>
            <w:rStyle w:val="TextoNormalCaracter"/>
          </w:rPr>
          <w:t>131/1985</w:t>
        </w:r>
      </w:hyperlink>
      <w:r w:rsidRPr="00506787">
        <w:rPr>
          <w:rStyle w:val="TextoNormalCaracter"/>
        </w:rPr>
        <w:t>.</w:t>
      </w:r>
    </w:p>
    <w:p w:rsidR="00506787" w:rsidRPr="00506787" w:rsidRDefault="00506787" w:rsidP="00506787">
      <w:pPr>
        <w:pStyle w:val="TextoNormalSangraFrancesa"/>
        <w:rPr>
          <w:rStyle w:val="TextoNormalCaracter"/>
        </w:rPr>
      </w:pPr>
      <w:bookmarkStart w:id="1136" w:name="DESCRIPTORALFABETICO157"/>
      <w:r w:rsidRPr="00506787">
        <w:rPr>
          <w:rStyle w:val="TextoNormalNegritaCaracter"/>
        </w:rPr>
        <w:t>Desistimiento en el conflicto positivo de competencia</w:t>
      </w:r>
      <w:bookmarkEnd w:id="1136"/>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Procedencia, </w:t>
      </w:r>
      <w:r w:rsidRPr="00506787">
        <w:rPr>
          <w:rStyle w:val="TextoNormalCaracter"/>
        </w:rPr>
        <w:t xml:space="preserve">Autos </w:t>
      </w:r>
      <w:hyperlink w:anchor="AUTO_1985_211" w:history="1">
        <w:r w:rsidRPr="00506787">
          <w:rPr>
            <w:rStyle w:val="TextoNormalCaracter"/>
          </w:rPr>
          <w:t>211/1985</w:t>
        </w:r>
      </w:hyperlink>
      <w:r w:rsidRPr="00506787">
        <w:rPr>
          <w:rStyle w:val="TextoNormalCaracter"/>
        </w:rPr>
        <w:t xml:space="preserve">; </w:t>
      </w:r>
      <w:hyperlink w:anchor="AUTO_1985_232" w:history="1">
        <w:r w:rsidRPr="00506787">
          <w:rPr>
            <w:rStyle w:val="TextoNormalCaracter"/>
          </w:rPr>
          <w:t>232/1985</w:t>
        </w:r>
      </w:hyperlink>
      <w:r w:rsidRPr="00506787">
        <w:rPr>
          <w:rStyle w:val="TextoNormalCaracter"/>
        </w:rPr>
        <w:t>.</w:t>
      </w:r>
    </w:p>
    <w:p w:rsidR="00506787" w:rsidRPr="00506787" w:rsidRDefault="00506787" w:rsidP="00506787">
      <w:pPr>
        <w:pStyle w:val="TextoNormalSangraFrancesa"/>
        <w:rPr>
          <w:rStyle w:val="TextoNormalCaracter"/>
        </w:rPr>
      </w:pPr>
      <w:bookmarkStart w:id="1137" w:name="DESCRIPTORALFABETICO158"/>
      <w:r w:rsidRPr="00506787">
        <w:rPr>
          <w:rStyle w:val="TextoNormalNegritaCaracter"/>
        </w:rPr>
        <w:t>Desistimiento en el recurso de amparo</w:t>
      </w:r>
      <w:bookmarkEnd w:id="1137"/>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Procedencia, </w:t>
      </w:r>
      <w:r w:rsidRPr="00506787">
        <w:rPr>
          <w:rStyle w:val="TextoNormalCaracter"/>
        </w:rPr>
        <w:t xml:space="preserve">Autos </w:t>
      </w:r>
      <w:hyperlink w:anchor="AUTO_1985_137" w:history="1">
        <w:r w:rsidRPr="00506787">
          <w:rPr>
            <w:rStyle w:val="TextoNormalCaracter"/>
          </w:rPr>
          <w:t>137/1985</w:t>
        </w:r>
      </w:hyperlink>
      <w:r w:rsidRPr="00506787">
        <w:rPr>
          <w:rStyle w:val="TextoNormalCaracter"/>
        </w:rPr>
        <w:t xml:space="preserve">; </w:t>
      </w:r>
      <w:hyperlink w:anchor="AUTO_1985_154" w:history="1">
        <w:r w:rsidRPr="00506787">
          <w:rPr>
            <w:rStyle w:val="TextoNormalCaracter"/>
          </w:rPr>
          <w:t>154/1985</w:t>
        </w:r>
      </w:hyperlink>
      <w:r w:rsidRPr="00506787">
        <w:rPr>
          <w:rStyle w:val="TextoNormalCaracter"/>
        </w:rPr>
        <w:t xml:space="preserve">; </w:t>
      </w:r>
      <w:hyperlink w:anchor="AUTO_1985_173" w:history="1">
        <w:r w:rsidRPr="00506787">
          <w:rPr>
            <w:rStyle w:val="TextoNormalCaracter"/>
          </w:rPr>
          <w:t>173/1985</w:t>
        </w:r>
      </w:hyperlink>
      <w:r w:rsidRPr="00506787">
        <w:rPr>
          <w:rStyle w:val="TextoNormalCaracter"/>
        </w:rPr>
        <w:t xml:space="preserve">; </w:t>
      </w:r>
      <w:hyperlink w:anchor="AUTO_1985_215" w:history="1">
        <w:r w:rsidRPr="00506787">
          <w:rPr>
            <w:rStyle w:val="TextoNormalCaracter"/>
          </w:rPr>
          <w:t>215/1985</w:t>
        </w:r>
      </w:hyperlink>
      <w:r w:rsidRPr="00506787">
        <w:rPr>
          <w:rStyle w:val="TextoNormalCaracter"/>
        </w:rPr>
        <w:t xml:space="preserve">; </w:t>
      </w:r>
      <w:hyperlink w:anchor="AUTO_1985_226" w:history="1">
        <w:r w:rsidRPr="00506787">
          <w:rPr>
            <w:rStyle w:val="TextoNormalCaracter"/>
          </w:rPr>
          <w:t>226/1985</w:t>
        </w:r>
      </w:hyperlink>
      <w:r w:rsidRPr="00506787">
        <w:rPr>
          <w:rStyle w:val="TextoNormalCaracter"/>
        </w:rPr>
        <w:t xml:space="preserve">; </w:t>
      </w:r>
      <w:hyperlink w:anchor="AUTO_1985_252" w:history="1">
        <w:r w:rsidRPr="00506787">
          <w:rPr>
            <w:rStyle w:val="TextoNormalCaracter"/>
          </w:rPr>
          <w:t>252/1985</w:t>
        </w:r>
      </w:hyperlink>
      <w:r w:rsidRPr="00506787">
        <w:rPr>
          <w:rStyle w:val="TextoNormalCaracter"/>
        </w:rPr>
        <w:t xml:space="preserve">; </w:t>
      </w:r>
      <w:hyperlink w:anchor="AUTO_1985_258" w:history="1">
        <w:r w:rsidRPr="00506787">
          <w:rPr>
            <w:rStyle w:val="TextoNormalCaracter"/>
          </w:rPr>
          <w:t>258/1985</w:t>
        </w:r>
      </w:hyperlink>
      <w:r w:rsidRPr="00506787">
        <w:rPr>
          <w:rStyle w:val="TextoNormalCaracter"/>
        </w:rPr>
        <w:t>.</w:t>
      </w:r>
    </w:p>
    <w:p w:rsidR="00506787" w:rsidRPr="00506787" w:rsidRDefault="00506787" w:rsidP="00506787">
      <w:pPr>
        <w:pStyle w:val="TextoNormalSangraFrancesa"/>
        <w:rPr>
          <w:rStyle w:val="TextoNormalCaracter"/>
        </w:rPr>
      </w:pPr>
      <w:bookmarkStart w:id="1138" w:name="DESCRIPTORALFABETICO258"/>
      <w:r w:rsidRPr="00506787">
        <w:rPr>
          <w:rStyle w:val="TextoNormalNegritaCaracter"/>
        </w:rPr>
        <w:t>Despenalización</w:t>
      </w:r>
      <w:bookmarkEnd w:id="1138"/>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ff. 1, 2, 3, 4, 5, 6, 7, 8, 9, 10, 11, 12, 13, 14, VP I, VP III.</w:t>
      </w:r>
    </w:p>
    <w:p w:rsidR="00506787" w:rsidRPr="00506787" w:rsidRDefault="00506787" w:rsidP="00506787">
      <w:pPr>
        <w:pStyle w:val="TextoNormalSangraFrancesa"/>
        <w:rPr>
          <w:rStyle w:val="TextoNormalCaracter"/>
        </w:rPr>
      </w:pPr>
      <w:bookmarkStart w:id="1139" w:name="DESCRIPTORALFABETICO406"/>
      <w:r w:rsidRPr="00506787">
        <w:rPr>
          <w:rStyle w:val="TextoNormalNegritaCaracter"/>
        </w:rPr>
        <w:t>Despido</w:t>
      </w:r>
      <w:bookmarkEnd w:id="1139"/>
      <w:r w:rsidRPr="00506787">
        <w:rPr>
          <w:rStyle w:val="TextoNormalCaracter"/>
        </w:rPr>
        <w:t xml:space="preserve">, Sentencias </w:t>
      </w:r>
      <w:hyperlink w:anchor="SENTENCIA_1985_15" w:history="1">
        <w:r w:rsidRPr="00506787">
          <w:rPr>
            <w:rStyle w:val="TextoNormalCaracter"/>
          </w:rPr>
          <w:t>15/1985</w:t>
        </w:r>
      </w:hyperlink>
      <w:r w:rsidRPr="00506787">
        <w:rPr>
          <w:rStyle w:val="TextoNormalCaracter"/>
        </w:rPr>
        <w:t xml:space="preserve">, ff. 2, 3; </w:t>
      </w:r>
      <w:hyperlink w:anchor="SENTENCIA_1985_19" w:history="1">
        <w:r w:rsidRPr="00506787">
          <w:rPr>
            <w:rStyle w:val="TextoNormalCaracter"/>
          </w:rPr>
          <w:t>19/1985</w:t>
        </w:r>
      </w:hyperlink>
      <w:r w:rsidRPr="00506787">
        <w:rPr>
          <w:rStyle w:val="TextoNormalCaracter"/>
        </w:rPr>
        <w:t xml:space="preserve">, f. 2; </w:t>
      </w:r>
      <w:hyperlink w:anchor="SENTENCIA_1985_47" w:history="1">
        <w:r w:rsidRPr="00506787">
          <w:rPr>
            <w:rStyle w:val="TextoNormalCaracter"/>
          </w:rPr>
          <w:t>47/1985</w:t>
        </w:r>
      </w:hyperlink>
      <w:r w:rsidRPr="00506787">
        <w:rPr>
          <w:rStyle w:val="TextoNormalCaracter"/>
        </w:rPr>
        <w:t>, ff. 1, 2, 3, 4, 5.</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190" w:history="1">
        <w:r w:rsidRPr="00506787">
          <w:rPr>
            <w:rStyle w:val="TextoNormalCaracter"/>
          </w:rPr>
          <w:t>190/1985</w:t>
        </w:r>
      </w:hyperlink>
      <w:r w:rsidRPr="00506787">
        <w:rPr>
          <w:rStyle w:val="TextoNormalCaracter"/>
        </w:rPr>
        <w:t>.</w:t>
      </w:r>
    </w:p>
    <w:p w:rsidR="00506787" w:rsidRPr="00506787" w:rsidRDefault="00506787" w:rsidP="00506787">
      <w:pPr>
        <w:pStyle w:val="TextoNormalSangraFrancesa"/>
        <w:rPr>
          <w:rStyle w:val="TextoNormalCaracter"/>
        </w:rPr>
      </w:pPr>
      <w:bookmarkStart w:id="1140" w:name="DESCRIPTORALFABETICO297"/>
      <w:r w:rsidRPr="00506787">
        <w:rPr>
          <w:rStyle w:val="TextoNormalNegritaCaracter"/>
        </w:rPr>
        <w:t>Despido de profesores</w:t>
      </w:r>
      <w:bookmarkEnd w:id="1140"/>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ff. 1, 2, 3, 4, 5.</w:t>
      </w:r>
    </w:p>
    <w:p w:rsidR="00506787" w:rsidRPr="00506787" w:rsidRDefault="00506787" w:rsidP="00506787">
      <w:pPr>
        <w:pStyle w:val="TextoNormalSangraFrancesa"/>
        <w:rPr>
          <w:rStyle w:val="TextoNormalCaracter"/>
        </w:rPr>
      </w:pPr>
      <w:bookmarkStart w:id="1141" w:name="DESCRIPTORALFABETICO408"/>
      <w:r w:rsidRPr="00506787">
        <w:rPr>
          <w:rStyle w:val="TextoNormalNegritaCaracter"/>
        </w:rPr>
        <w:t>Despido nulo</w:t>
      </w:r>
      <w:bookmarkEnd w:id="1141"/>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 1.</w:t>
      </w:r>
    </w:p>
    <w:p w:rsidR="00506787" w:rsidRPr="00506787" w:rsidRDefault="00506787" w:rsidP="00506787">
      <w:pPr>
        <w:pStyle w:val="TextoNormalSangraFrancesa"/>
        <w:rPr>
          <w:rStyle w:val="TextoNormalCaracter"/>
        </w:rPr>
      </w:pPr>
      <w:bookmarkStart w:id="1142" w:name="DESCRIPTORALFABETICO410"/>
      <w:r w:rsidRPr="00506787">
        <w:rPr>
          <w:rStyle w:val="TextoNormalNegritaCaracter"/>
        </w:rPr>
        <w:t>Despido por motivos ideológicos</w:t>
      </w:r>
      <w:bookmarkEnd w:id="1142"/>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 4.</w:t>
      </w:r>
    </w:p>
    <w:p w:rsidR="00506787" w:rsidRPr="00506787" w:rsidRDefault="00506787" w:rsidP="00506787">
      <w:pPr>
        <w:pStyle w:val="TextoNormalSangraFrancesa"/>
        <w:rPr>
          <w:rStyle w:val="TextoNormalCaracter"/>
        </w:rPr>
      </w:pPr>
      <w:bookmarkStart w:id="1143" w:name="DESCRIPTORALFABETICO409"/>
      <w:r w:rsidRPr="00506787">
        <w:rPr>
          <w:rStyle w:val="TextoNormalNegritaCaracter"/>
        </w:rPr>
        <w:t>Despido radicalmente nulo</w:t>
      </w:r>
      <w:bookmarkEnd w:id="1143"/>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 5.</w:t>
      </w:r>
    </w:p>
    <w:p w:rsidR="00506787" w:rsidRPr="00506787" w:rsidRDefault="00506787" w:rsidP="00506787">
      <w:pPr>
        <w:pStyle w:val="TextoNormalSangraFrancesa"/>
        <w:rPr>
          <w:rStyle w:val="TextoNormalCaracter"/>
        </w:rPr>
      </w:pPr>
      <w:bookmarkStart w:id="1144" w:name="DESCRIPTORALFABETICO557"/>
      <w:r w:rsidRPr="00506787">
        <w:rPr>
          <w:rStyle w:val="TextoNormalNegritaCaracter"/>
        </w:rPr>
        <w:t>Detención preventiva en supuesto de extradición</w:t>
      </w:r>
      <w:bookmarkEnd w:id="1144"/>
      <w:r w:rsidRPr="00506787">
        <w:rPr>
          <w:rStyle w:val="TextoNormalCaracter"/>
        </w:rPr>
        <w:t xml:space="preserve">, Sentencia </w:t>
      </w:r>
      <w:hyperlink w:anchor="SENTENCIA_1985_11" w:history="1">
        <w:r w:rsidRPr="00506787">
          <w:rPr>
            <w:rStyle w:val="TextoNormalCaracter"/>
          </w:rPr>
          <w:t>11/1985</w:t>
        </w:r>
      </w:hyperlink>
      <w:r w:rsidRPr="00506787">
        <w:rPr>
          <w:rStyle w:val="TextoNormalCaracter"/>
        </w:rPr>
        <w:t>, f. 4.</w:t>
      </w:r>
    </w:p>
    <w:p w:rsidR="00506787" w:rsidRPr="00506787" w:rsidRDefault="00506787" w:rsidP="00506787">
      <w:pPr>
        <w:pStyle w:val="TextoNormalSangraFrancesa"/>
        <w:rPr>
          <w:rStyle w:val="TextoNormalCaracter"/>
        </w:rPr>
      </w:pPr>
      <w:bookmarkStart w:id="1145" w:name="DESCRIPTORALFABETICO356"/>
      <w:r w:rsidRPr="00506787">
        <w:rPr>
          <w:rStyle w:val="TextoNormalNegritaCaracter"/>
        </w:rPr>
        <w:t>Dignidad de la persona</w:t>
      </w:r>
      <w:bookmarkEnd w:id="1145"/>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ff. 3, 8.</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41" w:history="1">
        <w:r w:rsidRPr="00506787">
          <w:rPr>
            <w:rStyle w:val="TextoNormalCaracter"/>
          </w:rPr>
          <w:t>241/1985</w:t>
        </w:r>
      </w:hyperlink>
      <w:r w:rsidRPr="00506787">
        <w:rPr>
          <w:rStyle w:val="TextoNormalCaracter"/>
        </w:rPr>
        <w:t>.</w:t>
      </w:r>
    </w:p>
    <w:p w:rsidR="00506787" w:rsidRPr="00506787" w:rsidRDefault="00506787" w:rsidP="00506787">
      <w:pPr>
        <w:pStyle w:val="TextoNormalSangraFrancesa"/>
        <w:rPr>
          <w:rStyle w:val="TextoNormalCaracter"/>
        </w:rPr>
      </w:pPr>
      <w:bookmarkStart w:id="1146" w:name="DESCRIPTORALFABETICO81"/>
      <w:r w:rsidRPr="00506787">
        <w:rPr>
          <w:rStyle w:val="TextoNormalNegritaCaracter"/>
        </w:rPr>
        <w:t>Dilaciones imputables al recurrente</w:t>
      </w:r>
      <w:bookmarkEnd w:id="1146"/>
      <w:r w:rsidRPr="00506787">
        <w:rPr>
          <w:rStyle w:val="TextoNormalCaracter"/>
        </w:rPr>
        <w:t xml:space="preserve">, Auto </w:t>
      </w:r>
      <w:hyperlink w:anchor="AUTO_1985_191" w:history="1">
        <w:r w:rsidRPr="00506787">
          <w:rPr>
            <w:rStyle w:val="TextoNormalCaracter"/>
          </w:rPr>
          <w:t>191/1985</w:t>
        </w:r>
      </w:hyperlink>
      <w:r w:rsidRPr="00506787">
        <w:rPr>
          <w:rStyle w:val="TextoNormalCaracter"/>
        </w:rPr>
        <w:t>.</w:t>
      </w:r>
    </w:p>
    <w:p w:rsidR="00506787" w:rsidRPr="00506787" w:rsidRDefault="00506787" w:rsidP="00506787">
      <w:pPr>
        <w:pStyle w:val="TextoNormalSangraFrancesa"/>
        <w:rPr>
          <w:rStyle w:val="TextoNormalCaracter"/>
        </w:rPr>
      </w:pPr>
      <w:bookmarkStart w:id="1147" w:name="DESCRIPTORALFABETICO458"/>
      <w:r w:rsidRPr="00506787">
        <w:rPr>
          <w:rStyle w:val="TextoNormalNegritaCaracter"/>
        </w:rPr>
        <w:t>Dilaciones indebidas en el procedimiento</w:t>
      </w:r>
      <w:bookmarkEnd w:id="1147"/>
      <w:r w:rsidRPr="00506787">
        <w:rPr>
          <w:rStyle w:val="TextoNormalCaracter"/>
        </w:rPr>
        <w:t xml:space="preserve">, Sentencia </w:t>
      </w:r>
      <w:hyperlink w:anchor="SENTENCIA_1985_5" w:history="1">
        <w:r w:rsidRPr="00506787">
          <w:rPr>
            <w:rStyle w:val="TextoNormalCaracter"/>
          </w:rPr>
          <w:t>5/1985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Sentencia </w:t>
      </w:r>
      <w:hyperlink w:anchor="SENTENCIA_1985_5" w:history="1">
        <w:r w:rsidRPr="00506787">
          <w:rPr>
            <w:rStyle w:val="TextoNormalCaracter"/>
          </w:rPr>
          <w:t>5/1985</w:t>
        </w:r>
      </w:hyperlink>
      <w:r w:rsidRPr="00506787">
        <w:rPr>
          <w:rStyle w:val="TextoNormalCaracter"/>
        </w:rPr>
        <w:t>, f. 5.</w:t>
      </w:r>
    </w:p>
    <w:p w:rsidR="00506787" w:rsidRPr="00506787" w:rsidRDefault="00506787" w:rsidP="00506787">
      <w:pPr>
        <w:pStyle w:val="TextoNormalSangraFrancesa"/>
        <w:rPr>
          <w:rStyle w:val="TextoNormalCaracter"/>
        </w:rPr>
      </w:pPr>
      <w:bookmarkStart w:id="1148" w:name="DESCRIPTORALFABETICO459"/>
      <w:r w:rsidRPr="00506787">
        <w:rPr>
          <w:rStyle w:val="TextoNormalNegritaCaracter"/>
        </w:rPr>
        <w:t>Dilaciones no probadas</w:t>
      </w:r>
      <w:bookmarkEnd w:id="1148"/>
      <w:r w:rsidRPr="00506787">
        <w:rPr>
          <w:rStyle w:val="TextoNormalCaracter"/>
        </w:rPr>
        <w:t xml:space="preserve">, Autos </w:t>
      </w:r>
      <w:hyperlink w:anchor="AUTO_1985_98" w:history="1">
        <w:r w:rsidRPr="00506787">
          <w:rPr>
            <w:rStyle w:val="TextoNormalCaracter"/>
          </w:rPr>
          <w:t>98/1985</w:t>
        </w:r>
      </w:hyperlink>
      <w:r w:rsidRPr="00506787">
        <w:rPr>
          <w:rStyle w:val="TextoNormalCaracter"/>
        </w:rPr>
        <w:t xml:space="preserve">; </w:t>
      </w:r>
      <w:hyperlink w:anchor="AUTO_1985_179" w:history="1">
        <w:r w:rsidRPr="00506787">
          <w:rPr>
            <w:rStyle w:val="TextoNormalCaracter"/>
          </w:rPr>
          <w:t>179/1985</w:t>
        </w:r>
      </w:hyperlink>
      <w:r w:rsidRPr="00506787">
        <w:rPr>
          <w:rStyle w:val="TextoNormalCaracter"/>
        </w:rPr>
        <w:t>.</w:t>
      </w:r>
    </w:p>
    <w:p w:rsidR="00506787" w:rsidRPr="00506787" w:rsidRDefault="00506787" w:rsidP="00506787">
      <w:pPr>
        <w:pStyle w:val="TextoNormalSangraFrancesa"/>
        <w:rPr>
          <w:rStyle w:val="TextoNormalCaracter"/>
        </w:rPr>
      </w:pPr>
      <w:bookmarkStart w:id="1149" w:name="DESCRIPTORALFABETICO460"/>
      <w:r w:rsidRPr="00506787">
        <w:rPr>
          <w:rStyle w:val="TextoNormalNegritaCaracter"/>
        </w:rPr>
        <w:t>Diligencia procesal de la parte</w:t>
      </w:r>
      <w:bookmarkEnd w:id="1149"/>
      <w:r w:rsidRPr="00506787">
        <w:rPr>
          <w:rStyle w:val="TextoNormalCaracter"/>
        </w:rPr>
        <w:t xml:space="preserve">, Auto </w:t>
      </w:r>
      <w:hyperlink w:anchor="AUTO_1985_65" w:history="1">
        <w:r w:rsidRPr="00506787">
          <w:rPr>
            <w:rStyle w:val="TextoNormalCaracter"/>
          </w:rPr>
          <w:t>65/1985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lastRenderedPageBreak/>
        <w:t>Diligencia procesal de la parte</w:t>
      </w:r>
      <w:r>
        <w:t xml:space="preserve"> véase </w:t>
      </w:r>
      <w:hyperlink w:anchor="DESCRIPTORALFABETICO460" w:history="1">
        <w:r w:rsidRPr="00506787">
          <w:rPr>
            <w:rStyle w:val="TextoNormalNegritaCaracter"/>
          </w:rPr>
          <w:t>Diligencia procesal de la parte</w:t>
        </w:r>
      </w:hyperlink>
    </w:p>
    <w:p w:rsidR="00506787" w:rsidRPr="00506787" w:rsidRDefault="00506787" w:rsidP="00506787">
      <w:pPr>
        <w:pStyle w:val="TextoNormalSangraFrancesa"/>
        <w:rPr>
          <w:rStyle w:val="TextoNormalCaracter"/>
        </w:rPr>
      </w:pPr>
      <w:bookmarkStart w:id="1150" w:name="DESCRIPTORALFABETICO559"/>
      <w:r w:rsidRPr="00506787">
        <w:rPr>
          <w:rStyle w:val="TextoNormalNegritaCaracter"/>
        </w:rPr>
        <w:t>Diligencias previas</w:t>
      </w:r>
      <w:bookmarkEnd w:id="1150"/>
      <w:r w:rsidRPr="00506787">
        <w:rPr>
          <w:rStyle w:val="TextoNormalCaracter"/>
        </w:rPr>
        <w:t xml:space="preserve">, Sentencia </w:t>
      </w:r>
      <w:hyperlink w:anchor="SENTENCIA_1985_1" w:history="1">
        <w:r w:rsidRPr="00506787">
          <w:rPr>
            <w:rStyle w:val="TextoNormalCaracter"/>
          </w:rPr>
          <w:t>1/1985</w:t>
        </w:r>
      </w:hyperlink>
      <w:r w:rsidRPr="00506787">
        <w:rPr>
          <w:rStyle w:val="TextoNormalCaracter"/>
        </w:rPr>
        <w:t>, ff. 1, 2, 3, 4.</w:t>
      </w:r>
    </w:p>
    <w:p w:rsidR="00506787" w:rsidRPr="00506787" w:rsidRDefault="00506787" w:rsidP="00506787">
      <w:pPr>
        <w:pStyle w:val="TextoNormalSangraFrancesa"/>
        <w:rPr>
          <w:rStyle w:val="TextoNormalNegritaCaracter"/>
        </w:rPr>
      </w:pPr>
      <w:r w:rsidRPr="00506787">
        <w:rPr>
          <w:rStyle w:val="TextoNormalCursivaCaracter"/>
        </w:rPr>
        <w:t>Diputados y Senadores</w:t>
      </w:r>
      <w:r>
        <w:t xml:space="preserve"> véase </w:t>
      </w:r>
      <w:hyperlink w:anchor="DESCRIPTORALFABETICO244" w:history="1">
        <w:r w:rsidRPr="00506787">
          <w:rPr>
            <w:rStyle w:val="TextoNormalNegritaCaracter"/>
          </w:rPr>
          <w:t>Parlamentarios</w:t>
        </w:r>
      </w:hyperlink>
    </w:p>
    <w:p w:rsidR="00506787" w:rsidRPr="00506787" w:rsidRDefault="00506787" w:rsidP="00506787">
      <w:pPr>
        <w:pStyle w:val="TextoNormalSangraFrancesa"/>
        <w:rPr>
          <w:rStyle w:val="TextoNormalCaracter"/>
        </w:rPr>
      </w:pPr>
      <w:bookmarkStart w:id="1151" w:name="DESCRIPTORALFABETICO17"/>
      <w:r w:rsidRPr="00506787">
        <w:rPr>
          <w:rStyle w:val="TextoNormalNegritaCaracter"/>
        </w:rPr>
        <w:t>Discriminación entre cuerpos de funcionarios</w:t>
      </w:r>
      <w:bookmarkEnd w:id="1151"/>
      <w:r w:rsidRPr="00506787">
        <w:rPr>
          <w:rStyle w:val="TextoNormalCaracter"/>
        </w:rPr>
        <w:t xml:space="preserve">, Auto </w:t>
      </w:r>
      <w:hyperlink w:anchor="AUTO_1985_221" w:history="1">
        <w:r w:rsidRPr="00506787">
          <w:rPr>
            <w:rStyle w:val="TextoNormalCaracter"/>
          </w:rPr>
          <w:t>221/1985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Discriminación por motivos ideológicos</w:t>
      </w:r>
      <w:r>
        <w:t xml:space="preserve"> véase </w:t>
      </w:r>
      <w:hyperlink w:anchor="DESCRIPTORALFABETICO68" w:history="1">
        <w:r w:rsidRPr="00506787">
          <w:rPr>
            <w:rStyle w:val="TextoNormalNegritaCaracter"/>
          </w:rPr>
          <w:t>Discriminación por razón de opinión</w:t>
        </w:r>
      </w:hyperlink>
    </w:p>
    <w:p w:rsidR="00506787" w:rsidRPr="00506787" w:rsidRDefault="00506787" w:rsidP="00506787">
      <w:pPr>
        <w:pStyle w:val="TextoNormalSangraFrancesa"/>
        <w:rPr>
          <w:rStyle w:val="TextoNormalCaracter"/>
        </w:rPr>
      </w:pPr>
      <w:bookmarkStart w:id="1152" w:name="DESCRIPTORALFABETICO68"/>
      <w:r w:rsidRPr="00506787">
        <w:rPr>
          <w:rStyle w:val="TextoNormalNegritaCaracter"/>
        </w:rPr>
        <w:t>Discriminación por razón de opinión</w:t>
      </w:r>
      <w:bookmarkEnd w:id="1152"/>
      <w:r w:rsidRPr="00506787">
        <w:rPr>
          <w:rStyle w:val="TextoNormalCaracter"/>
        </w:rPr>
        <w:t xml:space="preserve">, Sentencias </w:t>
      </w:r>
      <w:hyperlink w:anchor="SENTENCIA_1985_32" w:history="1">
        <w:r w:rsidRPr="00506787">
          <w:rPr>
            <w:rStyle w:val="TextoNormalCaracter"/>
          </w:rPr>
          <w:t>32/1985</w:t>
        </w:r>
      </w:hyperlink>
      <w:r w:rsidRPr="00506787">
        <w:rPr>
          <w:rStyle w:val="TextoNormalCaracter"/>
        </w:rPr>
        <w:t xml:space="preserve">, f. 3; </w:t>
      </w:r>
      <w:hyperlink w:anchor="SENTENCIA_1985_47" w:history="1">
        <w:r w:rsidRPr="00506787">
          <w:rPr>
            <w:rStyle w:val="TextoNormalCaracter"/>
          </w:rPr>
          <w:t>47/1985</w:t>
        </w:r>
      </w:hyperlink>
      <w:r w:rsidRPr="00506787">
        <w:rPr>
          <w:rStyle w:val="TextoNormalCaracter"/>
        </w:rPr>
        <w:t>, f. 1.</w:t>
      </w:r>
    </w:p>
    <w:p w:rsidR="00506787" w:rsidRPr="00506787" w:rsidRDefault="00506787" w:rsidP="00506787">
      <w:pPr>
        <w:pStyle w:val="TextoNormalSangraFrancesa"/>
        <w:rPr>
          <w:rStyle w:val="TextoNormalCaracter"/>
        </w:rPr>
      </w:pPr>
      <w:bookmarkStart w:id="1153" w:name="DESCRIPTORALFABETICO69"/>
      <w:r w:rsidRPr="00506787">
        <w:rPr>
          <w:rStyle w:val="TextoNormalNegritaCaracter"/>
        </w:rPr>
        <w:t>Discriminación por razón de religión</w:t>
      </w:r>
      <w:bookmarkEnd w:id="1153"/>
      <w:r w:rsidRPr="00506787">
        <w:rPr>
          <w:rStyle w:val="TextoNormalCaracter"/>
        </w:rPr>
        <w:t xml:space="preserve">, Sentencia </w:t>
      </w:r>
      <w:hyperlink w:anchor="SENTENCIA_1985_19" w:history="1">
        <w:r w:rsidRPr="00506787">
          <w:rPr>
            <w:rStyle w:val="TextoNormalCaracter"/>
          </w:rPr>
          <w:t>19/1985</w:t>
        </w:r>
      </w:hyperlink>
      <w:r w:rsidRPr="00506787">
        <w:rPr>
          <w:rStyle w:val="TextoNormalCaracter"/>
        </w:rPr>
        <w:t>, f. 2.</w:t>
      </w:r>
    </w:p>
    <w:p w:rsidR="00506787" w:rsidRPr="00506787" w:rsidRDefault="00506787" w:rsidP="00506787">
      <w:pPr>
        <w:pStyle w:val="TextoNormalSangraFrancesa"/>
        <w:rPr>
          <w:rStyle w:val="TextoNormalCaracter"/>
        </w:rPr>
      </w:pPr>
      <w:bookmarkStart w:id="1154" w:name="DESCRIPTORALFABETICO70"/>
      <w:r w:rsidRPr="00506787">
        <w:rPr>
          <w:rStyle w:val="TextoNormalNegritaCaracter"/>
        </w:rPr>
        <w:t>Discriminación por razón de sexo</w:t>
      </w:r>
      <w:bookmarkEnd w:id="1154"/>
      <w:r w:rsidRPr="00506787">
        <w:rPr>
          <w:rStyle w:val="TextoNormalCaracter"/>
        </w:rPr>
        <w:t xml:space="preserve">, Sentencia </w:t>
      </w:r>
      <w:hyperlink w:anchor="SENTENCIA_1985_10" w:history="1">
        <w:r w:rsidRPr="00506787">
          <w:rPr>
            <w:rStyle w:val="TextoNormalCaracter"/>
          </w:rPr>
          <w:t>10/1985</w:t>
        </w:r>
      </w:hyperlink>
      <w:r w:rsidRPr="00506787">
        <w:rPr>
          <w:rStyle w:val="TextoNormalCaracter"/>
        </w:rPr>
        <w:t>, f. 3.</w:t>
      </w:r>
    </w:p>
    <w:p w:rsidR="00506787" w:rsidRPr="00506787" w:rsidRDefault="00506787" w:rsidP="00506787">
      <w:pPr>
        <w:pStyle w:val="TextoNormalSangraFrancesa"/>
        <w:rPr>
          <w:rStyle w:val="TextoNormalNegritaCaracter"/>
        </w:rPr>
      </w:pPr>
      <w:r w:rsidRPr="00506787">
        <w:rPr>
          <w:rStyle w:val="TextoNormalCursivaCaracter"/>
        </w:rPr>
        <w:t>Distribución de competencias</w:t>
      </w:r>
      <w:r>
        <w:t xml:space="preserve"> véase </w:t>
      </w:r>
      <w:hyperlink w:anchor="DESCRIPTORALFABETICO1" w:history="1">
        <w:r w:rsidRPr="00506787">
          <w:rPr>
            <w:rStyle w:val="TextoNormalNegritaCaracter"/>
          </w:rPr>
          <w:t>Orden constitucional de competencias</w:t>
        </w:r>
      </w:hyperlink>
    </w:p>
    <w:p w:rsidR="00506787" w:rsidRPr="00506787" w:rsidRDefault="00506787" w:rsidP="00506787">
      <w:pPr>
        <w:pStyle w:val="TextoNormalSangraFrancesa"/>
        <w:rPr>
          <w:rStyle w:val="TextoNormalCaracter"/>
        </w:rPr>
      </w:pPr>
      <w:bookmarkStart w:id="1155" w:name="DESCRIPTORALFABETICO105"/>
      <w:r w:rsidRPr="00506787">
        <w:rPr>
          <w:rStyle w:val="TextoNormalNegritaCaracter"/>
        </w:rPr>
        <w:t>Doble dimensión de la libertad de información</w:t>
      </w:r>
      <w:bookmarkEnd w:id="1155"/>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 3.</w:t>
      </w:r>
    </w:p>
    <w:p w:rsidR="00506787" w:rsidRPr="00506787" w:rsidRDefault="00506787" w:rsidP="00506787">
      <w:pPr>
        <w:pStyle w:val="TextoNormalSangraFrancesa"/>
        <w:rPr>
          <w:rStyle w:val="TextoNormalCaracter"/>
        </w:rPr>
      </w:pPr>
      <w:bookmarkStart w:id="1156" w:name="DESCRIPTORALFABETICO50"/>
      <w:r w:rsidRPr="00506787">
        <w:rPr>
          <w:rStyle w:val="TextoNormalNegritaCaracter"/>
        </w:rPr>
        <w:t>Doble instancia</w:t>
      </w:r>
      <w:bookmarkEnd w:id="1156"/>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Reconocimiento constitucional, </w:t>
      </w:r>
      <w:r w:rsidRPr="00506787">
        <w:rPr>
          <w:rStyle w:val="TextoNormalCaracter"/>
        </w:rPr>
        <w:t xml:space="preserve">Autos </w:t>
      </w:r>
      <w:hyperlink w:anchor="AUTO_1985_59" w:history="1">
        <w:r w:rsidRPr="00506787">
          <w:rPr>
            <w:rStyle w:val="TextoNormalCaracter"/>
          </w:rPr>
          <w:t>59/1985</w:t>
        </w:r>
      </w:hyperlink>
      <w:r w:rsidRPr="00506787">
        <w:rPr>
          <w:rStyle w:val="TextoNormalCaracter"/>
        </w:rPr>
        <w:t xml:space="preserve">; </w:t>
      </w:r>
      <w:hyperlink w:anchor="AUTO_1985_84" w:history="1">
        <w:r w:rsidRPr="00506787">
          <w:rPr>
            <w:rStyle w:val="TextoNormalCaracter"/>
          </w:rPr>
          <w:t>84/1985</w:t>
        </w:r>
      </w:hyperlink>
      <w:r w:rsidRPr="00506787">
        <w:rPr>
          <w:rStyle w:val="TextoNormalCaracter"/>
        </w:rPr>
        <w:t xml:space="preserve">; </w:t>
      </w:r>
      <w:hyperlink w:anchor="AUTO_1985_160" w:history="1">
        <w:r w:rsidRPr="00506787">
          <w:rPr>
            <w:rStyle w:val="TextoNormalCaracter"/>
          </w:rPr>
          <w:t>160/1985</w:t>
        </w:r>
      </w:hyperlink>
      <w:r w:rsidRPr="00506787">
        <w:rPr>
          <w:rStyle w:val="TextoNormalCaracter"/>
        </w:rPr>
        <w:t>.</w:t>
      </w:r>
    </w:p>
    <w:p w:rsidR="00506787" w:rsidRPr="00506787" w:rsidRDefault="00506787" w:rsidP="00506787">
      <w:pPr>
        <w:pStyle w:val="TextoNormalSangraFrancesa"/>
        <w:rPr>
          <w:rStyle w:val="TextoNormalCaracter"/>
        </w:rPr>
      </w:pPr>
      <w:bookmarkStart w:id="1157" w:name="DESCRIPTORALFABETICO51"/>
      <w:r w:rsidRPr="00506787">
        <w:rPr>
          <w:rStyle w:val="TextoNormalNegritaCaracter"/>
        </w:rPr>
        <w:t>Doble instancia penal</w:t>
      </w:r>
      <w:bookmarkEnd w:id="1157"/>
      <w:r w:rsidRPr="00506787">
        <w:rPr>
          <w:rStyle w:val="TextoNormalCaracter"/>
        </w:rPr>
        <w:t xml:space="preserve">, Sentencias </w:t>
      </w:r>
      <w:hyperlink w:anchor="SENTENCIA_1985_51" w:history="1">
        <w:r w:rsidRPr="00506787">
          <w:rPr>
            <w:rStyle w:val="TextoNormalCaracter"/>
          </w:rPr>
          <w:t>51/1985</w:t>
        </w:r>
      </w:hyperlink>
      <w:r w:rsidRPr="00506787">
        <w:rPr>
          <w:rStyle w:val="TextoNormalCaracter"/>
        </w:rPr>
        <w:t xml:space="preserve">, f. 3; </w:t>
      </w:r>
      <w:hyperlink w:anchor="SENTENCIA_1985_54" w:history="1">
        <w:r w:rsidRPr="00506787">
          <w:rPr>
            <w:rStyle w:val="TextoNormalCaracter"/>
          </w:rPr>
          <w:t>54/1985</w:t>
        </w:r>
      </w:hyperlink>
      <w:r w:rsidRPr="00506787">
        <w:rPr>
          <w:rStyle w:val="TextoNormalCaracter"/>
        </w:rPr>
        <w:t>, f. 7.</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88" w:history="1">
        <w:r w:rsidRPr="00506787">
          <w:rPr>
            <w:rStyle w:val="TextoNormalCaracter"/>
          </w:rPr>
          <w:t>88/1985</w:t>
        </w:r>
      </w:hyperlink>
      <w:r w:rsidRPr="00506787">
        <w:rPr>
          <w:rStyle w:val="TextoNormalCaracter"/>
        </w:rPr>
        <w:t>.</w:t>
      </w:r>
    </w:p>
    <w:p w:rsidR="00506787" w:rsidRPr="00506787" w:rsidRDefault="00506787" w:rsidP="00506787">
      <w:pPr>
        <w:pStyle w:val="TextoNormalSangraFrancesa"/>
        <w:rPr>
          <w:rStyle w:val="TextoNormalCaracter"/>
        </w:rPr>
      </w:pPr>
      <w:bookmarkStart w:id="1158" w:name="DESCRIPTORALFABETICO238"/>
      <w:r w:rsidRPr="00506787">
        <w:rPr>
          <w:rStyle w:val="TextoNormalNegritaCaracter"/>
        </w:rPr>
        <w:t>Doctrina del Tribunal Supremo</w:t>
      </w:r>
      <w:bookmarkEnd w:id="1158"/>
      <w:r w:rsidRPr="00506787">
        <w:rPr>
          <w:rStyle w:val="TextoNormalCaracter"/>
        </w:rPr>
        <w:t xml:space="preserve">, Auto </w:t>
      </w:r>
      <w:hyperlink w:anchor="AUTO_1985_187" w:history="1">
        <w:r w:rsidRPr="00506787">
          <w:rPr>
            <w:rStyle w:val="TextoNormalCaracter"/>
          </w:rPr>
          <w:t>187/1985</w:t>
        </w:r>
      </w:hyperlink>
      <w:r w:rsidRPr="00506787">
        <w:rPr>
          <w:rStyle w:val="TextoNormalCaracter"/>
        </w:rPr>
        <w:t>.</w:t>
      </w:r>
    </w:p>
    <w:p w:rsidR="00506787" w:rsidRPr="00506787" w:rsidRDefault="00506787" w:rsidP="00506787">
      <w:pPr>
        <w:pStyle w:val="TextoNormalSangraFrancesa"/>
        <w:rPr>
          <w:rStyle w:val="TextoNormalCaracter"/>
        </w:rPr>
      </w:pPr>
      <w:bookmarkStart w:id="1159" w:name="DESCRIPTORALFABETICO485"/>
      <w:r w:rsidRPr="00506787">
        <w:rPr>
          <w:rStyle w:val="TextoNormalNegritaCaracter"/>
        </w:rPr>
        <w:t>Documentos mercantiles</w:t>
      </w:r>
      <w:bookmarkEnd w:id="1159"/>
      <w:r w:rsidRPr="00506787">
        <w:rPr>
          <w:rStyle w:val="TextoNormalCaracter"/>
        </w:rPr>
        <w:t xml:space="preserve">, Auto </w:t>
      </w:r>
      <w:hyperlink w:anchor="AUTO_1985_257" w:history="1">
        <w:r w:rsidRPr="00506787">
          <w:rPr>
            <w:rStyle w:val="TextoNormalCaracter"/>
          </w:rPr>
          <w:t>257/1985</w:t>
        </w:r>
      </w:hyperlink>
      <w:r w:rsidRPr="00506787">
        <w:rPr>
          <w:rStyle w:val="TextoNormalCaracter"/>
        </w:rPr>
        <w:t>.</w:t>
      </w:r>
    </w:p>
    <w:p w:rsidR="00506787" w:rsidRPr="00506787" w:rsidRDefault="00506787" w:rsidP="00506787">
      <w:pPr>
        <w:pStyle w:val="TextoNormalSangraFrancesa"/>
        <w:rPr>
          <w:rStyle w:val="TextoNormalCaracter"/>
        </w:rPr>
      </w:pPr>
      <w:bookmarkStart w:id="1160" w:name="DESCRIPTORALFABETICO79"/>
      <w:r w:rsidRPr="00506787">
        <w:rPr>
          <w:rStyle w:val="TextoNormalNegritaCaracter"/>
        </w:rPr>
        <w:t>Duración desproporcionada del procedimiento</w:t>
      </w:r>
      <w:bookmarkEnd w:id="1160"/>
      <w:r w:rsidRPr="00506787">
        <w:rPr>
          <w:rStyle w:val="TextoNormalCaracter"/>
        </w:rPr>
        <w:t xml:space="preserve">, Sentencia </w:t>
      </w:r>
      <w:hyperlink w:anchor="SENTENCIA_1985_43" w:history="1">
        <w:r w:rsidRPr="00506787">
          <w:rPr>
            <w:rStyle w:val="TextoNormalCaracter"/>
          </w:rPr>
          <w:t>43/1985</w:t>
        </w:r>
      </w:hyperlink>
      <w:r w:rsidRPr="00506787">
        <w:rPr>
          <w:rStyle w:val="TextoNormalCaracter"/>
        </w:rPr>
        <w:t>, f. 1.</w:t>
      </w:r>
    </w:p>
    <w:p w:rsidR="00506787" w:rsidRPr="00506787" w:rsidRDefault="00506787" w:rsidP="00506787">
      <w:pPr>
        <w:pStyle w:val="TextoNormalSangraFrancesa"/>
        <w:rPr>
          <w:rStyle w:val="TextoNormalCaracter"/>
        </w:rPr>
      </w:pPr>
      <w:bookmarkStart w:id="1161" w:name="DESCRIPTORALFABETICO558"/>
      <w:r w:rsidRPr="00506787">
        <w:rPr>
          <w:rStyle w:val="TextoNormalNegritaCaracter"/>
        </w:rPr>
        <w:t>Duración máxima de la detención preventiva en supuesto de extradición</w:t>
      </w:r>
      <w:bookmarkEnd w:id="1161"/>
      <w:r w:rsidRPr="00506787">
        <w:rPr>
          <w:rStyle w:val="TextoNormalCaracter"/>
        </w:rPr>
        <w:t xml:space="preserve">, Sentencia </w:t>
      </w:r>
      <w:hyperlink w:anchor="SENTENCIA_1985_11" w:history="1">
        <w:r w:rsidRPr="00506787">
          <w:rPr>
            <w:rStyle w:val="TextoNormalCaracter"/>
          </w:rPr>
          <w:t>11/1985</w:t>
        </w:r>
      </w:hyperlink>
      <w:r w:rsidRPr="00506787">
        <w:rPr>
          <w:rStyle w:val="TextoNormalCaracter"/>
        </w:rPr>
        <w:t>, f. 4.</w:t>
      </w:r>
    </w:p>
    <w:p w:rsidR="00506787" w:rsidRPr="00506787" w:rsidRDefault="00506787" w:rsidP="00506787">
      <w:pPr>
        <w:pStyle w:val="TextoNormalSangraFrancesa"/>
        <w:rPr>
          <w:rStyle w:val="TextoNormalNegritaCaracter"/>
        </w:rPr>
      </w:pPr>
      <w:r w:rsidRPr="00506787">
        <w:rPr>
          <w:rStyle w:val="TextoNormalCursivaCaracter"/>
        </w:rPr>
        <w:t>Duración máxima de la prisión provisional</w:t>
      </w:r>
      <w:r>
        <w:t xml:space="preserve"> véase </w:t>
      </w:r>
      <w:hyperlink w:anchor="DESCRIPTORALFABETICO577" w:history="1">
        <w:r w:rsidRPr="00506787">
          <w:rPr>
            <w:rStyle w:val="TextoNormalNegritaCaracter"/>
          </w:rPr>
          <w:t>Plazo máximo de prisión provisional</w:t>
        </w:r>
      </w:hyperlink>
    </w:p>
    <w:p w:rsidR="00506787" w:rsidRPr="00506787" w:rsidRDefault="00506787" w:rsidP="00506787">
      <w:pPr>
        <w:pStyle w:val="TextoNormalSangraFrancesa"/>
        <w:rPr>
          <w:rStyle w:val="TextoNormalCaracter"/>
        </w:rPr>
      </w:pPr>
      <w:bookmarkStart w:id="1162" w:name="DESCRIPTORALFABETICO80"/>
      <w:r w:rsidRPr="00506787">
        <w:rPr>
          <w:rStyle w:val="TextoNormalNegritaCaracter"/>
        </w:rPr>
        <w:t>Duración no desproporcionada del procedimiento</w:t>
      </w:r>
      <w:bookmarkEnd w:id="1162"/>
      <w:r w:rsidRPr="00506787">
        <w:rPr>
          <w:rStyle w:val="TextoNormalCaracter"/>
        </w:rPr>
        <w:t xml:space="preserve">, Sentencia </w:t>
      </w:r>
      <w:hyperlink w:anchor="SENTENCIA_1985_5" w:history="1">
        <w:r w:rsidRPr="00506787">
          <w:rPr>
            <w:rStyle w:val="TextoNormalCaracter"/>
          </w:rPr>
          <w:t>5/1985</w:t>
        </w:r>
      </w:hyperlink>
      <w:r w:rsidRPr="00506787">
        <w:rPr>
          <w:rStyle w:val="TextoNormalCaracter"/>
        </w:rPr>
        <w:t>, ff. 1, 2, 3, 4, 5, 6, 7, 8, 9, 10.</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E</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163" w:name="DESCRIPTORALFABETICO451"/>
      <w:r w:rsidRPr="00506787">
        <w:rPr>
          <w:rStyle w:val="TextoNormalNegritaCaracter"/>
        </w:rPr>
        <w:t>Efectos de cosa juzgada</w:t>
      </w:r>
      <w:bookmarkEnd w:id="1163"/>
      <w:r w:rsidRPr="00506787">
        <w:rPr>
          <w:rStyle w:val="TextoNormalCaracter"/>
        </w:rPr>
        <w:t xml:space="preserve">, Auto </w:t>
      </w:r>
      <w:hyperlink w:anchor="AUTO_1985_143" w:history="1">
        <w:r w:rsidRPr="00506787">
          <w:rPr>
            <w:rStyle w:val="TextoNormalCaracter"/>
          </w:rPr>
          <w:t>143/1985</w:t>
        </w:r>
      </w:hyperlink>
      <w:r w:rsidRPr="00506787">
        <w:rPr>
          <w:rStyle w:val="TextoNormalCaracter"/>
        </w:rPr>
        <w:t>.</w:t>
      </w:r>
    </w:p>
    <w:p w:rsidR="00506787" w:rsidRPr="00506787" w:rsidRDefault="00506787" w:rsidP="00506787">
      <w:pPr>
        <w:pStyle w:val="TextoNormalSangraFrancesa"/>
        <w:rPr>
          <w:rStyle w:val="TextoNormalCaracter"/>
        </w:rPr>
      </w:pPr>
      <w:bookmarkStart w:id="1164" w:name="DESCRIPTORALFABETICO82"/>
      <w:r w:rsidRPr="00506787">
        <w:rPr>
          <w:rStyle w:val="TextoNormalNegritaCaracter"/>
        </w:rPr>
        <w:t>Efectos del reconocimiento de dilaciones indebidas</w:t>
      </w:r>
      <w:bookmarkEnd w:id="1164"/>
      <w:r w:rsidRPr="00506787">
        <w:rPr>
          <w:rStyle w:val="TextoNormalCaracter"/>
        </w:rPr>
        <w:t xml:space="preserve">, Sentencia </w:t>
      </w:r>
      <w:hyperlink w:anchor="SENTENCIA_1985_5" w:history="1">
        <w:r w:rsidRPr="00506787">
          <w:rPr>
            <w:rStyle w:val="TextoNormalCaracter"/>
          </w:rPr>
          <w:t>5/1985</w:t>
        </w:r>
      </w:hyperlink>
      <w:r w:rsidRPr="00506787">
        <w:rPr>
          <w:rStyle w:val="TextoNormalCaracter"/>
        </w:rPr>
        <w:t>, f. 7.</w:t>
      </w:r>
    </w:p>
    <w:p w:rsidR="00506787" w:rsidRPr="00506787" w:rsidRDefault="00506787" w:rsidP="00506787">
      <w:pPr>
        <w:pStyle w:val="TextoNormalSangraFrancesa"/>
        <w:rPr>
          <w:rStyle w:val="TextoNormalCaracter"/>
        </w:rPr>
      </w:pPr>
      <w:bookmarkStart w:id="1165" w:name="DESCRIPTORALFABETICO398"/>
      <w:r w:rsidRPr="00506787">
        <w:rPr>
          <w:rStyle w:val="TextoNormalNegritaCaracter"/>
        </w:rPr>
        <w:t>Eficacia de los convenios colectivos</w:t>
      </w:r>
      <w:bookmarkEnd w:id="1165"/>
      <w:r w:rsidRPr="00506787">
        <w:rPr>
          <w:rStyle w:val="TextoNormalCaracter"/>
        </w:rPr>
        <w:t xml:space="preserve">, Sentencia </w:t>
      </w:r>
      <w:hyperlink w:anchor="SENTENCIA_1985_58" w:history="1">
        <w:r w:rsidRPr="00506787">
          <w:rPr>
            <w:rStyle w:val="TextoNormalCaracter"/>
          </w:rPr>
          <w:t>58/1985</w:t>
        </w:r>
      </w:hyperlink>
      <w:r w:rsidRPr="00506787">
        <w:rPr>
          <w:rStyle w:val="TextoNormalCaracter"/>
        </w:rPr>
        <w:t>, f. 3.</w:t>
      </w:r>
    </w:p>
    <w:p w:rsidR="00506787" w:rsidRPr="00506787" w:rsidRDefault="00506787" w:rsidP="00506787">
      <w:pPr>
        <w:pStyle w:val="TextoNormalSangraFrancesa"/>
        <w:rPr>
          <w:rStyle w:val="TextoNormalCaracter"/>
        </w:rPr>
      </w:pPr>
      <w:bookmarkStart w:id="1166" w:name="DESCRIPTORALFABETICO343"/>
      <w:r w:rsidRPr="00506787">
        <w:rPr>
          <w:rStyle w:val="TextoNormalNegritaCaracter"/>
        </w:rPr>
        <w:t>Eficacia territorial de las normas jurídicas</w:t>
      </w:r>
      <w:bookmarkEnd w:id="1166"/>
      <w:r w:rsidRPr="00506787">
        <w:rPr>
          <w:rStyle w:val="TextoNormalCaracter"/>
        </w:rPr>
        <w:t xml:space="preserve">, Auto </w:t>
      </w:r>
      <w:hyperlink w:anchor="AUTO_1985_90" w:history="1">
        <w:r w:rsidRPr="00506787">
          <w:rPr>
            <w:rStyle w:val="TextoNormalCaracter"/>
          </w:rPr>
          <w:t>90/1985</w:t>
        </w:r>
      </w:hyperlink>
      <w:r w:rsidRPr="00506787">
        <w:rPr>
          <w:rStyle w:val="TextoNormalCaracter"/>
        </w:rPr>
        <w:t>.</w:t>
      </w:r>
    </w:p>
    <w:p w:rsidR="00506787" w:rsidRPr="00506787" w:rsidRDefault="00506787" w:rsidP="00506787">
      <w:pPr>
        <w:pStyle w:val="TextoNormalSangraFrancesa"/>
        <w:rPr>
          <w:rStyle w:val="TextoNormalCaracter"/>
        </w:rPr>
      </w:pPr>
      <w:bookmarkStart w:id="1167" w:name="DESCRIPTORALFABETICO463"/>
      <w:r w:rsidRPr="00506787">
        <w:rPr>
          <w:rStyle w:val="TextoNormalNegritaCaracter"/>
        </w:rPr>
        <w:t>Ejecución de sentencia contencioso-administrativa</w:t>
      </w:r>
      <w:bookmarkEnd w:id="1167"/>
      <w:r w:rsidRPr="00506787">
        <w:rPr>
          <w:rStyle w:val="TextoNormalCaracter"/>
        </w:rPr>
        <w:t xml:space="preserve">, Sentencia </w:t>
      </w:r>
      <w:hyperlink w:anchor="SENTENCIA_1985_4" w:history="1">
        <w:r w:rsidRPr="00506787">
          <w:rPr>
            <w:rStyle w:val="TextoNormalCaracter"/>
          </w:rPr>
          <w:t>4/1985</w:t>
        </w:r>
      </w:hyperlink>
      <w:r w:rsidRPr="00506787">
        <w:rPr>
          <w:rStyle w:val="TextoNormalCaracter"/>
        </w:rPr>
        <w:t>, ff. 2, 3.</w:t>
      </w:r>
    </w:p>
    <w:p w:rsidR="00506787" w:rsidRPr="00506787" w:rsidRDefault="00506787" w:rsidP="00506787">
      <w:pPr>
        <w:pStyle w:val="TextoNormalSangraFrancesa"/>
        <w:rPr>
          <w:rStyle w:val="TextoNormalCaracter"/>
        </w:rPr>
      </w:pPr>
      <w:bookmarkStart w:id="1168" w:name="DESCRIPTORALFABETICO462"/>
      <w:r w:rsidRPr="00506787">
        <w:rPr>
          <w:rStyle w:val="TextoNormalNegritaCaracter"/>
        </w:rPr>
        <w:t>Ejecución de sentencias</w:t>
      </w:r>
      <w:bookmarkEnd w:id="1168"/>
      <w:r w:rsidRPr="00506787">
        <w:rPr>
          <w:rStyle w:val="TextoNormalCaracter"/>
        </w:rPr>
        <w:t xml:space="preserve">, Sentencia </w:t>
      </w:r>
      <w:hyperlink w:anchor="SENTENCIA_1985_4" w:history="1">
        <w:r w:rsidRPr="00506787">
          <w:rPr>
            <w:rStyle w:val="TextoNormalCaracter"/>
          </w:rPr>
          <w:t>4/1985</w:t>
        </w:r>
      </w:hyperlink>
      <w:r w:rsidRPr="00506787">
        <w:rPr>
          <w:rStyle w:val="TextoNormalCaracter"/>
        </w:rPr>
        <w:t>, ff. 2, 3.</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109" w:history="1">
        <w:r w:rsidRPr="00506787">
          <w:rPr>
            <w:rStyle w:val="TextoNormalCaracter"/>
          </w:rPr>
          <w:t>109/1985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Alcance, </w:t>
      </w:r>
      <w:r w:rsidRPr="00506787">
        <w:rPr>
          <w:rStyle w:val="TextoNormalCaracter"/>
        </w:rPr>
        <w:t xml:space="preserve">Auto </w:t>
      </w:r>
      <w:hyperlink w:anchor="AUTO_1985_136" w:history="1">
        <w:r w:rsidRPr="00506787">
          <w:rPr>
            <w:rStyle w:val="TextoNormalCaracter"/>
          </w:rPr>
          <w:t>136/1985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Ejecución hipotecaria</w:t>
      </w:r>
      <w:r>
        <w:t xml:space="preserve"> véase </w:t>
      </w:r>
      <w:hyperlink w:anchor="DESCRIPTORALFABETICO542" w:history="1">
        <w:r w:rsidRPr="00506787">
          <w:rPr>
            <w:rStyle w:val="TextoNormalNegritaCaracter"/>
          </w:rPr>
          <w:t>Proceso de ejecución hipotecaria</w:t>
        </w:r>
      </w:hyperlink>
    </w:p>
    <w:p w:rsidR="00506787" w:rsidRPr="00506787" w:rsidRDefault="00506787" w:rsidP="00506787">
      <w:pPr>
        <w:pStyle w:val="TextoNormalSangraFrancesa"/>
        <w:rPr>
          <w:rStyle w:val="TextoNormalNegritaCaracter"/>
        </w:rPr>
      </w:pPr>
      <w:r w:rsidRPr="00506787">
        <w:rPr>
          <w:rStyle w:val="TextoNormalCursivaCaracter"/>
        </w:rPr>
        <w:t>Ejecutividad de las sentencias</w:t>
      </w:r>
      <w:r>
        <w:t xml:space="preserve"> véase </w:t>
      </w:r>
      <w:hyperlink w:anchor="DESCRIPTORALFABETICO462" w:history="1">
        <w:r w:rsidRPr="00506787">
          <w:rPr>
            <w:rStyle w:val="TextoNormalNegritaCaracter"/>
          </w:rPr>
          <w:t>Ejecución de sentencias</w:t>
        </w:r>
      </w:hyperlink>
    </w:p>
    <w:p w:rsidR="00506787" w:rsidRPr="00506787" w:rsidRDefault="00506787" w:rsidP="00506787">
      <w:pPr>
        <w:pStyle w:val="TextoNormalSangraFrancesa"/>
        <w:rPr>
          <w:rStyle w:val="TextoNormalCaracter"/>
        </w:rPr>
      </w:pPr>
      <w:bookmarkStart w:id="1169" w:name="DESCRIPTORALFABETICO23"/>
      <w:r w:rsidRPr="00506787">
        <w:rPr>
          <w:rStyle w:val="TextoNormalNegritaCaracter"/>
        </w:rPr>
        <w:t>Ejercicio abusivo del derecho a la huelga</w:t>
      </w:r>
      <w:bookmarkEnd w:id="1169"/>
      <w:r w:rsidRPr="00506787">
        <w:rPr>
          <w:rStyle w:val="TextoNormalCaracter"/>
        </w:rPr>
        <w:t xml:space="preserve">, Auto </w:t>
      </w:r>
      <w:hyperlink w:anchor="AUTO_1985_156" w:history="1">
        <w:r w:rsidRPr="00506787">
          <w:rPr>
            <w:rStyle w:val="TextoNormalCaracter"/>
          </w:rPr>
          <w:t>156/1985</w:t>
        </w:r>
      </w:hyperlink>
      <w:r w:rsidRPr="00506787">
        <w:rPr>
          <w:rStyle w:val="TextoNormalCaracter"/>
        </w:rPr>
        <w:t>.</w:t>
      </w:r>
    </w:p>
    <w:p w:rsidR="00506787" w:rsidRPr="00506787" w:rsidRDefault="00506787" w:rsidP="00506787">
      <w:pPr>
        <w:pStyle w:val="TextoNormalSangraFrancesa"/>
        <w:rPr>
          <w:rStyle w:val="TextoNormalCaracter"/>
        </w:rPr>
      </w:pPr>
      <w:bookmarkStart w:id="1170" w:name="DESCRIPTORALFABETICO119"/>
      <w:r w:rsidRPr="00506787">
        <w:rPr>
          <w:rStyle w:val="TextoNormalNegritaCaracter"/>
        </w:rPr>
        <w:t>Ejercicio de derechos fundamentales</w:t>
      </w:r>
      <w:bookmarkEnd w:id="1170"/>
      <w:r w:rsidRPr="00506787">
        <w:rPr>
          <w:rStyle w:val="TextoNormalCaracter"/>
        </w:rPr>
        <w:t xml:space="preserve">, Sentencia </w:t>
      </w:r>
      <w:hyperlink w:anchor="SENTENCIA_1985_8" w:history="1">
        <w:r w:rsidRPr="00506787">
          <w:rPr>
            <w:rStyle w:val="TextoNormalCaracter"/>
          </w:rPr>
          <w:t>8/1985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6" w:history="1">
        <w:r w:rsidRPr="00506787">
          <w:rPr>
            <w:rStyle w:val="TextoNormalCaracter"/>
          </w:rPr>
          <w:t>26/1985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Ejercicio de los derechos y libertades públicas</w:t>
      </w:r>
      <w:r>
        <w:t xml:space="preserve"> véase </w:t>
      </w:r>
      <w:hyperlink w:anchor="DESCRIPTORALFABETICO119" w:history="1">
        <w:r w:rsidRPr="00506787">
          <w:rPr>
            <w:rStyle w:val="TextoNormalNegritaCaracter"/>
          </w:rPr>
          <w:t>Ejercicio de derechos fundamentales</w:t>
        </w:r>
      </w:hyperlink>
    </w:p>
    <w:p w:rsidR="00506787" w:rsidRPr="00506787" w:rsidRDefault="00506787" w:rsidP="00506787">
      <w:pPr>
        <w:pStyle w:val="TextoNormalSangraFrancesa"/>
        <w:rPr>
          <w:rStyle w:val="TextoNormalCaracter"/>
        </w:rPr>
      </w:pPr>
      <w:bookmarkStart w:id="1171" w:name="DESCRIPTORALFABETICO270"/>
      <w:r w:rsidRPr="00506787">
        <w:rPr>
          <w:rStyle w:val="TextoNormalNegritaCaracter"/>
        </w:rPr>
        <w:t>Elección de alcalde</w:t>
      </w:r>
      <w:bookmarkEnd w:id="1171"/>
      <w:r w:rsidRPr="00506787">
        <w:rPr>
          <w:rStyle w:val="TextoNormalCaracter"/>
        </w:rPr>
        <w:t xml:space="preserve">, Sentencia </w:t>
      </w:r>
      <w:hyperlink w:anchor="SENTENCIA_1985_8" w:history="1">
        <w:r w:rsidRPr="00506787">
          <w:rPr>
            <w:rStyle w:val="TextoNormalCaracter"/>
          </w:rPr>
          <w:t>8/1985</w:t>
        </w:r>
      </w:hyperlink>
      <w:r w:rsidRPr="00506787">
        <w:rPr>
          <w:rStyle w:val="TextoNormalCaracter"/>
        </w:rPr>
        <w:t>, f. 5.</w:t>
      </w:r>
    </w:p>
    <w:p w:rsidR="00506787" w:rsidRPr="00506787" w:rsidRDefault="00506787" w:rsidP="00506787">
      <w:pPr>
        <w:pStyle w:val="TextoNormalSangraFrancesa"/>
        <w:rPr>
          <w:rStyle w:val="TextoNormalCaracter"/>
        </w:rPr>
      </w:pPr>
      <w:bookmarkStart w:id="1172" w:name="DESCRIPTORALFABETICO496"/>
      <w:r w:rsidRPr="00506787">
        <w:rPr>
          <w:rStyle w:val="TextoNormalNegritaCaracter"/>
        </w:rPr>
        <w:t>Embargo ineficaz</w:t>
      </w:r>
      <w:bookmarkEnd w:id="1172"/>
      <w:r w:rsidRPr="00506787">
        <w:rPr>
          <w:rStyle w:val="TextoNormalCaracter"/>
        </w:rPr>
        <w:t xml:space="preserve">, Sentencia </w:t>
      </w:r>
      <w:hyperlink w:anchor="SENTENCIA_1985_55" w:history="1">
        <w:r w:rsidRPr="00506787">
          <w:rPr>
            <w:rStyle w:val="TextoNormalCaracter"/>
          </w:rPr>
          <w:t>55/1985</w:t>
        </w:r>
      </w:hyperlink>
      <w:r w:rsidRPr="00506787">
        <w:rPr>
          <w:rStyle w:val="TextoNormalCaracter"/>
        </w:rPr>
        <w:t>, f. 2.</w:t>
      </w:r>
    </w:p>
    <w:p w:rsidR="00506787" w:rsidRPr="00506787" w:rsidRDefault="00506787" w:rsidP="00506787">
      <w:pPr>
        <w:pStyle w:val="TextoNormalSangraFrancesa"/>
        <w:rPr>
          <w:rStyle w:val="TextoNormalCaracter"/>
        </w:rPr>
      </w:pPr>
      <w:bookmarkStart w:id="1173" w:name="DESCRIPTORALFABETICO435"/>
      <w:r w:rsidRPr="00506787">
        <w:rPr>
          <w:rStyle w:val="TextoNormalNegritaCaracter"/>
        </w:rPr>
        <w:t>Emplazamiento</w:t>
      </w:r>
      <w:bookmarkEnd w:id="1173"/>
      <w:r w:rsidRPr="00506787">
        <w:rPr>
          <w:rStyle w:val="TextoNormalCaracter"/>
        </w:rPr>
        <w:t xml:space="preserve">, Sentencias </w:t>
      </w:r>
      <w:hyperlink w:anchor="SENTENCIA_1985_2" w:history="1">
        <w:r w:rsidRPr="00506787">
          <w:rPr>
            <w:rStyle w:val="TextoNormalCaracter"/>
          </w:rPr>
          <w:t>2/1985</w:t>
        </w:r>
      </w:hyperlink>
      <w:r w:rsidRPr="00506787">
        <w:rPr>
          <w:rStyle w:val="TextoNormalCaracter"/>
        </w:rPr>
        <w:t xml:space="preserve">, ff. 1, 2; </w:t>
      </w:r>
      <w:hyperlink w:anchor="SENTENCIA_1985_3" w:history="1">
        <w:r w:rsidRPr="00506787">
          <w:rPr>
            <w:rStyle w:val="TextoNormalCaracter"/>
          </w:rPr>
          <w:t>3/1985</w:t>
        </w:r>
      </w:hyperlink>
      <w:r w:rsidRPr="00506787">
        <w:rPr>
          <w:rStyle w:val="TextoNormalCaracter"/>
        </w:rPr>
        <w:t xml:space="preserve">, ff. 1, 2; </w:t>
      </w:r>
      <w:hyperlink w:anchor="SENTENCIA_1985_6" w:history="1">
        <w:r w:rsidRPr="00506787">
          <w:rPr>
            <w:rStyle w:val="TextoNormalCaracter"/>
          </w:rPr>
          <w:t>6/1985</w:t>
        </w:r>
      </w:hyperlink>
      <w:r w:rsidRPr="00506787">
        <w:rPr>
          <w:rStyle w:val="TextoNormalCaracter"/>
        </w:rPr>
        <w:t xml:space="preserve">, ff. 1, 2; </w:t>
      </w:r>
      <w:hyperlink w:anchor="SENTENCIA_1985_18" w:history="1">
        <w:r w:rsidRPr="00506787">
          <w:rPr>
            <w:rStyle w:val="TextoNormalCaracter"/>
          </w:rPr>
          <w:t>18/1985</w:t>
        </w:r>
      </w:hyperlink>
      <w:r w:rsidRPr="00506787">
        <w:rPr>
          <w:rStyle w:val="TextoNormalCaracter"/>
        </w:rPr>
        <w:t xml:space="preserve">, ff. 1, 2, 3, 4, 5; </w:t>
      </w:r>
      <w:hyperlink w:anchor="SENTENCIA_1985_45" w:history="1">
        <w:r w:rsidRPr="00506787">
          <w:rPr>
            <w:rStyle w:val="TextoNormalCaracter"/>
          </w:rPr>
          <w:t>45/1985</w:t>
        </w:r>
      </w:hyperlink>
      <w:r w:rsidRPr="00506787">
        <w:rPr>
          <w:rStyle w:val="TextoNormalCaracter"/>
        </w:rPr>
        <w:t>, ff. 1, 2, 3, 4.</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18" w:history="1">
        <w:r w:rsidRPr="00506787">
          <w:rPr>
            <w:rStyle w:val="TextoNormalCaracter"/>
          </w:rPr>
          <w:t>218/1985</w:t>
        </w:r>
      </w:hyperlink>
      <w:r w:rsidRPr="00506787">
        <w:rPr>
          <w:rStyle w:val="TextoNormalCaracter"/>
        </w:rPr>
        <w:t>.</w:t>
      </w:r>
    </w:p>
    <w:p w:rsidR="00506787" w:rsidRPr="00506787" w:rsidRDefault="00506787" w:rsidP="00506787">
      <w:pPr>
        <w:pStyle w:val="TextoNormalSangraFrancesa"/>
        <w:rPr>
          <w:rStyle w:val="TextoNormalCaracter"/>
        </w:rPr>
      </w:pPr>
      <w:bookmarkStart w:id="1174" w:name="DESCRIPTORALFABETICO436"/>
      <w:r w:rsidRPr="00506787">
        <w:rPr>
          <w:rStyle w:val="TextoNormalNegritaCaracter"/>
        </w:rPr>
        <w:lastRenderedPageBreak/>
        <w:t>Emplazamiento de Administraciones públicas</w:t>
      </w:r>
      <w:bookmarkEnd w:id="1174"/>
      <w:r w:rsidRPr="00506787">
        <w:rPr>
          <w:rStyle w:val="TextoNormalCaracter"/>
        </w:rPr>
        <w:t xml:space="preserve">, Auto </w:t>
      </w:r>
      <w:hyperlink w:anchor="AUTO_1985_218" w:history="1">
        <w:r w:rsidRPr="00506787">
          <w:rPr>
            <w:rStyle w:val="TextoNormalCaracter"/>
          </w:rPr>
          <w:t>218/1985</w:t>
        </w:r>
      </w:hyperlink>
      <w:r w:rsidRPr="00506787">
        <w:rPr>
          <w:rStyle w:val="TextoNormalCaracter"/>
        </w:rPr>
        <w:t>.</w:t>
      </w:r>
    </w:p>
    <w:p w:rsidR="00506787" w:rsidRPr="00506787" w:rsidRDefault="00506787" w:rsidP="00506787">
      <w:pPr>
        <w:pStyle w:val="TextoNormalSangraFrancesa"/>
        <w:rPr>
          <w:rStyle w:val="TextoNormalCaracter"/>
        </w:rPr>
      </w:pPr>
      <w:bookmarkStart w:id="1175" w:name="DESCRIPTORALFABETICO437"/>
      <w:r w:rsidRPr="00506787">
        <w:rPr>
          <w:rStyle w:val="TextoNormalNegritaCaracter"/>
        </w:rPr>
        <w:t>Emplazamiento de herederos</w:t>
      </w:r>
      <w:bookmarkEnd w:id="1175"/>
      <w:r w:rsidRPr="00506787">
        <w:rPr>
          <w:rStyle w:val="TextoNormalCaracter"/>
        </w:rPr>
        <w:t xml:space="preserve">, Sentencia </w:t>
      </w:r>
      <w:hyperlink w:anchor="SENTENCIA_1985_18" w:history="1">
        <w:r w:rsidRPr="00506787">
          <w:rPr>
            <w:rStyle w:val="TextoNormalCaracter"/>
          </w:rPr>
          <w:t>18/1985</w:t>
        </w:r>
      </w:hyperlink>
      <w:r w:rsidRPr="00506787">
        <w:rPr>
          <w:rStyle w:val="TextoNormalCaracter"/>
        </w:rPr>
        <w:t>, ff. 3, 4.</w:t>
      </w:r>
    </w:p>
    <w:p w:rsidR="00506787" w:rsidRPr="00506787" w:rsidRDefault="00506787" w:rsidP="00506787">
      <w:pPr>
        <w:pStyle w:val="TextoNormalSangraFrancesa"/>
        <w:rPr>
          <w:rStyle w:val="TextoNormalCaracter"/>
        </w:rPr>
      </w:pPr>
      <w:bookmarkStart w:id="1176" w:name="DESCRIPTORALFABETICO438"/>
      <w:r w:rsidRPr="00506787">
        <w:rPr>
          <w:rStyle w:val="TextoNormalNegritaCaracter"/>
        </w:rPr>
        <w:t>Emplazamiento edictal</w:t>
      </w:r>
      <w:bookmarkEnd w:id="1176"/>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Doctrina constitucional, </w:t>
      </w:r>
      <w:r w:rsidRPr="00506787">
        <w:rPr>
          <w:rStyle w:val="TextoNormalCaracter"/>
        </w:rPr>
        <w:t xml:space="preserve">Sentencia </w:t>
      </w:r>
      <w:hyperlink w:anchor="SENTENCIA_1985_50" w:history="1">
        <w:r w:rsidRPr="00506787">
          <w:rPr>
            <w:rStyle w:val="TextoNormalCaracter"/>
          </w:rPr>
          <w:t>50/1985</w:t>
        </w:r>
      </w:hyperlink>
      <w:r w:rsidRPr="00506787">
        <w:rPr>
          <w:rStyle w:val="TextoNormalCaracter"/>
        </w:rPr>
        <w:t>, f. 1.</w:t>
      </w:r>
    </w:p>
    <w:p w:rsidR="00506787" w:rsidRPr="00506787" w:rsidRDefault="00506787" w:rsidP="00506787">
      <w:pPr>
        <w:pStyle w:val="TextoNormalSangraFrancesa"/>
        <w:rPr>
          <w:rStyle w:val="TextoNormalCaracter"/>
        </w:rPr>
      </w:pPr>
      <w:bookmarkStart w:id="1177" w:name="DESCRIPTORALFABETICO439"/>
      <w:r w:rsidRPr="00506787">
        <w:rPr>
          <w:rStyle w:val="TextoNormalNegritaCaracter"/>
        </w:rPr>
        <w:t>Emplazamiento no exigible por conocimiento oportuno del recurso</w:t>
      </w:r>
      <w:bookmarkEnd w:id="1177"/>
      <w:r w:rsidRPr="00506787">
        <w:rPr>
          <w:rStyle w:val="TextoNormalCaracter"/>
        </w:rPr>
        <w:t xml:space="preserve">, Sentencias </w:t>
      </w:r>
      <w:hyperlink w:anchor="SENTENCIA_1985_2" w:history="1">
        <w:r w:rsidRPr="00506787">
          <w:rPr>
            <w:rStyle w:val="TextoNormalCaracter"/>
          </w:rPr>
          <w:t>2/1985</w:t>
        </w:r>
      </w:hyperlink>
      <w:r w:rsidRPr="00506787">
        <w:rPr>
          <w:rStyle w:val="TextoNormalCaracter"/>
        </w:rPr>
        <w:t xml:space="preserve">, f. 2; </w:t>
      </w:r>
      <w:hyperlink w:anchor="SENTENCIA_1985_3" w:history="1">
        <w:r w:rsidRPr="00506787">
          <w:rPr>
            <w:rStyle w:val="TextoNormalCaracter"/>
          </w:rPr>
          <w:t>3/1985</w:t>
        </w:r>
      </w:hyperlink>
      <w:r w:rsidRPr="00506787">
        <w:rPr>
          <w:rStyle w:val="TextoNormalCaracter"/>
        </w:rPr>
        <w:t xml:space="preserve">, f. 2; </w:t>
      </w:r>
      <w:hyperlink w:anchor="SENTENCIA_1985_6" w:history="1">
        <w:r w:rsidRPr="00506787">
          <w:rPr>
            <w:rStyle w:val="TextoNormalCaracter"/>
          </w:rPr>
          <w:t>6/1985</w:t>
        </w:r>
      </w:hyperlink>
      <w:r w:rsidRPr="00506787">
        <w:rPr>
          <w:rStyle w:val="TextoNormalCaracter"/>
        </w:rPr>
        <w:t xml:space="preserve">, ff. 1, 2; </w:t>
      </w:r>
      <w:hyperlink w:anchor="SENTENCIA_1985_56" w:history="1">
        <w:r w:rsidRPr="00506787">
          <w:rPr>
            <w:rStyle w:val="TextoNormalCaracter"/>
          </w:rPr>
          <w:t>56/1985</w:t>
        </w:r>
      </w:hyperlink>
      <w:r w:rsidRPr="00506787">
        <w:rPr>
          <w:rStyle w:val="TextoNormalCaracter"/>
        </w:rPr>
        <w:t>, f. 4.</w:t>
      </w:r>
    </w:p>
    <w:p w:rsidR="00506787" w:rsidRPr="00506787" w:rsidRDefault="00506787" w:rsidP="00506787">
      <w:pPr>
        <w:pStyle w:val="TextoNormalSangraFrancesa"/>
        <w:rPr>
          <w:rStyle w:val="TextoNormalCaracter"/>
        </w:rPr>
      </w:pPr>
      <w:bookmarkStart w:id="1178" w:name="DESCRIPTORALFABETICO440"/>
      <w:r w:rsidRPr="00506787">
        <w:rPr>
          <w:rStyle w:val="TextoNormalNegritaCaracter"/>
        </w:rPr>
        <w:t>Emplazamiento personal</w:t>
      </w:r>
      <w:bookmarkEnd w:id="1178"/>
      <w:r w:rsidRPr="00506787">
        <w:rPr>
          <w:rStyle w:val="TextoNormalCaracter"/>
        </w:rPr>
        <w:t xml:space="preserve">, Sentencias </w:t>
      </w:r>
      <w:hyperlink w:anchor="SENTENCIA_1985_2" w:history="1">
        <w:r w:rsidRPr="00506787">
          <w:rPr>
            <w:rStyle w:val="TextoNormalCaracter"/>
          </w:rPr>
          <w:t>2/1985</w:t>
        </w:r>
      </w:hyperlink>
      <w:r w:rsidRPr="00506787">
        <w:rPr>
          <w:rStyle w:val="TextoNormalCaracter"/>
        </w:rPr>
        <w:t xml:space="preserve">, ff. 1, 2; </w:t>
      </w:r>
      <w:hyperlink w:anchor="SENTENCIA_1985_3" w:history="1">
        <w:r w:rsidRPr="00506787">
          <w:rPr>
            <w:rStyle w:val="TextoNormalCaracter"/>
          </w:rPr>
          <w:t>3/1985</w:t>
        </w:r>
      </w:hyperlink>
      <w:r w:rsidRPr="00506787">
        <w:rPr>
          <w:rStyle w:val="TextoNormalCaracter"/>
        </w:rPr>
        <w:t xml:space="preserve">, ff. 1, 2; </w:t>
      </w:r>
      <w:hyperlink w:anchor="SENTENCIA_1985_6" w:history="1">
        <w:r w:rsidRPr="00506787">
          <w:rPr>
            <w:rStyle w:val="TextoNormalCaracter"/>
          </w:rPr>
          <w:t>6/1985</w:t>
        </w:r>
      </w:hyperlink>
      <w:r w:rsidRPr="00506787">
        <w:rPr>
          <w:rStyle w:val="TextoNormalCaracter"/>
        </w:rPr>
        <w:t xml:space="preserve">, ff. 1, 2; </w:t>
      </w:r>
      <w:hyperlink w:anchor="SENTENCIA_1985_45" w:history="1">
        <w:r w:rsidRPr="00506787">
          <w:rPr>
            <w:rStyle w:val="TextoNormalCaracter"/>
          </w:rPr>
          <w:t>45/1985</w:t>
        </w:r>
      </w:hyperlink>
      <w:r w:rsidRPr="00506787">
        <w:rPr>
          <w:rStyle w:val="TextoNormalCaracter"/>
        </w:rPr>
        <w:t xml:space="preserve">, ff. 1, 2, 3, 4; </w:t>
      </w:r>
      <w:hyperlink w:anchor="SENTENCIA_1985_50" w:history="1">
        <w:r w:rsidRPr="00506787">
          <w:rPr>
            <w:rStyle w:val="TextoNormalCaracter"/>
          </w:rPr>
          <w:t>50/1985</w:t>
        </w:r>
      </w:hyperlink>
      <w:r w:rsidRPr="00506787">
        <w:rPr>
          <w:rStyle w:val="TextoNormalCaracter"/>
        </w:rPr>
        <w:t xml:space="preserve">, ff. 1, 2, 3; </w:t>
      </w:r>
      <w:hyperlink w:anchor="SENTENCIA_1985_56" w:history="1">
        <w:r w:rsidRPr="00506787">
          <w:rPr>
            <w:rStyle w:val="TextoNormalCaracter"/>
          </w:rPr>
          <w:t>56/1985</w:t>
        </w:r>
      </w:hyperlink>
      <w:r w:rsidRPr="00506787">
        <w:rPr>
          <w:rStyle w:val="TextoNormalCaracter"/>
        </w:rPr>
        <w:t>, ff. 2, 4.</w:t>
      </w:r>
    </w:p>
    <w:p w:rsidR="00506787" w:rsidRPr="00506787" w:rsidRDefault="00506787" w:rsidP="00506787">
      <w:pPr>
        <w:pStyle w:val="TextoNormalSangraFrancesa"/>
        <w:rPr>
          <w:rStyle w:val="TextoNormalCaracter"/>
        </w:rPr>
      </w:pPr>
      <w:bookmarkStart w:id="1179" w:name="DESCRIPTORALFABETICO301"/>
      <w:r w:rsidRPr="00506787">
        <w:rPr>
          <w:rStyle w:val="TextoNormalNegritaCaracter"/>
        </w:rPr>
        <w:t>Energía</w:t>
      </w:r>
      <w:bookmarkEnd w:id="1179"/>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ff. 1, 2, 3, 4, 5, 6, 7, 8, 9, 10.</w:t>
      </w:r>
    </w:p>
    <w:p w:rsidR="00506787" w:rsidRPr="00506787" w:rsidRDefault="00506787" w:rsidP="00506787">
      <w:pPr>
        <w:pStyle w:val="TextoNormalSangraFrancesa"/>
        <w:rPr>
          <w:rStyle w:val="TextoNormalCaracter"/>
        </w:rPr>
      </w:pPr>
      <w:bookmarkStart w:id="1180" w:name="DESCRIPTORALFABETICO83"/>
      <w:r w:rsidRPr="00506787">
        <w:rPr>
          <w:rStyle w:val="TextoNormalNegritaCaracter"/>
        </w:rPr>
        <w:t>Estándar mínimo para la apreciación de dilaciones</w:t>
      </w:r>
      <w:bookmarkEnd w:id="1180"/>
      <w:r w:rsidRPr="00506787">
        <w:rPr>
          <w:rStyle w:val="TextoNormalCaracter"/>
        </w:rPr>
        <w:t xml:space="preserve">, Sentencia </w:t>
      </w:r>
      <w:hyperlink w:anchor="SENTENCIA_1985_5" w:history="1">
        <w:r w:rsidRPr="00506787">
          <w:rPr>
            <w:rStyle w:val="TextoNormalCaracter"/>
          </w:rPr>
          <w:t>5/1985</w:t>
        </w:r>
      </w:hyperlink>
      <w:r w:rsidRPr="00506787">
        <w:rPr>
          <w:rStyle w:val="TextoNormalCaracter"/>
        </w:rPr>
        <w:t>, f. 5.</w:t>
      </w:r>
    </w:p>
    <w:p w:rsidR="00506787" w:rsidRPr="00506787" w:rsidRDefault="00506787" w:rsidP="00506787">
      <w:pPr>
        <w:pStyle w:val="TextoNormalSangraFrancesa"/>
        <w:rPr>
          <w:rStyle w:val="TextoNormalCaracter"/>
        </w:rPr>
      </w:pPr>
      <w:bookmarkStart w:id="1181" w:name="DESCRIPTORALFABETICO465"/>
      <w:r w:rsidRPr="00506787">
        <w:rPr>
          <w:rStyle w:val="TextoNormalNegritaCaracter"/>
        </w:rPr>
        <w:t>Excepción de cuestión compleja</w:t>
      </w:r>
      <w:bookmarkEnd w:id="1181"/>
      <w:r w:rsidRPr="00506787">
        <w:rPr>
          <w:rStyle w:val="TextoNormalCaracter"/>
        </w:rPr>
        <w:t xml:space="preserve">, Autos </w:t>
      </w:r>
      <w:hyperlink w:anchor="AUTO_1985_76" w:history="1">
        <w:r w:rsidRPr="00506787">
          <w:rPr>
            <w:rStyle w:val="TextoNormalCaracter"/>
          </w:rPr>
          <w:t>76/1985</w:t>
        </w:r>
      </w:hyperlink>
      <w:r w:rsidRPr="00506787">
        <w:rPr>
          <w:rStyle w:val="TextoNormalCaracter"/>
        </w:rPr>
        <w:t xml:space="preserve">; </w:t>
      </w:r>
      <w:hyperlink w:anchor="AUTO_1985_203" w:history="1">
        <w:r w:rsidRPr="00506787">
          <w:rPr>
            <w:rStyle w:val="TextoNormalCaracter"/>
          </w:rPr>
          <w:t>203/1985</w:t>
        </w:r>
      </w:hyperlink>
      <w:r w:rsidRPr="00506787">
        <w:rPr>
          <w:rStyle w:val="TextoNormalCaracter"/>
        </w:rPr>
        <w:t>.</w:t>
      </w:r>
    </w:p>
    <w:p w:rsidR="00506787" w:rsidRPr="00506787" w:rsidRDefault="00506787" w:rsidP="00506787">
      <w:pPr>
        <w:pStyle w:val="TextoNormalSangraFrancesa"/>
        <w:rPr>
          <w:rStyle w:val="TextoNormalCaracter"/>
        </w:rPr>
      </w:pPr>
      <w:bookmarkStart w:id="1182" w:name="DESCRIPTORALFABETICO466"/>
      <w:r w:rsidRPr="00506787">
        <w:rPr>
          <w:rStyle w:val="TextoNormalNegritaCaracter"/>
        </w:rPr>
        <w:t>Excepción de inadecuación de procedimiento</w:t>
      </w:r>
      <w:bookmarkEnd w:id="1182"/>
      <w:r w:rsidRPr="00506787">
        <w:rPr>
          <w:rStyle w:val="TextoNormalCaracter"/>
        </w:rPr>
        <w:t xml:space="preserve">, Auto </w:t>
      </w:r>
      <w:hyperlink w:anchor="AUTO_1985_95" w:history="1">
        <w:r w:rsidRPr="00506787">
          <w:rPr>
            <w:rStyle w:val="TextoNormalCaracter"/>
          </w:rPr>
          <w:t>95/1985</w:t>
        </w:r>
      </w:hyperlink>
      <w:r w:rsidRPr="00506787">
        <w:rPr>
          <w:rStyle w:val="TextoNormalCaracter"/>
        </w:rPr>
        <w:t>.</w:t>
      </w:r>
    </w:p>
    <w:p w:rsidR="00506787" w:rsidRPr="00506787" w:rsidRDefault="00506787" w:rsidP="00506787">
      <w:pPr>
        <w:pStyle w:val="TextoNormalSangraFrancesa"/>
        <w:rPr>
          <w:rStyle w:val="TextoNormalCaracter"/>
        </w:rPr>
      </w:pPr>
      <w:bookmarkStart w:id="1183" w:name="DESCRIPTORALFABETICO370"/>
      <w:r w:rsidRPr="00506787">
        <w:rPr>
          <w:rStyle w:val="TextoNormalNegritaCaracter"/>
        </w:rPr>
        <w:t>Exceptio veritatis</w:t>
      </w:r>
      <w:bookmarkEnd w:id="1183"/>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ff. 7, 10.</w:t>
      </w:r>
    </w:p>
    <w:p w:rsidR="00506787" w:rsidRPr="00506787" w:rsidRDefault="00506787" w:rsidP="00506787">
      <w:pPr>
        <w:pStyle w:val="TextoNormalSangraFrancesa"/>
        <w:rPr>
          <w:rStyle w:val="TextoNormalCaracter"/>
        </w:rPr>
      </w:pPr>
      <w:bookmarkStart w:id="1184" w:name="DESCRIPTORALFABETICO21"/>
      <w:r w:rsidRPr="00506787">
        <w:rPr>
          <w:rStyle w:val="TextoNormalNegritaCaracter"/>
        </w:rPr>
        <w:t>Exclusión del ejercicio de la profesión</w:t>
      </w:r>
      <w:bookmarkEnd w:id="1184"/>
      <w:r w:rsidRPr="00506787">
        <w:rPr>
          <w:rStyle w:val="TextoNormalCaracter"/>
        </w:rPr>
        <w:t xml:space="preserve">, Auto </w:t>
      </w:r>
      <w:hyperlink w:anchor="AUTO_1985_130" w:history="1">
        <w:r w:rsidRPr="00506787">
          <w:rPr>
            <w:rStyle w:val="TextoNormalCaracter"/>
          </w:rPr>
          <w:t>130/1985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Exención de responsabilidad penal</w:t>
      </w:r>
      <w:r>
        <w:t xml:space="preserve"> véase </w:t>
      </w:r>
      <w:hyperlink w:anchor="DESCRIPTORALFABETICO369" w:history="1">
        <w:r w:rsidRPr="00506787">
          <w:rPr>
            <w:rStyle w:val="TextoNormalNegritaCaracter"/>
          </w:rPr>
          <w:t>Circunstancias eximentes de la responsabilidad penal</w:t>
        </w:r>
      </w:hyperlink>
    </w:p>
    <w:p w:rsidR="00506787" w:rsidRPr="00506787" w:rsidRDefault="00506787" w:rsidP="00506787">
      <w:pPr>
        <w:pStyle w:val="TextoNormalSangraFrancesa"/>
        <w:rPr>
          <w:rStyle w:val="TextoNormalCaracter"/>
        </w:rPr>
      </w:pPr>
      <w:bookmarkStart w:id="1185" w:name="DESCRIPTORALFABETICO513"/>
      <w:r w:rsidRPr="00506787">
        <w:rPr>
          <w:rStyle w:val="TextoNormalNegritaCaracter"/>
        </w:rPr>
        <w:t>Exigencia de acusación en proceso penal</w:t>
      </w:r>
      <w:bookmarkEnd w:id="1185"/>
      <w:r w:rsidRPr="00506787">
        <w:rPr>
          <w:rStyle w:val="TextoNormalCaracter"/>
        </w:rPr>
        <w:t xml:space="preserve">, Auto </w:t>
      </w:r>
      <w:hyperlink w:anchor="AUTO_1985_31" w:history="1">
        <w:r w:rsidRPr="00506787">
          <w:rPr>
            <w:rStyle w:val="TextoNormalCaracter"/>
          </w:rPr>
          <w:t>31/1985</w:t>
        </w:r>
      </w:hyperlink>
      <w:r w:rsidRPr="00506787">
        <w:rPr>
          <w:rStyle w:val="TextoNormalCaracter"/>
        </w:rPr>
        <w:t>.</w:t>
      </w:r>
    </w:p>
    <w:p w:rsidR="00506787" w:rsidRPr="00506787" w:rsidRDefault="00506787" w:rsidP="00506787">
      <w:pPr>
        <w:pStyle w:val="TextoNormalSangraFrancesa"/>
        <w:rPr>
          <w:rStyle w:val="TextoNormalCaracter"/>
        </w:rPr>
      </w:pPr>
      <w:bookmarkStart w:id="1186" w:name="DESCRIPTORALFABETICO210"/>
      <w:r w:rsidRPr="00506787">
        <w:rPr>
          <w:rStyle w:val="TextoNormalNegritaCaracter"/>
        </w:rPr>
        <w:t>Existencia de agotamiento</w:t>
      </w:r>
      <w:bookmarkEnd w:id="1186"/>
      <w:r w:rsidRPr="00506787">
        <w:rPr>
          <w:rStyle w:val="TextoNormalCaracter"/>
        </w:rPr>
        <w:t xml:space="preserve">, Sentencia </w:t>
      </w:r>
      <w:hyperlink w:anchor="SENTENCIA_1985_39" w:history="1">
        <w:r w:rsidRPr="00506787">
          <w:rPr>
            <w:rStyle w:val="TextoNormalCaracter"/>
          </w:rPr>
          <w:t>39/1985</w:t>
        </w:r>
      </w:hyperlink>
      <w:r w:rsidRPr="00506787">
        <w:rPr>
          <w:rStyle w:val="TextoNormalCaracter"/>
        </w:rPr>
        <w:t>, f. 1.</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52" w:history="1">
        <w:r w:rsidRPr="00506787">
          <w:rPr>
            <w:rStyle w:val="TextoNormalCaracter"/>
          </w:rPr>
          <w:t>52/1985</w:t>
        </w:r>
      </w:hyperlink>
      <w:r w:rsidRPr="00506787">
        <w:rPr>
          <w:rStyle w:val="TextoNormalCaracter"/>
        </w:rPr>
        <w:t xml:space="preserve">; </w:t>
      </w:r>
      <w:hyperlink w:anchor="AUTO_1985_150" w:history="1">
        <w:r w:rsidRPr="00506787">
          <w:rPr>
            <w:rStyle w:val="TextoNormalCaracter"/>
          </w:rPr>
          <w:t>150/1985</w:t>
        </w:r>
      </w:hyperlink>
      <w:r w:rsidRPr="00506787">
        <w:rPr>
          <w:rStyle w:val="TextoNormalCaracter"/>
        </w:rPr>
        <w:t>.</w:t>
      </w:r>
    </w:p>
    <w:p w:rsidR="00506787" w:rsidRPr="00506787" w:rsidRDefault="00506787" w:rsidP="00506787">
      <w:pPr>
        <w:pStyle w:val="TextoNormalSangraFrancesa"/>
        <w:rPr>
          <w:rStyle w:val="TextoNormalCaracter"/>
        </w:rPr>
      </w:pPr>
      <w:bookmarkStart w:id="1187" w:name="DESCRIPTORALFABETICO184"/>
      <w:r w:rsidRPr="00506787">
        <w:rPr>
          <w:rStyle w:val="TextoNormalNegritaCaracter"/>
        </w:rPr>
        <w:t>Existencia de invocación del derecho vulnerado</w:t>
      </w:r>
      <w:bookmarkEnd w:id="1187"/>
      <w:r w:rsidRPr="00506787">
        <w:rPr>
          <w:rStyle w:val="TextoNormalCaracter"/>
        </w:rPr>
        <w:t xml:space="preserve">, Sentencias </w:t>
      </w:r>
      <w:hyperlink w:anchor="SENTENCIA_1985_10" w:history="1">
        <w:r w:rsidRPr="00506787">
          <w:rPr>
            <w:rStyle w:val="TextoNormalCaracter"/>
          </w:rPr>
          <w:t>10/1985</w:t>
        </w:r>
      </w:hyperlink>
      <w:r w:rsidRPr="00506787">
        <w:rPr>
          <w:rStyle w:val="TextoNormalCaracter"/>
        </w:rPr>
        <w:t xml:space="preserve">, f. 1; </w:t>
      </w:r>
      <w:hyperlink w:anchor="SENTENCIA_1985_50" w:history="1">
        <w:r w:rsidRPr="00506787">
          <w:rPr>
            <w:rStyle w:val="TextoNormalCaracter"/>
          </w:rPr>
          <w:t>50/1985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06" w:history="1">
        <w:r w:rsidRPr="00506787">
          <w:rPr>
            <w:rStyle w:val="TextoNormalCaracter"/>
          </w:rPr>
          <w:t>106/1985</w:t>
        </w:r>
      </w:hyperlink>
      <w:r w:rsidRPr="00506787">
        <w:rPr>
          <w:rStyle w:val="TextoNormalCaracter"/>
        </w:rPr>
        <w:t xml:space="preserve">; </w:t>
      </w:r>
      <w:hyperlink w:anchor="AUTO_1985_189" w:history="1">
        <w:r w:rsidRPr="00506787">
          <w:rPr>
            <w:rStyle w:val="TextoNormalCaracter"/>
          </w:rPr>
          <w:t>189/1985</w:t>
        </w:r>
      </w:hyperlink>
      <w:r w:rsidRPr="00506787">
        <w:rPr>
          <w:rStyle w:val="TextoNormalCaracter"/>
        </w:rPr>
        <w:t>.</w:t>
      </w:r>
    </w:p>
    <w:p w:rsidR="00506787" w:rsidRPr="00506787" w:rsidRDefault="00506787" w:rsidP="00506787">
      <w:pPr>
        <w:pStyle w:val="TextoNormalSangraFrancesa"/>
        <w:rPr>
          <w:rStyle w:val="TextoNormalCaracter"/>
        </w:rPr>
      </w:pPr>
      <w:bookmarkStart w:id="1188" w:name="DESCRIPTORALFABETICO362"/>
      <w:r w:rsidRPr="00506787">
        <w:rPr>
          <w:rStyle w:val="TextoNormalNegritaCaracter"/>
        </w:rPr>
        <w:t>Expediente administrativo</w:t>
      </w:r>
      <w:bookmarkEnd w:id="1188"/>
      <w:r w:rsidRPr="00506787">
        <w:rPr>
          <w:rStyle w:val="TextoNormalCaracter"/>
        </w:rPr>
        <w:t xml:space="preserve">, Auto </w:t>
      </w:r>
      <w:hyperlink w:anchor="AUTO_1985_134" w:history="1">
        <w:r w:rsidRPr="00506787">
          <w:rPr>
            <w:rStyle w:val="TextoNormalCaracter"/>
          </w:rPr>
          <w:t>134/1985</w:t>
        </w:r>
      </w:hyperlink>
      <w:r w:rsidRPr="00506787">
        <w:rPr>
          <w:rStyle w:val="TextoNormalCaracter"/>
        </w:rPr>
        <w:t>.</w:t>
      </w:r>
    </w:p>
    <w:p w:rsidR="00506787" w:rsidRPr="00506787" w:rsidRDefault="00506787" w:rsidP="00506787">
      <w:pPr>
        <w:pStyle w:val="TextoNormalSangraFrancesa"/>
        <w:rPr>
          <w:rStyle w:val="TextoNormalCaracter"/>
        </w:rPr>
      </w:pPr>
      <w:bookmarkStart w:id="1189" w:name="DESCRIPTORALFABETICO361"/>
      <w:r w:rsidRPr="00506787">
        <w:rPr>
          <w:rStyle w:val="TextoNormalNegritaCaracter"/>
        </w:rPr>
        <w:t>Expulsión de socios cooperativistas</w:t>
      </w:r>
      <w:bookmarkEnd w:id="1189"/>
      <w:r w:rsidRPr="00506787">
        <w:rPr>
          <w:rStyle w:val="TextoNormalCaracter"/>
        </w:rPr>
        <w:t xml:space="preserve">, Auto </w:t>
      </w:r>
      <w:hyperlink w:anchor="AUTO_1985_98" w:history="1">
        <w:r w:rsidRPr="00506787">
          <w:rPr>
            <w:rStyle w:val="TextoNormalCaracter"/>
          </w:rPr>
          <w:t>98/1985</w:t>
        </w:r>
      </w:hyperlink>
      <w:r w:rsidRPr="00506787">
        <w:rPr>
          <w:rStyle w:val="TextoNormalCaracter"/>
        </w:rPr>
        <w:t>.</w:t>
      </w:r>
    </w:p>
    <w:p w:rsidR="00506787" w:rsidRPr="00506787" w:rsidRDefault="00506787" w:rsidP="00506787">
      <w:pPr>
        <w:pStyle w:val="TextoNormalSangraFrancesa"/>
        <w:rPr>
          <w:rStyle w:val="TextoNormalCaracter"/>
        </w:rPr>
      </w:pPr>
      <w:bookmarkStart w:id="1190" w:name="DESCRIPTORALFABETICO52"/>
      <w:r w:rsidRPr="00506787">
        <w:rPr>
          <w:rStyle w:val="TextoNormalNegritaCaracter"/>
        </w:rPr>
        <w:t>Extensión de los efectos de la sentencia a terceros</w:t>
      </w:r>
      <w:bookmarkEnd w:id="1190"/>
      <w:r w:rsidRPr="00506787">
        <w:rPr>
          <w:rStyle w:val="TextoNormalCaracter"/>
        </w:rPr>
        <w:t xml:space="preserve">, Autos </w:t>
      </w:r>
      <w:hyperlink w:anchor="AUTO_1985_187" w:history="1">
        <w:r w:rsidRPr="00506787">
          <w:rPr>
            <w:rStyle w:val="TextoNormalCaracter"/>
          </w:rPr>
          <w:t>187/1985</w:t>
        </w:r>
      </w:hyperlink>
      <w:r w:rsidRPr="00506787">
        <w:rPr>
          <w:rStyle w:val="TextoNormalCaracter"/>
        </w:rPr>
        <w:t xml:space="preserve">; </w:t>
      </w:r>
      <w:hyperlink w:anchor="AUTO_1985_270" w:history="1">
        <w:r w:rsidRPr="00506787">
          <w:rPr>
            <w:rStyle w:val="TextoNormalCaracter"/>
          </w:rPr>
          <w:t>270/1985</w:t>
        </w:r>
      </w:hyperlink>
      <w:r w:rsidRPr="00506787">
        <w:rPr>
          <w:rStyle w:val="TextoNormalCaracter"/>
        </w:rPr>
        <w:t>.</w:t>
      </w:r>
    </w:p>
    <w:p w:rsidR="00506787" w:rsidRPr="00506787" w:rsidRDefault="00506787" w:rsidP="00506787">
      <w:pPr>
        <w:pStyle w:val="TextoNormalSangraFrancesa"/>
        <w:rPr>
          <w:rStyle w:val="TextoNormalCaracter"/>
        </w:rPr>
      </w:pPr>
      <w:bookmarkStart w:id="1191" w:name="DESCRIPTORALFABETICO196"/>
      <w:r w:rsidRPr="00506787">
        <w:rPr>
          <w:rStyle w:val="TextoNormalNegritaCaracter"/>
        </w:rPr>
        <w:t>Extinción del recurso de amparo</w:t>
      </w:r>
      <w:bookmarkEnd w:id="1191"/>
      <w:r w:rsidRPr="00506787">
        <w:rPr>
          <w:rStyle w:val="TextoNormalCaracter"/>
        </w:rPr>
        <w:t xml:space="preserve">, Auto </w:t>
      </w:r>
      <w:hyperlink w:anchor="AUTO_1985_43" w:history="1">
        <w:r w:rsidRPr="00506787">
          <w:rPr>
            <w:rStyle w:val="TextoNormalCaracter"/>
          </w:rPr>
          <w:t>43/1985</w:t>
        </w:r>
      </w:hyperlink>
      <w:r w:rsidRPr="00506787">
        <w:rPr>
          <w:rStyle w:val="TextoNormalCaracter"/>
        </w:rPr>
        <w:t>.</w:t>
      </w:r>
    </w:p>
    <w:p w:rsidR="00506787" w:rsidRPr="00506787" w:rsidRDefault="00506787" w:rsidP="00506787">
      <w:pPr>
        <w:pStyle w:val="TextoNormalSangraFrancesa"/>
        <w:rPr>
          <w:rStyle w:val="TextoNormalCaracter"/>
        </w:rPr>
      </w:pPr>
      <w:bookmarkStart w:id="1192" w:name="DESCRIPTORALFABETICO562"/>
      <w:r w:rsidRPr="00506787">
        <w:rPr>
          <w:rStyle w:val="TextoNormalNegritaCaracter"/>
        </w:rPr>
        <w:t>Extradición</w:t>
      </w:r>
      <w:bookmarkEnd w:id="1192"/>
      <w:r w:rsidRPr="00506787">
        <w:rPr>
          <w:rStyle w:val="TextoNormalCaracter"/>
        </w:rPr>
        <w:t xml:space="preserve">, Sentencia </w:t>
      </w:r>
      <w:hyperlink w:anchor="SENTENCIA_1985_11" w:history="1">
        <w:r w:rsidRPr="00506787">
          <w:rPr>
            <w:rStyle w:val="TextoNormalCaracter"/>
          </w:rPr>
          <w:t>11/1985</w:t>
        </w:r>
      </w:hyperlink>
      <w:r w:rsidRPr="00506787">
        <w:rPr>
          <w:rStyle w:val="TextoNormalCaracter"/>
        </w:rPr>
        <w:t>, ff. 1,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59" w:history="1">
        <w:r w:rsidRPr="00506787">
          <w:rPr>
            <w:rStyle w:val="TextoNormalCaracter"/>
          </w:rPr>
          <w:t>59/1985</w:t>
        </w:r>
      </w:hyperlink>
      <w:r w:rsidRPr="00506787">
        <w:rPr>
          <w:rStyle w:val="TextoNormalCaracter"/>
        </w:rPr>
        <w:t xml:space="preserve">; </w:t>
      </w:r>
      <w:hyperlink w:anchor="AUTO_1985_196" w:history="1">
        <w:r w:rsidRPr="00506787">
          <w:rPr>
            <w:rStyle w:val="TextoNormalCaracter"/>
          </w:rPr>
          <w:t>196/1985</w:t>
        </w:r>
      </w:hyperlink>
      <w:r w:rsidRPr="00506787">
        <w:rPr>
          <w:rStyle w:val="TextoNormalCaracter"/>
        </w:rPr>
        <w:t xml:space="preserve">; </w:t>
      </w:r>
      <w:hyperlink w:anchor="AUTO_1985_198" w:history="1">
        <w:r w:rsidRPr="00506787">
          <w:rPr>
            <w:rStyle w:val="TextoNormalCaracter"/>
          </w:rPr>
          <w:t>198/1985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Extradición pasiva</w:t>
      </w:r>
      <w:r>
        <w:t xml:space="preserve"> véase </w:t>
      </w:r>
      <w:hyperlink w:anchor="DESCRIPTORALFABETICO562" w:history="1">
        <w:r w:rsidRPr="00506787">
          <w:rPr>
            <w:rStyle w:val="TextoNormalNegritaCaracter"/>
          </w:rPr>
          <w:t>Extradición</w:t>
        </w:r>
      </w:hyperlink>
    </w:p>
    <w:p w:rsidR="00506787" w:rsidRPr="00506787" w:rsidRDefault="00506787" w:rsidP="00506787">
      <w:pPr>
        <w:pStyle w:val="TextoNormalSangraFrancesa"/>
        <w:rPr>
          <w:rStyle w:val="TextoNormalCaracter"/>
        </w:rPr>
      </w:pPr>
      <w:bookmarkStart w:id="1193" w:name="DESCRIPTORALFABETICO266"/>
      <w:r w:rsidRPr="00506787">
        <w:rPr>
          <w:rStyle w:val="TextoNormalNegritaCaracter"/>
        </w:rPr>
        <w:t>Extranjería</w:t>
      </w:r>
      <w:bookmarkEnd w:id="1193"/>
      <w:r w:rsidRPr="00506787">
        <w:rPr>
          <w:rStyle w:val="TextoNormalCaracter"/>
        </w:rPr>
        <w:t xml:space="preserve">, Autos </w:t>
      </w:r>
      <w:hyperlink w:anchor="AUTO_1985_130" w:history="1">
        <w:r w:rsidRPr="00506787">
          <w:rPr>
            <w:rStyle w:val="TextoNormalCaracter"/>
          </w:rPr>
          <w:t>130/1985</w:t>
        </w:r>
      </w:hyperlink>
      <w:r w:rsidRPr="00506787">
        <w:rPr>
          <w:rStyle w:val="TextoNormalCaracter"/>
        </w:rPr>
        <w:t xml:space="preserve">; </w:t>
      </w:r>
      <w:hyperlink w:anchor="AUTO_1985_182" w:history="1">
        <w:r w:rsidRPr="00506787">
          <w:rPr>
            <w:rStyle w:val="TextoNormalCaracter"/>
          </w:rPr>
          <w:t>182/1985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Extranjeros</w:t>
      </w:r>
      <w:r>
        <w:t xml:space="preserve"> véase </w:t>
      </w:r>
      <w:hyperlink w:anchor="DESCRIPTORALFABETICO266" w:history="1">
        <w:r w:rsidRPr="00506787">
          <w:rPr>
            <w:rStyle w:val="TextoNormalNegritaCaracter"/>
          </w:rPr>
          <w:t>Extranjería</w:t>
        </w:r>
      </w:hyperlink>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F</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NegritaCaracter"/>
        </w:rPr>
      </w:pPr>
      <w:r w:rsidRPr="00506787">
        <w:rPr>
          <w:rStyle w:val="TextoNormalCursivaCaracter"/>
        </w:rPr>
        <w:t>Facultad sancionadora</w:t>
      </w:r>
      <w:r>
        <w:t xml:space="preserve"> véase </w:t>
      </w:r>
      <w:hyperlink w:anchor="DESCRIPTORALFABETICO230" w:history="1">
        <w:r w:rsidRPr="00506787">
          <w:rPr>
            <w:rStyle w:val="TextoNormalNegritaCaracter"/>
          </w:rPr>
          <w:t>Potestad sancionadora</w:t>
        </w:r>
      </w:hyperlink>
    </w:p>
    <w:p w:rsidR="00506787" w:rsidRPr="00506787" w:rsidRDefault="00506787" w:rsidP="00506787">
      <w:pPr>
        <w:pStyle w:val="TextoNormalSangraFrancesa"/>
        <w:rPr>
          <w:rStyle w:val="TextoNormalCaracter"/>
        </w:rPr>
      </w:pPr>
      <w:bookmarkStart w:id="1194" w:name="DESCRIPTORALFABETICO108"/>
      <w:r w:rsidRPr="00506787">
        <w:rPr>
          <w:rStyle w:val="TextoNormalNegritaCaracter"/>
        </w:rPr>
        <w:t>Facultades jurisdiccionales limitativas del derecho de información</w:t>
      </w:r>
      <w:bookmarkEnd w:id="1194"/>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 1.</w:t>
      </w:r>
    </w:p>
    <w:p w:rsidR="00506787" w:rsidRPr="00506787" w:rsidRDefault="00506787" w:rsidP="00506787">
      <w:pPr>
        <w:pStyle w:val="TextoNormalSangraFrancesa"/>
        <w:rPr>
          <w:rStyle w:val="TextoNormalCaracter"/>
        </w:rPr>
      </w:pPr>
      <w:bookmarkStart w:id="1195" w:name="DESCRIPTORALFABETICO214"/>
      <w:r w:rsidRPr="00506787">
        <w:rPr>
          <w:rStyle w:val="TextoNormalNegritaCaracter"/>
        </w:rPr>
        <w:t>Falta de agotamiento de la vía judicial</w:t>
      </w:r>
      <w:bookmarkEnd w:id="1195"/>
      <w:r w:rsidRPr="00506787">
        <w:rPr>
          <w:rStyle w:val="TextoNormalCaracter"/>
        </w:rPr>
        <w:t xml:space="preserve">, Sentencias </w:t>
      </w:r>
      <w:hyperlink w:anchor="SENTENCIA_1985_22" w:history="1">
        <w:r w:rsidRPr="00506787">
          <w:rPr>
            <w:rStyle w:val="TextoNormalCaracter"/>
          </w:rPr>
          <w:t>22/1985</w:t>
        </w:r>
      </w:hyperlink>
      <w:r w:rsidRPr="00506787">
        <w:rPr>
          <w:rStyle w:val="TextoNormalCaracter"/>
        </w:rPr>
        <w:t xml:space="preserve">, f. 2; </w:t>
      </w:r>
      <w:hyperlink w:anchor="SENTENCIA_1985_49" w:history="1">
        <w:r w:rsidRPr="00506787">
          <w:rPr>
            <w:rStyle w:val="TextoNormalCaracter"/>
          </w:rPr>
          <w:t>49/1985</w:t>
        </w:r>
      </w:hyperlink>
      <w:r w:rsidRPr="00506787">
        <w:rPr>
          <w:rStyle w:val="TextoNormalCaracter"/>
        </w:rPr>
        <w:t xml:space="preserve">, f. 2; </w:t>
      </w:r>
      <w:hyperlink w:anchor="SENTENCIA_1985_55" w:history="1">
        <w:r w:rsidRPr="00506787">
          <w:rPr>
            <w:rStyle w:val="TextoNormalCaracter"/>
          </w:rPr>
          <w:t>55/1985</w:t>
        </w:r>
      </w:hyperlink>
      <w:r w:rsidRPr="00506787">
        <w:rPr>
          <w:rStyle w:val="TextoNormalCaracter"/>
        </w:rPr>
        <w:t>, f. 1.</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49" w:history="1">
        <w:r w:rsidRPr="00506787">
          <w:rPr>
            <w:rStyle w:val="TextoNormalCaracter"/>
          </w:rPr>
          <w:t>49/1985</w:t>
        </w:r>
      </w:hyperlink>
      <w:r w:rsidRPr="00506787">
        <w:rPr>
          <w:rStyle w:val="TextoNormalCaracter"/>
        </w:rPr>
        <w:t xml:space="preserve">; </w:t>
      </w:r>
      <w:hyperlink w:anchor="AUTO_1985_79" w:history="1">
        <w:r w:rsidRPr="00506787">
          <w:rPr>
            <w:rStyle w:val="TextoNormalCaracter"/>
          </w:rPr>
          <w:t>79/1985</w:t>
        </w:r>
      </w:hyperlink>
      <w:r w:rsidRPr="00506787">
        <w:rPr>
          <w:rStyle w:val="TextoNormalCaracter"/>
        </w:rPr>
        <w:t xml:space="preserve">; </w:t>
      </w:r>
      <w:hyperlink w:anchor="AUTO_1985_80" w:history="1">
        <w:r w:rsidRPr="00506787">
          <w:rPr>
            <w:rStyle w:val="TextoNormalCaracter"/>
          </w:rPr>
          <w:t>80/1985</w:t>
        </w:r>
      </w:hyperlink>
      <w:r w:rsidRPr="00506787">
        <w:rPr>
          <w:rStyle w:val="TextoNormalCaracter"/>
        </w:rPr>
        <w:t xml:space="preserve">; </w:t>
      </w:r>
      <w:hyperlink w:anchor="AUTO_1985_87" w:history="1">
        <w:r w:rsidRPr="00506787">
          <w:rPr>
            <w:rStyle w:val="TextoNormalCaracter"/>
          </w:rPr>
          <w:t>87/1985</w:t>
        </w:r>
      </w:hyperlink>
      <w:r w:rsidRPr="00506787">
        <w:rPr>
          <w:rStyle w:val="TextoNormalCaracter"/>
        </w:rPr>
        <w:t xml:space="preserve">; </w:t>
      </w:r>
      <w:hyperlink w:anchor="AUTO_1985_134" w:history="1">
        <w:r w:rsidRPr="00506787">
          <w:rPr>
            <w:rStyle w:val="TextoNormalCaracter"/>
          </w:rPr>
          <w:t>134/1985</w:t>
        </w:r>
      </w:hyperlink>
      <w:r w:rsidRPr="00506787">
        <w:rPr>
          <w:rStyle w:val="TextoNormalCaracter"/>
        </w:rPr>
        <w:t xml:space="preserve">; </w:t>
      </w:r>
      <w:hyperlink w:anchor="AUTO_1985_186" w:history="1">
        <w:r w:rsidRPr="00506787">
          <w:rPr>
            <w:rStyle w:val="TextoNormalCaracter"/>
          </w:rPr>
          <w:t>186/1985</w:t>
        </w:r>
      </w:hyperlink>
      <w:r w:rsidRPr="00506787">
        <w:rPr>
          <w:rStyle w:val="TextoNormalCaracter"/>
        </w:rPr>
        <w:t xml:space="preserve">; </w:t>
      </w:r>
      <w:hyperlink w:anchor="AUTO_1985_194" w:history="1">
        <w:r w:rsidRPr="00506787">
          <w:rPr>
            <w:rStyle w:val="TextoNormalCaracter"/>
          </w:rPr>
          <w:t>194/1985</w:t>
        </w:r>
      </w:hyperlink>
      <w:r w:rsidRPr="00506787">
        <w:rPr>
          <w:rStyle w:val="TextoNormalCaracter"/>
        </w:rPr>
        <w:t xml:space="preserve">; </w:t>
      </w:r>
      <w:hyperlink w:anchor="AUTO_1985_227" w:history="1">
        <w:r w:rsidRPr="00506787">
          <w:rPr>
            <w:rStyle w:val="TextoNormalCaracter"/>
          </w:rPr>
          <w:t>227/1985</w:t>
        </w:r>
      </w:hyperlink>
      <w:r w:rsidRPr="00506787">
        <w:rPr>
          <w:rStyle w:val="TextoNormalCaracter"/>
        </w:rPr>
        <w:t xml:space="preserve">; </w:t>
      </w:r>
      <w:hyperlink w:anchor="AUTO_1985_228" w:history="1">
        <w:r w:rsidRPr="00506787">
          <w:rPr>
            <w:rStyle w:val="TextoNormalCaracter"/>
          </w:rPr>
          <w:t>228/1985</w:t>
        </w:r>
      </w:hyperlink>
      <w:r w:rsidRPr="00506787">
        <w:rPr>
          <w:rStyle w:val="TextoNormalCaracter"/>
        </w:rPr>
        <w:t xml:space="preserve">; </w:t>
      </w:r>
      <w:hyperlink w:anchor="AUTO_1985_249" w:history="1">
        <w:r w:rsidRPr="00506787">
          <w:rPr>
            <w:rStyle w:val="TextoNormalCaracter"/>
          </w:rPr>
          <w:t>249/1985</w:t>
        </w:r>
      </w:hyperlink>
      <w:r w:rsidRPr="00506787">
        <w:rPr>
          <w:rStyle w:val="TextoNormalCaracter"/>
        </w:rPr>
        <w:t xml:space="preserve">; </w:t>
      </w:r>
      <w:hyperlink w:anchor="AUTO_1985_250" w:history="1">
        <w:r w:rsidRPr="00506787">
          <w:rPr>
            <w:rStyle w:val="TextoNormalCaracter"/>
          </w:rPr>
          <w:t>250/1985</w:t>
        </w:r>
      </w:hyperlink>
      <w:r w:rsidRPr="00506787">
        <w:rPr>
          <w:rStyle w:val="TextoNormalCaracter"/>
        </w:rPr>
        <w:t xml:space="preserve">; </w:t>
      </w:r>
      <w:hyperlink w:anchor="AUTO_1985_268" w:history="1">
        <w:r w:rsidRPr="00506787">
          <w:rPr>
            <w:rStyle w:val="TextoNormalCaracter"/>
          </w:rPr>
          <w:t>268/1985</w:t>
        </w:r>
      </w:hyperlink>
      <w:r w:rsidRPr="00506787">
        <w:rPr>
          <w:rStyle w:val="TextoNormalCaracter"/>
        </w:rPr>
        <w:t xml:space="preserve">; </w:t>
      </w:r>
      <w:hyperlink w:anchor="AUTO_1985_271" w:history="1">
        <w:r w:rsidRPr="00506787">
          <w:rPr>
            <w:rStyle w:val="TextoNormalCaracter"/>
          </w:rPr>
          <w:t>271/1985</w:t>
        </w:r>
      </w:hyperlink>
      <w:r w:rsidRPr="00506787">
        <w:rPr>
          <w:rStyle w:val="TextoNormalCaracter"/>
        </w:rPr>
        <w:t>.</w:t>
      </w:r>
    </w:p>
    <w:p w:rsidR="00506787" w:rsidRPr="00506787" w:rsidRDefault="00506787" w:rsidP="00506787">
      <w:pPr>
        <w:pStyle w:val="TextoNormalSangraFrancesa"/>
        <w:rPr>
          <w:rStyle w:val="TextoNormalCaracter"/>
        </w:rPr>
      </w:pPr>
      <w:bookmarkStart w:id="1196" w:name="DESCRIPTORALFABETICO450"/>
      <w:r w:rsidRPr="00506787">
        <w:rPr>
          <w:rStyle w:val="TextoNormalNegritaCaracter"/>
        </w:rPr>
        <w:t>Falta de consignación</w:t>
      </w:r>
      <w:bookmarkEnd w:id="1196"/>
      <w:r w:rsidRPr="00506787">
        <w:rPr>
          <w:rStyle w:val="TextoNormalCaracter"/>
        </w:rPr>
        <w:t xml:space="preserve">, Sentencia </w:t>
      </w:r>
      <w:hyperlink w:anchor="SENTENCIA_1985_29" w:history="1">
        <w:r w:rsidRPr="00506787">
          <w:rPr>
            <w:rStyle w:val="TextoNormalCaracter"/>
          </w:rPr>
          <w:t>29/1985</w:t>
        </w:r>
      </w:hyperlink>
      <w:r w:rsidRPr="00506787">
        <w:rPr>
          <w:rStyle w:val="TextoNormalCaracter"/>
        </w:rPr>
        <w:t>, ff. 1, 2, 3, VP.</w:t>
      </w:r>
    </w:p>
    <w:p w:rsidR="00506787" w:rsidRPr="00506787" w:rsidRDefault="00506787" w:rsidP="00506787">
      <w:pPr>
        <w:pStyle w:val="TextoNormalSangraFrancesa"/>
        <w:rPr>
          <w:rStyle w:val="TextoNormalCaracter"/>
        </w:rPr>
      </w:pPr>
      <w:bookmarkStart w:id="1197" w:name="DESCRIPTORALFABETICO185"/>
      <w:r w:rsidRPr="00506787">
        <w:rPr>
          <w:rStyle w:val="TextoNormalNegritaCaracter"/>
        </w:rPr>
        <w:t>Falta de invocación del derecho vulnerado</w:t>
      </w:r>
      <w:bookmarkEnd w:id="1197"/>
      <w:r w:rsidRPr="00506787">
        <w:rPr>
          <w:rStyle w:val="TextoNormalCaracter"/>
        </w:rPr>
        <w:t xml:space="preserve">, Sentencias </w:t>
      </w:r>
      <w:hyperlink w:anchor="SENTENCIA_1985_30" w:history="1">
        <w:r w:rsidRPr="00506787">
          <w:rPr>
            <w:rStyle w:val="TextoNormalCaracter"/>
          </w:rPr>
          <w:t>30/1985</w:t>
        </w:r>
      </w:hyperlink>
      <w:r w:rsidRPr="00506787">
        <w:rPr>
          <w:rStyle w:val="TextoNormalCaracter"/>
        </w:rPr>
        <w:t xml:space="preserve">, f. 1; </w:t>
      </w:r>
      <w:hyperlink w:anchor="SENTENCIA_1985_34" w:history="1">
        <w:r w:rsidRPr="00506787">
          <w:rPr>
            <w:rStyle w:val="TextoNormalCaracter"/>
          </w:rPr>
          <w:t>34/1985</w:t>
        </w:r>
      </w:hyperlink>
      <w:r w:rsidRPr="00506787">
        <w:rPr>
          <w:rStyle w:val="TextoNormalCaracter"/>
        </w:rPr>
        <w:t xml:space="preserve">, f. 4; </w:t>
      </w:r>
      <w:hyperlink w:anchor="SENTENCIA_1985_47" w:history="1">
        <w:r w:rsidRPr="00506787">
          <w:rPr>
            <w:rStyle w:val="TextoNormalCaracter"/>
          </w:rPr>
          <w:t>47/1985</w:t>
        </w:r>
      </w:hyperlink>
      <w:r w:rsidRPr="00506787">
        <w:rPr>
          <w:rStyle w:val="TextoNormalCaracter"/>
        </w:rPr>
        <w:t>, f. 1.</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3" w:history="1">
        <w:r w:rsidRPr="00506787">
          <w:rPr>
            <w:rStyle w:val="TextoNormalCaracter"/>
          </w:rPr>
          <w:t>3/1985</w:t>
        </w:r>
      </w:hyperlink>
      <w:r w:rsidRPr="00506787">
        <w:rPr>
          <w:rStyle w:val="TextoNormalCaracter"/>
        </w:rPr>
        <w:t xml:space="preserve">; </w:t>
      </w:r>
      <w:hyperlink w:anchor="AUTO_1985_44" w:history="1">
        <w:r w:rsidRPr="00506787">
          <w:rPr>
            <w:rStyle w:val="TextoNormalCaracter"/>
          </w:rPr>
          <w:t>44/1985</w:t>
        </w:r>
      </w:hyperlink>
      <w:r w:rsidRPr="00506787">
        <w:rPr>
          <w:rStyle w:val="TextoNormalCaracter"/>
        </w:rPr>
        <w:t xml:space="preserve">; </w:t>
      </w:r>
      <w:hyperlink w:anchor="AUTO_1985_47" w:history="1">
        <w:r w:rsidRPr="00506787">
          <w:rPr>
            <w:rStyle w:val="TextoNormalCaracter"/>
          </w:rPr>
          <w:t>47/1985</w:t>
        </w:r>
      </w:hyperlink>
      <w:r w:rsidRPr="00506787">
        <w:rPr>
          <w:rStyle w:val="TextoNormalCaracter"/>
        </w:rPr>
        <w:t xml:space="preserve">; </w:t>
      </w:r>
      <w:hyperlink w:anchor="AUTO_1985_50" w:history="1">
        <w:r w:rsidRPr="00506787">
          <w:rPr>
            <w:rStyle w:val="TextoNormalCaracter"/>
          </w:rPr>
          <w:t>50/1985</w:t>
        </w:r>
      </w:hyperlink>
      <w:r w:rsidRPr="00506787">
        <w:rPr>
          <w:rStyle w:val="TextoNormalCaracter"/>
        </w:rPr>
        <w:t xml:space="preserve">; </w:t>
      </w:r>
      <w:hyperlink w:anchor="AUTO_1985_52" w:history="1">
        <w:r w:rsidRPr="00506787">
          <w:rPr>
            <w:rStyle w:val="TextoNormalCaracter"/>
          </w:rPr>
          <w:t>52/1985</w:t>
        </w:r>
      </w:hyperlink>
      <w:r w:rsidRPr="00506787">
        <w:rPr>
          <w:rStyle w:val="TextoNormalCaracter"/>
        </w:rPr>
        <w:t xml:space="preserve">; </w:t>
      </w:r>
      <w:hyperlink w:anchor="AUTO_1985_57" w:history="1">
        <w:r w:rsidRPr="00506787">
          <w:rPr>
            <w:rStyle w:val="TextoNormalCaracter"/>
          </w:rPr>
          <w:t>57/1985</w:t>
        </w:r>
      </w:hyperlink>
      <w:r w:rsidRPr="00506787">
        <w:rPr>
          <w:rStyle w:val="TextoNormalCaracter"/>
        </w:rPr>
        <w:t xml:space="preserve">; </w:t>
      </w:r>
      <w:hyperlink w:anchor="AUTO_1985_58" w:history="1">
        <w:r w:rsidRPr="00506787">
          <w:rPr>
            <w:rStyle w:val="TextoNormalCaracter"/>
          </w:rPr>
          <w:t>58/1985</w:t>
        </w:r>
      </w:hyperlink>
      <w:r w:rsidRPr="00506787">
        <w:rPr>
          <w:rStyle w:val="TextoNormalCaracter"/>
        </w:rPr>
        <w:t xml:space="preserve">; </w:t>
      </w:r>
      <w:hyperlink w:anchor="AUTO_1985_61" w:history="1">
        <w:r w:rsidRPr="00506787">
          <w:rPr>
            <w:rStyle w:val="TextoNormalCaracter"/>
          </w:rPr>
          <w:t>61/1985</w:t>
        </w:r>
      </w:hyperlink>
      <w:r w:rsidRPr="00506787">
        <w:rPr>
          <w:rStyle w:val="TextoNormalCaracter"/>
        </w:rPr>
        <w:t xml:space="preserve">; </w:t>
      </w:r>
      <w:hyperlink w:anchor="AUTO_1985_78" w:history="1">
        <w:r w:rsidRPr="00506787">
          <w:rPr>
            <w:rStyle w:val="TextoNormalCaracter"/>
          </w:rPr>
          <w:t>78/1985</w:t>
        </w:r>
      </w:hyperlink>
      <w:r w:rsidRPr="00506787">
        <w:rPr>
          <w:rStyle w:val="TextoNormalCaracter"/>
        </w:rPr>
        <w:t xml:space="preserve">; </w:t>
      </w:r>
      <w:hyperlink w:anchor="AUTO_1985_85" w:history="1">
        <w:r w:rsidRPr="00506787">
          <w:rPr>
            <w:rStyle w:val="TextoNormalCaracter"/>
          </w:rPr>
          <w:t>85/1985</w:t>
        </w:r>
      </w:hyperlink>
      <w:r w:rsidRPr="00506787">
        <w:rPr>
          <w:rStyle w:val="TextoNormalCaracter"/>
        </w:rPr>
        <w:t xml:space="preserve">; </w:t>
      </w:r>
      <w:hyperlink w:anchor="AUTO_1985_88" w:history="1">
        <w:r w:rsidRPr="00506787">
          <w:rPr>
            <w:rStyle w:val="TextoNormalCaracter"/>
          </w:rPr>
          <w:t>88/1985</w:t>
        </w:r>
      </w:hyperlink>
      <w:r w:rsidRPr="00506787">
        <w:rPr>
          <w:rStyle w:val="TextoNormalCaracter"/>
        </w:rPr>
        <w:t xml:space="preserve">; </w:t>
      </w:r>
      <w:hyperlink w:anchor="AUTO_1985_93" w:history="1">
        <w:r w:rsidRPr="00506787">
          <w:rPr>
            <w:rStyle w:val="TextoNormalCaracter"/>
          </w:rPr>
          <w:t>93/1985</w:t>
        </w:r>
      </w:hyperlink>
      <w:r w:rsidRPr="00506787">
        <w:rPr>
          <w:rStyle w:val="TextoNormalCaracter"/>
        </w:rPr>
        <w:t xml:space="preserve">; </w:t>
      </w:r>
      <w:hyperlink w:anchor="AUTO_1985_95" w:history="1">
        <w:r w:rsidRPr="00506787">
          <w:rPr>
            <w:rStyle w:val="TextoNormalCaracter"/>
          </w:rPr>
          <w:t>95/1985</w:t>
        </w:r>
      </w:hyperlink>
      <w:r w:rsidRPr="00506787">
        <w:rPr>
          <w:rStyle w:val="TextoNormalCaracter"/>
        </w:rPr>
        <w:t xml:space="preserve">; </w:t>
      </w:r>
      <w:hyperlink w:anchor="AUTO_1985_105" w:history="1">
        <w:r w:rsidRPr="00506787">
          <w:rPr>
            <w:rStyle w:val="TextoNormalCaracter"/>
          </w:rPr>
          <w:t>105/1985</w:t>
        </w:r>
      </w:hyperlink>
      <w:r w:rsidRPr="00506787">
        <w:rPr>
          <w:rStyle w:val="TextoNormalCaracter"/>
        </w:rPr>
        <w:t xml:space="preserve">; </w:t>
      </w:r>
      <w:hyperlink w:anchor="AUTO_1985_133" w:history="1">
        <w:r w:rsidRPr="00506787">
          <w:rPr>
            <w:rStyle w:val="TextoNormalCaracter"/>
          </w:rPr>
          <w:t>133/1985</w:t>
        </w:r>
      </w:hyperlink>
      <w:r w:rsidRPr="00506787">
        <w:rPr>
          <w:rStyle w:val="TextoNormalCaracter"/>
        </w:rPr>
        <w:t xml:space="preserve">; </w:t>
      </w:r>
      <w:hyperlink w:anchor="AUTO_1985_142" w:history="1">
        <w:r w:rsidRPr="00506787">
          <w:rPr>
            <w:rStyle w:val="TextoNormalCaracter"/>
          </w:rPr>
          <w:t>142/1985</w:t>
        </w:r>
      </w:hyperlink>
      <w:r w:rsidRPr="00506787">
        <w:rPr>
          <w:rStyle w:val="TextoNormalCaracter"/>
        </w:rPr>
        <w:t xml:space="preserve">; </w:t>
      </w:r>
      <w:hyperlink w:anchor="AUTO_1985_143" w:history="1">
        <w:r w:rsidRPr="00506787">
          <w:rPr>
            <w:rStyle w:val="TextoNormalCaracter"/>
          </w:rPr>
          <w:t>143/1985</w:t>
        </w:r>
      </w:hyperlink>
      <w:r w:rsidRPr="00506787">
        <w:rPr>
          <w:rStyle w:val="TextoNormalCaracter"/>
        </w:rPr>
        <w:t xml:space="preserve">; </w:t>
      </w:r>
      <w:hyperlink w:anchor="AUTO_1985_144" w:history="1">
        <w:r w:rsidRPr="00506787">
          <w:rPr>
            <w:rStyle w:val="TextoNormalCaracter"/>
          </w:rPr>
          <w:t>144/1985</w:t>
        </w:r>
      </w:hyperlink>
      <w:r w:rsidRPr="00506787">
        <w:rPr>
          <w:rStyle w:val="TextoNormalCaracter"/>
        </w:rPr>
        <w:t xml:space="preserve">; </w:t>
      </w:r>
      <w:hyperlink w:anchor="AUTO_1985_145" w:history="1">
        <w:r w:rsidRPr="00506787">
          <w:rPr>
            <w:rStyle w:val="TextoNormalCaracter"/>
          </w:rPr>
          <w:t>145/1985</w:t>
        </w:r>
      </w:hyperlink>
      <w:r w:rsidRPr="00506787">
        <w:rPr>
          <w:rStyle w:val="TextoNormalCaracter"/>
        </w:rPr>
        <w:t xml:space="preserve">; </w:t>
      </w:r>
      <w:hyperlink w:anchor="AUTO_1985_161" w:history="1">
        <w:r w:rsidRPr="00506787">
          <w:rPr>
            <w:rStyle w:val="TextoNormalCaracter"/>
          </w:rPr>
          <w:t>161/1985</w:t>
        </w:r>
      </w:hyperlink>
      <w:r w:rsidRPr="00506787">
        <w:rPr>
          <w:rStyle w:val="TextoNormalCaracter"/>
        </w:rPr>
        <w:t xml:space="preserve">; </w:t>
      </w:r>
      <w:hyperlink w:anchor="AUTO_1985_170" w:history="1">
        <w:r w:rsidRPr="00506787">
          <w:rPr>
            <w:rStyle w:val="TextoNormalCaracter"/>
          </w:rPr>
          <w:t>170/1985</w:t>
        </w:r>
      </w:hyperlink>
      <w:r w:rsidRPr="00506787">
        <w:rPr>
          <w:rStyle w:val="TextoNormalCaracter"/>
        </w:rPr>
        <w:t xml:space="preserve">; </w:t>
      </w:r>
      <w:hyperlink w:anchor="AUTO_1985_177" w:history="1">
        <w:r w:rsidRPr="00506787">
          <w:rPr>
            <w:rStyle w:val="TextoNormalCaracter"/>
          </w:rPr>
          <w:t>177/1985</w:t>
        </w:r>
      </w:hyperlink>
      <w:r w:rsidRPr="00506787">
        <w:rPr>
          <w:rStyle w:val="TextoNormalCaracter"/>
        </w:rPr>
        <w:t xml:space="preserve">; </w:t>
      </w:r>
      <w:hyperlink w:anchor="AUTO_1985_184" w:history="1">
        <w:r w:rsidRPr="00506787">
          <w:rPr>
            <w:rStyle w:val="TextoNormalCaracter"/>
          </w:rPr>
          <w:t>184/1985</w:t>
        </w:r>
      </w:hyperlink>
      <w:r w:rsidRPr="00506787">
        <w:rPr>
          <w:rStyle w:val="TextoNormalCaracter"/>
        </w:rPr>
        <w:t xml:space="preserve">; </w:t>
      </w:r>
      <w:hyperlink w:anchor="AUTO_1985_192" w:history="1">
        <w:r w:rsidRPr="00506787">
          <w:rPr>
            <w:rStyle w:val="TextoNormalCaracter"/>
          </w:rPr>
          <w:t>192/1985</w:t>
        </w:r>
      </w:hyperlink>
      <w:r w:rsidRPr="00506787">
        <w:rPr>
          <w:rStyle w:val="TextoNormalCaracter"/>
        </w:rPr>
        <w:t xml:space="preserve">; </w:t>
      </w:r>
      <w:hyperlink w:anchor="AUTO_1985_193" w:history="1">
        <w:r w:rsidRPr="00506787">
          <w:rPr>
            <w:rStyle w:val="TextoNormalCaracter"/>
          </w:rPr>
          <w:t>193/1985</w:t>
        </w:r>
      </w:hyperlink>
      <w:r w:rsidRPr="00506787">
        <w:rPr>
          <w:rStyle w:val="TextoNormalCaracter"/>
        </w:rPr>
        <w:t xml:space="preserve">; </w:t>
      </w:r>
      <w:hyperlink w:anchor="AUTO_1985_196" w:history="1">
        <w:r w:rsidRPr="00506787">
          <w:rPr>
            <w:rStyle w:val="TextoNormalCaracter"/>
          </w:rPr>
          <w:t>196/1985</w:t>
        </w:r>
      </w:hyperlink>
      <w:r w:rsidRPr="00506787">
        <w:rPr>
          <w:rStyle w:val="TextoNormalCaracter"/>
        </w:rPr>
        <w:t xml:space="preserve">; </w:t>
      </w:r>
      <w:hyperlink w:anchor="AUTO_1985_240" w:history="1">
        <w:r w:rsidRPr="00506787">
          <w:rPr>
            <w:rStyle w:val="TextoNormalCaracter"/>
          </w:rPr>
          <w:t>240/1985</w:t>
        </w:r>
      </w:hyperlink>
      <w:r w:rsidRPr="00506787">
        <w:rPr>
          <w:rStyle w:val="TextoNormalCaracter"/>
        </w:rPr>
        <w:t xml:space="preserve">; </w:t>
      </w:r>
      <w:hyperlink w:anchor="AUTO_1985_242" w:history="1">
        <w:r w:rsidRPr="00506787">
          <w:rPr>
            <w:rStyle w:val="TextoNormalCaracter"/>
          </w:rPr>
          <w:t>242/1985</w:t>
        </w:r>
      </w:hyperlink>
      <w:r w:rsidRPr="00506787">
        <w:rPr>
          <w:rStyle w:val="TextoNormalCaracter"/>
        </w:rPr>
        <w:t xml:space="preserve">; </w:t>
      </w:r>
      <w:hyperlink w:anchor="AUTO_1985_247" w:history="1">
        <w:r w:rsidRPr="00506787">
          <w:rPr>
            <w:rStyle w:val="TextoNormalCaracter"/>
          </w:rPr>
          <w:t>247/1985</w:t>
        </w:r>
      </w:hyperlink>
      <w:r w:rsidRPr="00506787">
        <w:rPr>
          <w:rStyle w:val="TextoNormalCaracter"/>
        </w:rPr>
        <w:t xml:space="preserve">; </w:t>
      </w:r>
      <w:hyperlink w:anchor="AUTO_1985_268" w:history="1">
        <w:r w:rsidRPr="00506787">
          <w:rPr>
            <w:rStyle w:val="TextoNormalCaracter"/>
          </w:rPr>
          <w:t>268/1985</w:t>
        </w:r>
      </w:hyperlink>
      <w:r w:rsidRPr="00506787">
        <w:rPr>
          <w:rStyle w:val="TextoNormalCaracter"/>
        </w:rPr>
        <w:t xml:space="preserve">; </w:t>
      </w:r>
      <w:hyperlink w:anchor="AUTO_1985_271" w:history="1">
        <w:r w:rsidRPr="00506787">
          <w:rPr>
            <w:rStyle w:val="TextoNormalCaracter"/>
          </w:rPr>
          <w:t>271/1985</w:t>
        </w:r>
      </w:hyperlink>
      <w:r w:rsidRPr="00506787">
        <w:rPr>
          <w:rStyle w:val="TextoNormalCaracter"/>
        </w:rPr>
        <w:t xml:space="preserve">; </w:t>
      </w:r>
      <w:hyperlink w:anchor="AUTO_1985_272" w:history="1">
        <w:r w:rsidRPr="00506787">
          <w:rPr>
            <w:rStyle w:val="TextoNormalCaracter"/>
          </w:rPr>
          <w:t>272/1985</w:t>
        </w:r>
      </w:hyperlink>
      <w:r w:rsidRPr="00506787">
        <w:rPr>
          <w:rStyle w:val="TextoNormalCaracter"/>
        </w:rPr>
        <w:t>.</w:t>
      </w:r>
    </w:p>
    <w:p w:rsidR="00506787" w:rsidRPr="00506787" w:rsidRDefault="00506787" w:rsidP="00506787">
      <w:pPr>
        <w:pStyle w:val="TextoNormalSangraFrancesa"/>
        <w:rPr>
          <w:rStyle w:val="TextoNormalCaracter"/>
        </w:rPr>
      </w:pPr>
      <w:bookmarkStart w:id="1198" w:name="DESCRIPTORALFABETICO501"/>
      <w:r w:rsidRPr="00506787">
        <w:rPr>
          <w:rStyle w:val="TextoNormalNegritaCaracter"/>
        </w:rPr>
        <w:t>Falta de legitimación procesal</w:t>
      </w:r>
      <w:bookmarkEnd w:id="1198"/>
      <w:r w:rsidRPr="00506787">
        <w:rPr>
          <w:rStyle w:val="TextoNormalCaracter"/>
        </w:rPr>
        <w:t xml:space="preserve">, Auto </w:t>
      </w:r>
      <w:hyperlink w:anchor="AUTO_1985_6" w:history="1">
        <w:r w:rsidRPr="00506787">
          <w:rPr>
            <w:rStyle w:val="TextoNormalCaracter"/>
          </w:rPr>
          <w:t>6/1985</w:t>
        </w:r>
      </w:hyperlink>
      <w:r w:rsidRPr="00506787">
        <w:rPr>
          <w:rStyle w:val="TextoNormalCaracter"/>
        </w:rPr>
        <w:t>.</w:t>
      </w:r>
    </w:p>
    <w:p w:rsidR="00506787" w:rsidRPr="00506787" w:rsidRDefault="00506787" w:rsidP="00506787">
      <w:pPr>
        <w:pStyle w:val="TextoNormalSangraFrancesa"/>
        <w:rPr>
          <w:rStyle w:val="TextoNormalCaracter"/>
        </w:rPr>
      </w:pPr>
      <w:bookmarkStart w:id="1199" w:name="DESCRIPTORALFABETICO443"/>
      <w:r w:rsidRPr="00506787">
        <w:rPr>
          <w:rStyle w:val="TextoNormalNegritaCaracter"/>
        </w:rPr>
        <w:t>Falta de notificación</w:t>
      </w:r>
      <w:bookmarkEnd w:id="1199"/>
      <w:r w:rsidRPr="00506787">
        <w:rPr>
          <w:rStyle w:val="TextoNormalCaracter"/>
        </w:rPr>
        <w:t xml:space="preserve">, Auto </w:t>
      </w:r>
      <w:hyperlink w:anchor="AUTO_1985_52" w:history="1">
        <w:r w:rsidRPr="00506787">
          <w:rPr>
            <w:rStyle w:val="TextoNormalCaracter"/>
          </w:rPr>
          <w:t>52/1985</w:t>
        </w:r>
      </w:hyperlink>
      <w:r w:rsidRPr="00506787">
        <w:rPr>
          <w:rStyle w:val="TextoNormalCaracter"/>
        </w:rPr>
        <w:t>.</w:t>
      </w:r>
    </w:p>
    <w:p w:rsidR="00506787" w:rsidRPr="00506787" w:rsidRDefault="00506787" w:rsidP="00506787">
      <w:pPr>
        <w:pStyle w:val="TextoNormalSangraFrancesa"/>
        <w:rPr>
          <w:rStyle w:val="TextoNormalCaracter"/>
        </w:rPr>
      </w:pPr>
      <w:bookmarkStart w:id="1200" w:name="DESCRIPTORALFABETICO476"/>
      <w:r w:rsidRPr="00506787">
        <w:rPr>
          <w:rStyle w:val="TextoNormalNegritaCaracter"/>
        </w:rPr>
        <w:t>Falta de prueba</w:t>
      </w:r>
      <w:bookmarkEnd w:id="1200"/>
      <w:r w:rsidRPr="00506787">
        <w:rPr>
          <w:rStyle w:val="TextoNormalCaracter"/>
        </w:rPr>
        <w:t xml:space="preserve">, Sentencia </w:t>
      </w:r>
      <w:hyperlink w:anchor="SENTENCIA_1985_37" w:history="1">
        <w:r w:rsidRPr="00506787">
          <w:rPr>
            <w:rStyle w:val="TextoNormalCaracter"/>
          </w:rPr>
          <w:t>37/1985</w:t>
        </w:r>
      </w:hyperlink>
      <w:r w:rsidRPr="00506787">
        <w:rPr>
          <w:rStyle w:val="TextoNormalCaracter"/>
        </w:rPr>
        <w:t>, f. 2.</w:t>
      </w:r>
    </w:p>
    <w:p w:rsidR="00506787" w:rsidRPr="00506787" w:rsidRDefault="00506787" w:rsidP="00506787">
      <w:pPr>
        <w:pStyle w:val="TextoNormalSangraFrancesa"/>
        <w:rPr>
          <w:rStyle w:val="TextoNormalCaracter"/>
        </w:rPr>
      </w:pPr>
      <w:bookmarkStart w:id="1201" w:name="DESCRIPTORALFABETICO176"/>
      <w:r w:rsidRPr="00506787">
        <w:rPr>
          <w:rStyle w:val="TextoNormalNegritaCaracter"/>
        </w:rPr>
        <w:t>Falta de requisitos procesales de la demanda de amparo</w:t>
      </w:r>
      <w:bookmarkEnd w:id="1201"/>
      <w:r w:rsidRPr="00506787">
        <w:rPr>
          <w:rStyle w:val="TextoNormalCaracter"/>
        </w:rPr>
        <w:t xml:space="preserve">, Autos </w:t>
      </w:r>
      <w:hyperlink w:anchor="AUTO_1985_10" w:history="1">
        <w:r w:rsidRPr="00506787">
          <w:rPr>
            <w:rStyle w:val="TextoNormalCaracter"/>
          </w:rPr>
          <w:t>10/1985</w:t>
        </w:r>
      </w:hyperlink>
      <w:r w:rsidRPr="00506787">
        <w:rPr>
          <w:rStyle w:val="TextoNormalCaracter"/>
        </w:rPr>
        <w:t xml:space="preserve">; </w:t>
      </w:r>
      <w:hyperlink w:anchor="AUTO_1985_14" w:history="1">
        <w:r w:rsidRPr="00506787">
          <w:rPr>
            <w:rStyle w:val="TextoNormalCaracter"/>
          </w:rPr>
          <w:t>14/1985</w:t>
        </w:r>
      </w:hyperlink>
      <w:r w:rsidRPr="00506787">
        <w:rPr>
          <w:rStyle w:val="TextoNormalCaracter"/>
        </w:rPr>
        <w:t xml:space="preserve">; </w:t>
      </w:r>
      <w:hyperlink w:anchor="AUTO_1985_101" w:history="1">
        <w:r w:rsidRPr="00506787">
          <w:rPr>
            <w:rStyle w:val="TextoNormalCaracter"/>
          </w:rPr>
          <w:t>101/1985</w:t>
        </w:r>
      </w:hyperlink>
      <w:r w:rsidRPr="00506787">
        <w:rPr>
          <w:rStyle w:val="TextoNormalCaracter"/>
        </w:rPr>
        <w:t xml:space="preserve">; </w:t>
      </w:r>
      <w:hyperlink w:anchor="AUTO_1985_112" w:history="1">
        <w:r w:rsidRPr="00506787">
          <w:rPr>
            <w:rStyle w:val="TextoNormalCaracter"/>
          </w:rPr>
          <w:t>112/1985</w:t>
        </w:r>
      </w:hyperlink>
      <w:r w:rsidRPr="00506787">
        <w:rPr>
          <w:rStyle w:val="TextoNormalCaracter"/>
        </w:rPr>
        <w:t xml:space="preserve">; </w:t>
      </w:r>
      <w:hyperlink w:anchor="AUTO_1985_213" w:history="1">
        <w:r w:rsidRPr="00506787">
          <w:rPr>
            <w:rStyle w:val="TextoNormalCaracter"/>
          </w:rPr>
          <w:t>213/1985</w:t>
        </w:r>
      </w:hyperlink>
      <w:r w:rsidRPr="00506787">
        <w:rPr>
          <w:rStyle w:val="TextoNormalCaracter"/>
        </w:rPr>
        <w:t xml:space="preserve">; </w:t>
      </w:r>
      <w:hyperlink w:anchor="AUTO_1985_260" w:history="1">
        <w:r w:rsidRPr="00506787">
          <w:rPr>
            <w:rStyle w:val="TextoNormalCaracter"/>
          </w:rPr>
          <w:t>260/1985</w:t>
        </w:r>
      </w:hyperlink>
      <w:r w:rsidRPr="00506787">
        <w:rPr>
          <w:rStyle w:val="TextoNormalCaracter"/>
        </w:rPr>
        <w:t xml:space="preserve">; </w:t>
      </w:r>
      <w:hyperlink w:anchor="AUTO_1985_262" w:history="1">
        <w:r w:rsidRPr="00506787">
          <w:rPr>
            <w:rStyle w:val="TextoNormalCaracter"/>
          </w:rPr>
          <w:t>262/1985</w:t>
        </w:r>
      </w:hyperlink>
      <w:r w:rsidRPr="00506787">
        <w:rPr>
          <w:rStyle w:val="TextoNormalCaracter"/>
        </w:rPr>
        <w:t xml:space="preserve">; </w:t>
      </w:r>
      <w:hyperlink w:anchor="AUTO_1985_274" w:history="1">
        <w:r w:rsidRPr="00506787">
          <w:rPr>
            <w:rStyle w:val="TextoNormalCaracter"/>
          </w:rPr>
          <w:t>274/1985</w:t>
        </w:r>
      </w:hyperlink>
      <w:r w:rsidRPr="00506787">
        <w:rPr>
          <w:rStyle w:val="TextoNormalCaracter"/>
        </w:rPr>
        <w:t>.</w:t>
      </w:r>
    </w:p>
    <w:p w:rsidR="00506787" w:rsidRPr="00506787" w:rsidRDefault="00506787" w:rsidP="00506787">
      <w:pPr>
        <w:pStyle w:val="TextoNormalSangraFrancesa"/>
        <w:rPr>
          <w:rStyle w:val="TextoNormalCaracter"/>
        </w:rPr>
      </w:pPr>
      <w:bookmarkStart w:id="1202" w:name="DESCRIPTORALFABETICO178"/>
      <w:r w:rsidRPr="00506787">
        <w:rPr>
          <w:rStyle w:val="TextoNormalNegritaCaracter"/>
        </w:rPr>
        <w:t>Falta de subsanación de defectos de la demanda de amparo</w:t>
      </w:r>
      <w:bookmarkEnd w:id="1202"/>
      <w:r w:rsidRPr="00506787">
        <w:rPr>
          <w:rStyle w:val="TextoNormalCaracter"/>
        </w:rPr>
        <w:t xml:space="preserve">, Autos </w:t>
      </w:r>
      <w:hyperlink w:anchor="AUTO_1985_48" w:history="1">
        <w:r w:rsidRPr="00506787">
          <w:rPr>
            <w:rStyle w:val="TextoNormalCaracter"/>
          </w:rPr>
          <w:t>48/1985</w:t>
        </w:r>
      </w:hyperlink>
      <w:r w:rsidRPr="00506787">
        <w:rPr>
          <w:rStyle w:val="TextoNormalCaracter"/>
        </w:rPr>
        <w:t xml:space="preserve">; </w:t>
      </w:r>
      <w:hyperlink w:anchor="AUTO_1985_72" w:history="1">
        <w:r w:rsidRPr="00506787">
          <w:rPr>
            <w:rStyle w:val="TextoNormalCaracter"/>
          </w:rPr>
          <w:t>72/1985</w:t>
        </w:r>
      </w:hyperlink>
      <w:r w:rsidRPr="00506787">
        <w:rPr>
          <w:rStyle w:val="TextoNormalCaracter"/>
        </w:rPr>
        <w:t xml:space="preserve">; </w:t>
      </w:r>
      <w:hyperlink w:anchor="AUTO_1985_102" w:history="1">
        <w:r w:rsidRPr="00506787">
          <w:rPr>
            <w:rStyle w:val="TextoNormalCaracter"/>
          </w:rPr>
          <w:t>102/1985</w:t>
        </w:r>
      </w:hyperlink>
      <w:r w:rsidRPr="00506787">
        <w:rPr>
          <w:rStyle w:val="TextoNormalCaracter"/>
        </w:rPr>
        <w:t xml:space="preserve">; </w:t>
      </w:r>
      <w:hyperlink w:anchor="AUTO_1985_210" w:history="1">
        <w:r w:rsidRPr="00506787">
          <w:rPr>
            <w:rStyle w:val="TextoNormalCaracter"/>
          </w:rPr>
          <w:t>210/1985</w:t>
        </w:r>
      </w:hyperlink>
      <w:r w:rsidRPr="00506787">
        <w:rPr>
          <w:rStyle w:val="TextoNormalCaracter"/>
        </w:rPr>
        <w:t xml:space="preserve">; </w:t>
      </w:r>
      <w:hyperlink w:anchor="AUTO_1985_220" w:history="1">
        <w:r w:rsidRPr="00506787">
          <w:rPr>
            <w:rStyle w:val="TextoNormalCaracter"/>
          </w:rPr>
          <w:t>220/1985</w:t>
        </w:r>
      </w:hyperlink>
      <w:r w:rsidRPr="00506787">
        <w:rPr>
          <w:rStyle w:val="TextoNormalCaracter"/>
        </w:rPr>
        <w:t xml:space="preserve">; </w:t>
      </w:r>
      <w:hyperlink w:anchor="AUTO_1985_244" w:history="1">
        <w:r w:rsidRPr="00506787">
          <w:rPr>
            <w:rStyle w:val="TextoNormalCaracter"/>
          </w:rPr>
          <w:t>244/1985</w:t>
        </w:r>
      </w:hyperlink>
      <w:r w:rsidRPr="00506787">
        <w:rPr>
          <w:rStyle w:val="TextoNormalCaracter"/>
        </w:rPr>
        <w:t xml:space="preserve">; </w:t>
      </w:r>
      <w:hyperlink w:anchor="AUTO_1985_274" w:history="1">
        <w:r w:rsidRPr="00506787">
          <w:rPr>
            <w:rStyle w:val="TextoNormalCaracter"/>
          </w:rPr>
          <w:t>274/1985</w:t>
        </w:r>
      </w:hyperlink>
      <w:r w:rsidRPr="00506787">
        <w:rPr>
          <w:rStyle w:val="TextoNormalCaracter"/>
        </w:rPr>
        <w:t xml:space="preserve">; </w:t>
      </w:r>
      <w:hyperlink w:anchor="AUTO_1985_276" w:history="1">
        <w:r w:rsidRPr="00506787">
          <w:rPr>
            <w:rStyle w:val="TextoNormalCaracter"/>
          </w:rPr>
          <w:t>276/1985</w:t>
        </w:r>
      </w:hyperlink>
      <w:r w:rsidRPr="00506787">
        <w:rPr>
          <w:rStyle w:val="TextoNormalCaracter"/>
        </w:rPr>
        <w:t>.</w:t>
      </w:r>
    </w:p>
    <w:p w:rsidR="00506787" w:rsidRPr="00506787" w:rsidRDefault="00506787" w:rsidP="00506787">
      <w:pPr>
        <w:pStyle w:val="TextoNormalSangraFrancesa"/>
        <w:rPr>
          <w:rStyle w:val="TextoNormalCaracter"/>
        </w:rPr>
      </w:pPr>
      <w:bookmarkStart w:id="1203" w:name="DESCRIPTORALFABETICO565"/>
      <w:r w:rsidRPr="00506787">
        <w:rPr>
          <w:rStyle w:val="TextoNormalNegritaCaracter"/>
        </w:rPr>
        <w:t>Fases de la extradición</w:t>
      </w:r>
      <w:bookmarkEnd w:id="1203"/>
      <w:r w:rsidRPr="00506787">
        <w:rPr>
          <w:rStyle w:val="TextoNormalCaracter"/>
        </w:rPr>
        <w:t xml:space="preserve">, Sentencia </w:t>
      </w:r>
      <w:hyperlink w:anchor="SENTENCIA_1985_11" w:history="1">
        <w:r w:rsidRPr="00506787">
          <w:rPr>
            <w:rStyle w:val="TextoNormalCaracter"/>
          </w:rPr>
          <w:t>11/1985</w:t>
        </w:r>
      </w:hyperlink>
      <w:r w:rsidRPr="00506787">
        <w:rPr>
          <w:rStyle w:val="TextoNormalCaracter"/>
        </w:rPr>
        <w:t>, f. 1.</w:t>
      </w:r>
    </w:p>
    <w:p w:rsidR="00506787" w:rsidRPr="00506787" w:rsidRDefault="00506787" w:rsidP="00506787">
      <w:pPr>
        <w:pStyle w:val="TextoNormalSangraFrancesa"/>
        <w:rPr>
          <w:rStyle w:val="TextoNormalCaracter"/>
        </w:rPr>
      </w:pPr>
      <w:bookmarkStart w:id="1204" w:name="DESCRIPTORALFABETICO384"/>
      <w:r w:rsidRPr="00506787">
        <w:rPr>
          <w:rStyle w:val="TextoNormalNegritaCaracter"/>
        </w:rPr>
        <w:t>Fiestas autonómicas</w:t>
      </w:r>
      <w:bookmarkEnd w:id="1204"/>
      <w:r w:rsidRPr="00506787">
        <w:rPr>
          <w:rStyle w:val="TextoNormalCaracter"/>
        </w:rPr>
        <w:t xml:space="preserve">, Sentencia </w:t>
      </w:r>
      <w:hyperlink w:anchor="SENTENCIA_1985_7" w:history="1">
        <w:r w:rsidRPr="00506787">
          <w:rPr>
            <w:rStyle w:val="TextoNormalCaracter"/>
          </w:rPr>
          <w:t>7/1985</w:t>
        </w:r>
      </w:hyperlink>
      <w:r w:rsidRPr="00506787">
        <w:rPr>
          <w:rStyle w:val="TextoNormalCaracter"/>
        </w:rPr>
        <w:t>, f. 5.</w:t>
      </w:r>
    </w:p>
    <w:p w:rsidR="00506787" w:rsidRPr="00506787" w:rsidRDefault="00506787" w:rsidP="00506787">
      <w:pPr>
        <w:pStyle w:val="TextoNormalSangraFrancesa"/>
        <w:rPr>
          <w:rStyle w:val="TextoNormalCaracter"/>
        </w:rPr>
      </w:pPr>
      <w:bookmarkStart w:id="1205" w:name="DESCRIPTORALFABETICO383"/>
      <w:r w:rsidRPr="00506787">
        <w:rPr>
          <w:rStyle w:val="TextoNormalNegritaCaracter"/>
        </w:rPr>
        <w:t>Fiestas laborales</w:t>
      </w:r>
      <w:bookmarkEnd w:id="1205"/>
      <w:r w:rsidRPr="00506787">
        <w:rPr>
          <w:rStyle w:val="TextoNormalCaracter"/>
        </w:rPr>
        <w:t xml:space="preserve">, Sentencia </w:t>
      </w:r>
      <w:hyperlink w:anchor="SENTENCIA_1985_7" w:history="1">
        <w:r w:rsidRPr="00506787">
          <w:rPr>
            <w:rStyle w:val="TextoNormalCaracter"/>
          </w:rPr>
          <w:t>7/1985</w:t>
        </w:r>
      </w:hyperlink>
      <w:r w:rsidRPr="00506787">
        <w:rPr>
          <w:rStyle w:val="TextoNormalCaracter"/>
        </w:rPr>
        <w:t>, ff. 1, 2, 3, 4, 5, 6, 7, 8, 9.</w:t>
      </w:r>
    </w:p>
    <w:p w:rsidR="00506787" w:rsidRPr="00506787" w:rsidRDefault="00506787" w:rsidP="00506787">
      <w:pPr>
        <w:pStyle w:val="TextoNormalSangraFrancesa"/>
        <w:rPr>
          <w:rStyle w:val="TextoNormalCaracter"/>
        </w:rPr>
      </w:pPr>
      <w:bookmarkStart w:id="1206" w:name="DESCRIPTORALFABETICO294"/>
      <w:r w:rsidRPr="00506787">
        <w:rPr>
          <w:rStyle w:val="TextoNormalNegritaCaracter"/>
        </w:rPr>
        <w:t>Formación profesional</w:t>
      </w:r>
      <w:bookmarkEnd w:id="1206"/>
      <w:r w:rsidRPr="00506787">
        <w:rPr>
          <w:rStyle w:val="TextoNormalCaracter"/>
        </w:rPr>
        <w:t xml:space="preserve">, Sentencia </w:t>
      </w:r>
      <w:hyperlink w:anchor="SENTENCIA_1985_48" w:history="1">
        <w:r w:rsidRPr="00506787">
          <w:rPr>
            <w:rStyle w:val="TextoNormalCaracter"/>
          </w:rPr>
          <w:t>48/1985</w:t>
        </w:r>
      </w:hyperlink>
      <w:r w:rsidRPr="00506787">
        <w:rPr>
          <w:rStyle w:val="TextoNormalCaracter"/>
        </w:rPr>
        <w:t>, f. 5.</w:t>
      </w:r>
    </w:p>
    <w:p w:rsidR="00506787" w:rsidRPr="00506787" w:rsidRDefault="00506787" w:rsidP="00506787">
      <w:pPr>
        <w:pStyle w:val="TextoNormalSangraFrancesa"/>
        <w:rPr>
          <w:rStyle w:val="TextoNormalCaracter"/>
        </w:rPr>
      </w:pPr>
      <w:bookmarkStart w:id="1207" w:name="DESCRIPTORALFABETICO328"/>
      <w:r w:rsidRPr="00506787">
        <w:rPr>
          <w:rStyle w:val="TextoNormalNegritaCaracter"/>
        </w:rPr>
        <w:t>Fuentes del Derecho</w:t>
      </w:r>
      <w:bookmarkEnd w:id="1207"/>
      <w:r w:rsidRPr="00506787">
        <w:rPr>
          <w:rStyle w:val="TextoNormalCaracter"/>
        </w:rPr>
        <w:t xml:space="preserve">, Sentencia </w:t>
      </w:r>
      <w:hyperlink w:anchor="SENTENCIA_1985_58" w:history="1">
        <w:r w:rsidRPr="00506787">
          <w:rPr>
            <w:rStyle w:val="TextoNormalCaracter"/>
          </w:rPr>
          <w:t>58/1985</w:t>
        </w:r>
      </w:hyperlink>
      <w:r w:rsidRPr="00506787">
        <w:rPr>
          <w:rStyle w:val="TextoNormalCaracter"/>
        </w:rPr>
        <w:t>, f. 3.</w:t>
      </w:r>
    </w:p>
    <w:p w:rsidR="00506787" w:rsidRPr="00506787" w:rsidRDefault="00506787" w:rsidP="00506787">
      <w:pPr>
        <w:pStyle w:val="TextoNormalSangraFrancesa"/>
        <w:rPr>
          <w:rStyle w:val="TextoNormalCaracter"/>
        </w:rPr>
      </w:pPr>
      <w:bookmarkStart w:id="1208" w:name="DESCRIPTORALFABETICO314"/>
      <w:r w:rsidRPr="00506787">
        <w:rPr>
          <w:rStyle w:val="TextoNormalNegritaCaracter"/>
        </w:rPr>
        <w:t>Fuerzas y cuerpos de seguridad</w:t>
      </w:r>
      <w:bookmarkEnd w:id="1208"/>
      <w:r w:rsidRPr="00506787">
        <w:rPr>
          <w:rStyle w:val="TextoNormalCaracter"/>
        </w:rPr>
        <w:t xml:space="preserve">, Sentencia </w:t>
      </w:r>
      <w:hyperlink w:anchor="SENTENCIA_1985_31" w:history="1">
        <w:r w:rsidRPr="00506787">
          <w:rPr>
            <w:rStyle w:val="TextoNormalCaracter"/>
          </w:rPr>
          <w:t>31/1985</w:t>
        </w:r>
      </w:hyperlink>
      <w:r w:rsidRPr="00506787">
        <w:rPr>
          <w:rStyle w:val="TextoNormalCaracter"/>
        </w:rPr>
        <w:t>, f. 5.</w:t>
      </w:r>
    </w:p>
    <w:p w:rsidR="00506787" w:rsidRPr="00506787" w:rsidRDefault="00506787" w:rsidP="00506787">
      <w:pPr>
        <w:pStyle w:val="TextoNormalSangraFrancesa"/>
        <w:rPr>
          <w:rStyle w:val="TextoNormalCaracter"/>
        </w:rPr>
      </w:pPr>
      <w:bookmarkStart w:id="1209" w:name="DESCRIPTORALFABETICO380"/>
      <w:r w:rsidRPr="00506787">
        <w:rPr>
          <w:rStyle w:val="TextoNormalNegritaCaracter"/>
        </w:rPr>
        <w:t>Función de los sindicatos</w:t>
      </w:r>
      <w:bookmarkEnd w:id="1209"/>
      <w:r w:rsidRPr="00506787">
        <w:rPr>
          <w:rStyle w:val="TextoNormalCaracter"/>
        </w:rPr>
        <w:t xml:space="preserve">, Sentencia </w:t>
      </w:r>
      <w:hyperlink w:anchor="SENTENCIA_1985_20" w:history="1">
        <w:r w:rsidRPr="00506787">
          <w:rPr>
            <w:rStyle w:val="TextoNormalCaracter"/>
          </w:rPr>
          <w:t>20/1985</w:t>
        </w:r>
      </w:hyperlink>
      <w:r w:rsidRPr="00506787">
        <w:rPr>
          <w:rStyle w:val="TextoNormalCaracter"/>
        </w:rPr>
        <w:t>, f. 3.</w:t>
      </w:r>
    </w:p>
    <w:p w:rsidR="00506787" w:rsidRPr="00506787" w:rsidRDefault="00506787" w:rsidP="00506787">
      <w:pPr>
        <w:pStyle w:val="TextoNormalSangraFrancesa"/>
        <w:rPr>
          <w:rStyle w:val="TextoNormalCaracter"/>
        </w:rPr>
      </w:pPr>
      <w:bookmarkStart w:id="1210" w:name="DESCRIPTORALFABETICO316"/>
      <w:r w:rsidRPr="00506787">
        <w:rPr>
          <w:rStyle w:val="TextoNormalNegritaCaracter"/>
        </w:rPr>
        <w:t>Funcionarios públicos</w:t>
      </w:r>
      <w:bookmarkEnd w:id="1210"/>
      <w:r w:rsidRPr="00506787">
        <w:rPr>
          <w:rStyle w:val="TextoNormalCaracter"/>
        </w:rPr>
        <w:t xml:space="preserve">, Sentencia </w:t>
      </w:r>
      <w:hyperlink w:anchor="SENTENCIA_1985_48" w:history="1">
        <w:r w:rsidRPr="00506787">
          <w:rPr>
            <w:rStyle w:val="TextoNormalCaracter"/>
          </w:rPr>
          <w:t>48/1985</w:t>
        </w:r>
      </w:hyperlink>
      <w:r w:rsidRPr="00506787">
        <w:rPr>
          <w:rStyle w:val="TextoNormalCaracter"/>
        </w:rPr>
        <w:t>, ff. 1, 2, 3, 4, 5, 6, 7.</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G</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NegritaCaracter"/>
        </w:rPr>
      </w:pPr>
      <w:r w:rsidRPr="00506787">
        <w:rPr>
          <w:rStyle w:val="TextoNormalCursivaCaracter"/>
        </w:rPr>
        <w:t>Garantía indemnizatoria</w:t>
      </w:r>
      <w:r>
        <w:t xml:space="preserve"> véase </w:t>
      </w:r>
      <w:hyperlink w:anchor="DESCRIPTORALFABETICO367" w:history="1">
        <w:r w:rsidRPr="00506787">
          <w:rPr>
            <w:rStyle w:val="TextoNormalNegritaCaracter"/>
          </w:rPr>
          <w:t>Indemnización</w:t>
        </w:r>
      </w:hyperlink>
    </w:p>
    <w:p w:rsidR="00506787" w:rsidRPr="00506787" w:rsidRDefault="00506787" w:rsidP="00506787">
      <w:pPr>
        <w:pStyle w:val="TextoNormalSangraFrancesa"/>
        <w:rPr>
          <w:rStyle w:val="TextoNormalCaracter"/>
        </w:rPr>
      </w:pPr>
      <w:bookmarkStart w:id="1211" w:name="DESCRIPTORALFABETICO265"/>
      <w:r w:rsidRPr="00506787">
        <w:rPr>
          <w:rStyle w:val="TextoNormalNegritaCaracter"/>
        </w:rPr>
        <w:t>Garantías constitucionales</w:t>
      </w:r>
      <w:bookmarkEnd w:id="1211"/>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12, VP III.</w:t>
      </w:r>
    </w:p>
    <w:p w:rsidR="00506787" w:rsidRPr="00506787" w:rsidRDefault="00506787" w:rsidP="00506787">
      <w:pPr>
        <w:pStyle w:val="TextoNormalSangraFrancesa"/>
        <w:rPr>
          <w:rStyle w:val="TextoNormalCaracter"/>
        </w:rPr>
      </w:pPr>
      <w:bookmarkStart w:id="1212" w:name="DESCRIPTORALFABETICO473"/>
      <w:r w:rsidRPr="00506787">
        <w:rPr>
          <w:rStyle w:val="TextoNormalNegritaCaracter"/>
        </w:rPr>
        <w:t>Garantías en la práctica de prueba</w:t>
      </w:r>
      <w:bookmarkEnd w:id="1212"/>
      <w:r w:rsidRPr="00506787">
        <w:rPr>
          <w:rStyle w:val="TextoNormalCaracter"/>
        </w:rPr>
        <w:t xml:space="preserve">, Auto </w:t>
      </w:r>
      <w:hyperlink w:anchor="AUTO_1985_58" w:history="1">
        <w:r w:rsidRPr="00506787">
          <w:rPr>
            <w:rStyle w:val="TextoNormalCaracter"/>
          </w:rPr>
          <w:t>58/1985</w:t>
        </w:r>
      </w:hyperlink>
      <w:r w:rsidRPr="00506787">
        <w:rPr>
          <w:rStyle w:val="TextoNormalCaracter"/>
        </w:rPr>
        <w:t>.</w:t>
      </w:r>
    </w:p>
    <w:p w:rsidR="00506787" w:rsidRPr="00506787" w:rsidRDefault="00506787" w:rsidP="00506787">
      <w:pPr>
        <w:pStyle w:val="TextoNormalSangraFrancesa"/>
        <w:rPr>
          <w:rStyle w:val="TextoNormalCaracter"/>
        </w:rPr>
      </w:pPr>
      <w:bookmarkStart w:id="1213" w:name="DESCRIPTORALFABETICO563"/>
      <w:r w:rsidRPr="00506787">
        <w:rPr>
          <w:rStyle w:val="TextoNormalNegritaCaracter"/>
        </w:rPr>
        <w:t>Garantías en procedimiento de extradición</w:t>
      </w:r>
      <w:bookmarkEnd w:id="1213"/>
      <w:r w:rsidRPr="00506787">
        <w:rPr>
          <w:rStyle w:val="TextoNormalCaracter"/>
        </w:rPr>
        <w:t xml:space="preserve">, Autos </w:t>
      </w:r>
      <w:hyperlink w:anchor="AUTO_1985_59" w:history="1">
        <w:r w:rsidRPr="00506787">
          <w:rPr>
            <w:rStyle w:val="TextoNormalCaracter"/>
          </w:rPr>
          <w:t>59/1985</w:t>
        </w:r>
      </w:hyperlink>
      <w:r w:rsidRPr="00506787">
        <w:rPr>
          <w:rStyle w:val="TextoNormalCaracter"/>
        </w:rPr>
        <w:t xml:space="preserve">; </w:t>
      </w:r>
      <w:hyperlink w:anchor="AUTO_1985_146" w:history="1">
        <w:r w:rsidRPr="00506787">
          <w:rPr>
            <w:rStyle w:val="TextoNormalCaracter"/>
          </w:rPr>
          <w:t>146/1985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Garantías jurisdiccionales</w:t>
      </w:r>
      <w:r>
        <w:t xml:space="preserve"> véase </w:t>
      </w:r>
      <w:hyperlink w:anchor="DESCRIPTORALFABETICO86" w:history="1">
        <w:r w:rsidRPr="00506787">
          <w:rPr>
            <w:rStyle w:val="TextoNormalNegritaCaracter"/>
          </w:rPr>
          <w:t>Garantías procesales</w:t>
        </w:r>
      </w:hyperlink>
    </w:p>
    <w:p w:rsidR="00506787" w:rsidRPr="00506787" w:rsidRDefault="00506787" w:rsidP="00506787">
      <w:pPr>
        <w:pStyle w:val="TextoNormalSangraFrancesa"/>
        <w:rPr>
          <w:rStyle w:val="TextoNormalCaracter"/>
        </w:rPr>
      </w:pPr>
      <w:bookmarkStart w:id="1214" w:name="DESCRIPTORALFABETICO86"/>
      <w:r w:rsidRPr="00506787">
        <w:rPr>
          <w:rStyle w:val="TextoNormalNegritaCaracter"/>
        </w:rPr>
        <w:t>Garantías procesales</w:t>
      </w:r>
      <w:bookmarkEnd w:id="1214"/>
      <w:r w:rsidRPr="00506787">
        <w:rPr>
          <w:rStyle w:val="TextoNormalCaracter"/>
        </w:rPr>
        <w:t xml:space="preserve">, Sentencias </w:t>
      </w:r>
      <w:hyperlink w:anchor="SENTENCIA_1985_1" w:history="1">
        <w:r w:rsidRPr="00506787">
          <w:rPr>
            <w:rStyle w:val="TextoNormalCaracter"/>
          </w:rPr>
          <w:t>1/1985</w:t>
        </w:r>
      </w:hyperlink>
      <w:r w:rsidRPr="00506787">
        <w:rPr>
          <w:rStyle w:val="TextoNormalCaracter"/>
        </w:rPr>
        <w:t xml:space="preserve">, f. 4; </w:t>
      </w:r>
      <w:hyperlink w:anchor="SENTENCIA_1985_54" w:history="1">
        <w:r w:rsidRPr="00506787">
          <w:rPr>
            <w:rStyle w:val="TextoNormalCaracter"/>
          </w:rPr>
          <w:t>54/1985</w:t>
        </w:r>
      </w:hyperlink>
      <w:r w:rsidRPr="00506787">
        <w:rPr>
          <w:rStyle w:val="TextoNormalCaracter"/>
        </w:rPr>
        <w:t>, ff. 2, 3, 7.</w:t>
      </w:r>
    </w:p>
    <w:p w:rsidR="00506787" w:rsidRPr="00506787" w:rsidRDefault="00506787" w:rsidP="00506787">
      <w:pPr>
        <w:pStyle w:val="TextoNormalSangraFrancesa"/>
        <w:rPr>
          <w:rStyle w:val="TextoNormalCaracter"/>
        </w:rPr>
      </w:pPr>
      <w:bookmarkStart w:id="1215" w:name="DESCRIPTORALFABETICO234"/>
      <w:r w:rsidRPr="00506787">
        <w:rPr>
          <w:rStyle w:val="TextoNormalNegritaCaracter"/>
        </w:rPr>
        <w:t>Gobierno del Estado</w:t>
      </w:r>
      <w:bookmarkEnd w:id="1215"/>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10.</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H</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216" w:name="DESCRIPTORALFABETICO34"/>
      <w:r w:rsidRPr="00506787">
        <w:rPr>
          <w:rStyle w:val="TextoNormalNegritaCaracter"/>
          <w:i/>
        </w:rPr>
        <w:t>Habeas corpus</w:t>
      </w:r>
      <w:bookmarkEnd w:id="1216"/>
      <w:r w:rsidRPr="00506787">
        <w:rPr>
          <w:rStyle w:val="TextoNormalCaracter"/>
        </w:rPr>
        <w:t xml:space="preserve">, Sentencia </w:t>
      </w:r>
      <w:hyperlink w:anchor="SENTENCIA_1985_31" w:history="1">
        <w:r w:rsidRPr="00506787">
          <w:rPr>
            <w:rStyle w:val="TextoNormalCaracter"/>
          </w:rPr>
          <w:t>31/1985</w:t>
        </w:r>
      </w:hyperlink>
      <w:r w:rsidRPr="00506787">
        <w:rPr>
          <w:rStyle w:val="TextoNormalCaracter"/>
        </w:rPr>
        <w:t>, f. 2.</w:t>
      </w:r>
    </w:p>
    <w:p w:rsidR="00506787" w:rsidRPr="00506787" w:rsidRDefault="00506787" w:rsidP="00506787">
      <w:pPr>
        <w:pStyle w:val="TextoNormalSangraFrancesa"/>
        <w:rPr>
          <w:rStyle w:val="TextoNormalCaracter"/>
        </w:rPr>
      </w:pPr>
      <w:bookmarkStart w:id="1217" w:name="DESCRIPTORALFABETICO507"/>
      <w:r w:rsidRPr="00506787">
        <w:rPr>
          <w:rStyle w:val="TextoNormalNegritaCaracter"/>
        </w:rPr>
        <w:t>Habilitación en sede del Tribunal</w:t>
      </w:r>
      <w:bookmarkEnd w:id="1217"/>
      <w:r w:rsidRPr="00506787">
        <w:rPr>
          <w:rStyle w:val="TextoNormalCaracter"/>
        </w:rPr>
        <w:t xml:space="preserve">, Auto </w:t>
      </w:r>
      <w:hyperlink w:anchor="AUTO_1985_23" w:history="1">
        <w:r w:rsidRPr="00506787">
          <w:rPr>
            <w:rStyle w:val="TextoNormalCaracter"/>
          </w:rPr>
          <w:t>23/1985</w:t>
        </w:r>
      </w:hyperlink>
      <w:r w:rsidRPr="00506787">
        <w:rPr>
          <w:rStyle w:val="TextoNormalCaracter"/>
        </w:rPr>
        <w:t>.</w:t>
      </w:r>
    </w:p>
    <w:p w:rsidR="00506787" w:rsidRPr="00506787" w:rsidRDefault="00506787" w:rsidP="00506787">
      <w:pPr>
        <w:pStyle w:val="TextoNormalSangraFrancesa"/>
        <w:rPr>
          <w:rStyle w:val="TextoNormalCaracter"/>
        </w:rPr>
      </w:pPr>
      <w:bookmarkStart w:id="1218" w:name="DESCRIPTORALFABETICO508"/>
      <w:r w:rsidRPr="00506787">
        <w:rPr>
          <w:rStyle w:val="TextoNormalNegritaCaracter"/>
        </w:rPr>
        <w:t>Habilitación para autodefensa</w:t>
      </w:r>
      <w:bookmarkEnd w:id="1218"/>
      <w:r w:rsidRPr="00506787">
        <w:rPr>
          <w:rStyle w:val="TextoNormalCaracter"/>
        </w:rPr>
        <w:t xml:space="preserve">, Auto </w:t>
      </w:r>
      <w:hyperlink w:anchor="AUTO_1985_77" w:history="1">
        <w:r w:rsidRPr="00506787">
          <w:rPr>
            <w:rStyle w:val="TextoNormalCaracter"/>
          </w:rPr>
          <w:t>77/1985</w:t>
        </w:r>
      </w:hyperlink>
      <w:r w:rsidRPr="00506787">
        <w:rPr>
          <w:rStyle w:val="TextoNormalCaracter"/>
        </w:rPr>
        <w:t>.</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I</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219" w:name="DESCRIPTORALFABETICO97"/>
      <w:r w:rsidRPr="00506787">
        <w:rPr>
          <w:rStyle w:val="TextoNormalNegritaCaracter"/>
        </w:rPr>
        <w:t>Ideario educativo</w:t>
      </w:r>
      <w:bookmarkEnd w:id="1219"/>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ff. 1, 2, 3, 4, 5.</w:t>
      </w:r>
    </w:p>
    <w:p w:rsidR="00506787" w:rsidRPr="00506787" w:rsidRDefault="00506787" w:rsidP="00506787">
      <w:pPr>
        <w:pStyle w:val="TextoNormalSangraFrancesa"/>
        <w:rPr>
          <w:rStyle w:val="TextoNormalCaracter"/>
        </w:rPr>
      </w:pPr>
      <w:bookmarkStart w:id="1220" w:name="DESCRIPTORALFABETICO164"/>
      <w:r w:rsidRPr="00506787">
        <w:rPr>
          <w:rStyle w:val="TextoNormalNegritaCaracter"/>
        </w:rPr>
        <w:t>Identificación de la norma cuestionada</w:t>
      </w:r>
      <w:bookmarkEnd w:id="1220"/>
      <w:r w:rsidRPr="00506787">
        <w:rPr>
          <w:rStyle w:val="TextoNormalCaracter"/>
        </w:rPr>
        <w:t xml:space="preserve">, Sentencia </w:t>
      </w:r>
      <w:hyperlink w:anchor="SENTENCIA_1985_21" w:history="1">
        <w:r w:rsidRPr="00506787">
          <w:rPr>
            <w:rStyle w:val="TextoNormalCaracter"/>
          </w:rPr>
          <w:t>21/1985</w:t>
        </w:r>
      </w:hyperlink>
      <w:r w:rsidRPr="00506787">
        <w:rPr>
          <w:rStyle w:val="TextoNormalCaracter"/>
        </w:rPr>
        <w:t>, f. 2.</w:t>
      </w:r>
    </w:p>
    <w:p w:rsidR="00506787" w:rsidRPr="00506787" w:rsidRDefault="00506787" w:rsidP="00506787">
      <w:pPr>
        <w:pStyle w:val="TextoNormalSangraFrancesa"/>
        <w:rPr>
          <w:rStyle w:val="TextoNormalCaracter"/>
        </w:rPr>
      </w:pPr>
      <w:bookmarkStart w:id="1221" w:name="DESCRIPTORALFABETICO203"/>
      <w:r w:rsidRPr="00506787">
        <w:rPr>
          <w:rStyle w:val="TextoNormalNegritaCaracter"/>
        </w:rPr>
        <w:lastRenderedPageBreak/>
        <w:t>Identificación del acto impugnado</w:t>
      </w:r>
      <w:bookmarkEnd w:id="1221"/>
      <w:r w:rsidRPr="00506787">
        <w:rPr>
          <w:rStyle w:val="TextoNormalCaracter"/>
        </w:rPr>
        <w:t xml:space="preserve">, Auto </w:t>
      </w:r>
      <w:hyperlink w:anchor="AUTO_1985_123" w:history="1">
        <w:r w:rsidRPr="00506787">
          <w:rPr>
            <w:rStyle w:val="TextoNormalCaracter"/>
          </w:rPr>
          <w:t>123/1985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Igualdad contra la ley</w:t>
      </w:r>
      <w:r>
        <w:t xml:space="preserve"> véase </w:t>
      </w:r>
      <w:hyperlink w:anchor="DESCRIPTORALFABETICO26" w:history="1">
        <w:r w:rsidRPr="00506787">
          <w:rPr>
            <w:rStyle w:val="TextoNormalNegritaCaracter"/>
          </w:rPr>
          <w:t>Igualdad en la ilegalidad</w:t>
        </w:r>
      </w:hyperlink>
    </w:p>
    <w:p w:rsidR="00506787" w:rsidRPr="00506787" w:rsidRDefault="00506787" w:rsidP="00506787">
      <w:pPr>
        <w:pStyle w:val="TextoNormalSangraFrancesa"/>
        <w:rPr>
          <w:rStyle w:val="TextoNormalCaracter"/>
        </w:rPr>
      </w:pPr>
      <w:bookmarkStart w:id="1222" w:name="DESCRIPTORALFABETICO88"/>
      <w:r w:rsidRPr="00506787">
        <w:rPr>
          <w:rStyle w:val="TextoNormalNegritaCaracter"/>
        </w:rPr>
        <w:t>Igualdad de armas en el proceso penal</w:t>
      </w:r>
      <w:bookmarkEnd w:id="1222"/>
      <w:r w:rsidRPr="00506787">
        <w:rPr>
          <w:rStyle w:val="TextoNormalCaracter"/>
        </w:rPr>
        <w:t xml:space="preserve">, Sentencias </w:t>
      </w:r>
      <w:hyperlink w:anchor="SENTENCIA_1985_27" w:history="1">
        <w:r w:rsidRPr="00506787">
          <w:rPr>
            <w:rStyle w:val="TextoNormalCaracter"/>
          </w:rPr>
          <w:t>27/1985</w:t>
        </w:r>
      </w:hyperlink>
      <w:r w:rsidRPr="00506787">
        <w:rPr>
          <w:rStyle w:val="TextoNormalCaracter"/>
        </w:rPr>
        <w:t xml:space="preserve">, f. 3; </w:t>
      </w:r>
      <w:hyperlink w:anchor="SENTENCIA_1985_32" w:history="1">
        <w:r w:rsidRPr="00506787">
          <w:rPr>
            <w:rStyle w:val="TextoNormalCaracter"/>
          </w:rPr>
          <w:t>32/1985</w:t>
        </w:r>
      </w:hyperlink>
      <w:r w:rsidRPr="00506787">
        <w:rPr>
          <w:rStyle w:val="TextoNormalCaracter"/>
        </w:rPr>
        <w:t>, f. 2.</w:t>
      </w:r>
    </w:p>
    <w:p w:rsidR="00506787" w:rsidRPr="00506787" w:rsidRDefault="00506787" w:rsidP="00506787">
      <w:pPr>
        <w:pStyle w:val="TextoNormalSangraFrancesa"/>
        <w:rPr>
          <w:rStyle w:val="TextoNormalCaracter"/>
        </w:rPr>
      </w:pPr>
      <w:bookmarkStart w:id="1223" w:name="DESCRIPTORALFABETICO87"/>
      <w:r w:rsidRPr="00506787">
        <w:rPr>
          <w:rStyle w:val="TextoNormalNegritaCaracter"/>
        </w:rPr>
        <w:t>Igualdad de armas procesales</w:t>
      </w:r>
      <w:bookmarkEnd w:id="1223"/>
      <w:r w:rsidRPr="00506787">
        <w:rPr>
          <w:rStyle w:val="TextoNormalCaracter"/>
        </w:rPr>
        <w:t xml:space="preserve">, Autos </w:t>
      </w:r>
      <w:hyperlink w:anchor="AUTO_1985_191" w:history="1">
        <w:r w:rsidRPr="00506787">
          <w:rPr>
            <w:rStyle w:val="TextoNormalCaracter"/>
          </w:rPr>
          <w:t>191/1985</w:t>
        </w:r>
      </w:hyperlink>
      <w:r w:rsidRPr="00506787">
        <w:rPr>
          <w:rStyle w:val="TextoNormalCaracter"/>
        </w:rPr>
        <w:t xml:space="preserve">; </w:t>
      </w:r>
      <w:hyperlink w:anchor="AUTO_1985_270" w:history="1">
        <w:r w:rsidRPr="00506787">
          <w:rPr>
            <w:rStyle w:val="TextoNormalCaracter"/>
          </w:rPr>
          <w:t>270/1985</w:t>
        </w:r>
      </w:hyperlink>
      <w:r w:rsidRPr="00506787">
        <w:rPr>
          <w:rStyle w:val="TextoNormalCaracter"/>
        </w:rPr>
        <w:t xml:space="preserve">; </w:t>
      </w:r>
      <w:hyperlink w:anchor="AUTO_1985_280" w:history="1">
        <w:r w:rsidRPr="00506787">
          <w:rPr>
            <w:rStyle w:val="TextoNormalCaracter"/>
          </w:rPr>
          <w:t>280/1985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Igualdad de las partes en el proceso</w:t>
      </w:r>
      <w:r>
        <w:t xml:space="preserve"> véase </w:t>
      </w:r>
      <w:hyperlink w:anchor="DESCRIPTORALFABETICO87" w:history="1">
        <w:r w:rsidRPr="00506787">
          <w:rPr>
            <w:rStyle w:val="TextoNormalNegritaCaracter"/>
          </w:rPr>
          <w:t>Igualdad de armas procesales</w:t>
        </w:r>
      </w:hyperlink>
    </w:p>
    <w:p w:rsidR="00506787" w:rsidRPr="00506787" w:rsidRDefault="00506787" w:rsidP="00506787">
      <w:pPr>
        <w:pStyle w:val="TextoNormalSangraFrancesa"/>
        <w:rPr>
          <w:rStyle w:val="TextoNormalCaracter"/>
        </w:rPr>
      </w:pPr>
      <w:bookmarkStart w:id="1224" w:name="DESCRIPTORALFABETICO20"/>
      <w:r w:rsidRPr="00506787">
        <w:rPr>
          <w:rStyle w:val="TextoNormalNegritaCaracter"/>
        </w:rPr>
        <w:t>Igualdad en el acceso a los cargos públicos</w:t>
      </w:r>
      <w:bookmarkEnd w:id="1224"/>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 3.</w:t>
      </w:r>
    </w:p>
    <w:p w:rsidR="00506787" w:rsidRPr="00506787" w:rsidRDefault="00506787" w:rsidP="00506787">
      <w:pPr>
        <w:pStyle w:val="TextoNormalSangraFrancesa"/>
        <w:rPr>
          <w:rStyle w:val="TextoNormalCaracter"/>
        </w:rPr>
      </w:pPr>
      <w:bookmarkStart w:id="1225" w:name="DESCRIPTORALFABETICO19"/>
      <w:r w:rsidRPr="00506787">
        <w:rPr>
          <w:rStyle w:val="TextoNormalNegritaCaracter"/>
        </w:rPr>
        <w:t>Igualdad en el ejercicio de cargos públicos</w:t>
      </w:r>
      <w:bookmarkEnd w:id="1225"/>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 3.</w:t>
      </w:r>
    </w:p>
    <w:p w:rsidR="00506787" w:rsidRPr="00506787" w:rsidRDefault="00506787" w:rsidP="00506787">
      <w:pPr>
        <w:pStyle w:val="TextoNormalSangraFrancesa"/>
        <w:rPr>
          <w:rStyle w:val="TextoNormalCaracter"/>
        </w:rPr>
      </w:pPr>
      <w:bookmarkStart w:id="1226" w:name="DESCRIPTORALFABETICO24"/>
      <w:r w:rsidRPr="00506787">
        <w:rPr>
          <w:rStyle w:val="TextoNormalNegritaCaracter"/>
        </w:rPr>
        <w:t>Igualdad en la aplicación de la ley</w:t>
      </w:r>
      <w:bookmarkEnd w:id="1226"/>
      <w:r w:rsidRPr="00506787">
        <w:rPr>
          <w:rStyle w:val="TextoNormalCaracter"/>
        </w:rPr>
        <w:t xml:space="preserve">, Sentencias </w:t>
      </w:r>
      <w:hyperlink w:anchor="SENTENCIA_1985_14" w:history="1">
        <w:r w:rsidRPr="00506787">
          <w:rPr>
            <w:rStyle w:val="TextoNormalCaracter"/>
          </w:rPr>
          <w:t>14/1985</w:t>
        </w:r>
      </w:hyperlink>
      <w:r w:rsidRPr="00506787">
        <w:rPr>
          <w:rStyle w:val="TextoNormalCaracter"/>
        </w:rPr>
        <w:t xml:space="preserve">, ff. 2, 3; </w:t>
      </w:r>
      <w:hyperlink w:anchor="SENTENCIA_1985_22" w:history="1">
        <w:r w:rsidRPr="00506787">
          <w:rPr>
            <w:rStyle w:val="TextoNormalCaracter"/>
          </w:rPr>
          <w:t>22/1985</w:t>
        </w:r>
      </w:hyperlink>
      <w:r w:rsidRPr="00506787">
        <w:rPr>
          <w:rStyle w:val="TextoNormalCaracter"/>
        </w:rPr>
        <w:t xml:space="preserve">, f. 3; </w:t>
      </w:r>
      <w:hyperlink w:anchor="SENTENCIA_1985_36" w:history="1">
        <w:r w:rsidRPr="00506787">
          <w:rPr>
            <w:rStyle w:val="TextoNormalCaracter"/>
          </w:rPr>
          <w:t>36/1985</w:t>
        </w:r>
      </w:hyperlink>
      <w:r w:rsidRPr="00506787">
        <w:rPr>
          <w:rStyle w:val="TextoNormalCaracter"/>
        </w:rPr>
        <w:t xml:space="preserve">, f. 5; </w:t>
      </w:r>
      <w:hyperlink w:anchor="SENTENCIA_1985_49" w:history="1">
        <w:r w:rsidRPr="00506787">
          <w:rPr>
            <w:rStyle w:val="TextoNormalCaracter"/>
          </w:rPr>
          <w:t>49/1985</w:t>
        </w:r>
      </w:hyperlink>
      <w:r w:rsidRPr="00506787">
        <w:rPr>
          <w:rStyle w:val="TextoNormalCaracter"/>
        </w:rPr>
        <w:t xml:space="preserve">, ff. 1, 2, 3; </w:t>
      </w:r>
      <w:hyperlink w:anchor="SENTENCIA_1985_55" w:history="1">
        <w:r w:rsidRPr="00506787">
          <w:rPr>
            <w:rStyle w:val="TextoNormalCaracter"/>
          </w:rPr>
          <w:t>55/1985</w:t>
        </w:r>
      </w:hyperlink>
      <w:r w:rsidRPr="00506787">
        <w:rPr>
          <w:rStyle w:val="TextoNormalCaracter"/>
        </w:rPr>
        <w:t xml:space="preserve">, f. 4; </w:t>
      </w:r>
      <w:hyperlink w:anchor="SENTENCIA_1985_57" w:history="1">
        <w:r w:rsidRPr="00506787">
          <w:rPr>
            <w:rStyle w:val="TextoNormalCaracter"/>
          </w:rPr>
          <w:t>57/1985</w:t>
        </w:r>
      </w:hyperlink>
      <w:r w:rsidRPr="00506787">
        <w:rPr>
          <w:rStyle w:val="TextoNormalCaracter"/>
        </w:rPr>
        <w:t>, f. 1.</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9" w:history="1">
        <w:r w:rsidRPr="00506787">
          <w:rPr>
            <w:rStyle w:val="TextoNormalCaracter"/>
          </w:rPr>
          <w:t>9/1985</w:t>
        </w:r>
      </w:hyperlink>
      <w:r w:rsidRPr="00506787">
        <w:rPr>
          <w:rStyle w:val="TextoNormalCaracter"/>
        </w:rPr>
        <w:t xml:space="preserve">; </w:t>
      </w:r>
      <w:hyperlink w:anchor="AUTO_1985_29" w:history="1">
        <w:r w:rsidRPr="00506787">
          <w:rPr>
            <w:rStyle w:val="TextoNormalCaracter"/>
          </w:rPr>
          <w:t>29/1985</w:t>
        </w:r>
      </w:hyperlink>
      <w:r w:rsidRPr="00506787">
        <w:rPr>
          <w:rStyle w:val="TextoNormalCaracter"/>
        </w:rPr>
        <w:t xml:space="preserve">; </w:t>
      </w:r>
      <w:hyperlink w:anchor="AUTO_1985_34" w:history="1">
        <w:r w:rsidRPr="00506787">
          <w:rPr>
            <w:rStyle w:val="TextoNormalCaracter"/>
          </w:rPr>
          <w:t>34/1985</w:t>
        </w:r>
      </w:hyperlink>
      <w:r w:rsidRPr="00506787">
        <w:rPr>
          <w:rStyle w:val="TextoNormalCaracter"/>
        </w:rPr>
        <w:t xml:space="preserve">; </w:t>
      </w:r>
      <w:hyperlink w:anchor="AUTO_1985_56" w:history="1">
        <w:r w:rsidRPr="00506787">
          <w:rPr>
            <w:rStyle w:val="TextoNormalCaracter"/>
          </w:rPr>
          <w:t>56/1985</w:t>
        </w:r>
      </w:hyperlink>
      <w:r w:rsidRPr="00506787">
        <w:rPr>
          <w:rStyle w:val="TextoNormalCaracter"/>
        </w:rPr>
        <w:t xml:space="preserve">; </w:t>
      </w:r>
      <w:hyperlink w:anchor="AUTO_1985_84" w:history="1">
        <w:r w:rsidRPr="00506787">
          <w:rPr>
            <w:rStyle w:val="TextoNormalCaracter"/>
          </w:rPr>
          <w:t>84/1985</w:t>
        </w:r>
      </w:hyperlink>
      <w:r w:rsidRPr="00506787">
        <w:rPr>
          <w:rStyle w:val="TextoNormalCaracter"/>
        </w:rPr>
        <w:t xml:space="preserve">; </w:t>
      </w:r>
      <w:hyperlink w:anchor="AUTO_1985_100" w:history="1">
        <w:r w:rsidRPr="00506787">
          <w:rPr>
            <w:rStyle w:val="TextoNormalCaracter"/>
          </w:rPr>
          <w:t>100/1985</w:t>
        </w:r>
      </w:hyperlink>
      <w:r w:rsidRPr="00506787">
        <w:rPr>
          <w:rStyle w:val="TextoNormalCaracter"/>
        </w:rPr>
        <w:t xml:space="preserve">; </w:t>
      </w:r>
      <w:hyperlink w:anchor="AUTO_1985_123" w:history="1">
        <w:r w:rsidRPr="00506787">
          <w:rPr>
            <w:rStyle w:val="TextoNormalCaracter"/>
          </w:rPr>
          <w:t>123/1985</w:t>
        </w:r>
      </w:hyperlink>
      <w:r w:rsidRPr="00506787">
        <w:rPr>
          <w:rStyle w:val="TextoNormalCaracter"/>
        </w:rPr>
        <w:t xml:space="preserve">; </w:t>
      </w:r>
      <w:hyperlink w:anchor="AUTO_1985_141" w:history="1">
        <w:r w:rsidRPr="00506787">
          <w:rPr>
            <w:rStyle w:val="TextoNormalCaracter"/>
          </w:rPr>
          <w:t>141/1985</w:t>
        </w:r>
      </w:hyperlink>
      <w:r w:rsidRPr="00506787">
        <w:rPr>
          <w:rStyle w:val="TextoNormalCaracter"/>
        </w:rPr>
        <w:t xml:space="preserve">; </w:t>
      </w:r>
      <w:hyperlink w:anchor="AUTO_1985_143" w:history="1">
        <w:r w:rsidRPr="00506787">
          <w:rPr>
            <w:rStyle w:val="TextoNormalCaracter"/>
          </w:rPr>
          <w:t>143/1985</w:t>
        </w:r>
      </w:hyperlink>
      <w:r w:rsidRPr="00506787">
        <w:rPr>
          <w:rStyle w:val="TextoNormalCaracter"/>
        </w:rPr>
        <w:t xml:space="preserve">; </w:t>
      </w:r>
      <w:hyperlink w:anchor="AUTO_1985_160" w:history="1">
        <w:r w:rsidRPr="00506787">
          <w:rPr>
            <w:rStyle w:val="TextoNormalCaracter"/>
          </w:rPr>
          <w:t>160/1985</w:t>
        </w:r>
      </w:hyperlink>
      <w:r w:rsidRPr="00506787">
        <w:rPr>
          <w:rStyle w:val="TextoNormalCaracter"/>
        </w:rPr>
        <w:t xml:space="preserve">; </w:t>
      </w:r>
      <w:hyperlink w:anchor="AUTO_1985_162" w:history="1">
        <w:r w:rsidRPr="00506787">
          <w:rPr>
            <w:rStyle w:val="TextoNormalCaracter"/>
          </w:rPr>
          <w:t>162/1985</w:t>
        </w:r>
      </w:hyperlink>
      <w:r w:rsidRPr="00506787">
        <w:rPr>
          <w:rStyle w:val="TextoNormalCaracter"/>
        </w:rPr>
        <w:t xml:space="preserve">; </w:t>
      </w:r>
      <w:hyperlink w:anchor="AUTO_1985_179" w:history="1">
        <w:r w:rsidRPr="00506787">
          <w:rPr>
            <w:rStyle w:val="TextoNormalCaracter"/>
          </w:rPr>
          <w:t>179/1985</w:t>
        </w:r>
      </w:hyperlink>
      <w:r w:rsidRPr="00506787">
        <w:rPr>
          <w:rStyle w:val="TextoNormalCaracter"/>
        </w:rPr>
        <w:t xml:space="preserve">; </w:t>
      </w:r>
      <w:hyperlink w:anchor="AUTO_1985_190" w:history="1">
        <w:r w:rsidRPr="00506787">
          <w:rPr>
            <w:rStyle w:val="TextoNormalCaracter"/>
          </w:rPr>
          <w:t>190/1985</w:t>
        </w:r>
      </w:hyperlink>
      <w:r w:rsidRPr="00506787">
        <w:rPr>
          <w:rStyle w:val="TextoNormalCaracter"/>
        </w:rPr>
        <w:t xml:space="preserve">; </w:t>
      </w:r>
      <w:hyperlink w:anchor="AUTO_1985_214" w:history="1">
        <w:r w:rsidRPr="00506787">
          <w:rPr>
            <w:rStyle w:val="TextoNormalCaracter"/>
          </w:rPr>
          <w:t>214/1985</w:t>
        </w:r>
      </w:hyperlink>
      <w:r w:rsidRPr="00506787">
        <w:rPr>
          <w:rStyle w:val="TextoNormalCaracter"/>
        </w:rPr>
        <w:t xml:space="preserve">; </w:t>
      </w:r>
      <w:hyperlink w:anchor="AUTO_1985_223" w:history="1">
        <w:r w:rsidRPr="00506787">
          <w:rPr>
            <w:rStyle w:val="TextoNormalCaracter"/>
          </w:rPr>
          <w:t>223/1985</w:t>
        </w:r>
      </w:hyperlink>
      <w:r w:rsidRPr="00506787">
        <w:rPr>
          <w:rStyle w:val="TextoNormalCaracter"/>
        </w:rPr>
        <w:t xml:space="preserve">; </w:t>
      </w:r>
      <w:hyperlink w:anchor="AUTO_1985_237" w:history="1">
        <w:r w:rsidRPr="00506787">
          <w:rPr>
            <w:rStyle w:val="TextoNormalCaracter"/>
          </w:rPr>
          <w:t>237/1985</w:t>
        </w:r>
      </w:hyperlink>
      <w:r w:rsidRPr="00506787">
        <w:rPr>
          <w:rStyle w:val="TextoNormalCaracter"/>
        </w:rPr>
        <w:t xml:space="preserve">; </w:t>
      </w:r>
      <w:hyperlink w:anchor="AUTO_1985_240" w:history="1">
        <w:r w:rsidRPr="00506787">
          <w:rPr>
            <w:rStyle w:val="TextoNormalCaracter"/>
          </w:rPr>
          <w:t>240/1985</w:t>
        </w:r>
      </w:hyperlink>
      <w:r w:rsidRPr="00506787">
        <w:rPr>
          <w:rStyle w:val="TextoNormalCaracter"/>
        </w:rPr>
        <w:t xml:space="preserve">; </w:t>
      </w:r>
      <w:hyperlink w:anchor="AUTO_1985_243" w:history="1">
        <w:r w:rsidRPr="00506787">
          <w:rPr>
            <w:rStyle w:val="TextoNormalCaracter"/>
          </w:rPr>
          <w:t>243/1985</w:t>
        </w:r>
      </w:hyperlink>
      <w:r w:rsidRPr="00506787">
        <w:rPr>
          <w:rStyle w:val="TextoNormalCaracter"/>
        </w:rPr>
        <w:t xml:space="preserve">; </w:t>
      </w:r>
      <w:hyperlink w:anchor="AUTO_1985_254" w:history="1">
        <w:r w:rsidRPr="00506787">
          <w:rPr>
            <w:rStyle w:val="TextoNormalCaracter"/>
          </w:rPr>
          <w:t>254/1985</w:t>
        </w:r>
      </w:hyperlink>
      <w:r w:rsidRPr="00506787">
        <w:rPr>
          <w:rStyle w:val="TextoNormalCaracter"/>
        </w:rPr>
        <w:t xml:space="preserve">; </w:t>
      </w:r>
      <w:hyperlink w:anchor="AUTO_1985_261" w:history="1">
        <w:r w:rsidRPr="00506787">
          <w:rPr>
            <w:rStyle w:val="TextoNormalCaracter"/>
          </w:rPr>
          <w:t>261/1985</w:t>
        </w:r>
      </w:hyperlink>
      <w:r w:rsidRPr="00506787">
        <w:rPr>
          <w:rStyle w:val="TextoNormalCaracter"/>
        </w:rPr>
        <w:t xml:space="preserve">; </w:t>
      </w:r>
      <w:hyperlink w:anchor="AUTO_1985_273" w:history="1">
        <w:r w:rsidRPr="00506787">
          <w:rPr>
            <w:rStyle w:val="TextoNormalCaracter"/>
          </w:rPr>
          <w:t>273/1985</w:t>
        </w:r>
      </w:hyperlink>
      <w:r w:rsidRPr="00506787">
        <w:rPr>
          <w:rStyle w:val="TextoNormalCaracter"/>
        </w:rPr>
        <w:t>.</w:t>
      </w:r>
    </w:p>
    <w:p w:rsidR="00506787" w:rsidRPr="00506787" w:rsidRDefault="00506787" w:rsidP="00506787">
      <w:pPr>
        <w:pStyle w:val="TextoNormalSangraFrancesa"/>
        <w:rPr>
          <w:rStyle w:val="TextoNormalCaracter"/>
        </w:rPr>
      </w:pPr>
      <w:bookmarkStart w:id="1227" w:name="DESCRIPTORALFABETICO26"/>
      <w:r w:rsidRPr="00506787">
        <w:rPr>
          <w:rStyle w:val="TextoNormalNegritaCaracter"/>
        </w:rPr>
        <w:t>Igualdad en la ilegalidad</w:t>
      </w:r>
      <w:bookmarkEnd w:id="1227"/>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5.</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19" w:history="1">
        <w:r w:rsidRPr="00506787">
          <w:rPr>
            <w:rStyle w:val="TextoNormalCaracter"/>
          </w:rPr>
          <w:t>219/1985</w:t>
        </w:r>
      </w:hyperlink>
      <w:r w:rsidRPr="00506787">
        <w:rPr>
          <w:rStyle w:val="TextoNormalCaracter"/>
        </w:rPr>
        <w:t>.</w:t>
      </w:r>
    </w:p>
    <w:p w:rsidR="00506787" w:rsidRPr="00506787" w:rsidRDefault="00506787" w:rsidP="00506787">
      <w:pPr>
        <w:pStyle w:val="TextoNormalSangraFrancesa"/>
        <w:rPr>
          <w:rStyle w:val="TextoNormalCaracter"/>
        </w:rPr>
      </w:pPr>
      <w:bookmarkStart w:id="1228" w:name="DESCRIPTORALFABETICO27"/>
      <w:r w:rsidRPr="00506787">
        <w:rPr>
          <w:rStyle w:val="TextoNormalNegritaCaracter"/>
        </w:rPr>
        <w:t>Igualdad en la ley</w:t>
      </w:r>
      <w:bookmarkEnd w:id="1228"/>
      <w:r w:rsidRPr="00506787">
        <w:rPr>
          <w:rStyle w:val="TextoNormalCaracter"/>
        </w:rPr>
        <w:t xml:space="preserve">, Sentencia </w:t>
      </w:r>
      <w:hyperlink w:anchor="SENTENCIA_1985_49" w:history="1">
        <w:r w:rsidRPr="00506787">
          <w:rPr>
            <w:rStyle w:val="TextoNormalCaracter"/>
          </w:rPr>
          <w:t>49/1985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76" w:history="1">
        <w:r w:rsidRPr="00506787">
          <w:rPr>
            <w:rStyle w:val="TextoNormalCaracter"/>
          </w:rPr>
          <w:t>76/1985</w:t>
        </w:r>
      </w:hyperlink>
      <w:r w:rsidRPr="00506787">
        <w:rPr>
          <w:rStyle w:val="TextoNormalCaracter"/>
        </w:rPr>
        <w:t xml:space="preserve">; </w:t>
      </w:r>
      <w:hyperlink w:anchor="AUTO_1985_162" w:history="1">
        <w:r w:rsidRPr="00506787">
          <w:rPr>
            <w:rStyle w:val="TextoNormalCaracter"/>
          </w:rPr>
          <w:t>162/1985</w:t>
        </w:r>
      </w:hyperlink>
      <w:r w:rsidRPr="00506787">
        <w:rPr>
          <w:rStyle w:val="TextoNormalCaracter"/>
        </w:rPr>
        <w:t xml:space="preserve">; </w:t>
      </w:r>
      <w:hyperlink w:anchor="AUTO_1985_184" w:history="1">
        <w:r w:rsidRPr="00506787">
          <w:rPr>
            <w:rStyle w:val="TextoNormalCaracter"/>
          </w:rPr>
          <w:t>184/1985</w:t>
        </w:r>
      </w:hyperlink>
      <w:r w:rsidRPr="00506787">
        <w:rPr>
          <w:rStyle w:val="TextoNormalCaracter"/>
        </w:rPr>
        <w:t xml:space="preserve">; </w:t>
      </w:r>
      <w:hyperlink w:anchor="AUTO_1985_195" w:history="1">
        <w:r w:rsidRPr="00506787">
          <w:rPr>
            <w:rStyle w:val="TextoNormalCaracter"/>
          </w:rPr>
          <w:t>195/1985</w:t>
        </w:r>
      </w:hyperlink>
      <w:r w:rsidRPr="00506787">
        <w:rPr>
          <w:rStyle w:val="TextoNormalCaracter"/>
        </w:rPr>
        <w:t xml:space="preserve">; </w:t>
      </w:r>
      <w:hyperlink w:anchor="AUTO_1985_203" w:history="1">
        <w:r w:rsidRPr="00506787">
          <w:rPr>
            <w:rStyle w:val="TextoNormalCaracter"/>
          </w:rPr>
          <w:t>203/1985</w:t>
        </w:r>
      </w:hyperlink>
      <w:r w:rsidRPr="00506787">
        <w:rPr>
          <w:rStyle w:val="TextoNormalCaracter"/>
        </w:rPr>
        <w:t xml:space="preserve">; </w:t>
      </w:r>
      <w:hyperlink w:anchor="AUTO_1985_224" w:history="1">
        <w:r w:rsidRPr="00506787">
          <w:rPr>
            <w:rStyle w:val="TextoNormalCaracter"/>
          </w:rPr>
          <w:t>224/1985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Igualdad en materia tributaria</w:t>
      </w:r>
      <w:r>
        <w:t xml:space="preserve"> véase </w:t>
      </w:r>
      <w:hyperlink w:anchor="DESCRIPTORALFABETICO253" w:history="1">
        <w:r w:rsidRPr="00506787">
          <w:rPr>
            <w:rStyle w:val="TextoNormalNegritaCaracter"/>
          </w:rPr>
          <w:t>Igualdad tributaria</w:t>
        </w:r>
      </w:hyperlink>
    </w:p>
    <w:p w:rsidR="00506787" w:rsidRPr="00506787" w:rsidRDefault="00506787" w:rsidP="00506787">
      <w:pPr>
        <w:pStyle w:val="TextoNormalSangraFrancesa"/>
        <w:rPr>
          <w:rStyle w:val="TextoNormalCaracter"/>
        </w:rPr>
      </w:pPr>
      <w:bookmarkStart w:id="1229" w:name="DESCRIPTORALFABETICO253"/>
      <w:r w:rsidRPr="00506787">
        <w:rPr>
          <w:rStyle w:val="TextoNormalNegritaCaracter"/>
        </w:rPr>
        <w:t>Igualdad tributaria</w:t>
      </w:r>
      <w:bookmarkEnd w:id="1229"/>
      <w:r w:rsidRPr="00506787">
        <w:rPr>
          <w:rStyle w:val="TextoNormalCaracter"/>
        </w:rPr>
        <w:t xml:space="preserve">, Autos </w:t>
      </w:r>
      <w:hyperlink w:anchor="AUTO_1985_27" w:history="1">
        <w:r w:rsidRPr="00506787">
          <w:rPr>
            <w:rStyle w:val="TextoNormalCaracter"/>
          </w:rPr>
          <w:t>27/1985</w:t>
        </w:r>
      </w:hyperlink>
      <w:r w:rsidRPr="00506787">
        <w:rPr>
          <w:rStyle w:val="TextoNormalCaracter"/>
        </w:rPr>
        <w:t xml:space="preserve">; </w:t>
      </w:r>
      <w:hyperlink w:anchor="AUTO_1985_81" w:history="1">
        <w:r w:rsidRPr="00506787">
          <w:rPr>
            <w:rStyle w:val="TextoNormalCaracter"/>
          </w:rPr>
          <w:t>81/1985</w:t>
        </w:r>
      </w:hyperlink>
      <w:r w:rsidRPr="00506787">
        <w:rPr>
          <w:rStyle w:val="TextoNormalCaracter"/>
        </w:rPr>
        <w:t>.</w:t>
      </w:r>
    </w:p>
    <w:p w:rsidR="00506787" w:rsidRPr="00506787" w:rsidRDefault="00506787" w:rsidP="00506787">
      <w:pPr>
        <w:pStyle w:val="TextoNormalSangraFrancesa"/>
        <w:rPr>
          <w:rStyle w:val="TextoNormalCaracter"/>
        </w:rPr>
      </w:pPr>
      <w:bookmarkStart w:id="1230" w:name="DESCRIPTORALFABETICO474"/>
      <w:r w:rsidRPr="00506787">
        <w:rPr>
          <w:rStyle w:val="TextoNormalNegritaCaracter"/>
        </w:rPr>
        <w:t>Imposibilidad de práctica de prueba</w:t>
      </w:r>
      <w:bookmarkEnd w:id="1230"/>
      <w:r w:rsidRPr="00506787">
        <w:rPr>
          <w:rStyle w:val="TextoNormalCaracter"/>
        </w:rPr>
        <w:t xml:space="preserve">, Auto </w:t>
      </w:r>
      <w:hyperlink w:anchor="AUTO_1985_166" w:history="1">
        <w:r w:rsidRPr="00506787">
          <w:rPr>
            <w:rStyle w:val="TextoNormalCaracter"/>
          </w:rPr>
          <w:t>166/1985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Imposición de costas procesales</w:t>
      </w:r>
      <w:r>
        <w:t xml:space="preserve"> véase </w:t>
      </w:r>
      <w:hyperlink w:anchor="DESCRIPTORALFABETICO452" w:history="1">
        <w:r w:rsidRPr="00506787">
          <w:rPr>
            <w:rStyle w:val="TextoNormalNegritaCaracter"/>
          </w:rPr>
          <w:t>Condena en costas procesales</w:t>
        </w:r>
      </w:hyperlink>
    </w:p>
    <w:p w:rsidR="00506787" w:rsidRPr="00506787" w:rsidRDefault="00506787" w:rsidP="00506787">
      <w:pPr>
        <w:pStyle w:val="TextoNormalSangraFrancesa"/>
        <w:rPr>
          <w:rStyle w:val="TextoNormalCaracter"/>
        </w:rPr>
      </w:pPr>
      <w:bookmarkStart w:id="1231" w:name="DESCRIPTORALFABETICO181"/>
      <w:r w:rsidRPr="00506787">
        <w:rPr>
          <w:rStyle w:val="TextoNormalNegritaCaracter"/>
        </w:rPr>
        <w:t>Imputabilidad de la violación a los poderes públicos</w:t>
      </w:r>
      <w:bookmarkEnd w:id="1231"/>
      <w:r w:rsidRPr="00506787">
        <w:rPr>
          <w:rStyle w:val="TextoNormalCaracter"/>
        </w:rPr>
        <w:t xml:space="preserve">, Auto </w:t>
      </w:r>
      <w:hyperlink w:anchor="AUTO_1985_123" w:history="1">
        <w:r w:rsidRPr="00506787">
          <w:rPr>
            <w:rStyle w:val="TextoNormalCaracter"/>
          </w:rPr>
          <w:t>123/1985</w:t>
        </w:r>
      </w:hyperlink>
      <w:r w:rsidRPr="00506787">
        <w:rPr>
          <w:rStyle w:val="TextoNormalCaracter"/>
        </w:rPr>
        <w:t>.</w:t>
      </w:r>
    </w:p>
    <w:p w:rsidR="00506787" w:rsidRPr="00506787" w:rsidRDefault="00506787" w:rsidP="00506787">
      <w:pPr>
        <w:pStyle w:val="TextoNormalSangraFrancesa"/>
        <w:rPr>
          <w:rStyle w:val="TextoNormalCaracter"/>
        </w:rPr>
      </w:pPr>
      <w:bookmarkStart w:id="1232" w:name="DESCRIPTORALFABETICO182"/>
      <w:r w:rsidRPr="00506787">
        <w:rPr>
          <w:rStyle w:val="TextoNormalNegritaCaracter"/>
        </w:rPr>
        <w:t>Imputabilidad de la violación al órgano judicial</w:t>
      </w:r>
      <w:bookmarkEnd w:id="1232"/>
      <w:r w:rsidRPr="00506787">
        <w:rPr>
          <w:rStyle w:val="TextoNormalCaracter"/>
        </w:rPr>
        <w:t xml:space="preserve">, Autos </w:t>
      </w:r>
      <w:hyperlink w:anchor="AUTO_1985_51" w:history="1">
        <w:r w:rsidRPr="00506787">
          <w:rPr>
            <w:rStyle w:val="TextoNormalCaracter"/>
          </w:rPr>
          <w:t>51/1985</w:t>
        </w:r>
      </w:hyperlink>
      <w:r w:rsidRPr="00506787">
        <w:rPr>
          <w:rStyle w:val="TextoNormalCaracter"/>
        </w:rPr>
        <w:t xml:space="preserve">; </w:t>
      </w:r>
      <w:hyperlink w:anchor="AUTO_1985_162" w:history="1">
        <w:r w:rsidRPr="00506787">
          <w:rPr>
            <w:rStyle w:val="TextoNormalCaracter"/>
          </w:rPr>
          <w:t>162/1985</w:t>
        </w:r>
      </w:hyperlink>
      <w:r w:rsidRPr="00506787">
        <w:rPr>
          <w:rStyle w:val="TextoNormalCaracter"/>
        </w:rPr>
        <w:t>.</w:t>
      </w:r>
    </w:p>
    <w:p w:rsidR="00506787" w:rsidRPr="00506787" w:rsidRDefault="00506787" w:rsidP="00506787">
      <w:pPr>
        <w:pStyle w:val="TextoNormalSangraFrancesa"/>
        <w:rPr>
          <w:rStyle w:val="TextoNormalCaracter"/>
        </w:rPr>
      </w:pPr>
      <w:bookmarkStart w:id="1233" w:name="DESCRIPTORALFABETICO570"/>
      <w:r w:rsidRPr="00506787">
        <w:rPr>
          <w:rStyle w:val="TextoNormalNegritaCaracter"/>
        </w:rPr>
        <w:t>Imputación de pluralidad de delitos</w:t>
      </w:r>
      <w:bookmarkEnd w:id="1233"/>
      <w:r w:rsidRPr="00506787">
        <w:rPr>
          <w:rStyle w:val="TextoNormalCaracter"/>
        </w:rPr>
        <w:t xml:space="preserve">, Sentencia </w:t>
      </w:r>
      <w:hyperlink w:anchor="SENTENCIA_1985_28" w:history="1">
        <w:r w:rsidRPr="00506787">
          <w:rPr>
            <w:rStyle w:val="TextoNormalCaracter"/>
          </w:rPr>
          <w:t>28/1985</w:t>
        </w:r>
      </w:hyperlink>
      <w:r w:rsidRPr="00506787">
        <w:rPr>
          <w:rStyle w:val="TextoNormalCaracter"/>
        </w:rPr>
        <w:t>, f. 4.</w:t>
      </w:r>
    </w:p>
    <w:p w:rsidR="00506787" w:rsidRPr="00506787" w:rsidRDefault="00506787" w:rsidP="00506787">
      <w:pPr>
        <w:pStyle w:val="TextoNormalSangraFrancesa"/>
        <w:rPr>
          <w:rStyle w:val="TextoNormalCaracter"/>
        </w:rPr>
      </w:pPr>
      <w:bookmarkStart w:id="1234" w:name="DESCRIPTORALFABETICO571"/>
      <w:r w:rsidRPr="00506787">
        <w:rPr>
          <w:rStyle w:val="TextoNormalNegritaCaracter"/>
        </w:rPr>
        <w:t>Imputados</w:t>
      </w:r>
      <w:bookmarkEnd w:id="1234"/>
      <w:r w:rsidRPr="00506787">
        <w:rPr>
          <w:rStyle w:val="TextoNormalCaracter"/>
        </w:rPr>
        <w:t xml:space="preserve">, Sentencia </w:t>
      </w:r>
      <w:hyperlink w:anchor="SENTENCIA_1985_44" w:history="1">
        <w:r w:rsidRPr="00506787">
          <w:rPr>
            <w:rStyle w:val="TextoNormalCaracter"/>
          </w:rPr>
          <w:t>44/1985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Sentencia </w:t>
      </w:r>
      <w:hyperlink w:anchor="SENTENCIA_1985_44" w:history="1">
        <w:r w:rsidRPr="00506787">
          <w:rPr>
            <w:rStyle w:val="TextoNormalCaracter"/>
          </w:rPr>
          <w:t>44/1985</w:t>
        </w:r>
      </w:hyperlink>
      <w:r w:rsidRPr="00506787">
        <w:rPr>
          <w:rStyle w:val="TextoNormalCaracter"/>
        </w:rPr>
        <w:t>, f. 3.</w:t>
      </w:r>
    </w:p>
    <w:p w:rsidR="00506787" w:rsidRPr="00506787" w:rsidRDefault="00506787" w:rsidP="00506787">
      <w:pPr>
        <w:pStyle w:val="TextoNormalSangraFrancesa"/>
        <w:rPr>
          <w:rStyle w:val="TextoNormalCaracter"/>
        </w:rPr>
      </w:pPr>
      <w:bookmarkStart w:id="1235" w:name="DESCRIPTORALFABETICO457"/>
      <w:r w:rsidRPr="00506787">
        <w:rPr>
          <w:rStyle w:val="TextoNormalNegritaCaracter"/>
        </w:rPr>
        <w:t>Inactividad judicial</w:t>
      </w:r>
      <w:bookmarkEnd w:id="1235"/>
      <w:r w:rsidRPr="00506787">
        <w:rPr>
          <w:rStyle w:val="TextoNormalCaracter"/>
        </w:rPr>
        <w:t xml:space="preserve">, Sentencia </w:t>
      </w:r>
      <w:hyperlink w:anchor="SENTENCIA_1985_5" w:history="1">
        <w:r w:rsidRPr="00506787">
          <w:rPr>
            <w:rStyle w:val="TextoNormalCaracter"/>
          </w:rPr>
          <w:t>5/1985</w:t>
        </w:r>
      </w:hyperlink>
      <w:r w:rsidRPr="00506787">
        <w:rPr>
          <w:rStyle w:val="TextoNormalCaracter"/>
        </w:rPr>
        <w:t>, f. 2.</w:t>
      </w:r>
    </w:p>
    <w:p w:rsidR="00506787" w:rsidRPr="00506787" w:rsidRDefault="00506787" w:rsidP="00506787">
      <w:pPr>
        <w:pStyle w:val="TextoNormalSangraFrancesa"/>
        <w:rPr>
          <w:rStyle w:val="TextoNormalNegritaCaracter"/>
        </w:rPr>
      </w:pPr>
      <w:r w:rsidRPr="00506787">
        <w:rPr>
          <w:rStyle w:val="TextoNormalCursivaCaracter"/>
        </w:rPr>
        <w:t>Inadecuación de procedimiento</w:t>
      </w:r>
      <w:r>
        <w:t xml:space="preserve"> véase </w:t>
      </w:r>
      <w:hyperlink w:anchor="DESCRIPTORALFABETICO466" w:history="1">
        <w:r w:rsidRPr="00506787">
          <w:rPr>
            <w:rStyle w:val="TextoNormalNegritaCaracter"/>
          </w:rPr>
          <w:t>Excepción de inadecuación de procedimiento</w:t>
        </w:r>
      </w:hyperlink>
    </w:p>
    <w:p w:rsidR="00506787" w:rsidRPr="00506787" w:rsidRDefault="00506787" w:rsidP="00506787">
      <w:pPr>
        <w:pStyle w:val="TextoNormalSangraFrancesa"/>
        <w:rPr>
          <w:rStyle w:val="TextoNormalCaracter"/>
        </w:rPr>
      </w:pPr>
      <w:bookmarkStart w:id="1236" w:name="DESCRIPTORALFABETICO469"/>
      <w:r w:rsidRPr="00506787">
        <w:rPr>
          <w:rStyle w:val="TextoNormalNegritaCaracter"/>
        </w:rPr>
        <w:t>Inadmisión como parte en proceso de ejecución de sentencia</w:t>
      </w:r>
      <w:bookmarkEnd w:id="1236"/>
      <w:r w:rsidRPr="00506787">
        <w:rPr>
          <w:rStyle w:val="TextoNormalCaracter"/>
        </w:rPr>
        <w:t xml:space="preserve">, Sentencia </w:t>
      </w:r>
      <w:hyperlink w:anchor="SENTENCIA_1985_4" w:history="1">
        <w:r w:rsidRPr="00506787">
          <w:rPr>
            <w:rStyle w:val="TextoNormalCaracter"/>
          </w:rPr>
          <w:t>4/1985</w:t>
        </w:r>
      </w:hyperlink>
      <w:r w:rsidRPr="00506787">
        <w:rPr>
          <w:rStyle w:val="TextoNormalCaracter"/>
        </w:rPr>
        <w:t>, ff. 2, 3.</w:t>
      </w:r>
    </w:p>
    <w:p w:rsidR="00506787" w:rsidRPr="00506787" w:rsidRDefault="00506787" w:rsidP="00506787">
      <w:pPr>
        <w:pStyle w:val="TextoNormalSangraFrancesa"/>
        <w:rPr>
          <w:rStyle w:val="TextoNormalCaracter"/>
        </w:rPr>
      </w:pPr>
      <w:bookmarkStart w:id="1237" w:name="DESCRIPTORALFABETICO522"/>
      <w:r w:rsidRPr="00506787">
        <w:rPr>
          <w:rStyle w:val="TextoNormalNegritaCaracter"/>
        </w:rPr>
        <w:t>Inadmisión de recurso</w:t>
      </w:r>
      <w:bookmarkEnd w:id="1237"/>
      <w:r w:rsidRPr="00506787">
        <w:rPr>
          <w:rStyle w:val="TextoNormalCaracter"/>
        </w:rPr>
        <w:t xml:space="preserve">, Autos </w:t>
      </w:r>
      <w:hyperlink w:anchor="AUTO_1985_138" w:history="1">
        <w:r w:rsidRPr="00506787">
          <w:rPr>
            <w:rStyle w:val="TextoNormalCaracter"/>
          </w:rPr>
          <w:t>138/1985</w:t>
        </w:r>
      </w:hyperlink>
      <w:r w:rsidRPr="00506787">
        <w:rPr>
          <w:rStyle w:val="TextoNormalCaracter"/>
        </w:rPr>
        <w:t xml:space="preserve">; </w:t>
      </w:r>
      <w:hyperlink w:anchor="AUTO_1985_207" w:history="1">
        <w:r w:rsidRPr="00506787">
          <w:rPr>
            <w:rStyle w:val="TextoNormalCaracter"/>
          </w:rPr>
          <w:t>207/1985</w:t>
        </w:r>
      </w:hyperlink>
      <w:r w:rsidRPr="00506787">
        <w:rPr>
          <w:rStyle w:val="TextoNormalCaracter"/>
        </w:rPr>
        <w:t xml:space="preserve">; </w:t>
      </w:r>
      <w:hyperlink w:anchor="AUTO_1985_225" w:history="1">
        <w:r w:rsidRPr="00506787">
          <w:rPr>
            <w:rStyle w:val="TextoNormalCaracter"/>
          </w:rPr>
          <w:t>225/1985</w:t>
        </w:r>
      </w:hyperlink>
      <w:r w:rsidRPr="00506787">
        <w:rPr>
          <w:rStyle w:val="TextoNormalCaracter"/>
        </w:rPr>
        <w:t xml:space="preserve">; </w:t>
      </w:r>
      <w:hyperlink w:anchor="AUTO_1985_249" w:history="1">
        <w:r w:rsidRPr="00506787">
          <w:rPr>
            <w:rStyle w:val="TextoNormalCaracter"/>
          </w:rPr>
          <w:t>249/1985</w:t>
        </w:r>
      </w:hyperlink>
      <w:r w:rsidRPr="00506787">
        <w:rPr>
          <w:rStyle w:val="TextoNormalCaracter"/>
        </w:rPr>
        <w:t xml:space="preserve">; </w:t>
      </w:r>
      <w:hyperlink w:anchor="AUTO_1985_270" w:history="1">
        <w:r w:rsidRPr="00506787">
          <w:rPr>
            <w:rStyle w:val="TextoNormalCaracter"/>
          </w:rPr>
          <w:t>270/1985</w:t>
        </w:r>
      </w:hyperlink>
      <w:r w:rsidRPr="00506787">
        <w:rPr>
          <w:rStyle w:val="TextoNormalCaracter"/>
        </w:rPr>
        <w:t>.</w:t>
      </w:r>
    </w:p>
    <w:p w:rsidR="00506787" w:rsidRPr="00506787" w:rsidRDefault="00506787" w:rsidP="00506787">
      <w:pPr>
        <w:pStyle w:val="TextoNormalSangraFrancesa"/>
        <w:rPr>
          <w:rStyle w:val="TextoNormalCaracter"/>
        </w:rPr>
      </w:pPr>
      <w:bookmarkStart w:id="1238" w:name="DESCRIPTORALFABETICO544"/>
      <w:r w:rsidRPr="00506787">
        <w:rPr>
          <w:rStyle w:val="TextoNormalNegritaCaracter"/>
        </w:rPr>
        <w:t>Inadmisión de recurso contencioso-administrativo</w:t>
      </w:r>
      <w:bookmarkEnd w:id="1238"/>
      <w:r w:rsidRPr="00506787">
        <w:rPr>
          <w:rStyle w:val="TextoNormalCaracter"/>
        </w:rPr>
        <w:t xml:space="preserve">, Sentencias </w:t>
      </w:r>
      <w:hyperlink w:anchor="SENTENCIA_1985_22" w:history="1">
        <w:r w:rsidRPr="00506787">
          <w:rPr>
            <w:rStyle w:val="TextoNormalCaracter"/>
          </w:rPr>
          <w:t>22/1985</w:t>
        </w:r>
      </w:hyperlink>
      <w:r w:rsidRPr="00506787">
        <w:rPr>
          <w:rStyle w:val="TextoNormalCaracter"/>
        </w:rPr>
        <w:t xml:space="preserve">, ff. 1, 2, 3, 4, 5, 6, VP; </w:t>
      </w:r>
      <w:hyperlink w:anchor="SENTENCIA_1985_39" w:history="1">
        <w:r w:rsidRPr="00506787">
          <w:rPr>
            <w:rStyle w:val="TextoNormalCaracter"/>
          </w:rPr>
          <w:t>39/1985</w:t>
        </w:r>
      </w:hyperlink>
      <w:r w:rsidRPr="00506787">
        <w:rPr>
          <w:rStyle w:val="TextoNormalCaracter"/>
        </w:rPr>
        <w:t>, ff. 1, 2, 3, 4, VP.</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60" w:history="1">
        <w:r w:rsidRPr="00506787">
          <w:rPr>
            <w:rStyle w:val="TextoNormalCaracter"/>
          </w:rPr>
          <w:t>60/1985</w:t>
        </w:r>
      </w:hyperlink>
      <w:r w:rsidRPr="00506787">
        <w:rPr>
          <w:rStyle w:val="TextoNormalCaracter"/>
        </w:rPr>
        <w:t>.</w:t>
      </w:r>
    </w:p>
    <w:p w:rsidR="00506787" w:rsidRPr="00506787" w:rsidRDefault="00506787" w:rsidP="00506787">
      <w:pPr>
        <w:pStyle w:val="TextoNormalSangraFrancesa"/>
        <w:rPr>
          <w:rStyle w:val="TextoNormalCaracter"/>
        </w:rPr>
      </w:pPr>
      <w:bookmarkStart w:id="1239" w:name="DESCRIPTORALFABETICO212"/>
      <w:r w:rsidRPr="00506787">
        <w:rPr>
          <w:rStyle w:val="TextoNormalNegritaCaracter"/>
        </w:rPr>
        <w:t>Inadmisión de recurso de amparo</w:t>
      </w:r>
      <w:bookmarkEnd w:id="1239"/>
      <w:r w:rsidRPr="00506787">
        <w:rPr>
          <w:rStyle w:val="TextoNormalCaracter"/>
        </w:rPr>
        <w:t xml:space="preserve">, Sentencias </w:t>
      </w:r>
      <w:hyperlink w:anchor="SENTENCIA_1985_22" w:history="1">
        <w:r w:rsidRPr="00506787">
          <w:rPr>
            <w:rStyle w:val="TextoNormalCaracter"/>
          </w:rPr>
          <w:t>22/1985</w:t>
        </w:r>
      </w:hyperlink>
      <w:r w:rsidRPr="00506787">
        <w:rPr>
          <w:rStyle w:val="TextoNormalCaracter"/>
        </w:rPr>
        <w:t xml:space="preserve">, f. 2; </w:t>
      </w:r>
      <w:hyperlink w:anchor="SENTENCIA_1985_49" w:history="1">
        <w:r w:rsidRPr="00506787">
          <w:rPr>
            <w:rStyle w:val="TextoNormalCaracter"/>
          </w:rPr>
          <w:t>49/1985</w:t>
        </w:r>
      </w:hyperlink>
      <w:r w:rsidRPr="00506787">
        <w:rPr>
          <w:rStyle w:val="TextoNormalCaracter"/>
        </w:rPr>
        <w:t xml:space="preserve">, f. 2; </w:t>
      </w:r>
      <w:hyperlink w:anchor="SENTENCIA_1985_55" w:history="1">
        <w:r w:rsidRPr="00506787">
          <w:rPr>
            <w:rStyle w:val="TextoNormalCaracter"/>
          </w:rPr>
          <w:t>55/1985</w:t>
        </w:r>
      </w:hyperlink>
      <w:r w:rsidRPr="00506787">
        <w:rPr>
          <w:rStyle w:val="TextoNormalCaracter"/>
        </w:rPr>
        <w:t>, f. 1.</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3" w:history="1">
        <w:r w:rsidRPr="00506787">
          <w:rPr>
            <w:rStyle w:val="TextoNormalCaracter"/>
          </w:rPr>
          <w:t>3/1985</w:t>
        </w:r>
      </w:hyperlink>
      <w:r w:rsidRPr="00506787">
        <w:rPr>
          <w:rStyle w:val="TextoNormalCaracter"/>
        </w:rPr>
        <w:t xml:space="preserve">; </w:t>
      </w:r>
      <w:hyperlink w:anchor="AUTO_1985_20" w:history="1">
        <w:r w:rsidRPr="00506787">
          <w:rPr>
            <w:rStyle w:val="TextoNormalCaracter"/>
          </w:rPr>
          <w:t>20/1985</w:t>
        </w:r>
      </w:hyperlink>
      <w:r w:rsidRPr="00506787">
        <w:rPr>
          <w:rStyle w:val="TextoNormalCaracter"/>
        </w:rPr>
        <w:t xml:space="preserve">; </w:t>
      </w:r>
      <w:hyperlink w:anchor="AUTO_1985_21" w:history="1">
        <w:r w:rsidRPr="00506787">
          <w:rPr>
            <w:rStyle w:val="TextoNormalCaracter"/>
          </w:rPr>
          <w:t>21/1985</w:t>
        </w:r>
      </w:hyperlink>
      <w:r w:rsidRPr="00506787">
        <w:rPr>
          <w:rStyle w:val="TextoNormalCaracter"/>
        </w:rPr>
        <w:t xml:space="preserve">; </w:t>
      </w:r>
      <w:hyperlink w:anchor="AUTO_1985_27" w:history="1">
        <w:r w:rsidRPr="00506787">
          <w:rPr>
            <w:rStyle w:val="TextoNormalCaracter"/>
          </w:rPr>
          <w:t>27/1985</w:t>
        </w:r>
      </w:hyperlink>
      <w:r w:rsidRPr="00506787">
        <w:rPr>
          <w:rStyle w:val="TextoNormalCaracter"/>
        </w:rPr>
        <w:t xml:space="preserve">; </w:t>
      </w:r>
      <w:hyperlink w:anchor="AUTO_1985_28" w:history="1">
        <w:r w:rsidRPr="00506787">
          <w:rPr>
            <w:rStyle w:val="TextoNormalCaracter"/>
          </w:rPr>
          <w:t>28/1985</w:t>
        </w:r>
      </w:hyperlink>
      <w:r w:rsidRPr="00506787">
        <w:rPr>
          <w:rStyle w:val="TextoNormalCaracter"/>
        </w:rPr>
        <w:t xml:space="preserve">; </w:t>
      </w:r>
      <w:hyperlink w:anchor="AUTO_1985_29" w:history="1">
        <w:r w:rsidRPr="00506787">
          <w:rPr>
            <w:rStyle w:val="TextoNormalCaracter"/>
          </w:rPr>
          <w:t>29/1985</w:t>
        </w:r>
      </w:hyperlink>
      <w:r w:rsidRPr="00506787">
        <w:rPr>
          <w:rStyle w:val="TextoNormalCaracter"/>
        </w:rPr>
        <w:t xml:space="preserve">; </w:t>
      </w:r>
      <w:hyperlink w:anchor="AUTO_1985_31" w:history="1">
        <w:r w:rsidRPr="00506787">
          <w:rPr>
            <w:rStyle w:val="TextoNormalCaracter"/>
          </w:rPr>
          <w:t>31/1985</w:t>
        </w:r>
      </w:hyperlink>
      <w:r w:rsidRPr="00506787">
        <w:rPr>
          <w:rStyle w:val="TextoNormalCaracter"/>
        </w:rPr>
        <w:t xml:space="preserve">; </w:t>
      </w:r>
      <w:hyperlink w:anchor="AUTO_1985_37" w:history="1">
        <w:r w:rsidRPr="00506787">
          <w:rPr>
            <w:rStyle w:val="TextoNormalCaracter"/>
          </w:rPr>
          <w:t>37/1985</w:t>
        </w:r>
      </w:hyperlink>
      <w:r w:rsidRPr="00506787">
        <w:rPr>
          <w:rStyle w:val="TextoNormalCaracter"/>
        </w:rPr>
        <w:t xml:space="preserve">; </w:t>
      </w:r>
      <w:hyperlink w:anchor="AUTO_1985_41" w:history="1">
        <w:r w:rsidRPr="00506787">
          <w:rPr>
            <w:rStyle w:val="TextoNormalCaracter"/>
          </w:rPr>
          <w:t>41/1985</w:t>
        </w:r>
      </w:hyperlink>
      <w:r w:rsidRPr="00506787">
        <w:rPr>
          <w:rStyle w:val="TextoNormalCaracter"/>
        </w:rPr>
        <w:t xml:space="preserve">; </w:t>
      </w:r>
      <w:hyperlink w:anchor="AUTO_1985_42" w:history="1">
        <w:r w:rsidRPr="00506787">
          <w:rPr>
            <w:rStyle w:val="TextoNormalCaracter"/>
          </w:rPr>
          <w:t>42/1985</w:t>
        </w:r>
      </w:hyperlink>
      <w:r w:rsidRPr="00506787">
        <w:rPr>
          <w:rStyle w:val="TextoNormalCaracter"/>
        </w:rPr>
        <w:t xml:space="preserve">; </w:t>
      </w:r>
      <w:hyperlink w:anchor="AUTO_1985_45" w:history="1">
        <w:r w:rsidRPr="00506787">
          <w:rPr>
            <w:rStyle w:val="TextoNormalCaracter"/>
          </w:rPr>
          <w:t>45/1985</w:t>
        </w:r>
      </w:hyperlink>
      <w:r w:rsidRPr="00506787">
        <w:rPr>
          <w:rStyle w:val="TextoNormalCaracter"/>
        </w:rPr>
        <w:t xml:space="preserve">; </w:t>
      </w:r>
      <w:hyperlink w:anchor="AUTO_1985_46" w:history="1">
        <w:r w:rsidRPr="00506787">
          <w:rPr>
            <w:rStyle w:val="TextoNormalCaracter"/>
          </w:rPr>
          <w:t>46/1985</w:t>
        </w:r>
      </w:hyperlink>
      <w:r w:rsidRPr="00506787">
        <w:rPr>
          <w:rStyle w:val="TextoNormalCaracter"/>
        </w:rPr>
        <w:t xml:space="preserve">; </w:t>
      </w:r>
      <w:hyperlink w:anchor="AUTO_1985_49" w:history="1">
        <w:r w:rsidRPr="00506787">
          <w:rPr>
            <w:rStyle w:val="TextoNormalCaracter"/>
          </w:rPr>
          <w:t>49/1985</w:t>
        </w:r>
      </w:hyperlink>
      <w:r w:rsidRPr="00506787">
        <w:rPr>
          <w:rStyle w:val="TextoNormalCaracter"/>
        </w:rPr>
        <w:t xml:space="preserve">; </w:t>
      </w:r>
      <w:hyperlink w:anchor="AUTO_1985_50" w:history="1">
        <w:r w:rsidRPr="00506787">
          <w:rPr>
            <w:rStyle w:val="TextoNormalCaracter"/>
          </w:rPr>
          <w:t>50/1985</w:t>
        </w:r>
      </w:hyperlink>
      <w:r w:rsidRPr="00506787">
        <w:rPr>
          <w:rStyle w:val="TextoNormalCaracter"/>
        </w:rPr>
        <w:t xml:space="preserve">; </w:t>
      </w:r>
      <w:hyperlink w:anchor="AUTO_1985_51" w:history="1">
        <w:r w:rsidRPr="00506787">
          <w:rPr>
            <w:rStyle w:val="TextoNormalCaracter"/>
          </w:rPr>
          <w:t>51/1985</w:t>
        </w:r>
      </w:hyperlink>
      <w:r w:rsidRPr="00506787">
        <w:rPr>
          <w:rStyle w:val="TextoNormalCaracter"/>
        </w:rPr>
        <w:t xml:space="preserve">; </w:t>
      </w:r>
      <w:hyperlink w:anchor="AUTO_1985_53" w:history="1">
        <w:r w:rsidRPr="00506787">
          <w:rPr>
            <w:rStyle w:val="TextoNormalCaracter"/>
          </w:rPr>
          <w:t>53/1985</w:t>
        </w:r>
      </w:hyperlink>
      <w:r w:rsidRPr="00506787">
        <w:rPr>
          <w:rStyle w:val="TextoNormalCaracter"/>
        </w:rPr>
        <w:t xml:space="preserve">; </w:t>
      </w:r>
      <w:hyperlink w:anchor="AUTO_1985_56" w:history="1">
        <w:r w:rsidRPr="00506787">
          <w:rPr>
            <w:rStyle w:val="TextoNormalCaracter"/>
          </w:rPr>
          <w:t>56/1985</w:t>
        </w:r>
      </w:hyperlink>
      <w:r w:rsidRPr="00506787">
        <w:rPr>
          <w:rStyle w:val="TextoNormalCaracter"/>
        </w:rPr>
        <w:t xml:space="preserve">; </w:t>
      </w:r>
      <w:hyperlink w:anchor="AUTO_1985_59" w:history="1">
        <w:r w:rsidRPr="00506787">
          <w:rPr>
            <w:rStyle w:val="TextoNormalCaracter"/>
          </w:rPr>
          <w:t>59/1985</w:t>
        </w:r>
      </w:hyperlink>
      <w:r w:rsidRPr="00506787">
        <w:rPr>
          <w:rStyle w:val="TextoNormalCaracter"/>
        </w:rPr>
        <w:t xml:space="preserve">; </w:t>
      </w:r>
      <w:hyperlink w:anchor="AUTO_1985_60" w:history="1">
        <w:r w:rsidRPr="00506787">
          <w:rPr>
            <w:rStyle w:val="TextoNormalCaracter"/>
          </w:rPr>
          <w:t>60/1985</w:t>
        </w:r>
      </w:hyperlink>
      <w:r w:rsidRPr="00506787">
        <w:rPr>
          <w:rStyle w:val="TextoNormalCaracter"/>
        </w:rPr>
        <w:t xml:space="preserve">; </w:t>
      </w:r>
      <w:hyperlink w:anchor="AUTO_1985_63" w:history="1">
        <w:r w:rsidRPr="00506787">
          <w:rPr>
            <w:rStyle w:val="TextoNormalCaracter"/>
          </w:rPr>
          <w:t>63/1985</w:t>
        </w:r>
      </w:hyperlink>
      <w:r w:rsidRPr="00506787">
        <w:rPr>
          <w:rStyle w:val="TextoNormalCaracter"/>
        </w:rPr>
        <w:t xml:space="preserve">; </w:t>
      </w:r>
      <w:hyperlink w:anchor="AUTO_1985_66" w:history="1">
        <w:r w:rsidRPr="00506787">
          <w:rPr>
            <w:rStyle w:val="TextoNormalCaracter"/>
          </w:rPr>
          <w:t>66/1985</w:t>
        </w:r>
      </w:hyperlink>
      <w:r w:rsidRPr="00506787">
        <w:rPr>
          <w:rStyle w:val="TextoNormalCaracter"/>
        </w:rPr>
        <w:t xml:space="preserve">; </w:t>
      </w:r>
      <w:hyperlink w:anchor="AUTO_1985_67" w:history="1">
        <w:r w:rsidRPr="00506787">
          <w:rPr>
            <w:rStyle w:val="TextoNormalCaracter"/>
          </w:rPr>
          <w:t>67/1985</w:t>
        </w:r>
      </w:hyperlink>
      <w:r w:rsidRPr="00506787">
        <w:rPr>
          <w:rStyle w:val="TextoNormalCaracter"/>
        </w:rPr>
        <w:t xml:space="preserve">; </w:t>
      </w:r>
      <w:hyperlink w:anchor="AUTO_1985_69" w:history="1">
        <w:r w:rsidRPr="00506787">
          <w:rPr>
            <w:rStyle w:val="TextoNormalCaracter"/>
          </w:rPr>
          <w:t>69/1985</w:t>
        </w:r>
      </w:hyperlink>
      <w:r w:rsidRPr="00506787">
        <w:rPr>
          <w:rStyle w:val="TextoNormalCaracter"/>
        </w:rPr>
        <w:t xml:space="preserve">; </w:t>
      </w:r>
      <w:hyperlink w:anchor="AUTO_1985_70" w:history="1">
        <w:r w:rsidRPr="00506787">
          <w:rPr>
            <w:rStyle w:val="TextoNormalCaracter"/>
          </w:rPr>
          <w:t>70/1985</w:t>
        </w:r>
      </w:hyperlink>
      <w:r w:rsidRPr="00506787">
        <w:rPr>
          <w:rStyle w:val="TextoNormalCaracter"/>
        </w:rPr>
        <w:t xml:space="preserve">; </w:t>
      </w:r>
      <w:hyperlink w:anchor="AUTO_1985_73" w:history="1">
        <w:r w:rsidRPr="00506787">
          <w:rPr>
            <w:rStyle w:val="TextoNormalCaracter"/>
          </w:rPr>
          <w:t>73/1985</w:t>
        </w:r>
      </w:hyperlink>
      <w:r w:rsidRPr="00506787">
        <w:rPr>
          <w:rStyle w:val="TextoNormalCaracter"/>
        </w:rPr>
        <w:t xml:space="preserve">; </w:t>
      </w:r>
      <w:hyperlink w:anchor="AUTO_1985_76" w:history="1">
        <w:r w:rsidRPr="00506787">
          <w:rPr>
            <w:rStyle w:val="TextoNormalCaracter"/>
          </w:rPr>
          <w:t>76/1985</w:t>
        </w:r>
      </w:hyperlink>
      <w:r w:rsidRPr="00506787">
        <w:rPr>
          <w:rStyle w:val="TextoNormalCaracter"/>
        </w:rPr>
        <w:t xml:space="preserve">; </w:t>
      </w:r>
      <w:hyperlink w:anchor="AUTO_1985_77" w:history="1">
        <w:r w:rsidRPr="00506787">
          <w:rPr>
            <w:rStyle w:val="TextoNormalCaracter"/>
          </w:rPr>
          <w:t>77/1985</w:t>
        </w:r>
      </w:hyperlink>
      <w:r w:rsidRPr="00506787">
        <w:rPr>
          <w:rStyle w:val="TextoNormalCaracter"/>
        </w:rPr>
        <w:t xml:space="preserve">; </w:t>
      </w:r>
      <w:hyperlink w:anchor="AUTO_1985_78" w:history="1">
        <w:r w:rsidRPr="00506787">
          <w:rPr>
            <w:rStyle w:val="TextoNormalCaracter"/>
          </w:rPr>
          <w:t>78/1985</w:t>
        </w:r>
      </w:hyperlink>
      <w:r w:rsidRPr="00506787">
        <w:rPr>
          <w:rStyle w:val="TextoNormalCaracter"/>
        </w:rPr>
        <w:t xml:space="preserve">; </w:t>
      </w:r>
      <w:hyperlink w:anchor="AUTO_1985_79" w:history="1">
        <w:r w:rsidRPr="00506787">
          <w:rPr>
            <w:rStyle w:val="TextoNormalCaracter"/>
          </w:rPr>
          <w:t>79/1985</w:t>
        </w:r>
      </w:hyperlink>
      <w:r w:rsidRPr="00506787">
        <w:rPr>
          <w:rStyle w:val="TextoNormalCaracter"/>
        </w:rPr>
        <w:t xml:space="preserve">; </w:t>
      </w:r>
      <w:hyperlink w:anchor="AUTO_1985_80" w:history="1">
        <w:r w:rsidRPr="00506787">
          <w:rPr>
            <w:rStyle w:val="TextoNormalCaracter"/>
          </w:rPr>
          <w:t>80/1985</w:t>
        </w:r>
      </w:hyperlink>
      <w:r w:rsidRPr="00506787">
        <w:rPr>
          <w:rStyle w:val="TextoNormalCaracter"/>
        </w:rPr>
        <w:t xml:space="preserve">; </w:t>
      </w:r>
      <w:hyperlink w:anchor="AUTO_1985_81" w:history="1">
        <w:r w:rsidRPr="00506787">
          <w:rPr>
            <w:rStyle w:val="TextoNormalCaracter"/>
          </w:rPr>
          <w:t>81/1985</w:t>
        </w:r>
      </w:hyperlink>
      <w:r w:rsidRPr="00506787">
        <w:rPr>
          <w:rStyle w:val="TextoNormalCaracter"/>
        </w:rPr>
        <w:t xml:space="preserve">; </w:t>
      </w:r>
      <w:hyperlink w:anchor="AUTO_1985_82" w:history="1">
        <w:r w:rsidRPr="00506787">
          <w:rPr>
            <w:rStyle w:val="TextoNormalCaracter"/>
          </w:rPr>
          <w:t>82/1985</w:t>
        </w:r>
      </w:hyperlink>
      <w:r w:rsidRPr="00506787">
        <w:rPr>
          <w:rStyle w:val="TextoNormalCaracter"/>
        </w:rPr>
        <w:t xml:space="preserve">; </w:t>
      </w:r>
      <w:hyperlink w:anchor="AUTO_1985_83" w:history="1">
        <w:r w:rsidRPr="00506787">
          <w:rPr>
            <w:rStyle w:val="TextoNormalCaracter"/>
          </w:rPr>
          <w:t>83/1985</w:t>
        </w:r>
      </w:hyperlink>
      <w:r w:rsidRPr="00506787">
        <w:rPr>
          <w:rStyle w:val="TextoNormalCaracter"/>
        </w:rPr>
        <w:t xml:space="preserve">; </w:t>
      </w:r>
      <w:hyperlink w:anchor="AUTO_1985_86" w:history="1">
        <w:r w:rsidRPr="00506787">
          <w:rPr>
            <w:rStyle w:val="TextoNormalCaracter"/>
          </w:rPr>
          <w:t>86/1985</w:t>
        </w:r>
      </w:hyperlink>
      <w:r w:rsidRPr="00506787">
        <w:rPr>
          <w:rStyle w:val="TextoNormalCaracter"/>
        </w:rPr>
        <w:t xml:space="preserve">; </w:t>
      </w:r>
      <w:hyperlink w:anchor="AUTO_1985_87" w:history="1">
        <w:r w:rsidRPr="00506787">
          <w:rPr>
            <w:rStyle w:val="TextoNormalCaracter"/>
          </w:rPr>
          <w:t>87/1985</w:t>
        </w:r>
      </w:hyperlink>
      <w:r w:rsidRPr="00506787">
        <w:rPr>
          <w:rStyle w:val="TextoNormalCaracter"/>
        </w:rPr>
        <w:t xml:space="preserve">; </w:t>
      </w:r>
      <w:hyperlink w:anchor="AUTO_1985_88" w:history="1">
        <w:r w:rsidRPr="00506787">
          <w:rPr>
            <w:rStyle w:val="TextoNormalCaracter"/>
          </w:rPr>
          <w:t>88/1985</w:t>
        </w:r>
      </w:hyperlink>
      <w:r w:rsidRPr="00506787">
        <w:rPr>
          <w:rStyle w:val="TextoNormalCaracter"/>
        </w:rPr>
        <w:t xml:space="preserve">; </w:t>
      </w:r>
      <w:hyperlink w:anchor="AUTO_1985_89" w:history="1">
        <w:r w:rsidRPr="00506787">
          <w:rPr>
            <w:rStyle w:val="TextoNormalCaracter"/>
          </w:rPr>
          <w:t>89/1985</w:t>
        </w:r>
      </w:hyperlink>
      <w:r w:rsidRPr="00506787">
        <w:rPr>
          <w:rStyle w:val="TextoNormalCaracter"/>
        </w:rPr>
        <w:t xml:space="preserve">; </w:t>
      </w:r>
      <w:hyperlink w:anchor="AUTO_1985_90" w:history="1">
        <w:r w:rsidRPr="00506787">
          <w:rPr>
            <w:rStyle w:val="TextoNormalCaracter"/>
          </w:rPr>
          <w:t>90/1985</w:t>
        </w:r>
      </w:hyperlink>
      <w:r w:rsidRPr="00506787">
        <w:rPr>
          <w:rStyle w:val="TextoNormalCaracter"/>
        </w:rPr>
        <w:t xml:space="preserve">; </w:t>
      </w:r>
      <w:hyperlink w:anchor="AUTO_1985_94" w:history="1">
        <w:r w:rsidRPr="00506787">
          <w:rPr>
            <w:rStyle w:val="TextoNormalCaracter"/>
          </w:rPr>
          <w:t>94/1985</w:t>
        </w:r>
      </w:hyperlink>
      <w:r w:rsidRPr="00506787">
        <w:rPr>
          <w:rStyle w:val="TextoNormalCaracter"/>
        </w:rPr>
        <w:t xml:space="preserve">; </w:t>
      </w:r>
      <w:hyperlink w:anchor="AUTO_1985_95" w:history="1">
        <w:r w:rsidRPr="00506787">
          <w:rPr>
            <w:rStyle w:val="TextoNormalCaracter"/>
          </w:rPr>
          <w:t>95/1985</w:t>
        </w:r>
      </w:hyperlink>
      <w:r w:rsidRPr="00506787">
        <w:rPr>
          <w:rStyle w:val="TextoNormalCaracter"/>
        </w:rPr>
        <w:t xml:space="preserve">; </w:t>
      </w:r>
      <w:hyperlink w:anchor="AUTO_1985_97" w:history="1">
        <w:r w:rsidRPr="00506787">
          <w:rPr>
            <w:rStyle w:val="TextoNormalCaracter"/>
          </w:rPr>
          <w:t>97/1985</w:t>
        </w:r>
      </w:hyperlink>
      <w:r w:rsidRPr="00506787">
        <w:rPr>
          <w:rStyle w:val="TextoNormalCaracter"/>
        </w:rPr>
        <w:t xml:space="preserve">; </w:t>
      </w:r>
      <w:hyperlink w:anchor="AUTO_1985_98" w:history="1">
        <w:r w:rsidRPr="00506787">
          <w:rPr>
            <w:rStyle w:val="TextoNormalCaracter"/>
          </w:rPr>
          <w:t>98/1985</w:t>
        </w:r>
      </w:hyperlink>
      <w:r w:rsidRPr="00506787">
        <w:rPr>
          <w:rStyle w:val="TextoNormalCaracter"/>
        </w:rPr>
        <w:t xml:space="preserve">; </w:t>
      </w:r>
      <w:hyperlink w:anchor="AUTO_1985_103" w:history="1">
        <w:r w:rsidRPr="00506787">
          <w:rPr>
            <w:rStyle w:val="TextoNormalCaracter"/>
          </w:rPr>
          <w:t>103/1985</w:t>
        </w:r>
      </w:hyperlink>
      <w:r w:rsidRPr="00506787">
        <w:rPr>
          <w:rStyle w:val="TextoNormalCaracter"/>
        </w:rPr>
        <w:t xml:space="preserve">; </w:t>
      </w:r>
      <w:hyperlink w:anchor="AUTO_1985_104" w:history="1">
        <w:r w:rsidRPr="00506787">
          <w:rPr>
            <w:rStyle w:val="TextoNormalCaracter"/>
          </w:rPr>
          <w:t>104/1985</w:t>
        </w:r>
      </w:hyperlink>
      <w:r w:rsidRPr="00506787">
        <w:rPr>
          <w:rStyle w:val="TextoNormalCaracter"/>
        </w:rPr>
        <w:t xml:space="preserve">; </w:t>
      </w:r>
      <w:hyperlink w:anchor="AUTO_1985_105" w:history="1">
        <w:r w:rsidRPr="00506787">
          <w:rPr>
            <w:rStyle w:val="TextoNormalCaracter"/>
          </w:rPr>
          <w:t>105/1985</w:t>
        </w:r>
      </w:hyperlink>
      <w:r w:rsidRPr="00506787">
        <w:rPr>
          <w:rStyle w:val="TextoNormalCaracter"/>
        </w:rPr>
        <w:t xml:space="preserve">; </w:t>
      </w:r>
      <w:hyperlink w:anchor="AUTO_1985_107" w:history="1">
        <w:r w:rsidRPr="00506787">
          <w:rPr>
            <w:rStyle w:val="TextoNormalCaracter"/>
          </w:rPr>
          <w:t>107/1985</w:t>
        </w:r>
      </w:hyperlink>
      <w:r w:rsidRPr="00506787">
        <w:rPr>
          <w:rStyle w:val="TextoNormalCaracter"/>
        </w:rPr>
        <w:t xml:space="preserve">; </w:t>
      </w:r>
      <w:hyperlink w:anchor="AUTO_1985_109" w:history="1">
        <w:r w:rsidRPr="00506787">
          <w:rPr>
            <w:rStyle w:val="TextoNormalCaracter"/>
          </w:rPr>
          <w:t>109/1985</w:t>
        </w:r>
      </w:hyperlink>
      <w:r w:rsidRPr="00506787">
        <w:rPr>
          <w:rStyle w:val="TextoNormalCaracter"/>
        </w:rPr>
        <w:t xml:space="preserve">; </w:t>
      </w:r>
      <w:hyperlink w:anchor="AUTO_1985_116" w:history="1">
        <w:r w:rsidRPr="00506787">
          <w:rPr>
            <w:rStyle w:val="TextoNormalCaracter"/>
          </w:rPr>
          <w:t>116/1985</w:t>
        </w:r>
      </w:hyperlink>
      <w:r w:rsidRPr="00506787">
        <w:rPr>
          <w:rStyle w:val="TextoNormalCaracter"/>
        </w:rPr>
        <w:t xml:space="preserve">; </w:t>
      </w:r>
      <w:hyperlink w:anchor="AUTO_1985_118" w:history="1">
        <w:r w:rsidRPr="00506787">
          <w:rPr>
            <w:rStyle w:val="TextoNormalCaracter"/>
          </w:rPr>
          <w:t>118/1985</w:t>
        </w:r>
      </w:hyperlink>
      <w:r w:rsidRPr="00506787">
        <w:rPr>
          <w:rStyle w:val="TextoNormalCaracter"/>
        </w:rPr>
        <w:t xml:space="preserve">; </w:t>
      </w:r>
      <w:hyperlink w:anchor="AUTO_1985_119" w:history="1">
        <w:r w:rsidRPr="00506787">
          <w:rPr>
            <w:rStyle w:val="TextoNormalCaracter"/>
          </w:rPr>
          <w:t>119/1985</w:t>
        </w:r>
      </w:hyperlink>
      <w:r w:rsidRPr="00506787">
        <w:rPr>
          <w:rStyle w:val="TextoNormalCaracter"/>
        </w:rPr>
        <w:t xml:space="preserve">; </w:t>
      </w:r>
      <w:hyperlink w:anchor="AUTO_1985_122" w:history="1">
        <w:r w:rsidRPr="00506787">
          <w:rPr>
            <w:rStyle w:val="TextoNormalCaracter"/>
          </w:rPr>
          <w:t>122/1985</w:t>
        </w:r>
      </w:hyperlink>
      <w:r w:rsidRPr="00506787">
        <w:rPr>
          <w:rStyle w:val="TextoNormalCaracter"/>
        </w:rPr>
        <w:t xml:space="preserve">; </w:t>
      </w:r>
      <w:hyperlink w:anchor="AUTO_1985_130" w:history="1">
        <w:r w:rsidRPr="00506787">
          <w:rPr>
            <w:rStyle w:val="TextoNormalCaracter"/>
          </w:rPr>
          <w:t>130/1985</w:t>
        </w:r>
      </w:hyperlink>
      <w:r w:rsidRPr="00506787">
        <w:rPr>
          <w:rStyle w:val="TextoNormalCaracter"/>
        </w:rPr>
        <w:t xml:space="preserve">; </w:t>
      </w:r>
      <w:hyperlink w:anchor="AUTO_1985_131" w:history="1">
        <w:r w:rsidRPr="00506787">
          <w:rPr>
            <w:rStyle w:val="TextoNormalCaracter"/>
          </w:rPr>
          <w:t>131/1985</w:t>
        </w:r>
      </w:hyperlink>
      <w:r w:rsidRPr="00506787">
        <w:rPr>
          <w:rStyle w:val="TextoNormalCaracter"/>
        </w:rPr>
        <w:t xml:space="preserve">; </w:t>
      </w:r>
      <w:hyperlink w:anchor="AUTO_1985_134" w:history="1">
        <w:r w:rsidRPr="00506787">
          <w:rPr>
            <w:rStyle w:val="TextoNormalCaracter"/>
          </w:rPr>
          <w:t>134/1985</w:t>
        </w:r>
      </w:hyperlink>
      <w:r w:rsidRPr="00506787">
        <w:rPr>
          <w:rStyle w:val="TextoNormalCaracter"/>
        </w:rPr>
        <w:t xml:space="preserve">; </w:t>
      </w:r>
      <w:hyperlink w:anchor="AUTO_1985_138" w:history="1">
        <w:r w:rsidRPr="00506787">
          <w:rPr>
            <w:rStyle w:val="TextoNormalCaracter"/>
          </w:rPr>
          <w:t>138/1985</w:t>
        </w:r>
      </w:hyperlink>
      <w:r w:rsidRPr="00506787">
        <w:rPr>
          <w:rStyle w:val="TextoNormalCaracter"/>
        </w:rPr>
        <w:t xml:space="preserve">; </w:t>
      </w:r>
      <w:hyperlink w:anchor="AUTO_1985_143" w:history="1">
        <w:r w:rsidRPr="00506787">
          <w:rPr>
            <w:rStyle w:val="TextoNormalCaracter"/>
          </w:rPr>
          <w:t>143/1985</w:t>
        </w:r>
      </w:hyperlink>
      <w:r w:rsidRPr="00506787">
        <w:rPr>
          <w:rStyle w:val="TextoNormalCaracter"/>
        </w:rPr>
        <w:t xml:space="preserve">; </w:t>
      </w:r>
      <w:hyperlink w:anchor="AUTO_1985_146" w:history="1">
        <w:r w:rsidRPr="00506787">
          <w:rPr>
            <w:rStyle w:val="TextoNormalCaracter"/>
          </w:rPr>
          <w:t>146/1985</w:t>
        </w:r>
      </w:hyperlink>
      <w:r w:rsidRPr="00506787">
        <w:rPr>
          <w:rStyle w:val="TextoNormalCaracter"/>
        </w:rPr>
        <w:t xml:space="preserve">; </w:t>
      </w:r>
      <w:hyperlink w:anchor="AUTO_1985_150" w:history="1">
        <w:r w:rsidRPr="00506787">
          <w:rPr>
            <w:rStyle w:val="TextoNormalCaracter"/>
          </w:rPr>
          <w:t>150/1985</w:t>
        </w:r>
      </w:hyperlink>
      <w:r w:rsidRPr="00506787">
        <w:rPr>
          <w:rStyle w:val="TextoNormalCaracter"/>
        </w:rPr>
        <w:t xml:space="preserve">; </w:t>
      </w:r>
      <w:hyperlink w:anchor="AUTO_1985_153" w:history="1">
        <w:r w:rsidRPr="00506787">
          <w:rPr>
            <w:rStyle w:val="TextoNormalCaracter"/>
          </w:rPr>
          <w:t>153/1985</w:t>
        </w:r>
      </w:hyperlink>
      <w:r w:rsidRPr="00506787">
        <w:rPr>
          <w:rStyle w:val="TextoNormalCaracter"/>
        </w:rPr>
        <w:t xml:space="preserve">; </w:t>
      </w:r>
      <w:hyperlink w:anchor="AUTO_1985_155" w:history="1">
        <w:r w:rsidRPr="00506787">
          <w:rPr>
            <w:rStyle w:val="TextoNormalCaracter"/>
          </w:rPr>
          <w:t>155/1985</w:t>
        </w:r>
      </w:hyperlink>
      <w:r w:rsidRPr="00506787">
        <w:rPr>
          <w:rStyle w:val="TextoNormalCaracter"/>
        </w:rPr>
        <w:t xml:space="preserve">; </w:t>
      </w:r>
      <w:hyperlink w:anchor="AUTO_1985_157" w:history="1">
        <w:r w:rsidRPr="00506787">
          <w:rPr>
            <w:rStyle w:val="TextoNormalCaracter"/>
          </w:rPr>
          <w:t>157/1985</w:t>
        </w:r>
      </w:hyperlink>
      <w:r w:rsidRPr="00506787">
        <w:rPr>
          <w:rStyle w:val="TextoNormalCaracter"/>
        </w:rPr>
        <w:t xml:space="preserve">; </w:t>
      </w:r>
      <w:hyperlink w:anchor="AUTO_1985_159" w:history="1">
        <w:r w:rsidRPr="00506787">
          <w:rPr>
            <w:rStyle w:val="TextoNormalCaracter"/>
          </w:rPr>
          <w:t>159/1985</w:t>
        </w:r>
      </w:hyperlink>
      <w:r w:rsidRPr="00506787">
        <w:rPr>
          <w:rStyle w:val="TextoNormalCaracter"/>
        </w:rPr>
        <w:t xml:space="preserve">; </w:t>
      </w:r>
      <w:hyperlink w:anchor="AUTO_1985_160" w:history="1">
        <w:r w:rsidRPr="00506787">
          <w:rPr>
            <w:rStyle w:val="TextoNormalCaracter"/>
          </w:rPr>
          <w:t>160/1985</w:t>
        </w:r>
      </w:hyperlink>
      <w:r w:rsidRPr="00506787">
        <w:rPr>
          <w:rStyle w:val="TextoNormalCaracter"/>
        </w:rPr>
        <w:t xml:space="preserve">; </w:t>
      </w:r>
      <w:hyperlink w:anchor="AUTO_1985_161" w:history="1">
        <w:r w:rsidRPr="00506787">
          <w:rPr>
            <w:rStyle w:val="TextoNormalCaracter"/>
          </w:rPr>
          <w:t>161/1985</w:t>
        </w:r>
      </w:hyperlink>
      <w:r w:rsidRPr="00506787">
        <w:rPr>
          <w:rStyle w:val="TextoNormalCaracter"/>
        </w:rPr>
        <w:t xml:space="preserve">; </w:t>
      </w:r>
      <w:hyperlink w:anchor="AUTO_1985_163" w:history="1">
        <w:r w:rsidRPr="00506787">
          <w:rPr>
            <w:rStyle w:val="TextoNormalCaracter"/>
          </w:rPr>
          <w:t>163/1985</w:t>
        </w:r>
      </w:hyperlink>
      <w:r w:rsidRPr="00506787">
        <w:rPr>
          <w:rStyle w:val="TextoNormalCaracter"/>
        </w:rPr>
        <w:t xml:space="preserve">; </w:t>
      </w:r>
      <w:hyperlink w:anchor="AUTO_1985_164" w:history="1">
        <w:r w:rsidRPr="00506787">
          <w:rPr>
            <w:rStyle w:val="TextoNormalCaracter"/>
          </w:rPr>
          <w:t>164/1985</w:t>
        </w:r>
      </w:hyperlink>
      <w:r w:rsidRPr="00506787">
        <w:rPr>
          <w:rStyle w:val="TextoNormalCaracter"/>
        </w:rPr>
        <w:t xml:space="preserve">; </w:t>
      </w:r>
      <w:hyperlink w:anchor="AUTO_1985_166" w:history="1">
        <w:r w:rsidRPr="00506787">
          <w:rPr>
            <w:rStyle w:val="TextoNormalCaracter"/>
          </w:rPr>
          <w:t>166/1985</w:t>
        </w:r>
      </w:hyperlink>
      <w:r w:rsidRPr="00506787">
        <w:rPr>
          <w:rStyle w:val="TextoNormalCaracter"/>
        </w:rPr>
        <w:t xml:space="preserve">; </w:t>
      </w:r>
      <w:hyperlink w:anchor="AUTO_1985_168" w:history="1">
        <w:r w:rsidRPr="00506787">
          <w:rPr>
            <w:rStyle w:val="TextoNormalCaracter"/>
          </w:rPr>
          <w:t>168/1985</w:t>
        </w:r>
      </w:hyperlink>
      <w:r w:rsidRPr="00506787">
        <w:rPr>
          <w:rStyle w:val="TextoNormalCaracter"/>
        </w:rPr>
        <w:t xml:space="preserve">; </w:t>
      </w:r>
      <w:hyperlink w:anchor="AUTO_1985_169" w:history="1">
        <w:r w:rsidRPr="00506787">
          <w:rPr>
            <w:rStyle w:val="TextoNormalCaracter"/>
          </w:rPr>
          <w:t>169/1985</w:t>
        </w:r>
      </w:hyperlink>
      <w:r w:rsidRPr="00506787">
        <w:rPr>
          <w:rStyle w:val="TextoNormalCaracter"/>
        </w:rPr>
        <w:t xml:space="preserve">; </w:t>
      </w:r>
      <w:hyperlink w:anchor="AUTO_1985_170" w:history="1">
        <w:r w:rsidRPr="00506787">
          <w:rPr>
            <w:rStyle w:val="TextoNormalCaracter"/>
          </w:rPr>
          <w:t>170/1985</w:t>
        </w:r>
      </w:hyperlink>
      <w:r w:rsidRPr="00506787">
        <w:rPr>
          <w:rStyle w:val="TextoNormalCaracter"/>
        </w:rPr>
        <w:t xml:space="preserve">; </w:t>
      </w:r>
      <w:hyperlink w:anchor="AUTO_1985_171" w:history="1">
        <w:r w:rsidRPr="00506787">
          <w:rPr>
            <w:rStyle w:val="TextoNormalCaracter"/>
          </w:rPr>
          <w:t>171/1985</w:t>
        </w:r>
      </w:hyperlink>
      <w:r w:rsidRPr="00506787">
        <w:rPr>
          <w:rStyle w:val="TextoNormalCaracter"/>
        </w:rPr>
        <w:t xml:space="preserve">; </w:t>
      </w:r>
      <w:hyperlink w:anchor="AUTO_1985_177" w:history="1">
        <w:r w:rsidRPr="00506787">
          <w:rPr>
            <w:rStyle w:val="TextoNormalCaracter"/>
          </w:rPr>
          <w:t>177/1985</w:t>
        </w:r>
      </w:hyperlink>
      <w:r w:rsidRPr="00506787">
        <w:rPr>
          <w:rStyle w:val="TextoNormalCaracter"/>
        </w:rPr>
        <w:t xml:space="preserve">; </w:t>
      </w:r>
      <w:hyperlink w:anchor="AUTO_1985_179" w:history="1">
        <w:r w:rsidRPr="00506787">
          <w:rPr>
            <w:rStyle w:val="TextoNormalCaracter"/>
          </w:rPr>
          <w:t>179/1985</w:t>
        </w:r>
      </w:hyperlink>
      <w:r w:rsidRPr="00506787">
        <w:rPr>
          <w:rStyle w:val="TextoNormalCaracter"/>
        </w:rPr>
        <w:t xml:space="preserve">; </w:t>
      </w:r>
      <w:hyperlink w:anchor="AUTO_1985_180" w:history="1">
        <w:r w:rsidRPr="00506787">
          <w:rPr>
            <w:rStyle w:val="TextoNormalCaracter"/>
          </w:rPr>
          <w:t>180/1985</w:t>
        </w:r>
      </w:hyperlink>
      <w:r w:rsidRPr="00506787">
        <w:rPr>
          <w:rStyle w:val="TextoNormalCaracter"/>
        </w:rPr>
        <w:t xml:space="preserve">; </w:t>
      </w:r>
      <w:hyperlink w:anchor="AUTO_1985_186" w:history="1">
        <w:r w:rsidRPr="00506787">
          <w:rPr>
            <w:rStyle w:val="TextoNormalCaracter"/>
          </w:rPr>
          <w:t>186/1985</w:t>
        </w:r>
      </w:hyperlink>
      <w:r w:rsidRPr="00506787">
        <w:rPr>
          <w:rStyle w:val="TextoNormalCaracter"/>
        </w:rPr>
        <w:t xml:space="preserve">; </w:t>
      </w:r>
      <w:hyperlink w:anchor="AUTO_1985_187" w:history="1">
        <w:r w:rsidRPr="00506787">
          <w:rPr>
            <w:rStyle w:val="TextoNormalCaracter"/>
          </w:rPr>
          <w:t>187/1985</w:t>
        </w:r>
      </w:hyperlink>
      <w:r w:rsidRPr="00506787">
        <w:rPr>
          <w:rStyle w:val="TextoNormalCaracter"/>
        </w:rPr>
        <w:t xml:space="preserve">; </w:t>
      </w:r>
      <w:hyperlink w:anchor="AUTO_1985_189" w:history="1">
        <w:r w:rsidRPr="00506787">
          <w:rPr>
            <w:rStyle w:val="TextoNormalCaracter"/>
          </w:rPr>
          <w:t>189/1985</w:t>
        </w:r>
      </w:hyperlink>
      <w:r w:rsidRPr="00506787">
        <w:rPr>
          <w:rStyle w:val="TextoNormalCaracter"/>
        </w:rPr>
        <w:t xml:space="preserve">; </w:t>
      </w:r>
      <w:hyperlink w:anchor="AUTO_1985_190" w:history="1">
        <w:r w:rsidRPr="00506787">
          <w:rPr>
            <w:rStyle w:val="TextoNormalCaracter"/>
          </w:rPr>
          <w:t>190/1985</w:t>
        </w:r>
      </w:hyperlink>
      <w:r w:rsidRPr="00506787">
        <w:rPr>
          <w:rStyle w:val="TextoNormalCaracter"/>
        </w:rPr>
        <w:t xml:space="preserve">; </w:t>
      </w:r>
      <w:hyperlink w:anchor="AUTO_1985_191" w:history="1">
        <w:r w:rsidRPr="00506787">
          <w:rPr>
            <w:rStyle w:val="TextoNormalCaracter"/>
          </w:rPr>
          <w:t>191/1985</w:t>
        </w:r>
      </w:hyperlink>
      <w:r w:rsidRPr="00506787">
        <w:rPr>
          <w:rStyle w:val="TextoNormalCaracter"/>
        </w:rPr>
        <w:t xml:space="preserve">; </w:t>
      </w:r>
      <w:hyperlink w:anchor="AUTO_1985_192" w:history="1">
        <w:r w:rsidRPr="00506787">
          <w:rPr>
            <w:rStyle w:val="TextoNormalCaracter"/>
          </w:rPr>
          <w:t>192/1985</w:t>
        </w:r>
      </w:hyperlink>
      <w:r w:rsidRPr="00506787">
        <w:rPr>
          <w:rStyle w:val="TextoNormalCaracter"/>
        </w:rPr>
        <w:t xml:space="preserve">; </w:t>
      </w:r>
      <w:hyperlink w:anchor="AUTO_1985_194" w:history="1">
        <w:r w:rsidRPr="00506787">
          <w:rPr>
            <w:rStyle w:val="TextoNormalCaracter"/>
          </w:rPr>
          <w:t>194/1985</w:t>
        </w:r>
      </w:hyperlink>
      <w:r w:rsidRPr="00506787">
        <w:rPr>
          <w:rStyle w:val="TextoNormalCaracter"/>
        </w:rPr>
        <w:t xml:space="preserve">; </w:t>
      </w:r>
      <w:hyperlink w:anchor="AUTO_1985_195" w:history="1">
        <w:r w:rsidRPr="00506787">
          <w:rPr>
            <w:rStyle w:val="TextoNormalCaracter"/>
          </w:rPr>
          <w:t>195/1985</w:t>
        </w:r>
      </w:hyperlink>
      <w:r w:rsidRPr="00506787">
        <w:rPr>
          <w:rStyle w:val="TextoNormalCaracter"/>
        </w:rPr>
        <w:t xml:space="preserve">; </w:t>
      </w:r>
      <w:hyperlink w:anchor="AUTO_1985_196" w:history="1">
        <w:r w:rsidRPr="00506787">
          <w:rPr>
            <w:rStyle w:val="TextoNormalCaracter"/>
          </w:rPr>
          <w:t>196/1985</w:t>
        </w:r>
      </w:hyperlink>
      <w:r w:rsidRPr="00506787">
        <w:rPr>
          <w:rStyle w:val="TextoNormalCaracter"/>
        </w:rPr>
        <w:t xml:space="preserve">; </w:t>
      </w:r>
      <w:hyperlink w:anchor="AUTO_1985_198" w:history="1">
        <w:r w:rsidRPr="00506787">
          <w:rPr>
            <w:rStyle w:val="TextoNormalCaracter"/>
          </w:rPr>
          <w:t>198/1985</w:t>
        </w:r>
      </w:hyperlink>
      <w:r w:rsidRPr="00506787">
        <w:rPr>
          <w:rStyle w:val="TextoNormalCaracter"/>
        </w:rPr>
        <w:t xml:space="preserve">; </w:t>
      </w:r>
      <w:hyperlink w:anchor="AUTO_1985_202" w:history="1">
        <w:r w:rsidRPr="00506787">
          <w:rPr>
            <w:rStyle w:val="TextoNormalCaracter"/>
          </w:rPr>
          <w:t>202/1985</w:t>
        </w:r>
      </w:hyperlink>
      <w:r w:rsidRPr="00506787">
        <w:rPr>
          <w:rStyle w:val="TextoNormalCaracter"/>
        </w:rPr>
        <w:t xml:space="preserve">; </w:t>
      </w:r>
      <w:hyperlink w:anchor="AUTO_1985_204" w:history="1">
        <w:r w:rsidRPr="00506787">
          <w:rPr>
            <w:rStyle w:val="TextoNormalCaracter"/>
          </w:rPr>
          <w:t>204/1985</w:t>
        </w:r>
      </w:hyperlink>
      <w:r w:rsidRPr="00506787">
        <w:rPr>
          <w:rStyle w:val="TextoNormalCaracter"/>
        </w:rPr>
        <w:t xml:space="preserve">; </w:t>
      </w:r>
      <w:hyperlink w:anchor="AUTO_1985_205" w:history="1">
        <w:r w:rsidRPr="00506787">
          <w:rPr>
            <w:rStyle w:val="TextoNormalCaracter"/>
          </w:rPr>
          <w:t>205/1985</w:t>
        </w:r>
      </w:hyperlink>
      <w:r w:rsidRPr="00506787">
        <w:rPr>
          <w:rStyle w:val="TextoNormalCaracter"/>
        </w:rPr>
        <w:t xml:space="preserve">; </w:t>
      </w:r>
      <w:hyperlink w:anchor="AUTO_1985_206" w:history="1">
        <w:r w:rsidRPr="00506787">
          <w:rPr>
            <w:rStyle w:val="TextoNormalCaracter"/>
          </w:rPr>
          <w:t>206/1985</w:t>
        </w:r>
      </w:hyperlink>
      <w:r w:rsidRPr="00506787">
        <w:rPr>
          <w:rStyle w:val="TextoNormalCaracter"/>
        </w:rPr>
        <w:t xml:space="preserve">; </w:t>
      </w:r>
      <w:hyperlink w:anchor="AUTO_1985_208" w:history="1">
        <w:r w:rsidRPr="00506787">
          <w:rPr>
            <w:rStyle w:val="TextoNormalCaracter"/>
          </w:rPr>
          <w:t>208/1985</w:t>
        </w:r>
      </w:hyperlink>
      <w:r w:rsidRPr="00506787">
        <w:rPr>
          <w:rStyle w:val="TextoNormalCaracter"/>
        </w:rPr>
        <w:t xml:space="preserve">; </w:t>
      </w:r>
      <w:hyperlink w:anchor="AUTO_1985_210" w:history="1">
        <w:r w:rsidRPr="00506787">
          <w:rPr>
            <w:rStyle w:val="TextoNormalCaracter"/>
          </w:rPr>
          <w:t>210/1985</w:t>
        </w:r>
      </w:hyperlink>
      <w:r w:rsidRPr="00506787">
        <w:rPr>
          <w:rStyle w:val="TextoNormalCaracter"/>
        </w:rPr>
        <w:t xml:space="preserve">; </w:t>
      </w:r>
      <w:hyperlink w:anchor="AUTO_1985_212" w:history="1">
        <w:r w:rsidRPr="00506787">
          <w:rPr>
            <w:rStyle w:val="TextoNormalCaracter"/>
          </w:rPr>
          <w:t>212/1985</w:t>
        </w:r>
      </w:hyperlink>
      <w:r w:rsidRPr="00506787">
        <w:rPr>
          <w:rStyle w:val="TextoNormalCaracter"/>
        </w:rPr>
        <w:t xml:space="preserve">; </w:t>
      </w:r>
      <w:hyperlink w:anchor="AUTO_1985_217" w:history="1">
        <w:r w:rsidRPr="00506787">
          <w:rPr>
            <w:rStyle w:val="TextoNormalCaracter"/>
          </w:rPr>
          <w:t>217/1985</w:t>
        </w:r>
      </w:hyperlink>
      <w:r w:rsidRPr="00506787">
        <w:rPr>
          <w:rStyle w:val="TextoNormalCaracter"/>
        </w:rPr>
        <w:t xml:space="preserve">; </w:t>
      </w:r>
      <w:hyperlink w:anchor="AUTO_1985_218" w:history="1">
        <w:r w:rsidRPr="00506787">
          <w:rPr>
            <w:rStyle w:val="TextoNormalCaracter"/>
          </w:rPr>
          <w:t>218/1985</w:t>
        </w:r>
      </w:hyperlink>
      <w:r w:rsidRPr="00506787">
        <w:rPr>
          <w:rStyle w:val="TextoNormalCaracter"/>
        </w:rPr>
        <w:t xml:space="preserve">; </w:t>
      </w:r>
      <w:hyperlink w:anchor="AUTO_1985_219" w:history="1">
        <w:r w:rsidRPr="00506787">
          <w:rPr>
            <w:rStyle w:val="TextoNormalCaracter"/>
          </w:rPr>
          <w:t>219/1985</w:t>
        </w:r>
      </w:hyperlink>
      <w:r w:rsidRPr="00506787">
        <w:rPr>
          <w:rStyle w:val="TextoNormalCaracter"/>
        </w:rPr>
        <w:t xml:space="preserve">; </w:t>
      </w:r>
      <w:hyperlink w:anchor="AUTO_1985_222" w:history="1">
        <w:r w:rsidRPr="00506787">
          <w:rPr>
            <w:rStyle w:val="TextoNormalCaracter"/>
          </w:rPr>
          <w:t>222/1985</w:t>
        </w:r>
      </w:hyperlink>
      <w:r w:rsidRPr="00506787">
        <w:rPr>
          <w:rStyle w:val="TextoNormalCaracter"/>
        </w:rPr>
        <w:t xml:space="preserve">; </w:t>
      </w:r>
      <w:hyperlink w:anchor="AUTO_1985_225" w:history="1">
        <w:r w:rsidRPr="00506787">
          <w:rPr>
            <w:rStyle w:val="TextoNormalCaracter"/>
          </w:rPr>
          <w:t>225/1985</w:t>
        </w:r>
      </w:hyperlink>
      <w:r w:rsidRPr="00506787">
        <w:rPr>
          <w:rStyle w:val="TextoNormalCaracter"/>
        </w:rPr>
        <w:t xml:space="preserve">; </w:t>
      </w:r>
      <w:hyperlink w:anchor="AUTO_1985_227" w:history="1">
        <w:r w:rsidRPr="00506787">
          <w:rPr>
            <w:rStyle w:val="TextoNormalCaracter"/>
          </w:rPr>
          <w:t>227/1985</w:t>
        </w:r>
      </w:hyperlink>
      <w:r w:rsidRPr="00506787">
        <w:rPr>
          <w:rStyle w:val="TextoNormalCaracter"/>
        </w:rPr>
        <w:t xml:space="preserve">; </w:t>
      </w:r>
      <w:hyperlink w:anchor="AUTO_1985_228" w:history="1">
        <w:r w:rsidRPr="00506787">
          <w:rPr>
            <w:rStyle w:val="TextoNormalCaracter"/>
          </w:rPr>
          <w:t>228/1985</w:t>
        </w:r>
      </w:hyperlink>
      <w:r w:rsidRPr="00506787">
        <w:rPr>
          <w:rStyle w:val="TextoNormalCaracter"/>
        </w:rPr>
        <w:t xml:space="preserve">; </w:t>
      </w:r>
      <w:hyperlink w:anchor="AUTO_1985_233" w:history="1">
        <w:r w:rsidRPr="00506787">
          <w:rPr>
            <w:rStyle w:val="TextoNormalCaracter"/>
          </w:rPr>
          <w:t>233/1985</w:t>
        </w:r>
      </w:hyperlink>
      <w:r w:rsidRPr="00506787">
        <w:rPr>
          <w:rStyle w:val="TextoNormalCaracter"/>
        </w:rPr>
        <w:t xml:space="preserve">; </w:t>
      </w:r>
      <w:hyperlink w:anchor="AUTO_1985_234" w:history="1">
        <w:r w:rsidRPr="00506787">
          <w:rPr>
            <w:rStyle w:val="TextoNormalCaracter"/>
          </w:rPr>
          <w:t>234/1985</w:t>
        </w:r>
      </w:hyperlink>
      <w:r w:rsidRPr="00506787">
        <w:rPr>
          <w:rStyle w:val="TextoNormalCaracter"/>
        </w:rPr>
        <w:t xml:space="preserve">; </w:t>
      </w:r>
      <w:hyperlink w:anchor="AUTO_1985_235" w:history="1">
        <w:r w:rsidRPr="00506787">
          <w:rPr>
            <w:rStyle w:val="TextoNormalCaracter"/>
          </w:rPr>
          <w:t>235/1985</w:t>
        </w:r>
      </w:hyperlink>
      <w:r w:rsidRPr="00506787">
        <w:rPr>
          <w:rStyle w:val="TextoNormalCaracter"/>
        </w:rPr>
        <w:t xml:space="preserve">; </w:t>
      </w:r>
      <w:hyperlink w:anchor="AUTO_1985_236" w:history="1">
        <w:r w:rsidRPr="00506787">
          <w:rPr>
            <w:rStyle w:val="TextoNormalCaracter"/>
          </w:rPr>
          <w:t>236/1985</w:t>
        </w:r>
      </w:hyperlink>
      <w:r w:rsidRPr="00506787">
        <w:rPr>
          <w:rStyle w:val="TextoNormalCaracter"/>
        </w:rPr>
        <w:t xml:space="preserve">; </w:t>
      </w:r>
      <w:hyperlink w:anchor="AUTO_1985_238" w:history="1">
        <w:r w:rsidRPr="00506787">
          <w:rPr>
            <w:rStyle w:val="TextoNormalCaracter"/>
          </w:rPr>
          <w:t>238/1985</w:t>
        </w:r>
      </w:hyperlink>
      <w:r w:rsidRPr="00506787">
        <w:rPr>
          <w:rStyle w:val="TextoNormalCaracter"/>
        </w:rPr>
        <w:t xml:space="preserve">; </w:t>
      </w:r>
      <w:hyperlink w:anchor="AUTO_1985_240" w:history="1">
        <w:r w:rsidRPr="00506787">
          <w:rPr>
            <w:rStyle w:val="TextoNormalCaracter"/>
          </w:rPr>
          <w:t>240/1985</w:t>
        </w:r>
      </w:hyperlink>
      <w:r w:rsidRPr="00506787">
        <w:rPr>
          <w:rStyle w:val="TextoNormalCaracter"/>
        </w:rPr>
        <w:t xml:space="preserve">; </w:t>
      </w:r>
      <w:hyperlink w:anchor="AUTO_1985_242" w:history="1">
        <w:r w:rsidRPr="00506787">
          <w:rPr>
            <w:rStyle w:val="TextoNormalCaracter"/>
          </w:rPr>
          <w:t>242/1985</w:t>
        </w:r>
      </w:hyperlink>
      <w:r w:rsidRPr="00506787">
        <w:rPr>
          <w:rStyle w:val="TextoNormalCaracter"/>
        </w:rPr>
        <w:t xml:space="preserve">; </w:t>
      </w:r>
      <w:hyperlink w:anchor="AUTO_1985_243" w:history="1">
        <w:r w:rsidRPr="00506787">
          <w:rPr>
            <w:rStyle w:val="TextoNormalCaracter"/>
          </w:rPr>
          <w:t>243/1985</w:t>
        </w:r>
      </w:hyperlink>
      <w:r w:rsidRPr="00506787">
        <w:rPr>
          <w:rStyle w:val="TextoNormalCaracter"/>
        </w:rPr>
        <w:t xml:space="preserve">; </w:t>
      </w:r>
      <w:hyperlink w:anchor="AUTO_1985_245" w:history="1">
        <w:r w:rsidRPr="00506787">
          <w:rPr>
            <w:rStyle w:val="TextoNormalCaracter"/>
          </w:rPr>
          <w:t>245/1985</w:t>
        </w:r>
      </w:hyperlink>
      <w:r w:rsidRPr="00506787">
        <w:rPr>
          <w:rStyle w:val="TextoNormalCaracter"/>
        </w:rPr>
        <w:t xml:space="preserve">; </w:t>
      </w:r>
      <w:hyperlink w:anchor="AUTO_1985_246" w:history="1">
        <w:r w:rsidRPr="00506787">
          <w:rPr>
            <w:rStyle w:val="TextoNormalCaracter"/>
          </w:rPr>
          <w:t>246/1985</w:t>
        </w:r>
      </w:hyperlink>
      <w:r w:rsidRPr="00506787">
        <w:rPr>
          <w:rStyle w:val="TextoNormalCaracter"/>
        </w:rPr>
        <w:t xml:space="preserve">; </w:t>
      </w:r>
      <w:hyperlink w:anchor="AUTO_1985_247" w:history="1">
        <w:r w:rsidRPr="00506787">
          <w:rPr>
            <w:rStyle w:val="TextoNormalCaracter"/>
          </w:rPr>
          <w:t>247/1985</w:t>
        </w:r>
      </w:hyperlink>
      <w:r w:rsidRPr="00506787">
        <w:rPr>
          <w:rStyle w:val="TextoNormalCaracter"/>
        </w:rPr>
        <w:t xml:space="preserve">; </w:t>
      </w:r>
      <w:hyperlink w:anchor="AUTO_1985_248" w:history="1">
        <w:r w:rsidRPr="00506787">
          <w:rPr>
            <w:rStyle w:val="TextoNormalCaracter"/>
          </w:rPr>
          <w:t>248/1985</w:t>
        </w:r>
      </w:hyperlink>
      <w:r w:rsidRPr="00506787">
        <w:rPr>
          <w:rStyle w:val="TextoNormalCaracter"/>
        </w:rPr>
        <w:t xml:space="preserve">; </w:t>
      </w:r>
      <w:hyperlink w:anchor="AUTO_1985_249" w:history="1">
        <w:r w:rsidRPr="00506787">
          <w:rPr>
            <w:rStyle w:val="TextoNormalCaracter"/>
          </w:rPr>
          <w:t>249/1985</w:t>
        </w:r>
      </w:hyperlink>
      <w:r w:rsidRPr="00506787">
        <w:rPr>
          <w:rStyle w:val="TextoNormalCaracter"/>
        </w:rPr>
        <w:t xml:space="preserve">; </w:t>
      </w:r>
      <w:hyperlink w:anchor="AUTO_1985_250" w:history="1">
        <w:r w:rsidRPr="00506787">
          <w:rPr>
            <w:rStyle w:val="TextoNormalCaracter"/>
          </w:rPr>
          <w:t>250/1985</w:t>
        </w:r>
      </w:hyperlink>
      <w:r w:rsidRPr="00506787">
        <w:rPr>
          <w:rStyle w:val="TextoNormalCaracter"/>
        </w:rPr>
        <w:t xml:space="preserve">; </w:t>
      </w:r>
      <w:hyperlink w:anchor="AUTO_1985_252" w:history="1">
        <w:r w:rsidRPr="00506787">
          <w:rPr>
            <w:rStyle w:val="TextoNormalCaracter"/>
          </w:rPr>
          <w:t>252/1985</w:t>
        </w:r>
      </w:hyperlink>
      <w:r w:rsidRPr="00506787">
        <w:rPr>
          <w:rStyle w:val="TextoNormalCaracter"/>
        </w:rPr>
        <w:t xml:space="preserve">; </w:t>
      </w:r>
      <w:hyperlink w:anchor="AUTO_1985_253" w:history="1">
        <w:r w:rsidRPr="00506787">
          <w:rPr>
            <w:rStyle w:val="TextoNormalCaracter"/>
          </w:rPr>
          <w:t>253/1985</w:t>
        </w:r>
      </w:hyperlink>
      <w:r w:rsidRPr="00506787">
        <w:rPr>
          <w:rStyle w:val="TextoNormalCaracter"/>
        </w:rPr>
        <w:t xml:space="preserve">; </w:t>
      </w:r>
      <w:hyperlink w:anchor="AUTO_1985_254" w:history="1">
        <w:r w:rsidRPr="00506787">
          <w:rPr>
            <w:rStyle w:val="TextoNormalCaracter"/>
          </w:rPr>
          <w:t>254/1985</w:t>
        </w:r>
      </w:hyperlink>
      <w:r w:rsidRPr="00506787">
        <w:rPr>
          <w:rStyle w:val="TextoNormalCaracter"/>
        </w:rPr>
        <w:t xml:space="preserve">; </w:t>
      </w:r>
      <w:hyperlink w:anchor="AUTO_1985_257" w:history="1">
        <w:r w:rsidRPr="00506787">
          <w:rPr>
            <w:rStyle w:val="TextoNormalCaracter"/>
          </w:rPr>
          <w:t>257/1985</w:t>
        </w:r>
      </w:hyperlink>
      <w:r w:rsidRPr="00506787">
        <w:rPr>
          <w:rStyle w:val="TextoNormalCaracter"/>
        </w:rPr>
        <w:t xml:space="preserve">; </w:t>
      </w:r>
      <w:hyperlink w:anchor="AUTO_1985_259" w:history="1">
        <w:r w:rsidRPr="00506787">
          <w:rPr>
            <w:rStyle w:val="TextoNormalCaracter"/>
          </w:rPr>
          <w:t>259/1985</w:t>
        </w:r>
      </w:hyperlink>
      <w:r w:rsidRPr="00506787">
        <w:rPr>
          <w:rStyle w:val="TextoNormalCaracter"/>
        </w:rPr>
        <w:t xml:space="preserve">; </w:t>
      </w:r>
      <w:hyperlink w:anchor="AUTO_1985_261" w:history="1">
        <w:r w:rsidRPr="00506787">
          <w:rPr>
            <w:rStyle w:val="TextoNormalCaracter"/>
          </w:rPr>
          <w:t>261/1985</w:t>
        </w:r>
      </w:hyperlink>
      <w:r w:rsidRPr="00506787">
        <w:rPr>
          <w:rStyle w:val="TextoNormalCaracter"/>
        </w:rPr>
        <w:t xml:space="preserve">; </w:t>
      </w:r>
      <w:hyperlink w:anchor="AUTO_1985_264" w:history="1">
        <w:r w:rsidRPr="00506787">
          <w:rPr>
            <w:rStyle w:val="TextoNormalCaracter"/>
          </w:rPr>
          <w:t>264/1985</w:t>
        </w:r>
      </w:hyperlink>
      <w:r w:rsidRPr="00506787">
        <w:rPr>
          <w:rStyle w:val="TextoNormalCaracter"/>
        </w:rPr>
        <w:t xml:space="preserve">; </w:t>
      </w:r>
      <w:hyperlink w:anchor="AUTO_1985_265" w:history="1">
        <w:r w:rsidRPr="00506787">
          <w:rPr>
            <w:rStyle w:val="TextoNormalCaracter"/>
          </w:rPr>
          <w:t>265/1985</w:t>
        </w:r>
      </w:hyperlink>
      <w:r w:rsidRPr="00506787">
        <w:rPr>
          <w:rStyle w:val="TextoNormalCaracter"/>
        </w:rPr>
        <w:t xml:space="preserve">; </w:t>
      </w:r>
      <w:hyperlink w:anchor="AUTO_1985_267" w:history="1">
        <w:r w:rsidRPr="00506787">
          <w:rPr>
            <w:rStyle w:val="TextoNormalCaracter"/>
          </w:rPr>
          <w:t>267/1985</w:t>
        </w:r>
      </w:hyperlink>
      <w:r w:rsidRPr="00506787">
        <w:rPr>
          <w:rStyle w:val="TextoNormalCaracter"/>
        </w:rPr>
        <w:t xml:space="preserve">; </w:t>
      </w:r>
      <w:hyperlink w:anchor="AUTO_1985_268" w:history="1">
        <w:r w:rsidRPr="00506787">
          <w:rPr>
            <w:rStyle w:val="TextoNormalCaracter"/>
          </w:rPr>
          <w:t>268/1985</w:t>
        </w:r>
      </w:hyperlink>
      <w:r w:rsidRPr="00506787">
        <w:rPr>
          <w:rStyle w:val="TextoNormalCaracter"/>
        </w:rPr>
        <w:t xml:space="preserve">; </w:t>
      </w:r>
      <w:hyperlink w:anchor="AUTO_1985_269" w:history="1">
        <w:r w:rsidRPr="00506787">
          <w:rPr>
            <w:rStyle w:val="TextoNormalCaracter"/>
          </w:rPr>
          <w:t>269/1985</w:t>
        </w:r>
      </w:hyperlink>
      <w:r w:rsidRPr="00506787">
        <w:rPr>
          <w:rStyle w:val="TextoNormalCaracter"/>
        </w:rPr>
        <w:t xml:space="preserve">; </w:t>
      </w:r>
      <w:hyperlink w:anchor="AUTO_1985_270" w:history="1">
        <w:r w:rsidRPr="00506787">
          <w:rPr>
            <w:rStyle w:val="TextoNormalCaracter"/>
          </w:rPr>
          <w:t>270/1985</w:t>
        </w:r>
      </w:hyperlink>
      <w:r w:rsidRPr="00506787">
        <w:rPr>
          <w:rStyle w:val="TextoNormalCaracter"/>
        </w:rPr>
        <w:t xml:space="preserve">; </w:t>
      </w:r>
      <w:hyperlink w:anchor="AUTO_1985_271" w:history="1">
        <w:r w:rsidRPr="00506787">
          <w:rPr>
            <w:rStyle w:val="TextoNormalCaracter"/>
          </w:rPr>
          <w:t>271/1985</w:t>
        </w:r>
      </w:hyperlink>
      <w:r w:rsidRPr="00506787">
        <w:rPr>
          <w:rStyle w:val="TextoNormalCaracter"/>
        </w:rPr>
        <w:t xml:space="preserve">; </w:t>
      </w:r>
      <w:hyperlink w:anchor="AUTO_1985_278" w:history="1">
        <w:r w:rsidRPr="00506787">
          <w:rPr>
            <w:rStyle w:val="TextoNormalCaracter"/>
          </w:rPr>
          <w:t>278/1985</w:t>
        </w:r>
      </w:hyperlink>
      <w:r w:rsidRPr="00506787">
        <w:rPr>
          <w:rStyle w:val="TextoNormalCaracter"/>
        </w:rPr>
        <w:t xml:space="preserve">; </w:t>
      </w:r>
      <w:hyperlink w:anchor="AUTO_1985_280" w:history="1">
        <w:r w:rsidRPr="00506787">
          <w:rPr>
            <w:rStyle w:val="TextoNormalCaracter"/>
          </w:rPr>
          <w:t>280/1985</w:t>
        </w:r>
      </w:hyperlink>
      <w:r w:rsidRPr="00506787">
        <w:rPr>
          <w:rStyle w:val="TextoNormalCaracter"/>
        </w:rPr>
        <w:t>.</w:t>
      </w:r>
    </w:p>
    <w:p w:rsidR="00506787" w:rsidRPr="00506787" w:rsidRDefault="00506787" w:rsidP="00506787">
      <w:pPr>
        <w:pStyle w:val="TextoNormalSangraFrancesa"/>
        <w:rPr>
          <w:rStyle w:val="TextoNormalCaracter"/>
        </w:rPr>
      </w:pPr>
      <w:bookmarkStart w:id="1240" w:name="DESCRIPTORALFABETICO525"/>
      <w:r w:rsidRPr="00506787">
        <w:rPr>
          <w:rStyle w:val="TextoNormalNegritaCaracter"/>
        </w:rPr>
        <w:t>Inadmisión de recurso de apelación</w:t>
      </w:r>
      <w:bookmarkEnd w:id="1240"/>
      <w:r w:rsidRPr="00506787">
        <w:rPr>
          <w:rStyle w:val="TextoNormalCaracter"/>
        </w:rPr>
        <w:t xml:space="preserve">, Sentencia </w:t>
      </w:r>
      <w:hyperlink w:anchor="SENTENCIA_1985_41" w:history="1">
        <w:r w:rsidRPr="00506787">
          <w:rPr>
            <w:rStyle w:val="TextoNormalCaracter"/>
          </w:rPr>
          <w:t>41/1985</w:t>
        </w:r>
      </w:hyperlink>
      <w:r w:rsidRPr="00506787">
        <w:rPr>
          <w:rStyle w:val="TextoNormalCaracter"/>
        </w:rPr>
        <w:t>, ff. 1, 2, 3, 4.</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78" w:history="1">
        <w:r w:rsidRPr="00506787">
          <w:rPr>
            <w:rStyle w:val="TextoNormalCaracter"/>
          </w:rPr>
          <w:t>78/1985</w:t>
        </w:r>
      </w:hyperlink>
      <w:r w:rsidRPr="00506787">
        <w:rPr>
          <w:rStyle w:val="TextoNormalCaracter"/>
        </w:rPr>
        <w:t>.</w:t>
      </w:r>
    </w:p>
    <w:p w:rsidR="00506787" w:rsidRPr="00506787" w:rsidRDefault="00506787" w:rsidP="00506787">
      <w:pPr>
        <w:pStyle w:val="TextoNormalSangraFrancesa"/>
        <w:rPr>
          <w:rStyle w:val="TextoNormalCaracter"/>
        </w:rPr>
      </w:pPr>
      <w:bookmarkStart w:id="1241" w:name="DESCRIPTORALFABETICO527"/>
      <w:r w:rsidRPr="00506787">
        <w:rPr>
          <w:rStyle w:val="TextoNormalNegritaCaracter"/>
        </w:rPr>
        <w:t>Inadmisión de recurso de casación</w:t>
      </w:r>
      <w:bookmarkEnd w:id="1241"/>
      <w:r w:rsidRPr="00506787">
        <w:rPr>
          <w:rStyle w:val="TextoNormalCaracter"/>
        </w:rPr>
        <w:t xml:space="preserve">, Sentencia </w:t>
      </w:r>
      <w:hyperlink w:anchor="SENTENCIA_1985_14" w:history="1">
        <w:r w:rsidRPr="00506787">
          <w:rPr>
            <w:rStyle w:val="TextoNormalCaracter"/>
          </w:rPr>
          <w:t>14/1985</w:t>
        </w:r>
      </w:hyperlink>
      <w:r w:rsidRPr="00506787">
        <w:rPr>
          <w:rStyle w:val="TextoNormalCaracter"/>
        </w:rPr>
        <w:t>, f. 2.</w:t>
      </w:r>
    </w:p>
    <w:p w:rsidR="00506787" w:rsidRPr="00506787" w:rsidRDefault="00506787" w:rsidP="00506787">
      <w:pPr>
        <w:pStyle w:val="TextoNormalSangraFrancesa"/>
        <w:rPr>
          <w:rStyle w:val="TextoNormalCaracter"/>
        </w:rPr>
      </w:pPr>
      <w:bookmarkStart w:id="1242" w:name="DESCRIPTORALFABETICO170"/>
      <w:r w:rsidRPr="00506787">
        <w:rPr>
          <w:rStyle w:val="TextoNormalNegritaCaracter"/>
        </w:rPr>
        <w:t>Inadmisión de recurso de inconstitucionalidad por sentencia</w:t>
      </w:r>
      <w:bookmarkEnd w:id="1242"/>
      <w:r w:rsidRPr="00506787">
        <w:rPr>
          <w:rStyle w:val="TextoNormalCaracter"/>
        </w:rPr>
        <w:t xml:space="preserve">, Sentencia </w:t>
      </w:r>
      <w:hyperlink w:anchor="SENTENCIA_1985_42" w:history="1">
        <w:r w:rsidRPr="00506787">
          <w:rPr>
            <w:rStyle w:val="TextoNormalCaracter"/>
          </w:rPr>
          <w:t>42/1985</w:t>
        </w:r>
      </w:hyperlink>
      <w:r w:rsidRPr="00506787">
        <w:rPr>
          <w:rStyle w:val="TextoNormalCaracter"/>
        </w:rPr>
        <w:t>, f. 5.</w:t>
      </w:r>
    </w:p>
    <w:p w:rsidR="00506787" w:rsidRPr="00506787" w:rsidRDefault="00506787" w:rsidP="00506787">
      <w:pPr>
        <w:pStyle w:val="TextoNormalSangraFrancesa"/>
        <w:rPr>
          <w:rStyle w:val="TextoNormalCaracter"/>
        </w:rPr>
      </w:pPr>
      <w:bookmarkStart w:id="1243" w:name="DESCRIPTORALFABETICO550"/>
      <w:r w:rsidRPr="00506787">
        <w:rPr>
          <w:rStyle w:val="TextoNormalNegritaCaracter"/>
        </w:rPr>
        <w:t>Inadmisión de recurso de suplicación</w:t>
      </w:r>
      <w:bookmarkEnd w:id="1243"/>
      <w:r w:rsidRPr="00506787">
        <w:rPr>
          <w:rStyle w:val="TextoNormalCaracter"/>
        </w:rPr>
        <w:t xml:space="preserve">, Sentencia </w:t>
      </w:r>
      <w:hyperlink w:anchor="SENTENCIA_1985_44" w:history="1">
        <w:r w:rsidRPr="00506787">
          <w:rPr>
            <w:rStyle w:val="TextoNormalCaracter"/>
          </w:rPr>
          <w:t>44/1985</w:t>
        </w:r>
      </w:hyperlink>
      <w:r w:rsidRPr="00506787">
        <w:rPr>
          <w:rStyle w:val="TextoNormalCaracter"/>
        </w:rPr>
        <w:t>, ff. 2, 3.</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1" w:history="1">
        <w:r w:rsidRPr="00506787">
          <w:rPr>
            <w:rStyle w:val="TextoNormalCaracter"/>
          </w:rPr>
          <w:t>1/1985</w:t>
        </w:r>
      </w:hyperlink>
      <w:r w:rsidRPr="00506787">
        <w:rPr>
          <w:rStyle w:val="TextoNormalCaracter"/>
        </w:rPr>
        <w:t>.</w:t>
      </w:r>
    </w:p>
    <w:p w:rsidR="00506787" w:rsidRPr="00506787" w:rsidRDefault="00506787" w:rsidP="00506787">
      <w:pPr>
        <w:pStyle w:val="TextoNormalSangraFrancesa"/>
        <w:rPr>
          <w:rStyle w:val="TextoNormalCaracter"/>
        </w:rPr>
      </w:pPr>
      <w:bookmarkStart w:id="1244" w:name="DESCRIPTORALFABETICO490"/>
      <w:r w:rsidRPr="00506787">
        <w:rPr>
          <w:rStyle w:val="TextoNormalNegritaCaracter"/>
        </w:rPr>
        <w:t>Incidente de nulidad de actuaciones</w:t>
      </w:r>
      <w:bookmarkEnd w:id="1244"/>
      <w:r w:rsidRPr="00506787">
        <w:rPr>
          <w:rStyle w:val="TextoNormalCaracter"/>
        </w:rPr>
        <w:t xml:space="preserve">, Auto </w:t>
      </w:r>
      <w:hyperlink w:anchor="AUTO_1985_25" w:history="1">
        <w:r w:rsidRPr="00506787">
          <w:rPr>
            <w:rStyle w:val="TextoNormalCaracter"/>
          </w:rPr>
          <w:t>25/1985</w:t>
        </w:r>
      </w:hyperlink>
      <w:r w:rsidRPr="00506787">
        <w:rPr>
          <w:rStyle w:val="TextoNormalCaracter"/>
        </w:rPr>
        <w:t>.</w:t>
      </w:r>
    </w:p>
    <w:p w:rsidR="00506787" w:rsidRPr="00506787" w:rsidRDefault="00506787" w:rsidP="00506787">
      <w:pPr>
        <w:pStyle w:val="TextoNormalSangraFrancesa"/>
        <w:rPr>
          <w:rStyle w:val="TextoNormalCaracter"/>
        </w:rPr>
      </w:pPr>
      <w:bookmarkStart w:id="1245" w:name="DESCRIPTORALFABETICO491"/>
      <w:r w:rsidRPr="00506787">
        <w:rPr>
          <w:rStyle w:val="TextoNormalNegritaCaracter"/>
        </w:rPr>
        <w:t>Incidente de suspensión</w:t>
      </w:r>
      <w:bookmarkEnd w:id="1245"/>
      <w:r w:rsidRPr="00506787">
        <w:rPr>
          <w:rStyle w:val="TextoNormalCaracter"/>
        </w:rPr>
        <w:t xml:space="preserve">, Auto </w:t>
      </w:r>
      <w:hyperlink w:anchor="AUTO_1985_218" w:history="1">
        <w:r w:rsidRPr="00506787">
          <w:rPr>
            <w:rStyle w:val="TextoNormalCaracter"/>
          </w:rPr>
          <w:t>218/1985</w:t>
        </w:r>
      </w:hyperlink>
      <w:r w:rsidRPr="00506787">
        <w:rPr>
          <w:rStyle w:val="TextoNormalCaracter"/>
        </w:rPr>
        <w:t>.</w:t>
      </w:r>
    </w:p>
    <w:p w:rsidR="00506787" w:rsidRPr="00506787" w:rsidRDefault="00506787" w:rsidP="00506787">
      <w:pPr>
        <w:pStyle w:val="TextoNormalSangraFrancesa"/>
        <w:rPr>
          <w:rStyle w:val="TextoNormalCaracter"/>
        </w:rPr>
      </w:pPr>
      <w:bookmarkStart w:id="1246" w:name="DESCRIPTORALFABETICO467"/>
      <w:r w:rsidRPr="00506787">
        <w:rPr>
          <w:rStyle w:val="TextoNormalNegritaCaracter"/>
        </w:rPr>
        <w:t>Incomparecencia</w:t>
      </w:r>
      <w:bookmarkEnd w:id="1246"/>
      <w:r w:rsidRPr="00506787">
        <w:rPr>
          <w:rStyle w:val="TextoNormalCaracter"/>
        </w:rPr>
        <w:t xml:space="preserve">, Auto </w:t>
      </w:r>
      <w:hyperlink w:anchor="AUTO_1985_73" w:history="1">
        <w:r w:rsidRPr="00506787">
          <w:rPr>
            <w:rStyle w:val="TextoNormalCaracter"/>
          </w:rPr>
          <w:t>73/1985</w:t>
        </w:r>
      </w:hyperlink>
      <w:r w:rsidRPr="00506787">
        <w:rPr>
          <w:rStyle w:val="TextoNormalCaracter"/>
        </w:rPr>
        <w:t>.</w:t>
      </w:r>
    </w:p>
    <w:p w:rsidR="00506787" w:rsidRPr="00506787" w:rsidRDefault="00506787" w:rsidP="00506787">
      <w:pPr>
        <w:pStyle w:val="TextoNormalSangraFrancesa"/>
        <w:rPr>
          <w:rStyle w:val="TextoNormalCaracter"/>
        </w:rPr>
      </w:pPr>
      <w:bookmarkStart w:id="1247" w:name="DESCRIPTORALFABETICO418"/>
      <w:r w:rsidRPr="00506787">
        <w:rPr>
          <w:rStyle w:val="TextoNormalNegritaCaracter"/>
        </w:rPr>
        <w:t>Incompetencia de la jurisdicción contencioso-administrativa</w:t>
      </w:r>
      <w:bookmarkEnd w:id="1247"/>
      <w:r w:rsidRPr="00506787">
        <w:rPr>
          <w:rStyle w:val="TextoNormalCaracter"/>
        </w:rPr>
        <w:t xml:space="preserve">, Sentencias </w:t>
      </w:r>
      <w:hyperlink w:anchor="SENTENCIA_1985_22" w:history="1">
        <w:r w:rsidRPr="00506787">
          <w:rPr>
            <w:rStyle w:val="TextoNormalCaracter"/>
          </w:rPr>
          <w:t>22/1985</w:t>
        </w:r>
      </w:hyperlink>
      <w:r w:rsidRPr="00506787">
        <w:rPr>
          <w:rStyle w:val="TextoNormalCaracter"/>
        </w:rPr>
        <w:t xml:space="preserve">, f. 4; </w:t>
      </w:r>
      <w:hyperlink w:anchor="SENTENCIA_1985_39" w:history="1">
        <w:r w:rsidRPr="00506787">
          <w:rPr>
            <w:rStyle w:val="TextoNormalCaracter"/>
          </w:rPr>
          <w:t>39/1985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248" w:name="DESCRIPTORALFABETICO55"/>
      <w:r w:rsidRPr="00506787">
        <w:rPr>
          <w:rStyle w:val="TextoNormalNegritaCaracter"/>
        </w:rPr>
        <w:t>Incongruencia de la pretensión</w:t>
      </w:r>
      <w:bookmarkEnd w:id="1248"/>
      <w:r w:rsidRPr="00506787">
        <w:rPr>
          <w:rStyle w:val="TextoNormalCaracter"/>
        </w:rPr>
        <w:t xml:space="preserve">, Sentencia </w:t>
      </w:r>
      <w:hyperlink w:anchor="SENTENCIA_1985_22" w:history="1">
        <w:r w:rsidRPr="00506787">
          <w:rPr>
            <w:rStyle w:val="TextoNormalCaracter"/>
          </w:rPr>
          <w:t>22/1985</w:t>
        </w:r>
      </w:hyperlink>
      <w:r w:rsidRPr="00506787">
        <w:rPr>
          <w:rStyle w:val="TextoNormalCaracter"/>
        </w:rPr>
        <w:t>, f. 1.</w:t>
      </w:r>
    </w:p>
    <w:p w:rsidR="00506787" w:rsidRPr="00506787" w:rsidRDefault="00506787" w:rsidP="00506787">
      <w:pPr>
        <w:pStyle w:val="TextoNormalSangraFrancesa"/>
        <w:rPr>
          <w:rStyle w:val="TextoNormalCaracter"/>
        </w:rPr>
      </w:pPr>
      <w:bookmarkStart w:id="1249" w:name="DESCRIPTORALFABETICO191"/>
      <w:r w:rsidRPr="00506787">
        <w:rPr>
          <w:rStyle w:val="TextoNormalNegritaCaracter"/>
        </w:rPr>
        <w:t>Incongruencia de la pretensión de amparo</w:t>
      </w:r>
      <w:bookmarkEnd w:id="1249"/>
      <w:r w:rsidRPr="00506787">
        <w:rPr>
          <w:rStyle w:val="TextoNormalCaracter"/>
        </w:rPr>
        <w:t xml:space="preserve">, Sentencia </w:t>
      </w:r>
      <w:hyperlink w:anchor="SENTENCIA_1985_22" w:history="1">
        <w:r w:rsidRPr="00506787">
          <w:rPr>
            <w:rStyle w:val="TextoNormalCaracter"/>
          </w:rPr>
          <w:t>22/1985</w:t>
        </w:r>
      </w:hyperlink>
      <w:r w:rsidRPr="00506787">
        <w:rPr>
          <w:rStyle w:val="TextoNormalCaracter"/>
        </w:rPr>
        <w:t>, f. 1.</w:t>
      </w:r>
    </w:p>
    <w:p w:rsidR="00506787" w:rsidRPr="00506787" w:rsidRDefault="00506787" w:rsidP="00506787">
      <w:pPr>
        <w:pStyle w:val="TextoNormalSangraFrancesa"/>
        <w:rPr>
          <w:rStyle w:val="TextoNormalCaracter"/>
        </w:rPr>
      </w:pPr>
      <w:bookmarkStart w:id="1250" w:name="DESCRIPTORALFABETICO54"/>
      <w:r w:rsidRPr="00506787">
        <w:rPr>
          <w:rStyle w:val="TextoNormalNegritaCaracter"/>
        </w:rPr>
        <w:t>Incongruencia de las sentencias</w:t>
      </w:r>
      <w:bookmarkEnd w:id="1250"/>
      <w:r w:rsidRPr="00506787">
        <w:rPr>
          <w:rStyle w:val="TextoNormalCaracter"/>
        </w:rPr>
        <w:t xml:space="preserve">, Sentencias </w:t>
      </w:r>
      <w:hyperlink w:anchor="SENTENCIA_1985_14" w:history="1">
        <w:r w:rsidRPr="00506787">
          <w:rPr>
            <w:rStyle w:val="TextoNormalCaracter"/>
          </w:rPr>
          <w:t>14/1985</w:t>
        </w:r>
      </w:hyperlink>
      <w:r w:rsidRPr="00506787">
        <w:rPr>
          <w:rStyle w:val="TextoNormalCaracter"/>
        </w:rPr>
        <w:t xml:space="preserve">, f. 3; </w:t>
      </w:r>
      <w:hyperlink w:anchor="SENTENCIA_1985_39" w:history="1">
        <w:r w:rsidRPr="00506787">
          <w:rPr>
            <w:rStyle w:val="TextoNormalCaracter"/>
          </w:rPr>
          <w:t>39/1985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95" w:history="1">
        <w:r w:rsidRPr="00506787">
          <w:rPr>
            <w:rStyle w:val="TextoNormalCaracter"/>
          </w:rPr>
          <w:t>95/1985</w:t>
        </w:r>
      </w:hyperlink>
      <w:r w:rsidRPr="00506787">
        <w:rPr>
          <w:rStyle w:val="TextoNormalCaracter"/>
        </w:rPr>
        <w:t xml:space="preserve">; </w:t>
      </w:r>
      <w:hyperlink w:anchor="AUTO_1985_185" w:history="1">
        <w:r w:rsidRPr="00506787">
          <w:rPr>
            <w:rStyle w:val="TextoNormalCaracter"/>
          </w:rPr>
          <w:t>185/1985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Sentencias </w:t>
      </w:r>
      <w:hyperlink w:anchor="SENTENCIA_1985_14" w:history="1">
        <w:r w:rsidRPr="00506787">
          <w:rPr>
            <w:rStyle w:val="TextoNormalCaracter"/>
          </w:rPr>
          <w:t>14/1985</w:t>
        </w:r>
      </w:hyperlink>
      <w:r w:rsidRPr="00506787">
        <w:rPr>
          <w:rStyle w:val="TextoNormalCaracter"/>
        </w:rPr>
        <w:t xml:space="preserve">, f. 3; </w:t>
      </w:r>
      <w:hyperlink w:anchor="SENTENCIA_1985_39" w:history="1">
        <w:r w:rsidRPr="00506787">
          <w:rPr>
            <w:rStyle w:val="TextoNormalCaracter"/>
          </w:rPr>
          <w:t>39/1985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ursivaCaracter"/>
        </w:rPr>
        <w:t xml:space="preserve">    Respetado, </w:t>
      </w:r>
      <w:r w:rsidRPr="00506787">
        <w:rPr>
          <w:rStyle w:val="TextoNormalCaracter"/>
        </w:rPr>
        <w:t xml:space="preserve">Auto </w:t>
      </w:r>
      <w:hyperlink w:anchor="AUTO_1985_270" w:history="1">
        <w:r w:rsidRPr="00506787">
          <w:rPr>
            <w:rStyle w:val="TextoNormalCaracter"/>
          </w:rPr>
          <w:t>270/1985</w:t>
        </w:r>
      </w:hyperlink>
      <w:r w:rsidRPr="00506787">
        <w:rPr>
          <w:rStyle w:val="TextoNormalCaracter"/>
        </w:rPr>
        <w:t>.</w:t>
      </w:r>
    </w:p>
    <w:p w:rsidR="00506787" w:rsidRPr="00506787" w:rsidRDefault="00506787" w:rsidP="00506787">
      <w:pPr>
        <w:pStyle w:val="TextoNormalSangraFrancesa"/>
        <w:rPr>
          <w:rStyle w:val="TextoNormalCaracter"/>
        </w:rPr>
      </w:pPr>
      <w:bookmarkStart w:id="1251" w:name="DESCRIPTORALFABETICO166"/>
      <w:r w:rsidRPr="00506787">
        <w:rPr>
          <w:rStyle w:val="TextoNormalNegritaCaracter"/>
        </w:rPr>
        <w:t>Inconstitucionalidad por conexión</w:t>
      </w:r>
      <w:bookmarkEnd w:id="1251"/>
      <w:r w:rsidRPr="00506787">
        <w:rPr>
          <w:rStyle w:val="TextoNormalCaracter"/>
        </w:rPr>
        <w:t xml:space="preserve">, Sentencia </w:t>
      </w:r>
      <w:hyperlink w:anchor="SENTENCIA_1985_27" w:history="1">
        <w:r w:rsidRPr="00506787">
          <w:rPr>
            <w:rStyle w:val="TextoNormalCaracter"/>
          </w:rPr>
          <w:t>27/1985</w:t>
        </w:r>
      </w:hyperlink>
      <w:r w:rsidRPr="00506787">
        <w:rPr>
          <w:rStyle w:val="TextoNormalCaracter"/>
        </w:rPr>
        <w:t>, f. 4.</w:t>
      </w:r>
    </w:p>
    <w:p w:rsidR="00506787" w:rsidRPr="00506787" w:rsidRDefault="00506787" w:rsidP="00506787">
      <w:pPr>
        <w:pStyle w:val="TextoNormalSangraFrancesa"/>
        <w:rPr>
          <w:rStyle w:val="TextoNormalNegritaCaracter"/>
        </w:rPr>
      </w:pPr>
      <w:r w:rsidRPr="00506787">
        <w:rPr>
          <w:rStyle w:val="TextoNormalCursivaCaracter"/>
        </w:rPr>
        <w:t>Inconstitucionalidad por consecuencia</w:t>
      </w:r>
      <w:r>
        <w:t xml:space="preserve"> véase </w:t>
      </w:r>
      <w:hyperlink w:anchor="DESCRIPTORALFABETICO166" w:history="1">
        <w:r w:rsidRPr="00506787">
          <w:rPr>
            <w:rStyle w:val="TextoNormalNegritaCaracter"/>
          </w:rPr>
          <w:t>Inconstitucionalidad por conexión</w:t>
        </w:r>
      </w:hyperlink>
    </w:p>
    <w:p w:rsidR="00506787" w:rsidRPr="00506787" w:rsidRDefault="00506787" w:rsidP="00506787">
      <w:pPr>
        <w:pStyle w:val="TextoNormalSangraFrancesa"/>
        <w:rPr>
          <w:rStyle w:val="TextoNormalNegritaCaracter"/>
        </w:rPr>
      </w:pPr>
      <w:r w:rsidRPr="00506787">
        <w:rPr>
          <w:rStyle w:val="TextoNormalCursivaCaracter"/>
        </w:rPr>
        <w:t>Inculpados</w:t>
      </w:r>
      <w:r>
        <w:t xml:space="preserve"> véase </w:t>
      </w:r>
      <w:hyperlink w:anchor="DESCRIPTORALFABETICO571" w:history="1">
        <w:r w:rsidRPr="00506787">
          <w:rPr>
            <w:rStyle w:val="TextoNormalNegritaCaracter"/>
          </w:rPr>
          <w:t>Imputados</w:t>
        </w:r>
      </w:hyperlink>
    </w:p>
    <w:p w:rsidR="00506787" w:rsidRPr="00506787" w:rsidRDefault="00506787" w:rsidP="00506787">
      <w:pPr>
        <w:pStyle w:val="TextoNormalSangraFrancesa"/>
        <w:rPr>
          <w:rStyle w:val="TextoNormalCaracter"/>
        </w:rPr>
      </w:pPr>
      <w:bookmarkStart w:id="1252" w:name="DESCRIPTORALFABETICO390"/>
      <w:r w:rsidRPr="00506787">
        <w:rPr>
          <w:rStyle w:val="TextoNormalNegritaCaracter"/>
        </w:rPr>
        <w:t>Incumplimiento de deberes laborales</w:t>
      </w:r>
      <w:bookmarkEnd w:id="1252"/>
      <w:r w:rsidRPr="00506787">
        <w:rPr>
          <w:rStyle w:val="TextoNormalCaracter"/>
        </w:rPr>
        <w:t xml:space="preserve">, Sentencia </w:t>
      </w:r>
      <w:hyperlink w:anchor="SENTENCIA_1985_19" w:history="1">
        <w:r w:rsidRPr="00506787">
          <w:rPr>
            <w:rStyle w:val="TextoNormalCaracter"/>
          </w:rPr>
          <w:t>19/1985</w:t>
        </w:r>
      </w:hyperlink>
      <w:r w:rsidRPr="00506787">
        <w:rPr>
          <w:rStyle w:val="TextoNormalCaracter"/>
        </w:rPr>
        <w:t>, ff. 1, 2, 3, 4, 5.</w:t>
      </w:r>
    </w:p>
    <w:p w:rsidR="00506787" w:rsidRPr="00506787" w:rsidRDefault="00506787" w:rsidP="00506787">
      <w:pPr>
        <w:pStyle w:val="TextoNormalSangraFrancesa"/>
        <w:rPr>
          <w:rStyle w:val="TextoNormalCaracter"/>
        </w:rPr>
      </w:pPr>
      <w:bookmarkStart w:id="1253" w:name="DESCRIPTORALFABETICO391"/>
      <w:r w:rsidRPr="00506787">
        <w:rPr>
          <w:rStyle w:val="TextoNormalNegritaCaracter"/>
        </w:rPr>
        <w:t>Incumplimiento de obligaciones laborales por incompatibilidad con prácticas religiosas</w:t>
      </w:r>
      <w:bookmarkEnd w:id="1253"/>
      <w:r w:rsidRPr="00506787">
        <w:rPr>
          <w:rStyle w:val="TextoNormalCaracter"/>
        </w:rPr>
        <w:t xml:space="preserve">, Sentencia </w:t>
      </w:r>
      <w:hyperlink w:anchor="SENTENCIA_1985_19" w:history="1">
        <w:r w:rsidRPr="00506787">
          <w:rPr>
            <w:rStyle w:val="TextoNormalCaracter"/>
          </w:rPr>
          <w:t>19/1985</w:t>
        </w:r>
      </w:hyperlink>
      <w:r w:rsidRPr="00506787">
        <w:rPr>
          <w:rStyle w:val="TextoNormalCaracter"/>
        </w:rPr>
        <w:t>, f. 1.</w:t>
      </w:r>
    </w:p>
    <w:p w:rsidR="00506787" w:rsidRPr="00506787" w:rsidRDefault="00506787" w:rsidP="00506787">
      <w:pPr>
        <w:pStyle w:val="TextoNormalSangraFrancesa"/>
        <w:rPr>
          <w:rStyle w:val="TextoNormalCaracter"/>
        </w:rPr>
      </w:pPr>
      <w:bookmarkStart w:id="1254" w:name="DESCRIPTORALFABETICO533"/>
      <w:r w:rsidRPr="00506787">
        <w:rPr>
          <w:rStyle w:val="TextoNormalNegritaCaracter"/>
        </w:rPr>
        <w:t>Incumplimiento de trámite procesal</w:t>
      </w:r>
      <w:bookmarkEnd w:id="1254"/>
      <w:r w:rsidRPr="00506787">
        <w:rPr>
          <w:rStyle w:val="TextoNormalCaracter"/>
        </w:rPr>
        <w:t xml:space="preserve">, Auto </w:t>
      </w:r>
      <w:hyperlink w:anchor="AUTO_1985_278" w:history="1">
        <w:r w:rsidRPr="00506787">
          <w:rPr>
            <w:rStyle w:val="TextoNormalCaracter"/>
          </w:rPr>
          <w:t>278/1985</w:t>
        </w:r>
      </w:hyperlink>
      <w:r w:rsidRPr="00506787">
        <w:rPr>
          <w:rStyle w:val="TextoNormalCaracter"/>
        </w:rPr>
        <w:t>.</w:t>
      </w:r>
    </w:p>
    <w:p w:rsidR="00506787" w:rsidRPr="00506787" w:rsidRDefault="00506787" w:rsidP="00506787">
      <w:pPr>
        <w:pStyle w:val="TextoNormalSangraFrancesa"/>
        <w:rPr>
          <w:rStyle w:val="TextoNormalCaracter"/>
        </w:rPr>
      </w:pPr>
      <w:bookmarkStart w:id="1255" w:name="DESCRIPTORALFABETICO492"/>
      <w:r w:rsidRPr="00506787">
        <w:rPr>
          <w:rStyle w:val="TextoNormalNegritaCaracter"/>
        </w:rPr>
        <w:t>Indefensión</w:t>
      </w:r>
      <w:bookmarkEnd w:id="1255"/>
      <w:r w:rsidRPr="00506787">
        <w:rPr>
          <w:rStyle w:val="TextoNormalCaracter"/>
        </w:rPr>
        <w:t xml:space="preserve">, Sentencias </w:t>
      </w:r>
      <w:hyperlink w:anchor="SENTENCIA_1985_14" w:history="1">
        <w:r w:rsidRPr="00506787">
          <w:rPr>
            <w:rStyle w:val="TextoNormalCaracter"/>
          </w:rPr>
          <w:t>14/1985</w:t>
        </w:r>
      </w:hyperlink>
      <w:r w:rsidRPr="00506787">
        <w:rPr>
          <w:rStyle w:val="TextoNormalCaracter"/>
        </w:rPr>
        <w:t xml:space="preserve">, f. 3; </w:t>
      </w:r>
      <w:hyperlink w:anchor="SENTENCIA_1985_18" w:history="1">
        <w:r w:rsidRPr="00506787">
          <w:rPr>
            <w:rStyle w:val="TextoNormalCaracter"/>
          </w:rPr>
          <w:t>18/1985</w:t>
        </w:r>
      </w:hyperlink>
      <w:r w:rsidRPr="00506787">
        <w:rPr>
          <w:rStyle w:val="TextoNormalCaracter"/>
        </w:rPr>
        <w:t xml:space="preserve">, ff. 1, 2, 3, 4, 5; </w:t>
      </w:r>
      <w:hyperlink w:anchor="SENTENCIA_1985_21" w:history="1">
        <w:r w:rsidRPr="00506787">
          <w:rPr>
            <w:rStyle w:val="TextoNormalCaracter"/>
          </w:rPr>
          <w:t>21/1985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97" w:history="1">
        <w:r w:rsidRPr="00506787">
          <w:rPr>
            <w:rStyle w:val="TextoNormalCaracter"/>
          </w:rPr>
          <w:t>97/1985</w:t>
        </w:r>
      </w:hyperlink>
      <w:r w:rsidRPr="00506787">
        <w:rPr>
          <w:rStyle w:val="TextoNormalCaracter"/>
        </w:rPr>
        <w:t xml:space="preserve">; </w:t>
      </w:r>
      <w:hyperlink w:anchor="AUTO_1985_153" w:history="1">
        <w:r w:rsidRPr="00506787">
          <w:rPr>
            <w:rStyle w:val="TextoNormalCaracter"/>
          </w:rPr>
          <w:t>153/1985</w:t>
        </w:r>
      </w:hyperlink>
      <w:r w:rsidRPr="00506787">
        <w:rPr>
          <w:rStyle w:val="TextoNormalCaracter"/>
        </w:rPr>
        <w:t xml:space="preserve">; </w:t>
      </w:r>
      <w:hyperlink w:anchor="AUTO_1985_170" w:history="1">
        <w:r w:rsidRPr="00506787">
          <w:rPr>
            <w:rStyle w:val="TextoNormalCaracter"/>
          </w:rPr>
          <w:t>170/1985</w:t>
        </w:r>
      </w:hyperlink>
      <w:r w:rsidRPr="00506787">
        <w:rPr>
          <w:rStyle w:val="TextoNormalCaracter"/>
        </w:rPr>
        <w:t xml:space="preserve">; </w:t>
      </w:r>
      <w:hyperlink w:anchor="AUTO_1985_185" w:history="1">
        <w:r w:rsidRPr="00506787">
          <w:rPr>
            <w:rStyle w:val="TextoNormalCaracter"/>
          </w:rPr>
          <w:t>185/1985</w:t>
        </w:r>
      </w:hyperlink>
      <w:r w:rsidRPr="00506787">
        <w:rPr>
          <w:rStyle w:val="TextoNormalCaracter"/>
        </w:rPr>
        <w:t xml:space="preserve">; </w:t>
      </w:r>
      <w:hyperlink w:anchor="AUTO_1985_222" w:history="1">
        <w:r w:rsidRPr="00506787">
          <w:rPr>
            <w:rStyle w:val="TextoNormalCaracter"/>
          </w:rPr>
          <w:t>222/1985</w:t>
        </w:r>
      </w:hyperlink>
      <w:r w:rsidRPr="00506787">
        <w:rPr>
          <w:rStyle w:val="TextoNormalCaracter"/>
        </w:rPr>
        <w:t xml:space="preserve">; </w:t>
      </w:r>
      <w:hyperlink w:anchor="AUTO_1985_223" w:history="1">
        <w:r w:rsidRPr="00506787">
          <w:rPr>
            <w:rStyle w:val="TextoNormalCaracter"/>
          </w:rPr>
          <w:t>223/1985</w:t>
        </w:r>
      </w:hyperlink>
      <w:r w:rsidRPr="00506787">
        <w:rPr>
          <w:rStyle w:val="TextoNormalCaracter"/>
        </w:rPr>
        <w:t xml:space="preserve">; </w:t>
      </w:r>
      <w:hyperlink w:anchor="AUTO_1985_273" w:history="1">
        <w:r w:rsidRPr="00506787">
          <w:rPr>
            <w:rStyle w:val="TextoNormalCaracter"/>
          </w:rPr>
          <w:t>273/1985</w:t>
        </w:r>
      </w:hyperlink>
      <w:r w:rsidRPr="00506787">
        <w:rPr>
          <w:rStyle w:val="TextoNormalCaracter"/>
        </w:rPr>
        <w:t>.</w:t>
      </w:r>
    </w:p>
    <w:p w:rsidR="00506787" w:rsidRPr="00506787" w:rsidRDefault="00506787" w:rsidP="00506787">
      <w:pPr>
        <w:pStyle w:val="TextoNormalSangraFrancesa"/>
        <w:rPr>
          <w:rStyle w:val="TextoNormalCaracter"/>
        </w:rPr>
      </w:pPr>
      <w:bookmarkStart w:id="1256" w:name="DESCRIPTORALFABETICO62"/>
      <w:r w:rsidRPr="00506787">
        <w:rPr>
          <w:rStyle w:val="TextoNormalNegritaCaracter"/>
        </w:rPr>
        <w:t>Indefensión imputable al recurrente</w:t>
      </w:r>
      <w:bookmarkEnd w:id="1256"/>
      <w:r w:rsidRPr="00506787">
        <w:rPr>
          <w:rStyle w:val="TextoNormalCaracter"/>
        </w:rPr>
        <w:t xml:space="preserve">, Sentencia </w:t>
      </w:r>
      <w:hyperlink w:anchor="SENTENCIA_1985_56" w:history="1">
        <w:r w:rsidRPr="00506787">
          <w:rPr>
            <w:rStyle w:val="TextoNormalCaracter"/>
          </w:rPr>
          <w:t>56/1985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09" w:history="1">
        <w:r w:rsidRPr="00506787">
          <w:rPr>
            <w:rStyle w:val="TextoNormalCaracter"/>
          </w:rPr>
          <w:t>109/1985</w:t>
        </w:r>
      </w:hyperlink>
      <w:r w:rsidRPr="00506787">
        <w:rPr>
          <w:rStyle w:val="TextoNormalCaracter"/>
        </w:rPr>
        <w:t xml:space="preserve">; </w:t>
      </w:r>
      <w:hyperlink w:anchor="AUTO_1985_124" w:history="1">
        <w:r w:rsidRPr="00506787">
          <w:rPr>
            <w:rStyle w:val="TextoNormalCaracter"/>
          </w:rPr>
          <w:t>124/1985</w:t>
        </w:r>
      </w:hyperlink>
      <w:r w:rsidRPr="00506787">
        <w:rPr>
          <w:rStyle w:val="TextoNormalCaracter"/>
        </w:rPr>
        <w:t>.</w:t>
      </w:r>
    </w:p>
    <w:p w:rsidR="00506787" w:rsidRPr="00506787" w:rsidRDefault="00506787" w:rsidP="00506787">
      <w:pPr>
        <w:pStyle w:val="TextoNormalSangraFrancesa"/>
        <w:rPr>
          <w:rStyle w:val="TextoNormalCaracter"/>
        </w:rPr>
      </w:pPr>
      <w:bookmarkStart w:id="1257" w:name="DESCRIPTORALFABETICO63"/>
      <w:r w:rsidRPr="00506787">
        <w:rPr>
          <w:rStyle w:val="TextoNormalNegritaCaracter"/>
        </w:rPr>
        <w:t>Indefensión material</w:t>
      </w:r>
      <w:bookmarkEnd w:id="1257"/>
      <w:r w:rsidRPr="00506787">
        <w:rPr>
          <w:rStyle w:val="TextoNormalCaracter"/>
        </w:rPr>
        <w:t xml:space="preserve">, Auto </w:t>
      </w:r>
      <w:hyperlink w:anchor="AUTO_1985_63" w:history="1">
        <w:r w:rsidRPr="00506787">
          <w:rPr>
            <w:rStyle w:val="TextoNormalCaracter"/>
          </w:rPr>
          <w:t>63/1985</w:t>
        </w:r>
      </w:hyperlink>
      <w:r w:rsidRPr="00506787">
        <w:rPr>
          <w:rStyle w:val="TextoNormalCaracter"/>
        </w:rPr>
        <w:t>.</w:t>
      </w:r>
    </w:p>
    <w:p w:rsidR="00506787" w:rsidRPr="00506787" w:rsidRDefault="00506787" w:rsidP="00506787">
      <w:pPr>
        <w:pStyle w:val="TextoNormalSangraFrancesa"/>
        <w:rPr>
          <w:rStyle w:val="TextoNormalCaracter"/>
        </w:rPr>
      </w:pPr>
      <w:bookmarkStart w:id="1258" w:name="DESCRIPTORALFABETICO367"/>
      <w:r w:rsidRPr="00506787">
        <w:rPr>
          <w:rStyle w:val="TextoNormalNegritaCaracter"/>
        </w:rPr>
        <w:t>Indemnización</w:t>
      </w:r>
      <w:bookmarkEnd w:id="1258"/>
      <w:r w:rsidRPr="00506787">
        <w:rPr>
          <w:rStyle w:val="TextoNormalCaracter"/>
        </w:rPr>
        <w:t xml:space="preserve">, Sentencia </w:t>
      </w:r>
      <w:hyperlink w:anchor="SENTENCIA_1985_5" w:history="1">
        <w:r w:rsidRPr="00506787">
          <w:rPr>
            <w:rStyle w:val="TextoNormalCaracter"/>
          </w:rPr>
          <w:t>5/1985</w:t>
        </w:r>
      </w:hyperlink>
      <w:r w:rsidRPr="00506787">
        <w:rPr>
          <w:rStyle w:val="TextoNormalCaracter"/>
        </w:rPr>
        <w:t>, f. 7.</w:t>
      </w:r>
    </w:p>
    <w:p w:rsidR="00506787" w:rsidRPr="00506787" w:rsidRDefault="00506787" w:rsidP="00506787">
      <w:pPr>
        <w:pStyle w:val="TextoNormalSangraFrancesa"/>
        <w:rPr>
          <w:rStyle w:val="TextoNormalCaracter"/>
        </w:rPr>
      </w:pPr>
      <w:bookmarkStart w:id="1259" w:name="DESCRIPTORALFABETICO509"/>
      <w:r w:rsidRPr="00506787">
        <w:rPr>
          <w:rStyle w:val="TextoNormalNegritaCaracter"/>
        </w:rPr>
        <w:t>Inexistencia de postulación</w:t>
      </w:r>
      <w:bookmarkEnd w:id="1259"/>
      <w:r w:rsidRPr="00506787">
        <w:rPr>
          <w:rStyle w:val="TextoNormalCaracter"/>
        </w:rPr>
        <w:t xml:space="preserve">, Autos </w:t>
      </w:r>
      <w:hyperlink w:anchor="AUTO_1985_10" w:history="1">
        <w:r w:rsidRPr="00506787">
          <w:rPr>
            <w:rStyle w:val="TextoNormalCaracter"/>
          </w:rPr>
          <w:t>10/1985</w:t>
        </w:r>
      </w:hyperlink>
      <w:r w:rsidRPr="00506787">
        <w:rPr>
          <w:rStyle w:val="TextoNormalCaracter"/>
        </w:rPr>
        <w:t xml:space="preserve">; </w:t>
      </w:r>
      <w:hyperlink w:anchor="AUTO_1985_14" w:history="1">
        <w:r w:rsidRPr="00506787">
          <w:rPr>
            <w:rStyle w:val="TextoNormalCaracter"/>
          </w:rPr>
          <w:t>14/1985</w:t>
        </w:r>
      </w:hyperlink>
      <w:r w:rsidRPr="00506787">
        <w:rPr>
          <w:rStyle w:val="TextoNormalCaracter"/>
        </w:rPr>
        <w:t xml:space="preserve">; </w:t>
      </w:r>
      <w:hyperlink w:anchor="AUTO_1985_23" w:history="1">
        <w:r w:rsidRPr="00506787">
          <w:rPr>
            <w:rStyle w:val="TextoNormalCaracter"/>
          </w:rPr>
          <w:t>23/1985</w:t>
        </w:r>
      </w:hyperlink>
      <w:r w:rsidRPr="00506787">
        <w:rPr>
          <w:rStyle w:val="TextoNormalCaracter"/>
        </w:rPr>
        <w:t xml:space="preserve">; </w:t>
      </w:r>
      <w:hyperlink w:anchor="AUTO_1985_32" w:history="1">
        <w:r w:rsidRPr="00506787">
          <w:rPr>
            <w:rStyle w:val="TextoNormalCaracter"/>
          </w:rPr>
          <w:t>32/1985</w:t>
        </w:r>
      </w:hyperlink>
      <w:r w:rsidRPr="00506787">
        <w:rPr>
          <w:rStyle w:val="TextoNormalCaracter"/>
        </w:rPr>
        <w:t xml:space="preserve">; </w:t>
      </w:r>
      <w:hyperlink w:anchor="AUTO_1985_62" w:history="1">
        <w:r w:rsidRPr="00506787">
          <w:rPr>
            <w:rStyle w:val="TextoNormalCaracter"/>
          </w:rPr>
          <w:t>62/1985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Inexistencia de prueba</w:t>
      </w:r>
      <w:r>
        <w:t xml:space="preserve"> véase </w:t>
      </w:r>
      <w:hyperlink w:anchor="DESCRIPTORALFABETICO476" w:history="1">
        <w:r w:rsidRPr="00506787">
          <w:rPr>
            <w:rStyle w:val="TextoNormalNegritaCaracter"/>
          </w:rPr>
          <w:t>Falta de prueba</w:t>
        </w:r>
      </w:hyperlink>
    </w:p>
    <w:p w:rsidR="00506787" w:rsidRPr="00506787" w:rsidRDefault="00506787" w:rsidP="00506787">
      <w:pPr>
        <w:pStyle w:val="TextoNormalSangraFrancesa"/>
        <w:rPr>
          <w:rStyle w:val="TextoNormalCaracter"/>
        </w:rPr>
      </w:pPr>
      <w:bookmarkStart w:id="1260" w:name="DESCRIPTORALFABETICO425"/>
      <w:r w:rsidRPr="00506787">
        <w:rPr>
          <w:rStyle w:val="TextoNormalNegritaCaracter"/>
        </w:rPr>
        <w:t>Inhibición de la jurisdicción militar</w:t>
      </w:r>
      <w:bookmarkEnd w:id="1260"/>
      <w:r w:rsidRPr="00506787">
        <w:rPr>
          <w:rStyle w:val="TextoNormalCaracter"/>
        </w:rPr>
        <w:t xml:space="preserve">, Auto </w:t>
      </w:r>
      <w:hyperlink w:anchor="AUTO_1985_242" w:history="1">
        <w:r w:rsidRPr="00506787">
          <w:rPr>
            <w:rStyle w:val="TextoNormalCaracter"/>
          </w:rPr>
          <w:t>242/1985</w:t>
        </w:r>
      </w:hyperlink>
      <w:r w:rsidRPr="00506787">
        <w:rPr>
          <w:rStyle w:val="TextoNormalCaracter"/>
        </w:rPr>
        <w:t>.</w:t>
      </w:r>
    </w:p>
    <w:p w:rsidR="00506787" w:rsidRPr="00506787" w:rsidRDefault="00506787" w:rsidP="00506787">
      <w:pPr>
        <w:pStyle w:val="TextoNormalSangraFrancesa"/>
        <w:rPr>
          <w:rStyle w:val="TextoNormalCaracter"/>
        </w:rPr>
      </w:pPr>
      <w:bookmarkStart w:id="1261" w:name="DESCRIPTORALFABETICO323"/>
      <w:r w:rsidRPr="00506787">
        <w:rPr>
          <w:rStyle w:val="TextoNormalNegritaCaracter"/>
        </w:rPr>
        <w:t>Injurias</w:t>
      </w:r>
      <w:bookmarkEnd w:id="1261"/>
      <w:r w:rsidRPr="00506787">
        <w:rPr>
          <w:rStyle w:val="TextoNormalCaracter"/>
        </w:rPr>
        <w:t xml:space="preserve">, Sentencias </w:t>
      </w:r>
      <w:hyperlink w:anchor="SENTENCIA_1985_38" w:history="1">
        <w:r w:rsidRPr="00506787">
          <w:rPr>
            <w:rStyle w:val="TextoNormalCaracter"/>
          </w:rPr>
          <w:t>38/1985</w:t>
        </w:r>
      </w:hyperlink>
      <w:r w:rsidRPr="00506787">
        <w:rPr>
          <w:rStyle w:val="TextoNormalCaracter"/>
        </w:rPr>
        <w:t xml:space="preserve">, f. 1; </w:t>
      </w:r>
      <w:hyperlink w:anchor="SENTENCIA_1985_51" w:history="1">
        <w:r w:rsidRPr="00506787">
          <w:rPr>
            <w:rStyle w:val="TextoNormalCaracter"/>
          </w:rPr>
          <w:t>51/1985</w:t>
        </w:r>
      </w:hyperlink>
      <w:r w:rsidRPr="00506787">
        <w:rPr>
          <w:rStyle w:val="TextoNormalCaracter"/>
        </w:rPr>
        <w:t>, ff. 7, 10.</w:t>
      </w:r>
    </w:p>
    <w:p w:rsidR="00506787" w:rsidRPr="00506787" w:rsidRDefault="00506787" w:rsidP="00506787">
      <w:pPr>
        <w:pStyle w:val="TextoNormalSangraFrancesa"/>
        <w:rPr>
          <w:rStyle w:val="TextoNormalCaracter"/>
        </w:rPr>
      </w:pPr>
      <w:bookmarkStart w:id="1262" w:name="DESCRIPTORALFABETICO324"/>
      <w:r w:rsidRPr="00506787">
        <w:rPr>
          <w:rStyle w:val="TextoNormalNegritaCaracter"/>
        </w:rPr>
        <w:t>Injurias al Gobierno</w:t>
      </w:r>
      <w:bookmarkEnd w:id="1262"/>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10.</w:t>
      </w:r>
    </w:p>
    <w:p w:rsidR="00506787" w:rsidRPr="00506787" w:rsidRDefault="00506787" w:rsidP="00506787">
      <w:pPr>
        <w:pStyle w:val="TextoNormalSangraFrancesa"/>
        <w:rPr>
          <w:rStyle w:val="TextoNormalCaracter"/>
        </w:rPr>
      </w:pPr>
      <w:bookmarkStart w:id="1263" w:name="DESCRIPTORALFABETICO569"/>
      <w:r w:rsidRPr="00506787">
        <w:rPr>
          <w:rStyle w:val="TextoNormalNegritaCaracter"/>
        </w:rPr>
        <w:t>Instrucción penal</w:t>
      </w:r>
      <w:bookmarkEnd w:id="1263"/>
      <w:r w:rsidRPr="00506787">
        <w:rPr>
          <w:rStyle w:val="TextoNormalCaracter"/>
        </w:rPr>
        <w:t xml:space="preserve">, Sentencia </w:t>
      </w:r>
      <w:hyperlink w:anchor="SENTENCIA_1985_1" w:history="1">
        <w:r w:rsidRPr="00506787">
          <w:rPr>
            <w:rStyle w:val="TextoNormalCaracter"/>
          </w:rPr>
          <w:t>1/1985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264" w:name="DESCRIPTORALFABETICO162"/>
      <w:r w:rsidRPr="00506787">
        <w:rPr>
          <w:rStyle w:val="TextoNormalNegritaCaracter"/>
        </w:rPr>
        <w:t>Insuficiencia de rango de la norma controvertida</w:t>
      </w:r>
      <w:bookmarkEnd w:id="1264"/>
      <w:r w:rsidRPr="00506787">
        <w:rPr>
          <w:rStyle w:val="TextoNormalCaracter"/>
        </w:rPr>
        <w:t xml:space="preserve">, Sentencia </w:t>
      </w:r>
      <w:hyperlink w:anchor="SENTENCIA_1985_12" w:history="1">
        <w:r w:rsidRPr="00506787">
          <w:rPr>
            <w:rStyle w:val="TextoNormalCaracter"/>
          </w:rPr>
          <w:t>12/1985</w:t>
        </w:r>
      </w:hyperlink>
      <w:r w:rsidRPr="00506787">
        <w:rPr>
          <w:rStyle w:val="TextoNormalCaracter"/>
        </w:rPr>
        <w:t>, f. 2.</w:t>
      </w:r>
    </w:p>
    <w:p w:rsidR="00506787" w:rsidRPr="00506787" w:rsidRDefault="00506787" w:rsidP="00506787">
      <w:pPr>
        <w:pStyle w:val="TextoNormalSangraFrancesa"/>
        <w:rPr>
          <w:rStyle w:val="TextoNormalCaracter"/>
        </w:rPr>
      </w:pPr>
      <w:bookmarkStart w:id="1265" w:name="DESCRIPTORALFABETICO399"/>
      <w:r w:rsidRPr="00506787">
        <w:rPr>
          <w:rStyle w:val="TextoNormalNegritaCaracter"/>
        </w:rPr>
        <w:t>Integración de convenios colectivos en el ordenamiento jurídico</w:t>
      </w:r>
      <w:bookmarkEnd w:id="1265"/>
      <w:r w:rsidRPr="00506787">
        <w:rPr>
          <w:rStyle w:val="TextoNormalCaracter"/>
        </w:rPr>
        <w:t xml:space="preserve">, Sentencia </w:t>
      </w:r>
      <w:hyperlink w:anchor="SENTENCIA_1985_58" w:history="1">
        <w:r w:rsidRPr="00506787">
          <w:rPr>
            <w:rStyle w:val="TextoNormalCaracter"/>
          </w:rPr>
          <w:t>58/1985</w:t>
        </w:r>
      </w:hyperlink>
      <w:r w:rsidRPr="00506787">
        <w:rPr>
          <w:rStyle w:val="TextoNormalCaracter"/>
        </w:rPr>
        <w:t>, f. 3.</w:t>
      </w:r>
    </w:p>
    <w:p w:rsidR="00506787" w:rsidRPr="00506787" w:rsidRDefault="00506787" w:rsidP="00506787">
      <w:pPr>
        <w:pStyle w:val="TextoNormalSangraFrancesa"/>
        <w:rPr>
          <w:rStyle w:val="TextoNormalCaracter"/>
        </w:rPr>
      </w:pPr>
      <w:bookmarkStart w:id="1266" w:name="DESCRIPTORALFABETICO540"/>
      <w:r w:rsidRPr="00506787">
        <w:rPr>
          <w:rStyle w:val="TextoNormalNegritaCaracter"/>
        </w:rPr>
        <w:t>Interdicto de obra nueva</w:t>
      </w:r>
      <w:bookmarkEnd w:id="1266"/>
      <w:r w:rsidRPr="00506787">
        <w:rPr>
          <w:rStyle w:val="TextoNormalCaracter"/>
        </w:rPr>
        <w:t xml:space="preserve">, Auto </w:t>
      </w:r>
      <w:hyperlink w:anchor="AUTO_1985_188" w:history="1">
        <w:r w:rsidRPr="00506787">
          <w:rPr>
            <w:rStyle w:val="TextoNormalCaracter"/>
          </w:rPr>
          <w:t>188/1985</w:t>
        </w:r>
      </w:hyperlink>
      <w:r w:rsidRPr="00506787">
        <w:rPr>
          <w:rStyle w:val="TextoNormalCaracter"/>
        </w:rPr>
        <w:t>.</w:t>
      </w:r>
    </w:p>
    <w:p w:rsidR="00506787" w:rsidRPr="00506787" w:rsidRDefault="00506787" w:rsidP="00506787">
      <w:pPr>
        <w:pStyle w:val="TextoNormalSangraFrancesa"/>
        <w:rPr>
          <w:rStyle w:val="TextoNormalCaracter"/>
        </w:rPr>
      </w:pPr>
      <w:bookmarkStart w:id="1267" w:name="DESCRIPTORALFABETICO539"/>
      <w:r w:rsidRPr="00506787">
        <w:rPr>
          <w:rStyle w:val="TextoNormalNegritaCaracter"/>
        </w:rPr>
        <w:t>Interdictos</w:t>
      </w:r>
      <w:bookmarkEnd w:id="1267"/>
      <w:r w:rsidRPr="00506787">
        <w:rPr>
          <w:rStyle w:val="TextoNormalCaracter"/>
        </w:rPr>
        <w:t xml:space="preserve">, Auto </w:t>
      </w:r>
      <w:hyperlink w:anchor="AUTO_1985_188" w:history="1">
        <w:r w:rsidRPr="00506787">
          <w:rPr>
            <w:rStyle w:val="TextoNormalCaracter"/>
          </w:rPr>
          <w:t>188/1985</w:t>
        </w:r>
      </w:hyperlink>
      <w:r w:rsidRPr="00506787">
        <w:rPr>
          <w:rStyle w:val="TextoNormalCaracter"/>
        </w:rPr>
        <w:t>.</w:t>
      </w:r>
    </w:p>
    <w:p w:rsidR="00506787" w:rsidRPr="00506787" w:rsidRDefault="00506787" w:rsidP="00506787">
      <w:pPr>
        <w:pStyle w:val="TextoNormalSangraFrancesa"/>
        <w:rPr>
          <w:rStyle w:val="TextoNormalCaracter"/>
        </w:rPr>
      </w:pPr>
      <w:bookmarkStart w:id="1268" w:name="DESCRIPTORALFABETICO502"/>
      <w:r w:rsidRPr="00506787">
        <w:rPr>
          <w:rStyle w:val="TextoNormalNegritaCaracter"/>
        </w:rPr>
        <w:t>Interés legítimo</w:t>
      </w:r>
      <w:bookmarkEnd w:id="1268"/>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Auto </w:t>
      </w:r>
      <w:hyperlink w:anchor="AUTO_1985_139" w:history="1">
        <w:r w:rsidRPr="00506787">
          <w:rPr>
            <w:rStyle w:val="TextoNormalCaracter"/>
          </w:rPr>
          <w:t>139/1985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Interés procesal</w:t>
      </w:r>
      <w:r>
        <w:t xml:space="preserve"> véase </w:t>
      </w:r>
      <w:hyperlink w:anchor="DESCRIPTORALFABETICO502" w:history="1">
        <w:r w:rsidRPr="00506787">
          <w:rPr>
            <w:rStyle w:val="TextoNormalNegritaCaracter"/>
          </w:rPr>
          <w:t>Interés legítimo</w:t>
        </w:r>
      </w:hyperlink>
    </w:p>
    <w:p w:rsidR="00506787" w:rsidRPr="00506787" w:rsidRDefault="00506787" w:rsidP="00506787">
      <w:pPr>
        <w:pStyle w:val="TextoNormalSangraFrancesa"/>
        <w:rPr>
          <w:rStyle w:val="TextoNormalNegritaCaracter"/>
        </w:rPr>
      </w:pPr>
      <w:r w:rsidRPr="00506787">
        <w:rPr>
          <w:rStyle w:val="TextoNormalCursivaCaracter"/>
        </w:rPr>
        <w:t>Interés propio</w:t>
      </w:r>
      <w:r>
        <w:t xml:space="preserve"> véase </w:t>
      </w:r>
      <w:hyperlink w:anchor="DESCRIPTORALFABETICO502" w:history="1">
        <w:r w:rsidRPr="00506787">
          <w:rPr>
            <w:rStyle w:val="TextoNormalNegritaCaracter"/>
          </w:rPr>
          <w:t>Interés legítimo</w:t>
        </w:r>
      </w:hyperlink>
    </w:p>
    <w:p w:rsidR="00506787" w:rsidRPr="00506787" w:rsidRDefault="00506787" w:rsidP="00506787">
      <w:pPr>
        <w:pStyle w:val="TextoNormalSangraFrancesa"/>
        <w:rPr>
          <w:rStyle w:val="TextoNormalCaracter"/>
        </w:rPr>
      </w:pPr>
      <w:bookmarkStart w:id="1269" w:name="DESCRIPTORALFABETICO347"/>
      <w:r w:rsidRPr="00506787">
        <w:rPr>
          <w:rStyle w:val="TextoNormalNegritaCaracter"/>
        </w:rPr>
        <w:t>Interpretación conforme a la Constitución</w:t>
      </w:r>
      <w:bookmarkEnd w:id="1269"/>
      <w:r w:rsidRPr="00506787">
        <w:rPr>
          <w:rStyle w:val="TextoNormalCaracter"/>
        </w:rPr>
        <w:t xml:space="preserve">, Sentencias </w:t>
      </w:r>
      <w:hyperlink w:anchor="SENTENCIA_1985_17" w:history="1">
        <w:r w:rsidRPr="00506787">
          <w:rPr>
            <w:rStyle w:val="TextoNormalCaracter"/>
          </w:rPr>
          <w:t>17/1985</w:t>
        </w:r>
      </w:hyperlink>
      <w:r w:rsidRPr="00506787">
        <w:rPr>
          <w:rStyle w:val="TextoNormalCaracter"/>
        </w:rPr>
        <w:t xml:space="preserve">, f. 4; </w:t>
      </w:r>
      <w:hyperlink w:anchor="SENTENCIA_1985_57" w:history="1">
        <w:r w:rsidRPr="00506787">
          <w:rPr>
            <w:rStyle w:val="TextoNormalCaracter"/>
          </w:rPr>
          <w:t>57/1985</w:t>
        </w:r>
      </w:hyperlink>
      <w:r w:rsidRPr="00506787">
        <w:rPr>
          <w:rStyle w:val="TextoNormalCaracter"/>
        </w:rPr>
        <w:t>, ff. 3, 4.</w:t>
      </w:r>
    </w:p>
    <w:p w:rsidR="00506787" w:rsidRPr="00506787" w:rsidRDefault="00506787" w:rsidP="00506787">
      <w:pPr>
        <w:pStyle w:val="TextoNormalSangraFrancesa"/>
        <w:rPr>
          <w:rStyle w:val="TextoNormalCaracter"/>
        </w:rPr>
      </w:pPr>
      <w:r w:rsidRPr="00506787">
        <w:rPr>
          <w:rStyle w:val="TextoNormalCursivaCaracter"/>
        </w:rPr>
        <w:lastRenderedPageBreak/>
        <w:t xml:space="preserve">    Límites, </w:t>
      </w:r>
      <w:r w:rsidRPr="00506787">
        <w:rPr>
          <w:rStyle w:val="TextoNormalCaracter"/>
        </w:rPr>
        <w:t xml:space="preserve">Sentencia </w:t>
      </w:r>
      <w:hyperlink w:anchor="SENTENCIA_1985_22" w:history="1">
        <w:r w:rsidRPr="00506787">
          <w:rPr>
            <w:rStyle w:val="TextoNormalCaracter"/>
          </w:rPr>
          <w:t>22/1985</w:t>
        </w:r>
      </w:hyperlink>
      <w:r w:rsidRPr="00506787">
        <w:rPr>
          <w:rStyle w:val="TextoNormalCaracter"/>
        </w:rPr>
        <w:t>, ff. 5, 6.</w:t>
      </w:r>
    </w:p>
    <w:p w:rsidR="00506787" w:rsidRPr="00506787" w:rsidRDefault="00506787" w:rsidP="00506787">
      <w:pPr>
        <w:pStyle w:val="TextoNormalSangraFrancesa"/>
        <w:rPr>
          <w:rStyle w:val="TextoNormalCaracter"/>
        </w:rPr>
      </w:pPr>
      <w:bookmarkStart w:id="1270" w:name="DESCRIPTORALFABETICO346"/>
      <w:r w:rsidRPr="00506787">
        <w:rPr>
          <w:rStyle w:val="TextoNormalNegritaCaracter"/>
        </w:rPr>
        <w:t>Interpretación de las normas jurídicas</w:t>
      </w:r>
      <w:bookmarkEnd w:id="1270"/>
      <w:r w:rsidRPr="00506787">
        <w:rPr>
          <w:rStyle w:val="TextoNormalCaracter"/>
        </w:rPr>
        <w:t xml:space="preserve">, Sentencias </w:t>
      </w:r>
      <w:hyperlink w:anchor="SENTENCIA_1985_48" w:history="1">
        <w:r w:rsidRPr="00506787">
          <w:rPr>
            <w:rStyle w:val="TextoNormalCaracter"/>
          </w:rPr>
          <w:t>48/1985</w:t>
        </w:r>
      </w:hyperlink>
      <w:r w:rsidRPr="00506787">
        <w:rPr>
          <w:rStyle w:val="TextoNormalCaracter"/>
        </w:rPr>
        <w:t xml:space="preserve">, f. 5; </w:t>
      </w:r>
      <w:hyperlink w:anchor="SENTENCIA_1985_53" w:history="1">
        <w:r w:rsidRPr="00506787">
          <w:rPr>
            <w:rStyle w:val="TextoNormalCaracter"/>
          </w:rPr>
          <w:t>53/1985</w:t>
        </w:r>
      </w:hyperlink>
      <w:r w:rsidRPr="00506787">
        <w:rPr>
          <w:rStyle w:val="TextoNormalCaracter"/>
        </w:rPr>
        <w:t>, f. 10.</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73" w:history="1">
        <w:r w:rsidRPr="00506787">
          <w:rPr>
            <w:rStyle w:val="TextoNormalCaracter"/>
          </w:rPr>
          <w:t>273/1985</w:t>
        </w:r>
      </w:hyperlink>
      <w:r w:rsidRPr="00506787">
        <w:rPr>
          <w:rStyle w:val="TextoNormalCaracter"/>
        </w:rPr>
        <w:t>.</w:t>
      </w:r>
    </w:p>
    <w:p w:rsidR="00506787" w:rsidRPr="00506787" w:rsidRDefault="00506787" w:rsidP="00506787">
      <w:pPr>
        <w:pStyle w:val="TextoNormalSangraFrancesa"/>
        <w:rPr>
          <w:rStyle w:val="TextoNormalCaracter"/>
        </w:rPr>
      </w:pPr>
      <w:bookmarkStart w:id="1271" w:name="DESCRIPTORALFABETICO348"/>
      <w:r w:rsidRPr="00506787">
        <w:rPr>
          <w:rStyle w:val="TextoNormalNegritaCaracter"/>
        </w:rPr>
        <w:t>Interpretación de las normas más favorable a los derechos fundamentales</w:t>
      </w:r>
      <w:bookmarkEnd w:id="1271"/>
      <w:r w:rsidRPr="00506787">
        <w:rPr>
          <w:rStyle w:val="TextoNormalCaracter"/>
        </w:rPr>
        <w:t xml:space="preserve">, Sentencias </w:t>
      </w:r>
      <w:hyperlink w:anchor="SENTENCIA_1985_4" w:history="1">
        <w:r w:rsidRPr="00506787">
          <w:rPr>
            <w:rStyle w:val="TextoNormalCaracter"/>
          </w:rPr>
          <w:t>4/1985</w:t>
        </w:r>
      </w:hyperlink>
      <w:r w:rsidRPr="00506787">
        <w:rPr>
          <w:rStyle w:val="TextoNormalCaracter"/>
        </w:rPr>
        <w:t xml:space="preserve">, f. 2; </w:t>
      </w:r>
      <w:hyperlink w:anchor="SENTENCIA_1985_17" w:history="1">
        <w:r w:rsidRPr="00506787">
          <w:rPr>
            <w:rStyle w:val="TextoNormalCaracter"/>
          </w:rPr>
          <w:t>17/1985</w:t>
        </w:r>
      </w:hyperlink>
      <w:r w:rsidRPr="00506787">
        <w:rPr>
          <w:rStyle w:val="TextoNormalCaracter"/>
        </w:rPr>
        <w:t xml:space="preserve">, ff. 2, 3, 4; </w:t>
      </w:r>
      <w:hyperlink w:anchor="SENTENCIA_1985_29" w:history="1">
        <w:r w:rsidRPr="00506787">
          <w:rPr>
            <w:rStyle w:val="TextoNormalCaracter"/>
          </w:rPr>
          <w:t>29/1985</w:t>
        </w:r>
      </w:hyperlink>
      <w:r w:rsidRPr="00506787">
        <w:rPr>
          <w:rStyle w:val="TextoNormalCaracter"/>
        </w:rPr>
        <w:t xml:space="preserve">, f. 2, VP; </w:t>
      </w:r>
      <w:hyperlink w:anchor="SENTENCIA_1985_57" w:history="1">
        <w:r w:rsidRPr="00506787">
          <w:rPr>
            <w:rStyle w:val="TextoNormalCaracter"/>
          </w:rPr>
          <w:t>57/1985</w:t>
        </w:r>
      </w:hyperlink>
      <w:r w:rsidRPr="00506787">
        <w:rPr>
          <w:rStyle w:val="TextoNormalCaracter"/>
        </w:rPr>
        <w:t>, f. 4.</w:t>
      </w:r>
    </w:p>
    <w:p w:rsidR="00506787" w:rsidRPr="00506787" w:rsidRDefault="00506787" w:rsidP="00506787">
      <w:pPr>
        <w:pStyle w:val="TextoNormalSangraFrancesa"/>
        <w:rPr>
          <w:rStyle w:val="TextoNormalNegritaCaracter"/>
        </w:rPr>
      </w:pPr>
      <w:r w:rsidRPr="00506787">
        <w:rPr>
          <w:rStyle w:val="TextoNormalCursivaCaracter"/>
        </w:rPr>
        <w:t>Interrupción voluntaria del embarazo</w:t>
      </w:r>
      <w:r>
        <w:t xml:space="preserve"> véase </w:t>
      </w:r>
      <w:hyperlink w:anchor="DESCRIPTORALFABETICO320" w:history="1">
        <w:r w:rsidRPr="00506787">
          <w:rPr>
            <w:rStyle w:val="TextoNormalNegritaCaracter"/>
          </w:rPr>
          <w:t>Aborto</w:t>
        </w:r>
      </w:hyperlink>
    </w:p>
    <w:p w:rsidR="00506787" w:rsidRPr="00506787" w:rsidRDefault="00506787" w:rsidP="00506787">
      <w:pPr>
        <w:pStyle w:val="TextoNormalSangraFrancesa"/>
        <w:rPr>
          <w:rStyle w:val="TextoNormalCaracter"/>
        </w:rPr>
      </w:pPr>
      <w:bookmarkStart w:id="1272" w:name="DESCRIPTORALFABETICO235"/>
      <w:r w:rsidRPr="00506787">
        <w:rPr>
          <w:rStyle w:val="TextoNormalNegritaCaracter"/>
        </w:rPr>
        <w:t>Intervención del Ministerio Fiscal en la cuestión de inconstitucionalidad</w:t>
      </w:r>
      <w:bookmarkEnd w:id="1272"/>
      <w:r w:rsidRPr="00506787">
        <w:rPr>
          <w:rStyle w:val="TextoNormalCaracter"/>
        </w:rPr>
        <w:t xml:space="preserve">, Sentencias </w:t>
      </w:r>
      <w:hyperlink w:anchor="SENTENCIA_1985_27" w:history="1">
        <w:r w:rsidRPr="00506787">
          <w:rPr>
            <w:rStyle w:val="TextoNormalCaracter"/>
          </w:rPr>
          <w:t>27/1985</w:t>
        </w:r>
      </w:hyperlink>
      <w:r w:rsidRPr="00506787">
        <w:rPr>
          <w:rStyle w:val="TextoNormalCaracter"/>
        </w:rPr>
        <w:t xml:space="preserve">, f. 3; </w:t>
      </w:r>
      <w:hyperlink w:anchor="SENTENCIA_1985_32" w:history="1">
        <w:r w:rsidRPr="00506787">
          <w:rPr>
            <w:rStyle w:val="TextoNormalCaracter"/>
          </w:rPr>
          <w:t>32/1985</w:t>
        </w:r>
      </w:hyperlink>
      <w:r w:rsidRPr="00506787">
        <w:rPr>
          <w:rStyle w:val="TextoNormalCaracter"/>
        </w:rPr>
        <w:t>, f. 2.</w:t>
      </w:r>
    </w:p>
    <w:p w:rsidR="00506787" w:rsidRPr="00506787" w:rsidRDefault="00506787" w:rsidP="00506787">
      <w:pPr>
        <w:pStyle w:val="TextoNormalSangraFrancesa"/>
        <w:rPr>
          <w:rStyle w:val="TextoNormalNegritaCaracter"/>
        </w:rPr>
      </w:pPr>
      <w:r w:rsidRPr="00506787">
        <w:rPr>
          <w:rStyle w:val="TextoNormalCursivaCaracter"/>
        </w:rPr>
        <w:t>Inviolabilidad de Diputados y Senadores</w:t>
      </w:r>
      <w:r>
        <w:t xml:space="preserve"> véase </w:t>
      </w:r>
      <w:hyperlink w:anchor="DESCRIPTORALFABETICO246" w:history="1">
        <w:r w:rsidRPr="00506787">
          <w:rPr>
            <w:rStyle w:val="TextoNormalNegritaCaracter"/>
          </w:rPr>
          <w:t>Inviolabilidad parlamentaria</w:t>
        </w:r>
      </w:hyperlink>
    </w:p>
    <w:p w:rsidR="00506787" w:rsidRPr="00506787" w:rsidRDefault="00506787" w:rsidP="00506787">
      <w:pPr>
        <w:pStyle w:val="TextoNormalSangraFrancesa"/>
        <w:rPr>
          <w:rStyle w:val="TextoNormalCaracter"/>
        </w:rPr>
      </w:pPr>
      <w:bookmarkStart w:id="1273" w:name="DESCRIPTORALFABETICO246"/>
      <w:r w:rsidRPr="00506787">
        <w:rPr>
          <w:rStyle w:val="TextoNormalNegritaCaracter"/>
        </w:rPr>
        <w:t>Inviolabilidad parlamentaria</w:t>
      </w:r>
      <w:bookmarkEnd w:id="1273"/>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6.</w:t>
      </w:r>
    </w:p>
    <w:p w:rsidR="00506787" w:rsidRPr="00506787" w:rsidRDefault="00506787" w:rsidP="00506787">
      <w:pPr>
        <w:pStyle w:val="TextoNormalSangraFrancesa"/>
        <w:rPr>
          <w:rStyle w:val="TextoNormalCaracter"/>
        </w:rPr>
      </w:pPr>
      <w:bookmarkStart w:id="1274" w:name="DESCRIPTORALFABETICO183"/>
      <w:r w:rsidRPr="00506787">
        <w:rPr>
          <w:rStyle w:val="TextoNormalNegritaCaracter"/>
        </w:rPr>
        <w:t>Invocación del derecho vulnerado</w:t>
      </w:r>
      <w:bookmarkEnd w:id="1274"/>
      <w:r w:rsidRPr="00506787">
        <w:rPr>
          <w:rStyle w:val="TextoNormalCaracter"/>
        </w:rPr>
        <w:t xml:space="preserve">, Sentencia </w:t>
      </w:r>
      <w:hyperlink w:anchor="SENTENCIA_1985_5" w:history="1">
        <w:r w:rsidRPr="00506787">
          <w:rPr>
            <w:rStyle w:val="TextoNormalCaracter"/>
          </w:rPr>
          <w:t>5/1985</w:t>
        </w:r>
      </w:hyperlink>
      <w:r w:rsidRPr="00506787">
        <w:rPr>
          <w:rStyle w:val="TextoNormalCaracter"/>
        </w:rPr>
        <w:t>, f. 2.</w:t>
      </w:r>
    </w:p>
    <w:p w:rsidR="00506787" w:rsidRPr="00506787" w:rsidRDefault="00506787" w:rsidP="00506787">
      <w:pPr>
        <w:pStyle w:val="TextoNormalSangraFrancesa"/>
        <w:rPr>
          <w:rStyle w:val="TextoNormalCaracter"/>
        </w:rPr>
      </w:pPr>
      <w:bookmarkStart w:id="1275" w:name="DESCRIPTORALFABETICO186"/>
      <w:r w:rsidRPr="00506787">
        <w:rPr>
          <w:rStyle w:val="TextoNormalNegritaCaracter"/>
        </w:rPr>
        <w:t>Invocación extemporánea</w:t>
      </w:r>
      <w:bookmarkEnd w:id="1275"/>
      <w:r w:rsidRPr="00506787">
        <w:rPr>
          <w:rStyle w:val="TextoNormalCaracter"/>
        </w:rPr>
        <w:t xml:space="preserve">, Auto </w:t>
      </w:r>
      <w:hyperlink w:anchor="AUTO_1985_231" w:history="1">
        <w:r w:rsidRPr="00506787">
          <w:rPr>
            <w:rStyle w:val="TextoNormalCaracter"/>
          </w:rPr>
          <w:t>231/1985</w:t>
        </w:r>
      </w:hyperlink>
      <w:r w:rsidRPr="00506787">
        <w:rPr>
          <w:rStyle w:val="TextoNormalCaracter"/>
        </w:rPr>
        <w:t>.</w:t>
      </w:r>
    </w:p>
    <w:p w:rsidR="00506787" w:rsidRPr="00506787" w:rsidRDefault="00506787" w:rsidP="00506787">
      <w:pPr>
        <w:pStyle w:val="TextoNormalSangraFrancesa"/>
        <w:rPr>
          <w:rStyle w:val="TextoNormalCaracter"/>
        </w:rPr>
      </w:pPr>
      <w:bookmarkStart w:id="1276" w:name="DESCRIPTORALFABETICO187"/>
      <w:r w:rsidRPr="00506787">
        <w:rPr>
          <w:rStyle w:val="TextoNormalNegritaCaracter"/>
        </w:rPr>
        <w:t>Invocación no acreditada</w:t>
      </w:r>
      <w:bookmarkEnd w:id="1276"/>
      <w:r w:rsidRPr="00506787">
        <w:rPr>
          <w:rStyle w:val="TextoNormalCaracter"/>
        </w:rPr>
        <w:t xml:space="preserve">, Auto </w:t>
      </w:r>
      <w:hyperlink w:anchor="AUTO_1985_15" w:history="1">
        <w:r w:rsidRPr="00506787">
          <w:rPr>
            <w:rStyle w:val="TextoNormalCaracter"/>
          </w:rPr>
          <w:t>15/1985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Invocación no probada</w:t>
      </w:r>
      <w:r>
        <w:t xml:space="preserve"> véase </w:t>
      </w:r>
      <w:hyperlink w:anchor="DESCRIPTORALFABETICO187" w:history="1">
        <w:r w:rsidRPr="00506787">
          <w:rPr>
            <w:rStyle w:val="TextoNormalNegritaCaracter"/>
          </w:rPr>
          <w:t>Invocación no acreditada</w:t>
        </w:r>
      </w:hyperlink>
    </w:p>
    <w:p w:rsidR="00506787" w:rsidRPr="00506787" w:rsidRDefault="00506787" w:rsidP="00506787">
      <w:pPr>
        <w:pStyle w:val="TextoNormalSangraFrancesa"/>
        <w:rPr>
          <w:rStyle w:val="TextoNormalCaracter"/>
        </w:rPr>
      </w:pPr>
      <w:bookmarkStart w:id="1277" w:name="DESCRIPTORALFABETICO188"/>
      <w:r w:rsidRPr="00506787">
        <w:rPr>
          <w:rStyle w:val="TextoNormalNegritaCaracter"/>
        </w:rPr>
        <w:t>Invocación retórica</w:t>
      </w:r>
      <w:bookmarkEnd w:id="1277"/>
      <w:r w:rsidRPr="00506787">
        <w:rPr>
          <w:rStyle w:val="TextoNormalCaracter"/>
        </w:rPr>
        <w:t xml:space="preserve">, Autos </w:t>
      </w:r>
      <w:hyperlink w:anchor="AUTO_1985_90" w:history="1">
        <w:r w:rsidRPr="00506787">
          <w:rPr>
            <w:rStyle w:val="TextoNormalCaracter"/>
          </w:rPr>
          <w:t>90/1985</w:t>
        </w:r>
      </w:hyperlink>
      <w:r w:rsidRPr="00506787">
        <w:rPr>
          <w:rStyle w:val="TextoNormalCaracter"/>
        </w:rPr>
        <w:t xml:space="preserve">; </w:t>
      </w:r>
      <w:hyperlink w:anchor="AUTO_1985_98" w:history="1">
        <w:r w:rsidRPr="00506787">
          <w:rPr>
            <w:rStyle w:val="TextoNormalCaracter"/>
          </w:rPr>
          <w:t>98/1985</w:t>
        </w:r>
      </w:hyperlink>
      <w:r w:rsidRPr="00506787">
        <w:rPr>
          <w:rStyle w:val="TextoNormalCaracter"/>
        </w:rPr>
        <w:t xml:space="preserve">; </w:t>
      </w:r>
      <w:hyperlink w:anchor="AUTO_1985_120" w:history="1">
        <w:r w:rsidRPr="00506787">
          <w:rPr>
            <w:rStyle w:val="TextoNormalCaracter"/>
          </w:rPr>
          <w:t>120/1985</w:t>
        </w:r>
      </w:hyperlink>
      <w:r w:rsidRPr="00506787">
        <w:rPr>
          <w:rStyle w:val="TextoNormalCaracter"/>
        </w:rPr>
        <w:t xml:space="preserve">; </w:t>
      </w:r>
      <w:hyperlink w:anchor="AUTO_1985_178" w:history="1">
        <w:r w:rsidRPr="00506787">
          <w:rPr>
            <w:rStyle w:val="TextoNormalCaracter"/>
          </w:rPr>
          <w:t>178/1985</w:t>
        </w:r>
      </w:hyperlink>
      <w:r w:rsidRPr="00506787">
        <w:rPr>
          <w:rStyle w:val="TextoNormalCaracter"/>
        </w:rPr>
        <w:t xml:space="preserve">; </w:t>
      </w:r>
      <w:hyperlink w:anchor="AUTO_1985_205" w:history="1">
        <w:r w:rsidRPr="00506787">
          <w:rPr>
            <w:rStyle w:val="TextoNormalCaracter"/>
          </w:rPr>
          <w:t>205/1985</w:t>
        </w:r>
      </w:hyperlink>
      <w:r w:rsidRPr="00506787">
        <w:rPr>
          <w:rStyle w:val="TextoNormalCaracter"/>
        </w:rPr>
        <w:t xml:space="preserve">; </w:t>
      </w:r>
      <w:hyperlink w:anchor="AUTO_1985_278" w:history="1">
        <w:r w:rsidRPr="00506787">
          <w:rPr>
            <w:rStyle w:val="TextoNormalCaracter"/>
          </w:rPr>
          <w:t>278/1985</w:t>
        </w:r>
      </w:hyperlink>
      <w:r w:rsidRPr="00506787">
        <w:rPr>
          <w:rStyle w:val="TextoNormalCaracter"/>
        </w:rPr>
        <w:t>.</w:t>
      </w:r>
    </w:p>
    <w:p w:rsidR="00506787" w:rsidRPr="00506787" w:rsidRDefault="00506787" w:rsidP="00506787">
      <w:pPr>
        <w:pStyle w:val="TextoNormalSangraFrancesa"/>
        <w:rPr>
          <w:rStyle w:val="TextoNormalCaracter"/>
        </w:rPr>
      </w:pPr>
      <w:bookmarkStart w:id="1278" w:name="DESCRIPTORALFABETICO523"/>
      <w:r w:rsidRPr="00506787">
        <w:rPr>
          <w:rStyle w:val="TextoNormalNegritaCaracter"/>
        </w:rPr>
        <w:t>Irrecurribilidad de sentencias</w:t>
      </w:r>
      <w:bookmarkEnd w:id="1278"/>
      <w:r w:rsidRPr="00506787">
        <w:rPr>
          <w:rStyle w:val="TextoNormalCaracter"/>
        </w:rPr>
        <w:t xml:space="preserve">, Auto </w:t>
      </w:r>
      <w:hyperlink w:anchor="AUTO_1985_279" w:history="1">
        <w:r w:rsidRPr="00506787">
          <w:rPr>
            <w:rStyle w:val="TextoNormalCaracter"/>
          </w:rPr>
          <w:t>279/1985</w:t>
        </w:r>
      </w:hyperlink>
      <w:r w:rsidRPr="00506787">
        <w:rPr>
          <w:rStyle w:val="TextoNormalCaracter"/>
        </w:rPr>
        <w:t>.</w:t>
      </w:r>
    </w:p>
    <w:p w:rsidR="00506787" w:rsidRPr="00506787" w:rsidRDefault="00506787" w:rsidP="00506787">
      <w:pPr>
        <w:pStyle w:val="TextoNormalSangraFrancesa"/>
        <w:rPr>
          <w:rStyle w:val="TextoNormalCaracter"/>
        </w:rPr>
      </w:pPr>
      <w:bookmarkStart w:id="1279" w:name="DESCRIPTORALFABETICO387"/>
      <w:r w:rsidRPr="00506787">
        <w:rPr>
          <w:rStyle w:val="TextoNormalNegritaCaracter"/>
        </w:rPr>
        <w:t>Irregularidades en el contrato de trabajo</w:t>
      </w:r>
      <w:bookmarkEnd w:id="1279"/>
      <w:r w:rsidRPr="00506787">
        <w:rPr>
          <w:rStyle w:val="TextoNormalCaracter"/>
        </w:rPr>
        <w:t xml:space="preserve">, Auto </w:t>
      </w:r>
      <w:hyperlink w:anchor="AUTO_1985_223" w:history="1">
        <w:r w:rsidRPr="00506787">
          <w:rPr>
            <w:rStyle w:val="TextoNormalCaracter"/>
          </w:rPr>
          <w:t>223/1985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Irregularidades procesales</w:t>
      </w:r>
      <w:r>
        <w:t xml:space="preserve"> véase </w:t>
      </w:r>
      <w:hyperlink w:anchor="DESCRIPTORALFABETICO456" w:history="1">
        <w:r w:rsidRPr="00506787">
          <w:rPr>
            <w:rStyle w:val="TextoNormalNegritaCaracter"/>
          </w:rPr>
          <w:t>Defectos procesales</w:t>
        </w:r>
      </w:hyperlink>
    </w:p>
    <w:p w:rsidR="00506787" w:rsidRPr="00506787" w:rsidRDefault="00506787" w:rsidP="00506787">
      <w:pPr>
        <w:pStyle w:val="TextoNormalSangraFrancesa"/>
        <w:rPr>
          <w:rStyle w:val="TextoNormalNegritaCaracter"/>
        </w:rPr>
      </w:pPr>
      <w:r w:rsidRPr="00506787">
        <w:rPr>
          <w:rStyle w:val="TextoNormalCursivaCaracter"/>
        </w:rPr>
        <w:t>Iura novit curia</w:t>
      </w:r>
      <w:r>
        <w:t xml:space="preserve"> véase </w:t>
      </w:r>
      <w:hyperlink w:anchor="DESCRIPTORALFABETICO518" w:history="1">
        <w:r w:rsidRPr="00506787">
          <w:rPr>
            <w:rStyle w:val="TextoNormalNegritaCaracter"/>
          </w:rPr>
          <w:t xml:space="preserve">Principio </w:t>
        </w:r>
        <w:r w:rsidRPr="00506787">
          <w:rPr>
            <w:rStyle w:val="TextoNormalNegritaCaracter"/>
            <w:i/>
          </w:rPr>
          <w:t>iura novit curia</w:t>
        </w:r>
      </w:hyperlink>
    </w:p>
    <w:p w:rsidR="00506787" w:rsidRPr="00506787" w:rsidRDefault="00506787" w:rsidP="00506787">
      <w:pPr>
        <w:pStyle w:val="TextoNormalSangraFrancesa"/>
        <w:rPr>
          <w:rStyle w:val="TextoNormalCaracter"/>
        </w:rPr>
      </w:pPr>
      <w:bookmarkStart w:id="1280" w:name="DESCRIPTORALFABETICO44"/>
      <w:r w:rsidRPr="00506787">
        <w:rPr>
          <w:rStyle w:val="TextoNormalNegritaCaracter"/>
          <w:i/>
        </w:rPr>
        <w:t>Ius ut procedatur</w:t>
      </w:r>
      <w:bookmarkEnd w:id="1280"/>
      <w:r w:rsidRPr="00506787">
        <w:rPr>
          <w:rStyle w:val="TextoNormalCaracter"/>
        </w:rPr>
        <w:t xml:space="preserve">, Sentencia </w:t>
      </w:r>
      <w:hyperlink w:anchor="SENTENCIA_1985_1" w:history="1">
        <w:r w:rsidRPr="00506787">
          <w:rPr>
            <w:rStyle w:val="TextoNormalCaracter"/>
          </w:rPr>
          <w:t>1/1985</w:t>
        </w:r>
      </w:hyperlink>
      <w:r w:rsidRPr="00506787">
        <w:rPr>
          <w:rStyle w:val="TextoNormalCaracter"/>
        </w:rPr>
        <w:t>, f. 4.</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J</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281" w:name="DESCRIPTORALFABETICO373"/>
      <w:r w:rsidRPr="00506787">
        <w:rPr>
          <w:rStyle w:val="TextoNormalNegritaCaracter"/>
        </w:rPr>
        <w:t>Jubilación forzosa</w:t>
      </w:r>
      <w:bookmarkEnd w:id="1281"/>
      <w:r w:rsidRPr="00506787">
        <w:rPr>
          <w:rStyle w:val="TextoNormalCaracter"/>
        </w:rPr>
        <w:t xml:space="preserve">, Sentencia </w:t>
      </w:r>
      <w:hyperlink w:anchor="SENTENCIA_1985_58" w:history="1">
        <w:r w:rsidRPr="00506787">
          <w:rPr>
            <w:rStyle w:val="TextoNormalCaracter"/>
          </w:rPr>
          <w:t>58/1985</w:t>
        </w:r>
      </w:hyperlink>
      <w:r w:rsidRPr="00506787">
        <w:rPr>
          <w:rStyle w:val="TextoNormalCaracter"/>
        </w:rPr>
        <w:t>, ff. 1, 2, 3, 4, 5, 6, 7.</w:t>
      </w:r>
    </w:p>
    <w:p w:rsidR="00506787" w:rsidRPr="00506787" w:rsidRDefault="00506787" w:rsidP="00506787">
      <w:pPr>
        <w:pStyle w:val="TextoNormalSangraFrancesa"/>
        <w:rPr>
          <w:rStyle w:val="TextoNormalNegritaCaracter"/>
        </w:rPr>
      </w:pPr>
      <w:r w:rsidRPr="00506787">
        <w:rPr>
          <w:rStyle w:val="TextoNormalCursivaCaracter"/>
        </w:rPr>
        <w:t>Juicio de constitucionalidad</w:t>
      </w:r>
      <w:r>
        <w:t xml:space="preserve"> véase </w:t>
      </w:r>
      <w:hyperlink w:anchor="DESCRIPTORALFABETICO126" w:history="1">
        <w:r w:rsidRPr="00506787">
          <w:rPr>
            <w:rStyle w:val="TextoNormalNegritaCaracter"/>
          </w:rPr>
          <w:t>Control de constitucionalidad de las normas jurídicas</w:t>
        </w:r>
      </w:hyperlink>
    </w:p>
    <w:p w:rsidR="00506787" w:rsidRPr="00506787" w:rsidRDefault="00506787" w:rsidP="00506787">
      <w:pPr>
        <w:pStyle w:val="TextoNormalSangraFrancesa"/>
        <w:rPr>
          <w:rStyle w:val="TextoNormalCaracter"/>
        </w:rPr>
      </w:pPr>
      <w:bookmarkStart w:id="1282" w:name="DESCRIPTORALFABETICO541"/>
      <w:r w:rsidRPr="00506787">
        <w:rPr>
          <w:rStyle w:val="TextoNormalNegritaCaracter"/>
        </w:rPr>
        <w:t>Juicio de desahucio</w:t>
      </w:r>
      <w:bookmarkEnd w:id="1282"/>
      <w:r w:rsidRPr="00506787">
        <w:rPr>
          <w:rStyle w:val="TextoNormalCaracter"/>
        </w:rPr>
        <w:t xml:space="preserve">, Autos </w:t>
      </w:r>
      <w:hyperlink w:anchor="AUTO_1985_76" w:history="1">
        <w:r w:rsidRPr="00506787">
          <w:rPr>
            <w:rStyle w:val="TextoNormalCaracter"/>
          </w:rPr>
          <w:t>76/1985</w:t>
        </w:r>
      </w:hyperlink>
      <w:r w:rsidRPr="00506787">
        <w:rPr>
          <w:rStyle w:val="TextoNormalCaracter"/>
        </w:rPr>
        <w:t xml:space="preserve">; </w:t>
      </w:r>
      <w:hyperlink w:anchor="AUTO_1985_203" w:history="1">
        <w:r w:rsidRPr="00506787">
          <w:rPr>
            <w:rStyle w:val="TextoNormalCaracter"/>
          </w:rPr>
          <w:t>203/1985</w:t>
        </w:r>
      </w:hyperlink>
      <w:r w:rsidRPr="00506787">
        <w:rPr>
          <w:rStyle w:val="TextoNormalCaracter"/>
        </w:rPr>
        <w:t>.</w:t>
      </w:r>
    </w:p>
    <w:p w:rsidR="00506787" w:rsidRPr="00506787" w:rsidRDefault="00506787" w:rsidP="00506787">
      <w:pPr>
        <w:pStyle w:val="TextoNormalSangraFrancesa"/>
        <w:rPr>
          <w:rStyle w:val="TextoNormalCaracter"/>
        </w:rPr>
      </w:pPr>
      <w:bookmarkStart w:id="1283" w:name="DESCRIPTORALFABETICO572"/>
      <w:r w:rsidRPr="00506787">
        <w:rPr>
          <w:rStyle w:val="TextoNormalNegritaCaracter"/>
        </w:rPr>
        <w:t>Juicio de faltas</w:t>
      </w:r>
      <w:bookmarkEnd w:id="1283"/>
      <w:r w:rsidRPr="00506787">
        <w:rPr>
          <w:rStyle w:val="TextoNormalCaracter"/>
        </w:rPr>
        <w:t xml:space="preserve">, Sentencias </w:t>
      </w:r>
      <w:hyperlink w:anchor="SENTENCIA_1985_34" w:history="1">
        <w:r w:rsidRPr="00506787">
          <w:rPr>
            <w:rStyle w:val="TextoNormalCaracter"/>
          </w:rPr>
          <w:t>34/1985</w:t>
        </w:r>
      </w:hyperlink>
      <w:r w:rsidRPr="00506787">
        <w:rPr>
          <w:rStyle w:val="TextoNormalCaracter"/>
        </w:rPr>
        <w:t xml:space="preserve">, f. 2; </w:t>
      </w:r>
      <w:hyperlink w:anchor="SENTENCIA_1985_54" w:history="1">
        <w:r w:rsidRPr="00506787">
          <w:rPr>
            <w:rStyle w:val="TextoNormalCaracter"/>
          </w:rPr>
          <w:t>54/1985</w:t>
        </w:r>
      </w:hyperlink>
      <w:r w:rsidRPr="00506787">
        <w:rPr>
          <w:rStyle w:val="TextoNormalCaracter"/>
        </w:rPr>
        <w:t>, ff. 2, 3, 6, 7.</w:t>
      </w:r>
    </w:p>
    <w:p w:rsidR="00506787" w:rsidRPr="00506787" w:rsidRDefault="00506787" w:rsidP="00506787">
      <w:pPr>
        <w:pStyle w:val="TextoNormalSangraFrancesa"/>
        <w:rPr>
          <w:rStyle w:val="TextoNormalNegritaCaracter"/>
        </w:rPr>
      </w:pPr>
      <w:r w:rsidRPr="00506787">
        <w:rPr>
          <w:rStyle w:val="TextoNormalCursivaCaracter"/>
        </w:rPr>
        <w:t>Juicio de inconstitucionalidad</w:t>
      </w:r>
      <w:r>
        <w:t xml:space="preserve"> véase </w:t>
      </w:r>
      <w:hyperlink w:anchor="DESCRIPTORALFABETICO126" w:history="1">
        <w:r w:rsidRPr="00506787">
          <w:rPr>
            <w:rStyle w:val="TextoNormalNegritaCaracter"/>
          </w:rPr>
          <w:t>Control de constitucionalidad de las normas jurídicas</w:t>
        </w:r>
      </w:hyperlink>
    </w:p>
    <w:p w:rsidR="00506787" w:rsidRPr="00506787" w:rsidRDefault="00506787" w:rsidP="00506787">
      <w:pPr>
        <w:pStyle w:val="TextoNormalSangraFrancesa"/>
        <w:rPr>
          <w:rStyle w:val="TextoNormalCaracter"/>
        </w:rPr>
      </w:pPr>
      <w:bookmarkStart w:id="1284" w:name="DESCRIPTORALFABETICO255"/>
      <w:r w:rsidRPr="00506787">
        <w:rPr>
          <w:rStyle w:val="TextoNormalNegritaCaracter"/>
        </w:rPr>
        <w:t>Juicio de legalidad</w:t>
      </w:r>
      <w:bookmarkEnd w:id="1284"/>
      <w:r w:rsidRPr="00506787">
        <w:rPr>
          <w:rStyle w:val="TextoNormalCaracter"/>
        </w:rPr>
        <w:t xml:space="preserve">, Auto </w:t>
      </w:r>
      <w:hyperlink w:anchor="AUTO_1985_122" w:history="1">
        <w:r w:rsidRPr="00506787">
          <w:rPr>
            <w:rStyle w:val="TextoNormalCaracter"/>
          </w:rPr>
          <w:t>122/1985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Juicio interdictal</w:t>
      </w:r>
      <w:r>
        <w:t xml:space="preserve"> véase </w:t>
      </w:r>
      <w:hyperlink w:anchor="DESCRIPTORALFABETICO539" w:history="1">
        <w:r w:rsidRPr="00506787">
          <w:rPr>
            <w:rStyle w:val="TextoNormalNegritaCaracter"/>
          </w:rPr>
          <w:t>Interdictos</w:t>
        </w:r>
      </w:hyperlink>
    </w:p>
    <w:p w:rsidR="00506787" w:rsidRPr="00506787" w:rsidRDefault="00506787" w:rsidP="00506787">
      <w:pPr>
        <w:pStyle w:val="TextoNormalSangraFrancesa"/>
        <w:rPr>
          <w:rStyle w:val="TextoNormalCaracter"/>
        </w:rPr>
      </w:pPr>
      <w:bookmarkStart w:id="1285" w:name="DESCRIPTORALFABETICO15"/>
      <w:r w:rsidRPr="00506787">
        <w:rPr>
          <w:rStyle w:val="TextoNormalNegritaCaracter"/>
        </w:rPr>
        <w:t>Juramento o promesa de acatamiento de la Constitución</w:t>
      </w:r>
      <w:bookmarkEnd w:id="1285"/>
      <w:r w:rsidRPr="00506787">
        <w:rPr>
          <w:rStyle w:val="TextoNormalCaracter"/>
        </w:rPr>
        <w:t xml:space="preserve">, Sentencia </w:t>
      </w:r>
      <w:hyperlink w:anchor="SENTENCIA_1985_8" w:history="1">
        <w:r w:rsidRPr="00506787">
          <w:rPr>
            <w:rStyle w:val="TextoNormalCaracter"/>
          </w:rPr>
          <w:t>8/1985</w:t>
        </w:r>
      </w:hyperlink>
      <w:r w:rsidRPr="00506787">
        <w:rPr>
          <w:rStyle w:val="TextoNormalCaracter"/>
        </w:rPr>
        <w:t>, ff. 1, 2, 3, 4, 5.</w:t>
      </w:r>
    </w:p>
    <w:p w:rsidR="00506787" w:rsidRPr="00506787" w:rsidRDefault="00506787" w:rsidP="00506787">
      <w:pPr>
        <w:pStyle w:val="TextoNormalSangraFrancesa"/>
        <w:rPr>
          <w:rStyle w:val="TextoNormalCaracter"/>
        </w:rPr>
      </w:pPr>
      <w:bookmarkStart w:id="1286" w:name="DESCRIPTORALFABETICO127"/>
      <w:r w:rsidRPr="00506787">
        <w:rPr>
          <w:rStyle w:val="TextoNormalNegritaCaracter"/>
        </w:rPr>
        <w:t>Jurisdicción constitucional</w:t>
      </w:r>
      <w:bookmarkEnd w:id="1286"/>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12, VP I, VP III, VP IV.</w:t>
      </w:r>
    </w:p>
    <w:p w:rsidR="00506787" w:rsidRPr="00506787" w:rsidRDefault="00506787" w:rsidP="00506787">
      <w:pPr>
        <w:pStyle w:val="TextoNormalSangraFrancesa"/>
        <w:rPr>
          <w:rStyle w:val="TextoNormalCaracter"/>
        </w:rPr>
      </w:pPr>
      <w:bookmarkStart w:id="1287" w:name="DESCRIPTORALFABETICO426"/>
      <w:r w:rsidRPr="00506787">
        <w:rPr>
          <w:rStyle w:val="TextoNormalNegritaCaracter"/>
        </w:rPr>
        <w:t>Jurisdicción contencioso-administrativa</w:t>
      </w:r>
      <w:bookmarkEnd w:id="1287"/>
      <w:r w:rsidRPr="00506787">
        <w:rPr>
          <w:rStyle w:val="TextoNormalCaracter"/>
        </w:rPr>
        <w:t xml:space="preserve">, Auto </w:t>
      </w:r>
      <w:hyperlink w:anchor="AUTO_1985_80" w:history="1">
        <w:r w:rsidRPr="00506787">
          <w:rPr>
            <w:rStyle w:val="TextoNormalCaracter"/>
          </w:rPr>
          <w:t>80/1985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Jurisdicción del Tribunal Constitucional</w:t>
      </w:r>
      <w:r>
        <w:t xml:space="preserve"> véase </w:t>
      </w:r>
      <w:hyperlink w:anchor="DESCRIPTORALFABETICO127" w:history="1">
        <w:r w:rsidRPr="00506787">
          <w:rPr>
            <w:rStyle w:val="TextoNormalNegritaCaracter"/>
          </w:rPr>
          <w:t>Jurisdicción constitucional</w:t>
        </w:r>
      </w:hyperlink>
    </w:p>
    <w:p w:rsidR="00506787" w:rsidRPr="00506787" w:rsidRDefault="00506787" w:rsidP="00506787">
      <w:pPr>
        <w:pStyle w:val="TextoNormalSangraFrancesa"/>
        <w:rPr>
          <w:rStyle w:val="TextoNormalNegritaCaracter"/>
        </w:rPr>
      </w:pPr>
      <w:r w:rsidRPr="00506787">
        <w:rPr>
          <w:rStyle w:val="TextoNormalCursivaCaracter"/>
        </w:rPr>
        <w:t>Jurisdicción laboral</w:t>
      </w:r>
      <w:r>
        <w:t xml:space="preserve"> véase </w:t>
      </w:r>
      <w:hyperlink w:anchor="DESCRIPTORALFABETICO428" w:history="1">
        <w:r w:rsidRPr="00506787">
          <w:rPr>
            <w:rStyle w:val="TextoNormalNegritaCaracter"/>
          </w:rPr>
          <w:t>Jurisdicción social</w:t>
        </w:r>
      </w:hyperlink>
    </w:p>
    <w:p w:rsidR="00506787" w:rsidRPr="00506787" w:rsidRDefault="00506787" w:rsidP="00506787">
      <w:pPr>
        <w:pStyle w:val="TextoNormalSangraFrancesa"/>
        <w:rPr>
          <w:rStyle w:val="TextoNormalCaracter"/>
        </w:rPr>
      </w:pPr>
      <w:bookmarkStart w:id="1288" w:name="DESCRIPTORALFABETICO427"/>
      <w:r w:rsidRPr="00506787">
        <w:rPr>
          <w:rStyle w:val="TextoNormalNegritaCaracter"/>
        </w:rPr>
        <w:t>Jurisdicción militar</w:t>
      </w:r>
      <w:bookmarkEnd w:id="1288"/>
      <w:r w:rsidRPr="00506787">
        <w:rPr>
          <w:rStyle w:val="TextoNormalCaracter"/>
        </w:rPr>
        <w:t xml:space="preserve">, Sentencias </w:t>
      </w:r>
      <w:hyperlink w:anchor="SENTENCIA_1985_27" w:history="1">
        <w:r w:rsidRPr="00506787">
          <w:rPr>
            <w:rStyle w:val="TextoNormalCaracter"/>
          </w:rPr>
          <w:t>27/1985</w:t>
        </w:r>
      </w:hyperlink>
      <w:r w:rsidRPr="00506787">
        <w:rPr>
          <w:rStyle w:val="TextoNormalCaracter"/>
        </w:rPr>
        <w:t xml:space="preserve">, ff. 1, 2, 3, 4; </w:t>
      </w:r>
      <w:hyperlink w:anchor="SENTENCIA_1985_32" w:history="1">
        <w:r w:rsidRPr="00506787">
          <w:rPr>
            <w:rStyle w:val="TextoNormalCaracter"/>
          </w:rPr>
          <w:t>32/1985</w:t>
        </w:r>
      </w:hyperlink>
      <w:r w:rsidRPr="00506787">
        <w:rPr>
          <w:rStyle w:val="TextoNormalCaracter"/>
        </w:rPr>
        <w:t xml:space="preserve">, ff. 1, 2, 3, 4; </w:t>
      </w:r>
      <w:hyperlink w:anchor="SENTENCIA_1985_52" w:history="1">
        <w:r w:rsidRPr="00506787">
          <w:rPr>
            <w:rStyle w:val="TextoNormalCaracter"/>
          </w:rPr>
          <w:t>52/1985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ursivaCaracter"/>
        </w:rPr>
        <w:t xml:space="preserve">    Naturaleza, </w:t>
      </w:r>
      <w:r w:rsidRPr="00506787">
        <w:rPr>
          <w:rStyle w:val="TextoNormalCaracter"/>
        </w:rPr>
        <w:t xml:space="preserve">Auto </w:t>
      </w:r>
      <w:hyperlink w:anchor="AUTO_1985_59" w:history="1">
        <w:r w:rsidRPr="00506787">
          <w:rPr>
            <w:rStyle w:val="TextoNormalCaracter"/>
          </w:rPr>
          <w:t>59/1985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Régimen jurídico, </w:t>
      </w:r>
      <w:r w:rsidRPr="00506787">
        <w:rPr>
          <w:rStyle w:val="TextoNormalCaracter"/>
        </w:rPr>
        <w:t xml:space="preserve">Autos </w:t>
      </w:r>
      <w:hyperlink w:anchor="AUTO_1985_264" w:history="1">
        <w:r w:rsidRPr="00506787">
          <w:rPr>
            <w:rStyle w:val="TextoNormalCaracter"/>
          </w:rPr>
          <w:t>264/1985</w:t>
        </w:r>
      </w:hyperlink>
      <w:r w:rsidRPr="00506787">
        <w:rPr>
          <w:rStyle w:val="TextoNormalCaracter"/>
        </w:rPr>
        <w:t xml:space="preserve">; </w:t>
      </w:r>
      <w:hyperlink w:anchor="AUTO_1985_279" w:history="1">
        <w:r w:rsidRPr="00506787">
          <w:rPr>
            <w:rStyle w:val="TextoNormalCaracter"/>
          </w:rPr>
          <w:t>279/1985</w:t>
        </w:r>
      </w:hyperlink>
      <w:r w:rsidRPr="00506787">
        <w:rPr>
          <w:rStyle w:val="TextoNormalCaracter"/>
        </w:rPr>
        <w:t>.</w:t>
      </w:r>
    </w:p>
    <w:p w:rsidR="00506787" w:rsidRPr="00506787" w:rsidRDefault="00506787" w:rsidP="00506787">
      <w:pPr>
        <w:pStyle w:val="TextoNormalSangraFrancesa"/>
        <w:rPr>
          <w:rStyle w:val="TextoNormalCaracter"/>
        </w:rPr>
      </w:pPr>
      <w:bookmarkStart w:id="1289" w:name="DESCRIPTORALFABETICO428"/>
      <w:r w:rsidRPr="00506787">
        <w:rPr>
          <w:rStyle w:val="TextoNormalNegritaCaracter"/>
        </w:rPr>
        <w:t>Jurisdicción social</w:t>
      </w:r>
      <w:bookmarkEnd w:id="1289"/>
      <w:r w:rsidRPr="00506787">
        <w:rPr>
          <w:rStyle w:val="TextoNormalCaracter"/>
        </w:rPr>
        <w:t xml:space="preserve">, Autos </w:t>
      </w:r>
      <w:hyperlink w:anchor="AUTO_1985_34" w:history="1">
        <w:r w:rsidRPr="00506787">
          <w:rPr>
            <w:rStyle w:val="TextoNormalCaracter"/>
          </w:rPr>
          <w:t>34/1985</w:t>
        </w:r>
      </w:hyperlink>
      <w:r w:rsidRPr="00506787">
        <w:rPr>
          <w:rStyle w:val="TextoNormalCaracter"/>
        </w:rPr>
        <w:t xml:space="preserve">; </w:t>
      </w:r>
      <w:hyperlink w:anchor="AUTO_1985_280" w:history="1">
        <w:r w:rsidRPr="00506787">
          <w:rPr>
            <w:rStyle w:val="TextoNormalCaracter"/>
          </w:rPr>
          <w:t>280/1985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Alcance, </w:t>
      </w:r>
      <w:r w:rsidRPr="00506787">
        <w:rPr>
          <w:rStyle w:val="TextoNormalCaracter"/>
        </w:rPr>
        <w:t xml:space="preserve">Auto </w:t>
      </w:r>
      <w:hyperlink w:anchor="AUTO_1985_33" w:history="1">
        <w:r w:rsidRPr="00506787">
          <w:rPr>
            <w:rStyle w:val="TextoNormalCaracter"/>
          </w:rPr>
          <w:t>33/1985</w:t>
        </w:r>
      </w:hyperlink>
      <w:r w:rsidRPr="00506787">
        <w:rPr>
          <w:rStyle w:val="TextoNormalCaracter"/>
        </w:rPr>
        <w:t>.</w:t>
      </w:r>
    </w:p>
    <w:p w:rsidR="00506787" w:rsidRPr="00506787" w:rsidRDefault="00506787" w:rsidP="00506787">
      <w:pPr>
        <w:pStyle w:val="TextoNormalSangraFrancesa"/>
        <w:rPr>
          <w:rStyle w:val="TextoNormalCaracter"/>
        </w:rPr>
      </w:pPr>
      <w:bookmarkStart w:id="1290" w:name="DESCRIPTORALFABETICO334"/>
      <w:r w:rsidRPr="00506787">
        <w:rPr>
          <w:rStyle w:val="TextoNormalNegritaCaracter"/>
        </w:rPr>
        <w:t>Jurisprudencia</w:t>
      </w:r>
      <w:bookmarkEnd w:id="1290"/>
      <w:r w:rsidRPr="00506787">
        <w:rPr>
          <w:rStyle w:val="TextoNormalCaracter"/>
        </w:rPr>
        <w:t xml:space="preserve">, Sentencias </w:t>
      </w:r>
      <w:hyperlink w:anchor="SENTENCIA_1985_49" w:history="1">
        <w:r w:rsidRPr="00506787">
          <w:rPr>
            <w:rStyle w:val="TextoNormalCaracter"/>
          </w:rPr>
          <w:t>49/1985</w:t>
        </w:r>
      </w:hyperlink>
      <w:r w:rsidRPr="00506787">
        <w:rPr>
          <w:rStyle w:val="TextoNormalCaracter"/>
        </w:rPr>
        <w:t xml:space="preserve">, f. 1; </w:t>
      </w:r>
      <w:hyperlink w:anchor="SENTENCIA_1985_57" w:history="1">
        <w:r w:rsidRPr="00506787">
          <w:rPr>
            <w:rStyle w:val="TextoNormalCaracter"/>
          </w:rPr>
          <w:t>57/1985</w:t>
        </w:r>
      </w:hyperlink>
      <w:r w:rsidRPr="00506787">
        <w:rPr>
          <w:rStyle w:val="TextoNormalCaracter"/>
        </w:rPr>
        <w:t>, f. 1.</w:t>
      </w:r>
    </w:p>
    <w:p w:rsidR="00506787" w:rsidRPr="00506787" w:rsidRDefault="00506787" w:rsidP="00506787">
      <w:pPr>
        <w:pStyle w:val="TextoNormalSangraFrancesa"/>
        <w:rPr>
          <w:rStyle w:val="TextoNormalCaracter"/>
        </w:rPr>
      </w:pPr>
      <w:r w:rsidRPr="00506787">
        <w:rPr>
          <w:rStyle w:val="TextoNormalCaracter"/>
        </w:rPr>
        <w:lastRenderedPageBreak/>
        <w:t xml:space="preserve">    Auto </w:t>
      </w:r>
      <w:hyperlink w:anchor="AUTO_1985_240" w:history="1">
        <w:r w:rsidRPr="00506787">
          <w:rPr>
            <w:rStyle w:val="TextoNormalCaracter"/>
          </w:rPr>
          <w:t>240/1985</w:t>
        </w:r>
      </w:hyperlink>
      <w:r w:rsidRPr="00506787">
        <w:rPr>
          <w:rStyle w:val="TextoNormalCaracter"/>
        </w:rPr>
        <w:t>.</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L</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291" w:name="DESCRIPTORALFABETICO329"/>
      <w:r w:rsidRPr="00506787">
        <w:rPr>
          <w:rStyle w:val="TextoNormalNegritaCaracter"/>
        </w:rPr>
        <w:t>Legislación básica</w:t>
      </w:r>
      <w:bookmarkEnd w:id="1291"/>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ff. 3, 8.</w:t>
      </w:r>
    </w:p>
    <w:p w:rsidR="00506787" w:rsidRPr="00506787" w:rsidRDefault="00506787" w:rsidP="00506787">
      <w:pPr>
        <w:pStyle w:val="TextoNormalSangraFrancesa"/>
        <w:rPr>
          <w:rStyle w:val="TextoNormalCaracter"/>
        </w:rPr>
      </w:pPr>
      <w:bookmarkStart w:id="1292" w:name="DESCRIPTORALFABETICO331"/>
      <w:r w:rsidRPr="00506787">
        <w:rPr>
          <w:rStyle w:val="TextoNormalNegritaCaracter"/>
        </w:rPr>
        <w:t>Legislación laboral</w:t>
      </w:r>
      <w:bookmarkEnd w:id="1292"/>
      <w:r w:rsidRPr="00506787">
        <w:rPr>
          <w:rStyle w:val="TextoNormalCaracter"/>
        </w:rPr>
        <w:t xml:space="preserve">, Sentencia </w:t>
      </w:r>
      <w:hyperlink w:anchor="SENTENCIA_1985_7" w:history="1">
        <w:r w:rsidRPr="00506787">
          <w:rPr>
            <w:rStyle w:val="TextoNormalCaracter"/>
          </w:rPr>
          <w:t>7/1985</w:t>
        </w:r>
      </w:hyperlink>
      <w:r w:rsidRPr="00506787">
        <w:rPr>
          <w:rStyle w:val="TextoNormalCaracter"/>
        </w:rPr>
        <w:t>, ff. 1, 2, 3, 4, 5, 6, 7, 8, 9.</w:t>
      </w:r>
    </w:p>
    <w:p w:rsidR="00506787" w:rsidRPr="00506787" w:rsidRDefault="00506787" w:rsidP="00506787">
      <w:pPr>
        <w:pStyle w:val="TextoNormalSangraFrancesa"/>
        <w:rPr>
          <w:rStyle w:val="TextoNormalCaracter"/>
        </w:rPr>
      </w:pPr>
      <w:bookmarkStart w:id="1293" w:name="DESCRIPTORALFABETICO332"/>
      <w:r w:rsidRPr="00506787">
        <w:rPr>
          <w:rStyle w:val="TextoNormalNegritaCaracter"/>
        </w:rPr>
        <w:t>Legislación penal</w:t>
      </w:r>
      <w:bookmarkEnd w:id="1293"/>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10.</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90" w:history="1">
        <w:r w:rsidRPr="00506787">
          <w:rPr>
            <w:rStyle w:val="TextoNormalCaracter"/>
          </w:rPr>
          <w:t>90/1985</w:t>
        </w:r>
      </w:hyperlink>
      <w:r w:rsidRPr="00506787">
        <w:rPr>
          <w:rStyle w:val="TextoNormalCaracter"/>
        </w:rPr>
        <w:t>.</w:t>
      </w:r>
    </w:p>
    <w:p w:rsidR="00506787" w:rsidRPr="00506787" w:rsidRDefault="00506787" w:rsidP="00506787">
      <w:pPr>
        <w:pStyle w:val="TextoNormalSangraFrancesa"/>
        <w:rPr>
          <w:rStyle w:val="TextoNormalCaracter"/>
        </w:rPr>
      </w:pPr>
      <w:bookmarkStart w:id="1294" w:name="DESCRIPTORALFABETICO503"/>
      <w:r w:rsidRPr="00506787">
        <w:rPr>
          <w:rStyle w:val="TextoNormalNegritaCaracter"/>
        </w:rPr>
        <w:t>Legitimación activa</w:t>
      </w:r>
      <w:bookmarkEnd w:id="1294"/>
      <w:r w:rsidRPr="00506787">
        <w:rPr>
          <w:rStyle w:val="TextoNormalCaracter"/>
        </w:rPr>
        <w:t xml:space="preserve">, Auto </w:t>
      </w:r>
      <w:hyperlink w:anchor="AUTO_1985_246" w:history="1">
        <w:r w:rsidRPr="00506787">
          <w:rPr>
            <w:rStyle w:val="TextoNormalCaracter"/>
          </w:rPr>
          <w:t>246/1985</w:t>
        </w:r>
      </w:hyperlink>
      <w:r w:rsidRPr="00506787">
        <w:rPr>
          <w:rStyle w:val="TextoNormalCaracter"/>
        </w:rPr>
        <w:t>.</w:t>
      </w:r>
    </w:p>
    <w:p w:rsidR="00506787" w:rsidRPr="00506787" w:rsidRDefault="00506787" w:rsidP="00506787">
      <w:pPr>
        <w:pStyle w:val="TextoNormalSangraFrancesa"/>
        <w:rPr>
          <w:rStyle w:val="TextoNormalCaracter"/>
        </w:rPr>
      </w:pPr>
      <w:bookmarkStart w:id="1295" w:name="DESCRIPTORALFABETICO205"/>
      <w:r w:rsidRPr="00506787">
        <w:rPr>
          <w:rStyle w:val="TextoNormalNegritaCaracter"/>
        </w:rPr>
        <w:t>Legitimación en el recurso de amparo</w:t>
      </w:r>
      <w:bookmarkEnd w:id="1295"/>
      <w:r w:rsidRPr="00506787">
        <w:rPr>
          <w:rStyle w:val="TextoNormalCaracter"/>
        </w:rPr>
        <w:t xml:space="preserve">, Autos </w:t>
      </w:r>
      <w:hyperlink w:anchor="AUTO_1985_135" w:history="1">
        <w:r w:rsidRPr="00506787">
          <w:rPr>
            <w:rStyle w:val="TextoNormalCaracter"/>
          </w:rPr>
          <w:t>135/1985</w:t>
        </w:r>
      </w:hyperlink>
      <w:r w:rsidRPr="00506787">
        <w:rPr>
          <w:rStyle w:val="TextoNormalCaracter"/>
        </w:rPr>
        <w:t xml:space="preserve">; </w:t>
      </w:r>
      <w:hyperlink w:anchor="AUTO_1985_139" w:history="1">
        <w:r w:rsidRPr="00506787">
          <w:rPr>
            <w:rStyle w:val="TextoNormalCaracter"/>
          </w:rPr>
          <w:t>139/1985</w:t>
        </w:r>
      </w:hyperlink>
      <w:r w:rsidRPr="00506787">
        <w:rPr>
          <w:rStyle w:val="TextoNormalCaracter"/>
        </w:rPr>
        <w:t>.</w:t>
      </w:r>
    </w:p>
    <w:p w:rsidR="00506787" w:rsidRPr="00506787" w:rsidRDefault="00506787" w:rsidP="00506787">
      <w:pPr>
        <w:pStyle w:val="TextoNormalSangraFrancesa"/>
        <w:rPr>
          <w:rStyle w:val="TextoNormalCaracter"/>
        </w:rPr>
      </w:pPr>
      <w:bookmarkStart w:id="1296" w:name="DESCRIPTORALFABETICO152"/>
      <w:r w:rsidRPr="00506787">
        <w:rPr>
          <w:rStyle w:val="TextoNormalNegritaCaracter"/>
        </w:rPr>
        <w:t>Legitimación en recurso de inconstitucionalidad</w:t>
      </w:r>
      <w:bookmarkEnd w:id="1296"/>
      <w:r w:rsidRPr="00506787">
        <w:rPr>
          <w:rStyle w:val="TextoNormalCaracter"/>
        </w:rPr>
        <w:t xml:space="preserve">, Sentencia </w:t>
      </w:r>
      <w:hyperlink w:anchor="SENTENCIA_1985_42" w:history="1">
        <w:r w:rsidRPr="00506787">
          <w:rPr>
            <w:rStyle w:val="TextoNormalCaracter"/>
          </w:rPr>
          <w:t>42/1985</w:t>
        </w:r>
      </w:hyperlink>
      <w:r w:rsidRPr="00506787">
        <w:rPr>
          <w:rStyle w:val="TextoNormalCaracter"/>
        </w:rPr>
        <w:t>, ff. 2, 3.</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04" w:history="1">
        <w:r w:rsidRPr="00506787">
          <w:rPr>
            <w:rStyle w:val="TextoNormalCaracter"/>
          </w:rPr>
          <w:t>204/1985</w:t>
        </w:r>
      </w:hyperlink>
      <w:r w:rsidRPr="00506787">
        <w:rPr>
          <w:rStyle w:val="TextoNormalCaracter"/>
        </w:rPr>
        <w:t>.</w:t>
      </w:r>
    </w:p>
    <w:p w:rsidR="00506787" w:rsidRPr="00506787" w:rsidRDefault="00506787" w:rsidP="00506787">
      <w:pPr>
        <w:pStyle w:val="TextoNormalSangraFrancesa"/>
        <w:rPr>
          <w:rStyle w:val="TextoNormalCaracter"/>
        </w:rPr>
      </w:pPr>
      <w:bookmarkStart w:id="1297" w:name="DESCRIPTORALFABETICO499"/>
      <w:r w:rsidRPr="00506787">
        <w:rPr>
          <w:rStyle w:val="TextoNormalNegritaCaracter"/>
        </w:rPr>
        <w:t>Legitimación procesal</w:t>
      </w:r>
      <w:bookmarkEnd w:id="1297"/>
      <w:r w:rsidRPr="00506787">
        <w:rPr>
          <w:rStyle w:val="TextoNormalCaracter"/>
        </w:rPr>
        <w:t xml:space="preserve">, Sentencias </w:t>
      </w:r>
      <w:hyperlink w:anchor="SENTENCIA_1985_4" w:history="1">
        <w:r w:rsidRPr="00506787">
          <w:rPr>
            <w:rStyle w:val="TextoNormalCaracter"/>
          </w:rPr>
          <w:t>4/1985</w:t>
        </w:r>
      </w:hyperlink>
      <w:r w:rsidRPr="00506787">
        <w:rPr>
          <w:rStyle w:val="TextoNormalCaracter"/>
        </w:rPr>
        <w:t xml:space="preserve">, ff. 2, 3; </w:t>
      </w:r>
      <w:hyperlink w:anchor="SENTENCIA_1985_44" w:history="1">
        <w:r w:rsidRPr="00506787">
          <w:rPr>
            <w:rStyle w:val="TextoNormalCaracter"/>
          </w:rPr>
          <w:t>44/1985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6" w:history="1">
        <w:r w:rsidRPr="00506787">
          <w:rPr>
            <w:rStyle w:val="TextoNormalCaracter"/>
          </w:rPr>
          <w:t>6/1985</w:t>
        </w:r>
      </w:hyperlink>
      <w:r w:rsidRPr="00506787">
        <w:rPr>
          <w:rStyle w:val="TextoNormalCaracter"/>
        </w:rPr>
        <w:t xml:space="preserve">; </w:t>
      </w:r>
      <w:hyperlink w:anchor="AUTO_1985_28" w:history="1">
        <w:r w:rsidRPr="00506787">
          <w:rPr>
            <w:rStyle w:val="TextoNormalCaracter"/>
          </w:rPr>
          <w:t>28/1985</w:t>
        </w:r>
      </w:hyperlink>
      <w:r w:rsidRPr="00506787">
        <w:rPr>
          <w:rStyle w:val="TextoNormalCaracter"/>
        </w:rPr>
        <w:t xml:space="preserve">; </w:t>
      </w:r>
      <w:hyperlink w:anchor="AUTO_1985_66" w:history="1">
        <w:r w:rsidRPr="00506787">
          <w:rPr>
            <w:rStyle w:val="TextoNormalCaracter"/>
          </w:rPr>
          <w:t>66/1985</w:t>
        </w:r>
      </w:hyperlink>
      <w:r w:rsidRPr="00506787">
        <w:rPr>
          <w:rStyle w:val="TextoNormalCaracter"/>
        </w:rPr>
        <w:t xml:space="preserve">; </w:t>
      </w:r>
      <w:hyperlink w:anchor="AUTO_1985_100" w:history="1">
        <w:r w:rsidRPr="00506787">
          <w:rPr>
            <w:rStyle w:val="TextoNormalCaracter"/>
          </w:rPr>
          <w:t>100/1985</w:t>
        </w:r>
      </w:hyperlink>
      <w:r w:rsidRPr="00506787">
        <w:rPr>
          <w:rStyle w:val="TextoNormalCaracter"/>
        </w:rPr>
        <w:t>.</w:t>
      </w:r>
    </w:p>
    <w:p w:rsidR="00506787" w:rsidRPr="00506787" w:rsidRDefault="00506787" w:rsidP="00506787">
      <w:pPr>
        <w:pStyle w:val="TextoNormalSangraFrancesa"/>
        <w:rPr>
          <w:rStyle w:val="TextoNormalCaracter"/>
        </w:rPr>
      </w:pPr>
      <w:bookmarkStart w:id="1298" w:name="DESCRIPTORALFABETICO197"/>
      <w:r w:rsidRPr="00506787">
        <w:rPr>
          <w:rStyle w:val="TextoNormalNegritaCaracter"/>
        </w:rPr>
        <w:t>Lesión de derechos fundamentales de terceros</w:t>
      </w:r>
      <w:bookmarkEnd w:id="1298"/>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6.</w:t>
      </w:r>
    </w:p>
    <w:p w:rsidR="00506787" w:rsidRPr="00506787" w:rsidRDefault="00506787" w:rsidP="00506787">
      <w:pPr>
        <w:pStyle w:val="TextoNormalSangraFrancesa"/>
        <w:rPr>
          <w:rStyle w:val="TextoNormalCaracter"/>
        </w:rPr>
      </w:pPr>
      <w:bookmarkStart w:id="1299" w:name="DESCRIPTORALFABETICO142"/>
      <w:r w:rsidRPr="00506787">
        <w:rPr>
          <w:rStyle w:val="TextoNormalNegritaCaracter"/>
        </w:rPr>
        <w:t>Levantamiento de la suspensión de disposiciones de las Comunidades Autónomas</w:t>
      </w:r>
      <w:bookmarkEnd w:id="1299"/>
      <w:r w:rsidRPr="00506787">
        <w:rPr>
          <w:rStyle w:val="TextoNormalCaracter"/>
        </w:rPr>
        <w:t xml:space="preserve">, Autos </w:t>
      </w:r>
      <w:hyperlink w:anchor="AUTO_1985_111" w:history="1">
        <w:r w:rsidRPr="00506787">
          <w:rPr>
            <w:rStyle w:val="TextoNormalCaracter"/>
          </w:rPr>
          <w:t>111/1985</w:t>
        </w:r>
      </w:hyperlink>
      <w:r w:rsidRPr="00506787">
        <w:rPr>
          <w:rStyle w:val="TextoNormalCaracter"/>
        </w:rPr>
        <w:t xml:space="preserve">; </w:t>
      </w:r>
      <w:hyperlink w:anchor="AUTO_1985_239" w:history="1">
        <w:r w:rsidRPr="00506787">
          <w:rPr>
            <w:rStyle w:val="TextoNormalCaracter"/>
          </w:rPr>
          <w:t>239/1985</w:t>
        </w:r>
      </w:hyperlink>
      <w:r w:rsidRPr="00506787">
        <w:rPr>
          <w:rStyle w:val="TextoNormalCaracter"/>
        </w:rPr>
        <w:t xml:space="preserve">; </w:t>
      </w:r>
      <w:hyperlink w:anchor="AUTO_1985_283" w:history="1">
        <w:r w:rsidRPr="00506787">
          <w:rPr>
            <w:rStyle w:val="TextoNormalCaracter"/>
          </w:rPr>
          <w:t>283/1985</w:t>
        </w:r>
      </w:hyperlink>
      <w:r w:rsidRPr="00506787">
        <w:rPr>
          <w:rStyle w:val="TextoNormalCaracter"/>
        </w:rPr>
        <w:t>.</w:t>
      </w:r>
    </w:p>
    <w:p w:rsidR="00506787" w:rsidRPr="00506787" w:rsidRDefault="00506787" w:rsidP="00506787">
      <w:pPr>
        <w:pStyle w:val="TextoNormalSangraFrancesa"/>
        <w:rPr>
          <w:rStyle w:val="TextoNormalCaracter"/>
        </w:rPr>
      </w:pPr>
      <w:bookmarkStart w:id="1300" w:name="DESCRIPTORALFABETICO134"/>
      <w:r w:rsidRPr="00506787">
        <w:rPr>
          <w:rStyle w:val="TextoNormalNegritaCaracter"/>
        </w:rPr>
        <w:t>Levantamiento de la suspensión del acto que origina el amparo</w:t>
      </w:r>
      <w:bookmarkEnd w:id="1300"/>
      <w:r w:rsidRPr="00506787">
        <w:rPr>
          <w:rStyle w:val="TextoNormalCaracter"/>
        </w:rPr>
        <w:t xml:space="preserve">, Auto </w:t>
      </w:r>
      <w:hyperlink w:anchor="AUTO_1985_181" w:history="1">
        <w:r w:rsidRPr="00506787">
          <w:rPr>
            <w:rStyle w:val="TextoNormalCaracter"/>
          </w:rPr>
          <w:t>181/1985</w:t>
        </w:r>
      </w:hyperlink>
      <w:r w:rsidRPr="00506787">
        <w:rPr>
          <w:rStyle w:val="TextoNormalCaracter"/>
        </w:rPr>
        <w:t>.</w:t>
      </w:r>
    </w:p>
    <w:p w:rsidR="00506787" w:rsidRPr="00506787" w:rsidRDefault="00506787" w:rsidP="00506787">
      <w:pPr>
        <w:pStyle w:val="TextoNormalSangraFrancesa"/>
        <w:rPr>
          <w:rStyle w:val="TextoNormalCaracter"/>
        </w:rPr>
      </w:pPr>
      <w:bookmarkStart w:id="1301" w:name="DESCRIPTORALFABETICO143"/>
      <w:r w:rsidRPr="00506787">
        <w:rPr>
          <w:rStyle w:val="TextoNormalNegritaCaracter"/>
        </w:rPr>
        <w:t>Levantamiento parcial de la suspensión</w:t>
      </w:r>
      <w:bookmarkEnd w:id="1301"/>
      <w:r w:rsidRPr="00506787">
        <w:rPr>
          <w:rStyle w:val="TextoNormalCaracter"/>
        </w:rPr>
        <w:t xml:space="preserve">, Autos </w:t>
      </w:r>
      <w:hyperlink w:anchor="AUTO_1985_39" w:history="1">
        <w:r w:rsidRPr="00506787">
          <w:rPr>
            <w:rStyle w:val="TextoNormalCaracter"/>
          </w:rPr>
          <w:t>39/1985</w:t>
        </w:r>
      </w:hyperlink>
      <w:r w:rsidRPr="00506787">
        <w:rPr>
          <w:rStyle w:val="TextoNormalCaracter"/>
        </w:rPr>
        <w:t xml:space="preserve">; </w:t>
      </w:r>
      <w:hyperlink w:anchor="AUTO_1985_54" w:history="1">
        <w:r w:rsidRPr="00506787">
          <w:rPr>
            <w:rStyle w:val="TextoNormalCaracter"/>
          </w:rPr>
          <w:t>54/1985</w:t>
        </w:r>
      </w:hyperlink>
      <w:r w:rsidRPr="00506787">
        <w:rPr>
          <w:rStyle w:val="TextoNormalCaracter"/>
        </w:rPr>
        <w:t xml:space="preserve">; </w:t>
      </w:r>
      <w:hyperlink w:anchor="AUTO_1985_55" w:history="1">
        <w:r w:rsidRPr="00506787">
          <w:rPr>
            <w:rStyle w:val="TextoNormalCaracter"/>
          </w:rPr>
          <w:t>55/1985</w:t>
        </w:r>
      </w:hyperlink>
      <w:r w:rsidRPr="00506787">
        <w:rPr>
          <w:rStyle w:val="TextoNormalCaracter"/>
        </w:rPr>
        <w:t xml:space="preserve">; </w:t>
      </w:r>
      <w:hyperlink w:anchor="AUTO_1985_92" w:history="1">
        <w:r w:rsidRPr="00506787">
          <w:rPr>
            <w:rStyle w:val="TextoNormalCaracter"/>
          </w:rPr>
          <w:t>92/1985</w:t>
        </w:r>
      </w:hyperlink>
      <w:r w:rsidRPr="00506787">
        <w:rPr>
          <w:rStyle w:val="TextoNormalCaracter"/>
        </w:rPr>
        <w:t xml:space="preserve">; </w:t>
      </w:r>
      <w:hyperlink w:anchor="AUTO_1985_174" w:history="1">
        <w:r w:rsidRPr="00506787">
          <w:rPr>
            <w:rStyle w:val="TextoNormalCaracter"/>
          </w:rPr>
          <w:t>174/1985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Leyes anteriores a la Constitución</w:t>
      </w:r>
      <w:r>
        <w:t xml:space="preserve"> véase </w:t>
      </w:r>
      <w:hyperlink w:anchor="DESCRIPTORALFABETICO350" w:history="1">
        <w:r w:rsidRPr="00506787">
          <w:rPr>
            <w:rStyle w:val="TextoNormalNegritaCaracter"/>
          </w:rPr>
          <w:t>Normas preconstitucionales</w:t>
        </w:r>
      </w:hyperlink>
    </w:p>
    <w:p w:rsidR="00506787" w:rsidRPr="00506787" w:rsidRDefault="00506787" w:rsidP="00506787">
      <w:pPr>
        <w:pStyle w:val="TextoNormalSangraFrancesa"/>
        <w:rPr>
          <w:rStyle w:val="TextoNormalNegritaCaracter"/>
        </w:rPr>
      </w:pPr>
      <w:r w:rsidRPr="00506787">
        <w:rPr>
          <w:rStyle w:val="TextoNormalCursivaCaracter"/>
        </w:rPr>
        <w:t>Leyes de bases</w:t>
      </w:r>
      <w:r>
        <w:t xml:space="preserve"> véase </w:t>
      </w:r>
      <w:hyperlink w:anchor="DESCRIPTORALFABETICO329" w:history="1">
        <w:r w:rsidRPr="00506787">
          <w:rPr>
            <w:rStyle w:val="TextoNormalNegritaCaracter"/>
          </w:rPr>
          <w:t>Legislación básica</w:t>
        </w:r>
      </w:hyperlink>
    </w:p>
    <w:p w:rsidR="00506787" w:rsidRPr="00506787" w:rsidRDefault="00506787" w:rsidP="00506787">
      <w:pPr>
        <w:pStyle w:val="TextoNormalSangraFrancesa"/>
        <w:rPr>
          <w:rStyle w:val="TextoNormalCaracter"/>
        </w:rPr>
      </w:pPr>
      <w:bookmarkStart w:id="1302" w:name="DESCRIPTORALFABETICO333"/>
      <w:r w:rsidRPr="00506787">
        <w:rPr>
          <w:rStyle w:val="TextoNormalNegritaCaracter"/>
        </w:rPr>
        <w:t>Leyes de presupuestos generales del Estado</w:t>
      </w:r>
      <w:bookmarkEnd w:id="1302"/>
      <w:r w:rsidRPr="00506787">
        <w:rPr>
          <w:rStyle w:val="TextoNormalCaracter"/>
        </w:rPr>
        <w:t xml:space="preserve">, Sentencia </w:t>
      </w:r>
      <w:hyperlink w:anchor="SENTENCIA_1985_20" w:history="1">
        <w:r w:rsidRPr="00506787">
          <w:rPr>
            <w:rStyle w:val="TextoNormalCaracter"/>
          </w:rPr>
          <w:t>20/1985</w:t>
        </w:r>
      </w:hyperlink>
      <w:r w:rsidRPr="00506787">
        <w:rPr>
          <w:rStyle w:val="TextoNormalCaracter"/>
        </w:rPr>
        <w:t>, VP.</w:t>
      </w:r>
    </w:p>
    <w:p w:rsidR="00506787" w:rsidRPr="00506787" w:rsidRDefault="00506787" w:rsidP="00506787">
      <w:pPr>
        <w:pStyle w:val="TextoNormalSangraFrancesa"/>
        <w:rPr>
          <w:rStyle w:val="TextoNormalCaracter"/>
        </w:rPr>
      </w:pPr>
      <w:bookmarkStart w:id="1303" w:name="DESCRIPTORALFABETICO95"/>
      <w:r w:rsidRPr="00506787">
        <w:rPr>
          <w:rStyle w:val="TextoNormalNegritaCaracter"/>
        </w:rPr>
        <w:t>Libertad de cátedra</w:t>
      </w:r>
      <w:bookmarkEnd w:id="1303"/>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 3.</w:t>
      </w:r>
    </w:p>
    <w:p w:rsidR="00506787" w:rsidRPr="00506787" w:rsidRDefault="00506787" w:rsidP="00506787">
      <w:pPr>
        <w:pStyle w:val="TextoNormalSangraFrancesa"/>
        <w:rPr>
          <w:rStyle w:val="TextoNormalNegritaCaracter"/>
        </w:rPr>
      </w:pPr>
      <w:r w:rsidRPr="00506787">
        <w:rPr>
          <w:rStyle w:val="TextoNormalCursivaCaracter"/>
        </w:rPr>
        <w:t>Libertad de comunicación</w:t>
      </w:r>
      <w:r>
        <w:t xml:space="preserve"> véase </w:t>
      </w:r>
      <w:hyperlink w:anchor="DESCRIPTORALFABETICO106" w:history="1">
        <w:r w:rsidRPr="00506787">
          <w:rPr>
            <w:rStyle w:val="TextoNormalNegritaCaracter"/>
          </w:rPr>
          <w:t>Derecho a comunicar libremente información</w:t>
        </w:r>
      </w:hyperlink>
    </w:p>
    <w:p w:rsidR="00506787" w:rsidRPr="00506787" w:rsidRDefault="00506787" w:rsidP="00506787">
      <w:pPr>
        <w:pStyle w:val="TextoNormalSangraFrancesa"/>
        <w:rPr>
          <w:rStyle w:val="TextoNormalCaracter"/>
        </w:rPr>
      </w:pPr>
      <w:bookmarkStart w:id="1304" w:name="DESCRIPTORALFABETICO100"/>
      <w:r w:rsidRPr="00506787">
        <w:rPr>
          <w:rStyle w:val="TextoNormalNegritaCaracter"/>
        </w:rPr>
        <w:t>Libertad de expresión</w:t>
      </w:r>
      <w:bookmarkEnd w:id="1304"/>
      <w:r w:rsidRPr="00506787">
        <w:rPr>
          <w:rStyle w:val="TextoNormalCaracter"/>
        </w:rPr>
        <w:t xml:space="preserve">, Sentencias </w:t>
      </w:r>
      <w:hyperlink w:anchor="SENTENCIA_1985_38" w:history="1">
        <w:r w:rsidRPr="00506787">
          <w:rPr>
            <w:rStyle w:val="TextoNormalCaracter"/>
          </w:rPr>
          <w:t>38/1985</w:t>
        </w:r>
      </w:hyperlink>
      <w:r w:rsidRPr="00506787">
        <w:rPr>
          <w:rStyle w:val="TextoNormalCaracter"/>
        </w:rPr>
        <w:t xml:space="preserve">, f. 1; </w:t>
      </w:r>
      <w:hyperlink w:anchor="SENTENCIA_1985_51" w:history="1">
        <w:r w:rsidRPr="00506787">
          <w:rPr>
            <w:rStyle w:val="TextoNormalCaracter"/>
          </w:rPr>
          <w:t>51/1985</w:t>
        </w:r>
      </w:hyperlink>
      <w:r w:rsidRPr="00506787">
        <w:rPr>
          <w:rStyle w:val="TextoNormalCaracter"/>
        </w:rPr>
        <w:t>, ff. 6, 10.</w:t>
      </w:r>
    </w:p>
    <w:p w:rsidR="00506787" w:rsidRPr="00506787" w:rsidRDefault="00506787" w:rsidP="00506787">
      <w:pPr>
        <w:pStyle w:val="TextoNormalSangraFrancesa"/>
        <w:rPr>
          <w:rStyle w:val="TextoNormalCaracter"/>
        </w:rPr>
      </w:pPr>
      <w:bookmarkStart w:id="1305" w:name="DESCRIPTORALFABETICO101"/>
      <w:r w:rsidRPr="00506787">
        <w:rPr>
          <w:rStyle w:val="TextoNormalNegritaCaracter"/>
        </w:rPr>
        <w:t>Libertad de expresión en el ejercicio de la defensa letrada</w:t>
      </w:r>
      <w:bookmarkEnd w:id="1305"/>
      <w:r w:rsidRPr="00506787">
        <w:rPr>
          <w:rStyle w:val="TextoNormalCaracter"/>
        </w:rPr>
        <w:t xml:space="preserve">, Auto </w:t>
      </w:r>
      <w:hyperlink w:anchor="AUTO_1985_122" w:history="1">
        <w:r w:rsidRPr="00506787">
          <w:rPr>
            <w:rStyle w:val="TextoNormalCaracter"/>
          </w:rPr>
          <w:t>122/1985</w:t>
        </w:r>
      </w:hyperlink>
      <w:r w:rsidRPr="00506787">
        <w:rPr>
          <w:rStyle w:val="TextoNormalCaracter"/>
        </w:rPr>
        <w:t>.</w:t>
      </w:r>
    </w:p>
    <w:p w:rsidR="00506787" w:rsidRPr="00506787" w:rsidRDefault="00506787" w:rsidP="00506787">
      <w:pPr>
        <w:pStyle w:val="TextoNormalSangraFrancesa"/>
        <w:rPr>
          <w:rStyle w:val="TextoNormalCaracter"/>
        </w:rPr>
      </w:pPr>
      <w:bookmarkStart w:id="1306" w:name="DESCRIPTORALFABETICO91"/>
      <w:r w:rsidRPr="00506787">
        <w:rPr>
          <w:rStyle w:val="TextoNormalNegritaCaracter"/>
        </w:rPr>
        <w:t>Libertad de profesión u oficio</w:t>
      </w:r>
      <w:bookmarkEnd w:id="1306"/>
      <w:r w:rsidRPr="00506787">
        <w:rPr>
          <w:rStyle w:val="TextoNormalCaracter"/>
        </w:rPr>
        <w:t xml:space="preserve">, Auto </w:t>
      </w:r>
      <w:hyperlink w:anchor="AUTO_1985_9" w:history="1">
        <w:r w:rsidRPr="00506787">
          <w:rPr>
            <w:rStyle w:val="TextoNormalCaracter"/>
          </w:rPr>
          <w:t>9/1985</w:t>
        </w:r>
      </w:hyperlink>
      <w:r w:rsidRPr="00506787">
        <w:rPr>
          <w:rStyle w:val="TextoNormalCaracter"/>
        </w:rPr>
        <w:t>.</w:t>
      </w:r>
    </w:p>
    <w:p w:rsidR="00506787" w:rsidRPr="00506787" w:rsidRDefault="00506787" w:rsidP="00506787">
      <w:pPr>
        <w:pStyle w:val="TextoNormalSangraFrancesa"/>
        <w:rPr>
          <w:rStyle w:val="TextoNormalCaracter"/>
        </w:rPr>
      </w:pPr>
      <w:bookmarkStart w:id="1307" w:name="DESCRIPTORALFABETICO109"/>
      <w:r w:rsidRPr="00506787">
        <w:rPr>
          <w:rStyle w:val="TextoNormalNegritaCaracter"/>
        </w:rPr>
        <w:t>Libertad de residencia</w:t>
      </w:r>
      <w:bookmarkEnd w:id="1307"/>
      <w:r w:rsidRPr="00506787">
        <w:rPr>
          <w:rStyle w:val="TextoNormalCaracter"/>
        </w:rPr>
        <w:t xml:space="preserve">, Auto </w:t>
      </w:r>
      <w:hyperlink w:anchor="AUTO_1985_236" w:history="1">
        <w:r w:rsidRPr="00506787">
          <w:rPr>
            <w:rStyle w:val="TextoNormalCaracter"/>
          </w:rPr>
          <w:t>236/1985</w:t>
        </w:r>
      </w:hyperlink>
      <w:r w:rsidRPr="00506787">
        <w:rPr>
          <w:rStyle w:val="TextoNormalCaracter"/>
        </w:rPr>
        <w:t>.</w:t>
      </w:r>
    </w:p>
    <w:p w:rsidR="00506787" w:rsidRPr="00506787" w:rsidRDefault="00506787" w:rsidP="00506787">
      <w:pPr>
        <w:pStyle w:val="TextoNormalSangraFrancesa"/>
        <w:rPr>
          <w:rStyle w:val="TextoNormalCaracter"/>
        </w:rPr>
      </w:pPr>
      <w:bookmarkStart w:id="1308" w:name="DESCRIPTORALFABETICO111"/>
      <w:r w:rsidRPr="00506787">
        <w:rPr>
          <w:rStyle w:val="TextoNormalNegritaCaracter"/>
        </w:rPr>
        <w:t>Libertad ideológica</w:t>
      </w:r>
      <w:bookmarkEnd w:id="1308"/>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 4.</w:t>
      </w:r>
    </w:p>
    <w:p w:rsidR="00506787" w:rsidRPr="00506787" w:rsidRDefault="00506787" w:rsidP="00506787">
      <w:pPr>
        <w:pStyle w:val="TextoNormalSangraFrancesa"/>
        <w:rPr>
          <w:rStyle w:val="TextoNormalCaracter"/>
        </w:rPr>
      </w:pPr>
      <w:bookmarkStart w:id="1309" w:name="DESCRIPTORALFABETICO110"/>
      <w:r w:rsidRPr="00506787">
        <w:rPr>
          <w:rStyle w:val="TextoNormalNegritaCaracter"/>
        </w:rPr>
        <w:t>Libertad ideológica, religiosa y de culto</w:t>
      </w:r>
      <w:bookmarkEnd w:id="1309"/>
      <w:r w:rsidRPr="00506787">
        <w:rPr>
          <w:rStyle w:val="TextoNormalCaracter"/>
        </w:rPr>
        <w:t xml:space="preserve">, Sentencias </w:t>
      </w:r>
      <w:hyperlink w:anchor="SENTENCIA_1985_19" w:history="1">
        <w:r w:rsidRPr="00506787">
          <w:rPr>
            <w:rStyle w:val="TextoNormalCaracter"/>
          </w:rPr>
          <w:t>19/1985</w:t>
        </w:r>
      </w:hyperlink>
      <w:r w:rsidRPr="00506787">
        <w:rPr>
          <w:rStyle w:val="TextoNormalCaracter"/>
        </w:rPr>
        <w:t xml:space="preserve">, ff. 1, 2, 3, 4, 5; </w:t>
      </w:r>
      <w:hyperlink w:anchor="SENTENCIA_1985_47" w:history="1">
        <w:r w:rsidRPr="00506787">
          <w:rPr>
            <w:rStyle w:val="TextoNormalCaracter"/>
          </w:rPr>
          <w:t>47/1985</w:t>
        </w:r>
      </w:hyperlink>
      <w:r w:rsidRPr="00506787">
        <w:rPr>
          <w:rStyle w:val="TextoNormalCaracter"/>
        </w:rPr>
        <w:t xml:space="preserve">, f. 5; </w:t>
      </w:r>
      <w:hyperlink w:anchor="SENTENCIA_1985_53" w:history="1">
        <w:r w:rsidRPr="00506787">
          <w:rPr>
            <w:rStyle w:val="TextoNormalCaracter"/>
          </w:rPr>
          <w:t>53/1985</w:t>
        </w:r>
      </w:hyperlink>
      <w:r w:rsidRPr="00506787">
        <w:rPr>
          <w:rStyle w:val="TextoNormalCaracter"/>
        </w:rPr>
        <w:t>, f. 8.</w:t>
      </w:r>
    </w:p>
    <w:p w:rsidR="00506787" w:rsidRPr="00506787" w:rsidRDefault="00506787" w:rsidP="00506787">
      <w:pPr>
        <w:pStyle w:val="TextoNormalSangraFrancesa"/>
        <w:rPr>
          <w:rStyle w:val="TextoNormalCaracter"/>
        </w:rPr>
      </w:pPr>
      <w:bookmarkStart w:id="1310" w:name="DESCRIPTORALFABETICO112"/>
      <w:r w:rsidRPr="00506787">
        <w:rPr>
          <w:rStyle w:val="TextoNormalNegritaCaracter"/>
        </w:rPr>
        <w:t>Libertad religiosa y de culto</w:t>
      </w:r>
      <w:bookmarkEnd w:id="1310"/>
      <w:r w:rsidRPr="00506787">
        <w:rPr>
          <w:rStyle w:val="TextoNormalCaracter"/>
        </w:rPr>
        <w:t xml:space="preserve">, Sentencia </w:t>
      </w:r>
      <w:hyperlink w:anchor="SENTENCIA_1985_19" w:history="1">
        <w:r w:rsidRPr="00506787">
          <w:rPr>
            <w:rStyle w:val="TextoNormalCaracter"/>
          </w:rPr>
          <w:t>19/1985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11" w:name="DESCRIPTORALFABETICO114"/>
      <w:r w:rsidRPr="00506787">
        <w:rPr>
          <w:rStyle w:val="TextoNormalNegritaCaracter"/>
        </w:rPr>
        <w:t>Libertad sindical</w:t>
      </w:r>
      <w:bookmarkEnd w:id="1311"/>
      <w:r w:rsidRPr="00506787">
        <w:rPr>
          <w:rStyle w:val="TextoNormalCaracter"/>
        </w:rPr>
        <w:t xml:space="preserve">, Sentencias </w:t>
      </w:r>
      <w:hyperlink w:anchor="SENTENCIA_1985_16" w:history="1">
        <w:r w:rsidRPr="00506787">
          <w:rPr>
            <w:rStyle w:val="TextoNormalCaracter"/>
          </w:rPr>
          <w:t>16/1985</w:t>
        </w:r>
      </w:hyperlink>
      <w:r w:rsidRPr="00506787">
        <w:rPr>
          <w:rStyle w:val="TextoNormalCaracter"/>
        </w:rPr>
        <w:t xml:space="preserve">, ff. 3, 4; </w:t>
      </w:r>
      <w:hyperlink w:anchor="SENTENCIA_1985_20" w:history="1">
        <w:r w:rsidRPr="00506787">
          <w:rPr>
            <w:rStyle w:val="TextoNormalCaracter"/>
          </w:rPr>
          <w:t>20/1985</w:t>
        </w:r>
      </w:hyperlink>
      <w:r w:rsidRPr="00506787">
        <w:rPr>
          <w:rStyle w:val="TextoNormalCaracter"/>
        </w:rPr>
        <w:t xml:space="preserve">, ff. 1, 2, 3, 4; </w:t>
      </w:r>
      <w:hyperlink w:anchor="SENTENCIA_1985_26" w:history="1">
        <w:r w:rsidRPr="00506787">
          <w:rPr>
            <w:rStyle w:val="TextoNormalCaracter"/>
          </w:rPr>
          <w:t>26/1985</w:t>
        </w:r>
      </w:hyperlink>
      <w:r w:rsidRPr="00506787">
        <w:rPr>
          <w:rStyle w:val="TextoNormalCaracter"/>
        </w:rPr>
        <w:t>, f. 2.</w:t>
      </w:r>
    </w:p>
    <w:p w:rsidR="00506787" w:rsidRPr="00506787" w:rsidRDefault="00506787" w:rsidP="00506787">
      <w:pPr>
        <w:pStyle w:val="TextoNormalSangraFrancesa"/>
        <w:rPr>
          <w:rStyle w:val="TextoNormalNegritaCaracter"/>
        </w:rPr>
      </w:pPr>
      <w:r w:rsidRPr="00506787">
        <w:rPr>
          <w:rStyle w:val="TextoNormalCursivaCaracter"/>
        </w:rPr>
        <w:t>Libre desarrollo de la personalidad</w:t>
      </w:r>
      <w:r>
        <w:t xml:space="preserve"> véase </w:t>
      </w:r>
      <w:hyperlink w:anchor="DESCRIPTORALFABETICO90" w:history="1">
        <w:r w:rsidRPr="00506787">
          <w:rPr>
            <w:rStyle w:val="TextoNormalNegritaCaracter"/>
          </w:rPr>
          <w:t>Derecho al libre desarrollo de la personalidad</w:t>
        </w:r>
      </w:hyperlink>
    </w:p>
    <w:p w:rsidR="00506787" w:rsidRPr="00506787" w:rsidRDefault="00506787" w:rsidP="00506787">
      <w:pPr>
        <w:pStyle w:val="TextoNormalSangraFrancesa"/>
        <w:rPr>
          <w:rStyle w:val="TextoNormalCaracter"/>
        </w:rPr>
      </w:pPr>
      <w:bookmarkStart w:id="1312" w:name="DESCRIPTORALFABETICO120"/>
      <w:r w:rsidRPr="00506787">
        <w:rPr>
          <w:rStyle w:val="TextoNormalNegritaCaracter"/>
        </w:rPr>
        <w:t>Limitación de derechos fundamentales</w:t>
      </w:r>
      <w:bookmarkEnd w:id="1312"/>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ff. 2, 3.</w:t>
      </w:r>
    </w:p>
    <w:p w:rsidR="00506787" w:rsidRPr="00506787" w:rsidRDefault="00506787" w:rsidP="00506787">
      <w:pPr>
        <w:pStyle w:val="TextoNormalSangraFrancesa"/>
        <w:rPr>
          <w:rStyle w:val="TextoNormalNegritaCaracter"/>
        </w:rPr>
      </w:pPr>
      <w:r w:rsidRPr="00506787">
        <w:rPr>
          <w:rStyle w:val="TextoNormalCursivaCaracter"/>
        </w:rPr>
        <w:t>Límite de derechos fundamentales</w:t>
      </w:r>
      <w:r>
        <w:t xml:space="preserve"> véase </w:t>
      </w:r>
      <w:hyperlink w:anchor="DESCRIPTORALFABETICO120" w:history="1">
        <w:r w:rsidRPr="00506787">
          <w:rPr>
            <w:rStyle w:val="TextoNormalNegritaCaracter"/>
          </w:rPr>
          <w:t>Limitación de derechos fundamentales</w:t>
        </w:r>
      </w:hyperlink>
    </w:p>
    <w:p w:rsidR="00506787" w:rsidRPr="00506787" w:rsidRDefault="00506787" w:rsidP="00506787">
      <w:pPr>
        <w:pStyle w:val="TextoNormalSangraFrancesa"/>
        <w:rPr>
          <w:rStyle w:val="TextoNormalCaracter"/>
        </w:rPr>
      </w:pPr>
      <w:bookmarkStart w:id="1313" w:name="DESCRIPTORALFABETICO242"/>
      <w:r w:rsidRPr="00506787">
        <w:rPr>
          <w:rStyle w:val="TextoNormalNegritaCaracter"/>
        </w:rPr>
        <w:t>Límites a la libertad de configuración del legislador</w:t>
      </w:r>
      <w:bookmarkEnd w:id="1313"/>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9.</w:t>
      </w:r>
    </w:p>
    <w:p w:rsidR="00506787" w:rsidRPr="00506787" w:rsidRDefault="00506787" w:rsidP="00506787">
      <w:pPr>
        <w:pStyle w:val="TextoNormalSangraFrancesa"/>
        <w:rPr>
          <w:rStyle w:val="TextoNormalCaracter"/>
        </w:rPr>
      </w:pPr>
      <w:bookmarkStart w:id="1314" w:name="DESCRIPTORALFABETICO102"/>
      <w:r w:rsidRPr="00506787">
        <w:rPr>
          <w:rStyle w:val="TextoNormalNegritaCaracter"/>
        </w:rPr>
        <w:t>Límites a la libertad de expresión</w:t>
      </w:r>
      <w:bookmarkEnd w:id="1314"/>
      <w:r w:rsidRPr="00506787">
        <w:rPr>
          <w:rStyle w:val="TextoNormalCaracter"/>
        </w:rPr>
        <w:t xml:space="preserve">, Auto </w:t>
      </w:r>
      <w:hyperlink w:anchor="AUTO_1985_171" w:history="1">
        <w:r w:rsidRPr="00506787">
          <w:rPr>
            <w:rStyle w:val="TextoNormalCaracter"/>
          </w:rPr>
          <w:t>171/1985</w:t>
        </w:r>
      </w:hyperlink>
      <w:r w:rsidRPr="00506787">
        <w:rPr>
          <w:rStyle w:val="TextoNormalCaracter"/>
        </w:rPr>
        <w:t>.</w:t>
      </w:r>
    </w:p>
    <w:p w:rsidR="00506787" w:rsidRPr="00506787" w:rsidRDefault="00506787" w:rsidP="00506787">
      <w:pPr>
        <w:pStyle w:val="TextoNormalSangraFrancesa"/>
        <w:rPr>
          <w:rStyle w:val="TextoNormalCaracter"/>
        </w:rPr>
      </w:pPr>
      <w:bookmarkStart w:id="1315" w:name="DESCRIPTORALFABETICO107"/>
      <w:r w:rsidRPr="00506787">
        <w:rPr>
          <w:rStyle w:val="TextoNormalNegritaCaracter"/>
        </w:rPr>
        <w:t>Límites al derecho a comunicar libremente información</w:t>
      </w:r>
      <w:bookmarkEnd w:id="1315"/>
      <w:r w:rsidRPr="00506787">
        <w:rPr>
          <w:rStyle w:val="TextoNormalCaracter"/>
        </w:rPr>
        <w:t xml:space="preserve">, Auto </w:t>
      </w:r>
      <w:hyperlink w:anchor="AUTO_1985_237" w:history="1">
        <w:r w:rsidRPr="00506787">
          <w:rPr>
            <w:rStyle w:val="TextoNormalCaracter"/>
          </w:rPr>
          <w:t>237/1985</w:t>
        </w:r>
      </w:hyperlink>
      <w:r w:rsidRPr="00506787">
        <w:rPr>
          <w:rStyle w:val="TextoNormalCaracter"/>
        </w:rPr>
        <w:t>.</w:t>
      </w:r>
    </w:p>
    <w:p w:rsidR="00506787" w:rsidRPr="00506787" w:rsidRDefault="00506787" w:rsidP="00506787">
      <w:pPr>
        <w:pStyle w:val="TextoNormalSangraFrancesa"/>
        <w:rPr>
          <w:rStyle w:val="TextoNormalCaracter"/>
        </w:rPr>
      </w:pPr>
      <w:bookmarkStart w:id="1316" w:name="DESCRIPTORALFABETICO31"/>
      <w:r w:rsidRPr="00506787">
        <w:rPr>
          <w:rStyle w:val="TextoNormalNegritaCaracter"/>
        </w:rPr>
        <w:t>Límites al derecho a la intimidad</w:t>
      </w:r>
      <w:bookmarkEnd w:id="1316"/>
      <w:r w:rsidRPr="00506787">
        <w:rPr>
          <w:rStyle w:val="TextoNormalCaracter"/>
        </w:rPr>
        <w:t xml:space="preserve">, Auto </w:t>
      </w:r>
      <w:hyperlink w:anchor="AUTO_1985_257" w:history="1">
        <w:r w:rsidRPr="00506787">
          <w:rPr>
            <w:rStyle w:val="TextoNormalCaracter"/>
          </w:rPr>
          <w:t>257/1985</w:t>
        </w:r>
      </w:hyperlink>
      <w:r w:rsidRPr="00506787">
        <w:rPr>
          <w:rStyle w:val="TextoNormalCaracter"/>
        </w:rPr>
        <w:t>.</w:t>
      </w:r>
    </w:p>
    <w:p w:rsidR="00506787" w:rsidRPr="00506787" w:rsidRDefault="00506787" w:rsidP="00506787">
      <w:pPr>
        <w:pStyle w:val="TextoNormalSangraFrancesa"/>
        <w:rPr>
          <w:rStyle w:val="TextoNormalCaracter"/>
        </w:rPr>
      </w:pPr>
      <w:bookmarkStart w:id="1317" w:name="DESCRIPTORALFABETICO349"/>
      <w:r w:rsidRPr="00506787">
        <w:rPr>
          <w:rStyle w:val="TextoNormalNegritaCaracter"/>
        </w:rPr>
        <w:t>Límites constitucionales a la interpretación de las normas jurídicas</w:t>
      </w:r>
      <w:bookmarkEnd w:id="1317"/>
      <w:r w:rsidRPr="00506787">
        <w:rPr>
          <w:rStyle w:val="TextoNormalCaracter"/>
        </w:rPr>
        <w:t xml:space="preserve">, Sentencia </w:t>
      </w:r>
      <w:hyperlink w:anchor="SENTENCIA_1985_28" w:history="1">
        <w:r w:rsidRPr="00506787">
          <w:rPr>
            <w:rStyle w:val="TextoNormalCaracter"/>
          </w:rPr>
          <w:t>28/1985</w:t>
        </w:r>
      </w:hyperlink>
      <w:r w:rsidRPr="00506787">
        <w:rPr>
          <w:rStyle w:val="TextoNormalCaracter"/>
        </w:rPr>
        <w:t>, f. 4.</w:t>
      </w:r>
    </w:p>
    <w:p w:rsidR="00506787" w:rsidRPr="00506787" w:rsidRDefault="00506787" w:rsidP="00506787">
      <w:pPr>
        <w:pStyle w:val="TextoNormalSangraFrancesa"/>
        <w:rPr>
          <w:rStyle w:val="TextoNormalNegritaCaracter"/>
        </w:rPr>
      </w:pPr>
      <w:r w:rsidRPr="00506787">
        <w:rPr>
          <w:rStyle w:val="TextoNormalCursivaCaracter"/>
        </w:rPr>
        <w:lastRenderedPageBreak/>
        <w:t>Límites en el ejercicio de derechos fundamentales</w:t>
      </w:r>
      <w:r>
        <w:t xml:space="preserve"> véase </w:t>
      </w:r>
      <w:hyperlink w:anchor="DESCRIPTORALFABETICO120" w:history="1">
        <w:r w:rsidRPr="00506787">
          <w:rPr>
            <w:rStyle w:val="TextoNormalNegritaCaracter"/>
          </w:rPr>
          <w:t>Limitación de derechos fundamentales</w:t>
        </w:r>
      </w:hyperlink>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M</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318" w:name="DESCRIPTORALFABETICO144"/>
      <w:r w:rsidRPr="00506787">
        <w:rPr>
          <w:rStyle w:val="TextoNormalNegritaCaracter"/>
        </w:rPr>
        <w:t>Mantenimiento de la suspensión de disposiciones de las Comunidades Autónomas</w:t>
      </w:r>
      <w:bookmarkEnd w:id="1318"/>
      <w:r w:rsidRPr="00506787">
        <w:rPr>
          <w:rStyle w:val="TextoNormalCaracter"/>
        </w:rPr>
        <w:t xml:space="preserve">, Autos </w:t>
      </w:r>
      <w:hyperlink w:anchor="AUTO_1985_91" w:history="1">
        <w:r w:rsidRPr="00506787">
          <w:rPr>
            <w:rStyle w:val="TextoNormalCaracter"/>
          </w:rPr>
          <w:t>91/1985</w:t>
        </w:r>
      </w:hyperlink>
      <w:r w:rsidRPr="00506787">
        <w:rPr>
          <w:rStyle w:val="TextoNormalCaracter"/>
        </w:rPr>
        <w:t xml:space="preserve">; </w:t>
      </w:r>
      <w:hyperlink w:anchor="AUTO_1985_125" w:history="1">
        <w:r w:rsidRPr="00506787">
          <w:rPr>
            <w:rStyle w:val="TextoNormalCaracter"/>
          </w:rPr>
          <w:t>125/1985</w:t>
        </w:r>
      </w:hyperlink>
      <w:r w:rsidRPr="00506787">
        <w:rPr>
          <w:rStyle w:val="TextoNormalCaracter"/>
        </w:rPr>
        <w:t xml:space="preserve">; </w:t>
      </w:r>
      <w:hyperlink w:anchor="AUTO_1985_175" w:history="1">
        <w:r w:rsidRPr="00506787">
          <w:rPr>
            <w:rStyle w:val="TextoNormalCaracter"/>
          </w:rPr>
          <w:t>175/1985</w:t>
        </w:r>
      </w:hyperlink>
      <w:r w:rsidRPr="00506787">
        <w:rPr>
          <w:rStyle w:val="TextoNormalCaracter"/>
        </w:rPr>
        <w:t xml:space="preserve">; </w:t>
      </w:r>
      <w:hyperlink w:anchor="AUTO_1985_282" w:history="1">
        <w:r w:rsidRPr="00506787">
          <w:rPr>
            <w:rStyle w:val="TextoNormalCaracter"/>
          </w:rPr>
          <w:t>282/1985</w:t>
        </w:r>
      </w:hyperlink>
      <w:r w:rsidRPr="00506787">
        <w:rPr>
          <w:rStyle w:val="TextoNormalCaracter"/>
        </w:rPr>
        <w:t>.</w:t>
      </w:r>
    </w:p>
    <w:p w:rsidR="00506787" w:rsidRPr="00506787" w:rsidRDefault="00506787" w:rsidP="00506787">
      <w:pPr>
        <w:pStyle w:val="TextoNormalSangraFrancesa"/>
        <w:rPr>
          <w:rStyle w:val="TextoNormalCaracter"/>
        </w:rPr>
      </w:pPr>
      <w:bookmarkStart w:id="1319" w:name="DESCRIPTORALFABETICO249"/>
      <w:r w:rsidRPr="00506787">
        <w:rPr>
          <w:rStyle w:val="TextoNormalNegritaCaracter"/>
        </w:rPr>
        <w:t>Mayorías y minorías políticas</w:t>
      </w:r>
      <w:bookmarkEnd w:id="1319"/>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20" w:name="DESCRIPTORALFABETICO575"/>
      <w:r w:rsidRPr="00506787">
        <w:rPr>
          <w:rStyle w:val="TextoNormalNegritaCaracter"/>
        </w:rPr>
        <w:t>Medidas de seguridad</w:t>
      </w:r>
      <w:bookmarkEnd w:id="1320"/>
      <w:r w:rsidRPr="00506787">
        <w:rPr>
          <w:rStyle w:val="TextoNormalCaracter"/>
        </w:rPr>
        <w:t xml:space="preserve">, Auto </w:t>
      </w:r>
      <w:hyperlink w:anchor="AUTO_1985_183" w:history="1">
        <w:r w:rsidRPr="00506787">
          <w:rPr>
            <w:rStyle w:val="TextoNormalCaracter"/>
          </w:rPr>
          <w:t>183/1985</w:t>
        </w:r>
      </w:hyperlink>
      <w:r w:rsidRPr="00506787">
        <w:rPr>
          <w:rStyle w:val="TextoNormalCaracter"/>
        </w:rPr>
        <w:t>.</w:t>
      </w:r>
    </w:p>
    <w:p w:rsidR="00506787" w:rsidRPr="00506787" w:rsidRDefault="00506787" w:rsidP="00506787">
      <w:pPr>
        <w:pStyle w:val="TextoNormalSangraFrancesa"/>
        <w:rPr>
          <w:rStyle w:val="TextoNormalCaracter"/>
        </w:rPr>
      </w:pPr>
      <w:bookmarkStart w:id="1321" w:name="DESCRIPTORALFABETICO555"/>
      <w:r w:rsidRPr="00506787">
        <w:rPr>
          <w:rStyle w:val="TextoNormalNegritaCaracter"/>
        </w:rPr>
        <w:t>Modificación de la calificación jurídica de los hechos</w:t>
      </w:r>
      <w:bookmarkEnd w:id="1321"/>
      <w:r w:rsidRPr="00506787">
        <w:rPr>
          <w:rStyle w:val="TextoNormalCaracter"/>
        </w:rPr>
        <w:t xml:space="preserve">, Sentencia </w:t>
      </w:r>
      <w:hyperlink w:anchor="SENTENCIA_1985_54" w:history="1">
        <w:r w:rsidRPr="00506787">
          <w:rPr>
            <w:rStyle w:val="TextoNormalCaracter"/>
          </w:rPr>
          <w:t>54/1985</w:t>
        </w:r>
      </w:hyperlink>
      <w:r w:rsidRPr="00506787">
        <w:rPr>
          <w:rStyle w:val="TextoNormalCaracter"/>
        </w:rPr>
        <w:t>, f. 8.</w:t>
      </w:r>
    </w:p>
    <w:p w:rsidR="00506787" w:rsidRPr="00506787" w:rsidRDefault="00506787" w:rsidP="00506787">
      <w:pPr>
        <w:pStyle w:val="TextoNormalSangraFrancesa"/>
        <w:rPr>
          <w:rStyle w:val="TextoNormalCaracter"/>
        </w:rPr>
      </w:pPr>
      <w:bookmarkStart w:id="1322" w:name="DESCRIPTORALFABETICO192"/>
      <w:r w:rsidRPr="00506787">
        <w:rPr>
          <w:rStyle w:val="TextoNormalNegritaCaracter"/>
        </w:rPr>
        <w:t>Modificación de la pretensión de amparo</w:t>
      </w:r>
      <w:bookmarkEnd w:id="1322"/>
      <w:r w:rsidRPr="00506787">
        <w:rPr>
          <w:rStyle w:val="TextoNormalCaracter"/>
        </w:rPr>
        <w:t xml:space="preserve">, Sentencia </w:t>
      </w:r>
      <w:hyperlink w:anchor="SENTENCIA_1985_4" w:history="1">
        <w:r w:rsidRPr="00506787">
          <w:rPr>
            <w:rStyle w:val="TextoNormalCaracter"/>
          </w:rPr>
          <w:t>4/1985</w:t>
        </w:r>
      </w:hyperlink>
      <w:r w:rsidRPr="00506787">
        <w:rPr>
          <w:rStyle w:val="TextoNormalCaracter"/>
        </w:rPr>
        <w:t>, f. 1.</w:t>
      </w:r>
    </w:p>
    <w:p w:rsidR="00506787" w:rsidRPr="00506787" w:rsidRDefault="00506787" w:rsidP="00506787">
      <w:pPr>
        <w:pStyle w:val="TextoNormalSangraFrancesa"/>
        <w:rPr>
          <w:rStyle w:val="TextoNormalCaracter"/>
        </w:rPr>
      </w:pPr>
      <w:bookmarkStart w:id="1323" w:name="DESCRIPTORALFABETICO556"/>
      <w:r w:rsidRPr="00506787">
        <w:rPr>
          <w:rStyle w:val="TextoNormalNegritaCaracter"/>
        </w:rPr>
        <w:t>Modificación en apelación de la calificación jurídica de los hechos</w:t>
      </w:r>
      <w:bookmarkEnd w:id="1323"/>
      <w:r w:rsidRPr="00506787">
        <w:rPr>
          <w:rStyle w:val="TextoNormalCaracter"/>
        </w:rPr>
        <w:t xml:space="preserve">, Sentencia </w:t>
      </w:r>
      <w:hyperlink w:anchor="SENTENCIA_1985_54" w:history="1">
        <w:r w:rsidRPr="00506787">
          <w:rPr>
            <w:rStyle w:val="TextoNormalCaracter"/>
          </w:rPr>
          <w:t>54/1985</w:t>
        </w:r>
      </w:hyperlink>
      <w:r w:rsidRPr="00506787">
        <w:rPr>
          <w:rStyle w:val="TextoNormalCaracter"/>
        </w:rPr>
        <w:t>, f. 2.</w:t>
      </w:r>
    </w:p>
    <w:p w:rsidR="00506787" w:rsidRPr="00506787" w:rsidRDefault="00506787" w:rsidP="00506787">
      <w:pPr>
        <w:pStyle w:val="TextoNormalSangraFrancesa"/>
        <w:rPr>
          <w:rStyle w:val="TextoNormalCaracter"/>
        </w:rPr>
      </w:pPr>
      <w:bookmarkStart w:id="1324" w:name="DESCRIPTORALFABETICO189"/>
      <w:r w:rsidRPr="00506787">
        <w:rPr>
          <w:rStyle w:val="TextoNormalNegritaCaracter"/>
        </w:rPr>
        <w:t>Momento procesal idóneo para la invocación</w:t>
      </w:r>
      <w:bookmarkEnd w:id="1324"/>
      <w:r w:rsidRPr="00506787">
        <w:rPr>
          <w:rStyle w:val="TextoNormalCaracter"/>
        </w:rPr>
        <w:t xml:space="preserve">, Auto </w:t>
      </w:r>
      <w:hyperlink w:anchor="AUTO_1985_95" w:history="1">
        <w:r w:rsidRPr="00506787">
          <w:rPr>
            <w:rStyle w:val="TextoNormalCaracter"/>
          </w:rPr>
          <w:t>95/1985</w:t>
        </w:r>
      </w:hyperlink>
      <w:r w:rsidRPr="00506787">
        <w:rPr>
          <w:rStyle w:val="TextoNormalCaracter"/>
        </w:rPr>
        <w:t>.</w:t>
      </w:r>
    </w:p>
    <w:p w:rsidR="00506787" w:rsidRPr="00506787" w:rsidRDefault="00506787" w:rsidP="00506787">
      <w:pPr>
        <w:pStyle w:val="TextoNormalSangraFrancesa"/>
        <w:rPr>
          <w:rStyle w:val="TextoNormalCaracter"/>
        </w:rPr>
      </w:pPr>
      <w:bookmarkStart w:id="1325" w:name="DESCRIPTORALFABETICO56"/>
      <w:r w:rsidRPr="00506787">
        <w:rPr>
          <w:rStyle w:val="TextoNormalNegritaCaracter"/>
        </w:rPr>
        <w:t>Motivación de las resoluciones judiciales</w:t>
      </w:r>
      <w:bookmarkEnd w:id="1325"/>
      <w:r w:rsidRPr="00506787">
        <w:rPr>
          <w:rStyle w:val="TextoNormalCaracter"/>
        </w:rPr>
        <w:t xml:space="preserve">, Autos </w:t>
      </w:r>
      <w:hyperlink w:anchor="AUTO_1985_141" w:history="1">
        <w:r w:rsidRPr="00506787">
          <w:rPr>
            <w:rStyle w:val="TextoNormalCaracter"/>
          </w:rPr>
          <w:t>141/1985</w:t>
        </w:r>
      </w:hyperlink>
      <w:r w:rsidRPr="00506787">
        <w:rPr>
          <w:rStyle w:val="TextoNormalCaracter"/>
        </w:rPr>
        <w:t xml:space="preserve">; </w:t>
      </w:r>
      <w:hyperlink w:anchor="AUTO_1985_145" w:history="1">
        <w:r w:rsidRPr="00506787">
          <w:rPr>
            <w:rStyle w:val="TextoNormalCaracter"/>
          </w:rPr>
          <w:t>145/1985</w:t>
        </w:r>
      </w:hyperlink>
      <w:r w:rsidRPr="00506787">
        <w:rPr>
          <w:rStyle w:val="TextoNormalCaracter"/>
        </w:rPr>
        <w:t xml:space="preserve">; </w:t>
      </w:r>
      <w:hyperlink w:anchor="AUTO_1985_198" w:history="1">
        <w:r w:rsidRPr="00506787">
          <w:rPr>
            <w:rStyle w:val="TextoNormalCaracter"/>
          </w:rPr>
          <w:t>198/1985</w:t>
        </w:r>
      </w:hyperlink>
      <w:r w:rsidRPr="00506787">
        <w:rPr>
          <w:rStyle w:val="TextoNormalCaracter"/>
        </w:rPr>
        <w:t>.</w:t>
      </w:r>
    </w:p>
    <w:p w:rsidR="00506787" w:rsidRPr="00506787" w:rsidRDefault="00506787" w:rsidP="00506787">
      <w:pPr>
        <w:pStyle w:val="TextoNormalSangraFrancesa"/>
        <w:rPr>
          <w:rStyle w:val="TextoNormalCaracter"/>
        </w:rPr>
      </w:pPr>
      <w:bookmarkStart w:id="1326" w:name="DESCRIPTORALFABETICO57"/>
      <w:r w:rsidRPr="00506787">
        <w:rPr>
          <w:rStyle w:val="TextoNormalNegritaCaracter"/>
        </w:rPr>
        <w:t>Motivación de las sentencias</w:t>
      </w:r>
      <w:bookmarkEnd w:id="1326"/>
      <w:r w:rsidRPr="00506787">
        <w:rPr>
          <w:rStyle w:val="TextoNormalCaracter"/>
        </w:rPr>
        <w:t xml:space="preserve">, Auto </w:t>
      </w:r>
      <w:hyperlink w:anchor="AUTO_1985_222" w:history="1">
        <w:r w:rsidRPr="00506787">
          <w:rPr>
            <w:rStyle w:val="TextoNormalCaracter"/>
          </w:rPr>
          <w:t>222/1985</w:t>
        </w:r>
      </w:hyperlink>
      <w:r w:rsidRPr="00506787">
        <w:rPr>
          <w:rStyle w:val="TextoNormalCaracter"/>
        </w:rPr>
        <w:t>.</w:t>
      </w:r>
    </w:p>
    <w:p w:rsidR="00506787" w:rsidRPr="00506787" w:rsidRDefault="00506787" w:rsidP="00506787">
      <w:pPr>
        <w:pStyle w:val="TextoNormalSangraFrancesa"/>
        <w:rPr>
          <w:rStyle w:val="TextoNormalCaracter"/>
        </w:rPr>
      </w:pPr>
      <w:bookmarkStart w:id="1327" w:name="DESCRIPTORALFABETICO121"/>
      <w:r w:rsidRPr="00506787">
        <w:rPr>
          <w:rStyle w:val="TextoNormalNegritaCaracter"/>
        </w:rPr>
        <w:t>Motivación insuficiente de resoluciones restrictivas de derechos fundamentales</w:t>
      </w:r>
      <w:bookmarkEnd w:id="1327"/>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 2.</w:t>
      </w:r>
    </w:p>
    <w:p w:rsidR="00506787" w:rsidRPr="00506787" w:rsidRDefault="00506787" w:rsidP="00506787">
      <w:pPr>
        <w:pStyle w:val="TextoNormalSangraFrancesa"/>
        <w:rPr>
          <w:rStyle w:val="TextoNormalCaracter"/>
        </w:rPr>
      </w:pPr>
      <w:bookmarkStart w:id="1328" w:name="DESCRIPTORALFABETICO357"/>
      <w:r w:rsidRPr="00506787">
        <w:rPr>
          <w:rStyle w:val="TextoNormalNegritaCaracter"/>
        </w:rPr>
        <w:t>Mujer</w:t>
      </w:r>
      <w:bookmarkEnd w:id="1328"/>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ff. 8, 11.</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N</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329" w:name="DESCRIPTORALFABETICO65"/>
      <w:r w:rsidRPr="00506787">
        <w:rPr>
          <w:rStyle w:val="TextoNormalNegritaCaracter"/>
          <w:i/>
        </w:rPr>
        <w:t>Nasciturus</w:t>
      </w:r>
      <w:bookmarkEnd w:id="1329"/>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ff. 1 a 13.</w:t>
      </w:r>
    </w:p>
    <w:p w:rsidR="00506787" w:rsidRPr="00506787" w:rsidRDefault="00506787" w:rsidP="00506787">
      <w:pPr>
        <w:pStyle w:val="TextoNormalSangraFrancesa"/>
        <w:rPr>
          <w:rStyle w:val="TextoNormalCaracter"/>
        </w:rPr>
      </w:pPr>
      <w:bookmarkStart w:id="1330" w:name="DESCRIPTORALFABETICO199"/>
      <w:r w:rsidRPr="00506787">
        <w:rPr>
          <w:rStyle w:val="TextoNormalNegritaCaracter"/>
        </w:rPr>
        <w:t>Naturaleza del recurso de amparo</w:t>
      </w:r>
      <w:bookmarkEnd w:id="1330"/>
      <w:r w:rsidRPr="00506787">
        <w:rPr>
          <w:rStyle w:val="TextoNormalCaracter"/>
        </w:rPr>
        <w:t xml:space="preserve">, Autos </w:t>
      </w:r>
      <w:hyperlink w:anchor="AUTO_1985_255" w:history="1">
        <w:r w:rsidRPr="00506787">
          <w:rPr>
            <w:rStyle w:val="TextoNormalCaracter"/>
          </w:rPr>
          <w:t>255/1985</w:t>
        </w:r>
      </w:hyperlink>
      <w:r w:rsidRPr="00506787">
        <w:rPr>
          <w:rStyle w:val="TextoNormalCaracter"/>
        </w:rPr>
        <w:t xml:space="preserve">; </w:t>
      </w:r>
      <w:hyperlink w:anchor="AUTO_1985_281" w:history="1">
        <w:r w:rsidRPr="00506787">
          <w:rPr>
            <w:rStyle w:val="TextoNormalCaracter"/>
          </w:rPr>
          <w:t>281/1985</w:t>
        </w:r>
      </w:hyperlink>
      <w:r w:rsidRPr="00506787">
        <w:rPr>
          <w:rStyle w:val="TextoNormalCaracter"/>
        </w:rPr>
        <w:t>.</w:t>
      </w:r>
    </w:p>
    <w:p w:rsidR="00506787" w:rsidRPr="00506787" w:rsidRDefault="00506787" w:rsidP="00506787">
      <w:pPr>
        <w:pStyle w:val="TextoNormalSangraFrancesa"/>
        <w:rPr>
          <w:rStyle w:val="TextoNormalCaracter"/>
        </w:rPr>
      </w:pPr>
      <w:bookmarkStart w:id="1331" w:name="DESCRIPTORALFABETICO395"/>
      <w:r w:rsidRPr="00506787">
        <w:rPr>
          <w:rStyle w:val="TextoNormalNegritaCaracter"/>
        </w:rPr>
        <w:t>Negociación colectiva</w:t>
      </w:r>
      <w:bookmarkEnd w:id="1331"/>
      <w:r w:rsidRPr="00506787">
        <w:rPr>
          <w:rStyle w:val="TextoNormalCaracter"/>
        </w:rPr>
        <w:t xml:space="preserve">, Sentencia </w:t>
      </w:r>
      <w:hyperlink w:anchor="SENTENCIA_1985_58" w:history="1">
        <w:r w:rsidRPr="00506787">
          <w:rPr>
            <w:rStyle w:val="TextoNormalCaracter"/>
          </w:rPr>
          <w:t>58/1985</w:t>
        </w:r>
      </w:hyperlink>
      <w:r w:rsidRPr="00506787">
        <w:rPr>
          <w:rStyle w:val="TextoNormalCaracter"/>
        </w:rPr>
        <w:t>, ff. 1, 2, 3, 4, 5, 6, 7.</w:t>
      </w:r>
    </w:p>
    <w:p w:rsidR="00506787" w:rsidRPr="00506787" w:rsidRDefault="00506787" w:rsidP="00506787">
      <w:pPr>
        <w:pStyle w:val="TextoNormalSangraFrancesa"/>
        <w:rPr>
          <w:rStyle w:val="TextoNormalCaracter"/>
        </w:rPr>
      </w:pPr>
      <w:bookmarkStart w:id="1332" w:name="DESCRIPTORALFABETICO317"/>
      <w:r w:rsidRPr="00506787">
        <w:rPr>
          <w:rStyle w:val="TextoNormalNegritaCaracter"/>
        </w:rPr>
        <w:t>Nombramiento de funcionarios públicos</w:t>
      </w:r>
      <w:bookmarkEnd w:id="1332"/>
      <w:r w:rsidRPr="00506787">
        <w:rPr>
          <w:rStyle w:val="TextoNormalCaracter"/>
        </w:rPr>
        <w:t xml:space="preserve">, Auto </w:t>
      </w:r>
      <w:hyperlink w:anchor="AUTO_1985_181" w:history="1">
        <w:r w:rsidRPr="00506787">
          <w:rPr>
            <w:rStyle w:val="TextoNormalCaracter"/>
          </w:rPr>
          <w:t>181/1985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Normas anteriores a la Constitución</w:t>
      </w:r>
      <w:r>
        <w:t xml:space="preserve"> véase </w:t>
      </w:r>
      <w:hyperlink w:anchor="DESCRIPTORALFABETICO350" w:history="1">
        <w:r w:rsidRPr="00506787">
          <w:rPr>
            <w:rStyle w:val="TextoNormalNegritaCaracter"/>
          </w:rPr>
          <w:t>Normas preconstitucionales</w:t>
        </w:r>
      </w:hyperlink>
    </w:p>
    <w:p w:rsidR="00506787" w:rsidRPr="00506787" w:rsidRDefault="00506787" w:rsidP="00506787">
      <w:pPr>
        <w:pStyle w:val="TextoNormalSangraFrancesa"/>
        <w:rPr>
          <w:rStyle w:val="TextoNormalCaracter"/>
        </w:rPr>
      </w:pPr>
      <w:bookmarkStart w:id="1333" w:name="DESCRIPTORALFABETICO350"/>
      <w:r w:rsidRPr="00506787">
        <w:rPr>
          <w:rStyle w:val="TextoNormalNegritaCaracter"/>
        </w:rPr>
        <w:t>Normas preconstitucionales</w:t>
      </w:r>
      <w:bookmarkEnd w:id="1333"/>
      <w:r w:rsidRPr="00506787">
        <w:rPr>
          <w:rStyle w:val="TextoNormalCaracter"/>
        </w:rPr>
        <w:t xml:space="preserve">, Auto </w:t>
      </w:r>
      <w:hyperlink w:anchor="AUTO_1985_9" w:history="1">
        <w:r w:rsidRPr="00506787">
          <w:rPr>
            <w:rStyle w:val="TextoNormalCaracter"/>
          </w:rPr>
          <w:t>9/1985</w:t>
        </w:r>
      </w:hyperlink>
      <w:r w:rsidRPr="00506787">
        <w:rPr>
          <w:rStyle w:val="TextoNormalCaracter"/>
        </w:rPr>
        <w:t>.</w:t>
      </w:r>
    </w:p>
    <w:p w:rsidR="00506787" w:rsidRPr="00506787" w:rsidRDefault="00506787" w:rsidP="00506787">
      <w:pPr>
        <w:pStyle w:val="TextoNormalSangraFrancesa"/>
        <w:rPr>
          <w:rStyle w:val="TextoNormalCaracter"/>
        </w:rPr>
      </w:pPr>
      <w:bookmarkStart w:id="1334" w:name="DESCRIPTORALFABETICO444"/>
      <w:r w:rsidRPr="00506787">
        <w:rPr>
          <w:rStyle w:val="TextoNormalNegritaCaracter"/>
        </w:rPr>
        <w:t>Notificación de la cédula de protesto</w:t>
      </w:r>
      <w:bookmarkEnd w:id="1334"/>
      <w:r w:rsidRPr="00506787">
        <w:rPr>
          <w:rStyle w:val="TextoNormalCaracter"/>
        </w:rPr>
        <w:t xml:space="preserve">, Sentencia </w:t>
      </w:r>
      <w:hyperlink w:anchor="SENTENCIA_1985_21" w:history="1">
        <w:r w:rsidRPr="00506787">
          <w:rPr>
            <w:rStyle w:val="TextoNormalCaracter"/>
          </w:rPr>
          <w:t>21/1985</w:t>
        </w:r>
      </w:hyperlink>
      <w:r w:rsidRPr="00506787">
        <w:rPr>
          <w:rStyle w:val="TextoNormalCaracter"/>
        </w:rPr>
        <w:t>, ff. 3, 4.</w:t>
      </w:r>
    </w:p>
    <w:p w:rsidR="00506787" w:rsidRPr="00506787" w:rsidRDefault="00506787" w:rsidP="00506787">
      <w:pPr>
        <w:pStyle w:val="TextoNormalSangraFrancesa"/>
        <w:rPr>
          <w:rStyle w:val="TextoNormalNegritaCaracter"/>
        </w:rPr>
      </w:pPr>
      <w:r w:rsidRPr="00506787">
        <w:rPr>
          <w:rStyle w:val="TextoNormalCursivaCaracter"/>
        </w:rPr>
        <w:t>Notificación de resoluciones judiciales</w:t>
      </w:r>
      <w:r>
        <w:t xml:space="preserve"> véase </w:t>
      </w:r>
      <w:hyperlink w:anchor="DESCRIPTORALFABETICO441" w:history="1">
        <w:r w:rsidRPr="00506787">
          <w:rPr>
            <w:rStyle w:val="TextoNormalNegritaCaracter"/>
          </w:rPr>
          <w:t>Notificación judicial</w:t>
        </w:r>
      </w:hyperlink>
    </w:p>
    <w:p w:rsidR="00506787" w:rsidRPr="00506787" w:rsidRDefault="00506787" w:rsidP="00506787">
      <w:pPr>
        <w:pStyle w:val="TextoNormalSangraFrancesa"/>
        <w:rPr>
          <w:rStyle w:val="TextoNormalCaracter"/>
        </w:rPr>
      </w:pPr>
      <w:bookmarkStart w:id="1335" w:name="DESCRIPTORALFABETICO445"/>
      <w:r w:rsidRPr="00506787">
        <w:rPr>
          <w:rStyle w:val="TextoNormalNegritaCaracter"/>
        </w:rPr>
        <w:t>Notificación de sentencias</w:t>
      </w:r>
      <w:bookmarkEnd w:id="1335"/>
      <w:r w:rsidRPr="00506787">
        <w:rPr>
          <w:rStyle w:val="TextoNormalCaracter"/>
        </w:rPr>
        <w:t xml:space="preserve">, Autos </w:t>
      </w:r>
      <w:hyperlink w:anchor="AUTO_1985_21" w:history="1">
        <w:r w:rsidRPr="00506787">
          <w:rPr>
            <w:rStyle w:val="TextoNormalCaracter"/>
          </w:rPr>
          <w:t>21/1985</w:t>
        </w:r>
      </w:hyperlink>
      <w:r w:rsidRPr="00506787">
        <w:rPr>
          <w:rStyle w:val="TextoNormalCaracter"/>
        </w:rPr>
        <w:t xml:space="preserve">; </w:t>
      </w:r>
      <w:hyperlink w:anchor="AUTO_1985_186" w:history="1">
        <w:r w:rsidRPr="00506787">
          <w:rPr>
            <w:rStyle w:val="TextoNormalCaracter"/>
          </w:rPr>
          <w:t>186/1985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Requisitos, </w:t>
      </w:r>
      <w:r w:rsidRPr="00506787">
        <w:rPr>
          <w:rStyle w:val="TextoNormalCaracter"/>
        </w:rPr>
        <w:t xml:space="preserve">Auto </w:t>
      </w:r>
      <w:hyperlink w:anchor="AUTO_1985_186" w:history="1">
        <w:r w:rsidRPr="00506787">
          <w:rPr>
            <w:rStyle w:val="TextoNormalCaracter"/>
          </w:rPr>
          <w:t>186/1985</w:t>
        </w:r>
      </w:hyperlink>
      <w:r w:rsidRPr="00506787">
        <w:rPr>
          <w:rStyle w:val="TextoNormalCaracter"/>
        </w:rPr>
        <w:t>.</w:t>
      </w:r>
    </w:p>
    <w:p w:rsidR="00506787" w:rsidRPr="00506787" w:rsidRDefault="00506787" w:rsidP="00506787">
      <w:pPr>
        <w:pStyle w:val="TextoNormalSangraFrancesa"/>
        <w:rPr>
          <w:rStyle w:val="TextoNormalCaracter"/>
        </w:rPr>
      </w:pPr>
      <w:bookmarkStart w:id="1336" w:name="DESCRIPTORALFABETICO441"/>
      <w:r w:rsidRPr="00506787">
        <w:rPr>
          <w:rStyle w:val="TextoNormalNegritaCaracter"/>
        </w:rPr>
        <w:t>Notificación judicial</w:t>
      </w:r>
      <w:bookmarkEnd w:id="1336"/>
      <w:r w:rsidRPr="00506787">
        <w:rPr>
          <w:rStyle w:val="TextoNormalCaracter"/>
        </w:rPr>
        <w:t xml:space="preserve">, Autos </w:t>
      </w:r>
      <w:hyperlink w:anchor="AUTO_1985_21" w:history="1">
        <w:r w:rsidRPr="00506787">
          <w:rPr>
            <w:rStyle w:val="TextoNormalCaracter"/>
          </w:rPr>
          <w:t>21/1985</w:t>
        </w:r>
      </w:hyperlink>
      <w:r w:rsidRPr="00506787">
        <w:rPr>
          <w:rStyle w:val="TextoNormalCaracter"/>
        </w:rPr>
        <w:t xml:space="preserve">; </w:t>
      </w:r>
      <w:hyperlink w:anchor="AUTO_1985_41" w:history="1">
        <w:r w:rsidRPr="00506787">
          <w:rPr>
            <w:rStyle w:val="TextoNormalCaracter"/>
          </w:rPr>
          <w:t>41/1985</w:t>
        </w:r>
      </w:hyperlink>
      <w:r w:rsidRPr="00506787">
        <w:rPr>
          <w:rStyle w:val="TextoNormalCaracter"/>
        </w:rPr>
        <w:t xml:space="preserve">; </w:t>
      </w:r>
      <w:hyperlink w:anchor="AUTO_1985_178" w:history="1">
        <w:r w:rsidRPr="00506787">
          <w:rPr>
            <w:rStyle w:val="TextoNormalCaracter"/>
          </w:rPr>
          <w:t>178/1985</w:t>
        </w:r>
      </w:hyperlink>
      <w:r w:rsidRPr="00506787">
        <w:rPr>
          <w:rStyle w:val="TextoNormalCaracter"/>
        </w:rPr>
        <w:t>.</w:t>
      </w:r>
    </w:p>
    <w:p w:rsidR="00506787" w:rsidRPr="00506787" w:rsidRDefault="00506787" w:rsidP="00506787">
      <w:pPr>
        <w:pStyle w:val="TextoNormalSangraFrancesa"/>
        <w:rPr>
          <w:rStyle w:val="TextoNormalCaracter"/>
        </w:rPr>
      </w:pPr>
      <w:bookmarkStart w:id="1337" w:name="DESCRIPTORALFABETICO446"/>
      <w:r w:rsidRPr="00506787">
        <w:rPr>
          <w:rStyle w:val="TextoNormalNegritaCaracter"/>
        </w:rPr>
        <w:t>Notificación personal</w:t>
      </w:r>
      <w:bookmarkEnd w:id="1337"/>
      <w:r w:rsidRPr="00506787">
        <w:rPr>
          <w:rStyle w:val="TextoNormalCaracter"/>
        </w:rPr>
        <w:t xml:space="preserve">, Auto </w:t>
      </w:r>
      <w:hyperlink w:anchor="AUTO_1985_178" w:history="1">
        <w:r w:rsidRPr="00506787">
          <w:rPr>
            <w:rStyle w:val="TextoNormalCaracter"/>
          </w:rPr>
          <w:t>178/1985</w:t>
        </w:r>
      </w:hyperlink>
      <w:r w:rsidRPr="00506787">
        <w:rPr>
          <w:rStyle w:val="TextoNormalCaracter"/>
        </w:rPr>
        <w:t>.</w:t>
      </w:r>
    </w:p>
    <w:p w:rsidR="00506787" w:rsidRPr="00506787" w:rsidRDefault="00506787" w:rsidP="00506787">
      <w:pPr>
        <w:pStyle w:val="TextoNormalSangraFrancesa"/>
        <w:rPr>
          <w:rStyle w:val="TextoNormalCaracter"/>
        </w:rPr>
      </w:pPr>
      <w:bookmarkStart w:id="1338" w:name="DESCRIPTORALFABETICO447"/>
      <w:r w:rsidRPr="00506787">
        <w:rPr>
          <w:rStyle w:val="TextoNormalNegritaCaracter"/>
        </w:rPr>
        <w:t>Nulidad de actuaciones</w:t>
      </w:r>
      <w:bookmarkEnd w:id="1338"/>
      <w:r w:rsidRPr="00506787">
        <w:rPr>
          <w:rStyle w:val="TextoNormalCaracter"/>
        </w:rPr>
        <w:t xml:space="preserve">, Auto </w:t>
      </w:r>
      <w:hyperlink w:anchor="AUTO_1985_191" w:history="1">
        <w:r w:rsidRPr="00506787">
          <w:rPr>
            <w:rStyle w:val="TextoNormalCaracter"/>
          </w:rPr>
          <w:t>191/1985</w:t>
        </w:r>
      </w:hyperlink>
      <w:r w:rsidRPr="00506787">
        <w:rPr>
          <w:rStyle w:val="TextoNormalCaracter"/>
        </w:rPr>
        <w:t>.</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O</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339" w:name="DESCRIPTORALFABETICO113"/>
      <w:r w:rsidRPr="00506787">
        <w:rPr>
          <w:rStyle w:val="TextoNormalNegritaCaracter"/>
        </w:rPr>
        <w:lastRenderedPageBreak/>
        <w:t>Objeción de conciencia</w:t>
      </w:r>
      <w:bookmarkEnd w:id="1339"/>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14, VP IV.</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Sentencia </w:t>
      </w:r>
      <w:hyperlink w:anchor="SENTENCIA_1985_35" w:history="1">
        <w:r w:rsidRPr="00506787">
          <w:rPr>
            <w:rStyle w:val="TextoNormalCaracter"/>
          </w:rPr>
          <w:t>35/1985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ursivaCaracter"/>
        </w:rPr>
        <w:t xml:space="preserve">    Régimen jurídico, </w:t>
      </w:r>
      <w:r w:rsidRPr="00506787">
        <w:rPr>
          <w:rStyle w:val="TextoNormalCaracter"/>
        </w:rPr>
        <w:t xml:space="preserve">Sentencia </w:t>
      </w:r>
      <w:hyperlink w:anchor="SENTENCIA_1985_35" w:history="1">
        <w:r w:rsidRPr="00506787">
          <w:rPr>
            <w:rStyle w:val="TextoNormalCaracter"/>
          </w:rPr>
          <w:t>35/1985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40" w:name="DESCRIPTORALFABETICO201"/>
      <w:r w:rsidRPr="00506787">
        <w:rPr>
          <w:rStyle w:val="TextoNormalNegritaCaracter"/>
        </w:rPr>
        <w:t>Objeto del recurso de amparo</w:t>
      </w:r>
      <w:bookmarkEnd w:id="1340"/>
      <w:r w:rsidRPr="00506787">
        <w:rPr>
          <w:rStyle w:val="TextoNormalCaracter"/>
        </w:rPr>
        <w:t xml:space="preserve">, Sentencias </w:t>
      </w:r>
      <w:hyperlink w:anchor="SENTENCIA_1985_10" w:history="1">
        <w:r w:rsidRPr="00506787">
          <w:rPr>
            <w:rStyle w:val="TextoNormalCaracter"/>
          </w:rPr>
          <w:t>10/1985</w:t>
        </w:r>
      </w:hyperlink>
      <w:r w:rsidRPr="00506787">
        <w:rPr>
          <w:rStyle w:val="TextoNormalCaracter"/>
        </w:rPr>
        <w:t xml:space="preserve">, f. 2; </w:t>
      </w:r>
      <w:hyperlink w:anchor="SENTENCIA_1985_51" w:history="1">
        <w:r w:rsidRPr="00506787">
          <w:rPr>
            <w:rStyle w:val="TextoNormalCaracter"/>
          </w:rPr>
          <w:t>51/1985</w:t>
        </w:r>
      </w:hyperlink>
      <w:r w:rsidRPr="00506787">
        <w:rPr>
          <w:rStyle w:val="TextoNormalCaracter"/>
        </w:rPr>
        <w:t>, f. 1.</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04" w:history="1">
        <w:r w:rsidRPr="00506787">
          <w:rPr>
            <w:rStyle w:val="TextoNormalCaracter"/>
          </w:rPr>
          <w:t>104/1985</w:t>
        </w:r>
      </w:hyperlink>
      <w:r w:rsidRPr="00506787">
        <w:rPr>
          <w:rStyle w:val="TextoNormalCaracter"/>
        </w:rPr>
        <w:t xml:space="preserve">; </w:t>
      </w:r>
      <w:hyperlink w:anchor="AUTO_1985_165" w:history="1">
        <w:r w:rsidRPr="00506787">
          <w:rPr>
            <w:rStyle w:val="TextoNormalCaracter"/>
          </w:rPr>
          <w:t>165/1985</w:t>
        </w:r>
      </w:hyperlink>
      <w:r w:rsidRPr="00506787">
        <w:rPr>
          <w:rStyle w:val="TextoNormalCaracter"/>
        </w:rPr>
        <w:t xml:space="preserve">; </w:t>
      </w:r>
      <w:hyperlink w:anchor="AUTO_1985_167" w:history="1">
        <w:r w:rsidRPr="00506787">
          <w:rPr>
            <w:rStyle w:val="TextoNormalCaracter"/>
          </w:rPr>
          <w:t>167/1985</w:t>
        </w:r>
      </w:hyperlink>
      <w:r w:rsidRPr="00506787">
        <w:rPr>
          <w:rStyle w:val="TextoNormalCaracter"/>
        </w:rPr>
        <w:t xml:space="preserve">; </w:t>
      </w:r>
      <w:hyperlink w:anchor="AUTO_1985_178" w:history="1">
        <w:r w:rsidRPr="00506787">
          <w:rPr>
            <w:rStyle w:val="TextoNormalCaracter"/>
          </w:rPr>
          <w:t>178/1985</w:t>
        </w:r>
      </w:hyperlink>
      <w:r w:rsidRPr="00506787">
        <w:rPr>
          <w:rStyle w:val="TextoNormalCaracter"/>
        </w:rPr>
        <w:t xml:space="preserve">; </w:t>
      </w:r>
      <w:hyperlink w:anchor="AUTO_1985_255" w:history="1">
        <w:r w:rsidRPr="00506787">
          <w:rPr>
            <w:rStyle w:val="TextoNormalCaracter"/>
          </w:rPr>
          <w:t>255/1985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Omisión de notificación</w:t>
      </w:r>
      <w:r>
        <w:t xml:space="preserve"> véase </w:t>
      </w:r>
      <w:hyperlink w:anchor="DESCRIPTORALFABETICO443" w:history="1">
        <w:r w:rsidRPr="00506787">
          <w:rPr>
            <w:rStyle w:val="TextoNormalNegritaCaracter"/>
          </w:rPr>
          <w:t>Falta de notificación</w:t>
        </w:r>
      </w:hyperlink>
    </w:p>
    <w:p w:rsidR="00506787" w:rsidRPr="00506787" w:rsidRDefault="00506787" w:rsidP="00506787">
      <w:pPr>
        <w:pStyle w:val="TextoNormalSangraFrancesa"/>
        <w:rPr>
          <w:rStyle w:val="TextoNormalCaracter"/>
        </w:rPr>
      </w:pPr>
      <w:bookmarkStart w:id="1341" w:name="DESCRIPTORALFABETICO1"/>
      <w:r w:rsidRPr="00506787">
        <w:rPr>
          <w:rStyle w:val="TextoNormalNegritaCaracter"/>
        </w:rPr>
        <w:t>Orden constitucional de competencias</w:t>
      </w:r>
      <w:bookmarkEnd w:id="1341"/>
      <w:r w:rsidRPr="00506787">
        <w:rPr>
          <w:rStyle w:val="TextoNormalCaracter"/>
        </w:rPr>
        <w:t xml:space="preserve">, Sentencias </w:t>
      </w:r>
      <w:hyperlink w:anchor="SENTENCIA_1985_7" w:history="1">
        <w:r w:rsidRPr="00506787">
          <w:rPr>
            <w:rStyle w:val="TextoNormalCaracter"/>
          </w:rPr>
          <w:t>7/1985</w:t>
        </w:r>
      </w:hyperlink>
      <w:r w:rsidRPr="00506787">
        <w:rPr>
          <w:rStyle w:val="TextoNormalCaracter"/>
        </w:rPr>
        <w:t xml:space="preserve">, ff. 1, 2, 3, 4, 5, 6, 7, 8, 9; </w:t>
      </w:r>
      <w:hyperlink w:anchor="SENTENCIA_1985_12" w:history="1">
        <w:r w:rsidRPr="00506787">
          <w:rPr>
            <w:rStyle w:val="TextoNormalCaracter"/>
          </w:rPr>
          <w:t>12/1985</w:t>
        </w:r>
      </w:hyperlink>
      <w:r w:rsidRPr="00506787">
        <w:rPr>
          <w:rStyle w:val="TextoNormalCaracter"/>
        </w:rPr>
        <w:t xml:space="preserve">, ff. 3, 4; </w:t>
      </w:r>
      <w:hyperlink w:anchor="SENTENCIA_1985_24" w:history="1">
        <w:r w:rsidRPr="00506787">
          <w:rPr>
            <w:rStyle w:val="TextoNormalCaracter"/>
          </w:rPr>
          <w:t>24/1985</w:t>
        </w:r>
      </w:hyperlink>
      <w:r w:rsidRPr="00506787">
        <w:rPr>
          <w:rStyle w:val="TextoNormalCaracter"/>
        </w:rPr>
        <w:t xml:space="preserve">, ff. 1, 2, 3, 4, 5, 6, 7, 8, 9, 10; </w:t>
      </w:r>
      <w:hyperlink w:anchor="SENTENCIA_1985_46" w:history="1">
        <w:r w:rsidRPr="00506787">
          <w:rPr>
            <w:rStyle w:val="TextoNormalCaracter"/>
          </w:rPr>
          <w:t>46/1985</w:t>
        </w:r>
      </w:hyperlink>
      <w:r w:rsidRPr="00506787">
        <w:rPr>
          <w:rStyle w:val="TextoNormalCaracter"/>
        </w:rPr>
        <w:t xml:space="preserve">, ff. 1, 2, 3, 4; </w:t>
      </w:r>
      <w:hyperlink w:anchor="SENTENCIA_1985_48" w:history="1">
        <w:r w:rsidRPr="00506787">
          <w:rPr>
            <w:rStyle w:val="TextoNormalCaracter"/>
          </w:rPr>
          <w:t>48/1985</w:t>
        </w:r>
      </w:hyperlink>
      <w:r w:rsidRPr="00506787">
        <w:rPr>
          <w:rStyle w:val="TextoNormalCaracter"/>
        </w:rPr>
        <w:t>, f. 5.</w:t>
      </w:r>
    </w:p>
    <w:p w:rsidR="00506787" w:rsidRPr="00506787" w:rsidRDefault="00506787" w:rsidP="00506787">
      <w:pPr>
        <w:pStyle w:val="TextoNormalSangraFrancesa"/>
        <w:rPr>
          <w:rStyle w:val="TextoNormalCaracter"/>
        </w:rPr>
      </w:pPr>
      <w:bookmarkStart w:id="1342" w:name="DESCRIPTORALFABETICO269"/>
      <w:r w:rsidRPr="00506787">
        <w:rPr>
          <w:rStyle w:val="TextoNormalNegritaCaracter"/>
        </w:rPr>
        <w:t>Orden público</w:t>
      </w:r>
      <w:bookmarkEnd w:id="1342"/>
      <w:r w:rsidRPr="00506787">
        <w:rPr>
          <w:rStyle w:val="TextoNormalCaracter"/>
        </w:rPr>
        <w:t xml:space="preserve">, Sentencia </w:t>
      </w:r>
      <w:hyperlink w:anchor="SENTENCIA_1985_19" w:history="1">
        <w:r w:rsidRPr="00506787">
          <w:rPr>
            <w:rStyle w:val="TextoNormalCaracter"/>
          </w:rPr>
          <w:t>19/1985</w:t>
        </w:r>
      </w:hyperlink>
      <w:r w:rsidRPr="00506787">
        <w:rPr>
          <w:rStyle w:val="TextoNormalCaracter"/>
        </w:rPr>
        <w:t>, f. 1.</w:t>
      </w:r>
    </w:p>
    <w:p w:rsidR="00506787" w:rsidRPr="00506787" w:rsidRDefault="00506787" w:rsidP="00506787">
      <w:pPr>
        <w:pStyle w:val="TextoNormalSangraFrancesa"/>
        <w:rPr>
          <w:rStyle w:val="TextoNormalCaracter"/>
        </w:rPr>
      </w:pPr>
      <w:bookmarkStart w:id="1343" w:name="DESCRIPTORALFABETICO233"/>
      <w:r w:rsidRPr="00506787">
        <w:rPr>
          <w:rStyle w:val="TextoNormalNegritaCaracter"/>
        </w:rPr>
        <w:t>Ordenación de precedencias de autoridades públicas</w:t>
      </w:r>
      <w:bookmarkEnd w:id="1343"/>
      <w:r w:rsidRPr="00506787">
        <w:rPr>
          <w:rStyle w:val="TextoNormalCaracter"/>
        </w:rPr>
        <w:t xml:space="preserve">, Sentencia </w:t>
      </w:r>
      <w:hyperlink w:anchor="SENTENCIA_1985_12" w:history="1">
        <w:r w:rsidRPr="00506787">
          <w:rPr>
            <w:rStyle w:val="TextoNormalCaracter"/>
          </w:rPr>
          <w:t>12/1985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344" w:name="DESCRIPTORALFABETICO326"/>
      <w:r w:rsidRPr="00506787">
        <w:rPr>
          <w:rStyle w:val="TextoNormalNegritaCaracter"/>
        </w:rPr>
        <w:t>Ordenamiento jurídico</w:t>
      </w:r>
      <w:bookmarkEnd w:id="1344"/>
      <w:r w:rsidRPr="00506787">
        <w:rPr>
          <w:rStyle w:val="TextoNormalCaracter"/>
        </w:rPr>
        <w:t xml:space="preserve">, Sentencia </w:t>
      </w:r>
      <w:hyperlink w:anchor="SENTENCIA_1985_58" w:history="1">
        <w:r w:rsidRPr="00506787">
          <w:rPr>
            <w:rStyle w:val="TextoNormalCaracter"/>
          </w:rPr>
          <w:t>58/1985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45" w:name="DESCRIPTORALFABETICO419"/>
      <w:r w:rsidRPr="00506787">
        <w:rPr>
          <w:rStyle w:val="TextoNormalNegritaCaracter"/>
        </w:rPr>
        <w:t>Órdenes penal y social</w:t>
      </w:r>
      <w:bookmarkEnd w:id="1345"/>
      <w:r w:rsidRPr="00506787">
        <w:rPr>
          <w:rStyle w:val="TextoNormalCaracter"/>
        </w:rPr>
        <w:t xml:space="preserve">, Sentencia </w:t>
      </w:r>
      <w:hyperlink w:anchor="SENTENCIA_1985_36" w:history="1">
        <w:r w:rsidRPr="00506787">
          <w:rPr>
            <w:rStyle w:val="TextoNormalCaracter"/>
          </w:rPr>
          <w:t>36/1985</w:t>
        </w:r>
      </w:hyperlink>
      <w:r w:rsidRPr="00506787">
        <w:rPr>
          <w:rStyle w:val="TextoNormalCaracter"/>
        </w:rPr>
        <w:t>, f. 4.</w:t>
      </w:r>
    </w:p>
    <w:p w:rsidR="00506787" w:rsidRPr="00506787" w:rsidRDefault="00506787" w:rsidP="00506787">
      <w:pPr>
        <w:pStyle w:val="TextoNormalSangraFrancesa"/>
        <w:rPr>
          <w:rStyle w:val="TextoNormalCaracter"/>
        </w:rPr>
      </w:pPr>
      <w:bookmarkStart w:id="1346" w:name="DESCRIPTORALFABETICO250"/>
      <w:r w:rsidRPr="00506787">
        <w:rPr>
          <w:rStyle w:val="TextoNormalNegritaCaracter"/>
        </w:rPr>
        <w:t>Órganos representativos</w:t>
      </w:r>
      <w:bookmarkEnd w:id="1346"/>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 3.</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P</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347" w:name="DESCRIPTORALFABETICO588"/>
      <w:r w:rsidRPr="00506787">
        <w:rPr>
          <w:rStyle w:val="TextoNormalNegritaCaracter"/>
        </w:rPr>
        <w:t>País Vasco</w:t>
      </w:r>
      <w:bookmarkEnd w:id="1347"/>
      <w:r w:rsidRPr="00506787">
        <w:rPr>
          <w:rStyle w:val="TextoNormalCaracter"/>
        </w:rPr>
        <w:t xml:space="preserve">, Sentencias </w:t>
      </w:r>
      <w:hyperlink w:anchor="SENTENCIA_1985_24" w:history="1">
        <w:r w:rsidRPr="00506787">
          <w:rPr>
            <w:rStyle w:val="TextoNormalCaracter"/>
          </w:rPr>
          <w:t>24/1985</w:t>
        </w:r>
      </w:hyperlink>
      <w:r w:rsidRPr="00506787">
        <w:rPr>
          <w:rStyle w:val="TextoNormalCaracter"/>
        </w:rPr>
        <w:t xml:space="preserve">, ff. 1, 2, 3, 4, 5, 6, 7, 8, 9, 10; </w:t>
      </w:r>
      <w:hyperlink w:anchor="SENTENCIA_1985_48" w:history="1">
        <w:r w:rsidRPr="00506787">
          <w:rPr>
            <w:rStyle w:val="TextoNormalCaracter"/>
          </w:rPr>
          <w:t>48/1985</w:t>
        </w:r>
      </w:hyperlink>
      <w:r w:rsidRPr="00506787">
        <w:rPr>
          <w:rStyle w:val="TextoNormalCaracter"/>
        </w:rPr>
        <w:t>, f. 5.</w:t>
      </w:r>
    </w:p>
    <w:p w:rsidR="00506787" w:rsidRPr="00506787" w:rsidRDefault="00506787" w:rsidP="00506787">
      <w:pPr>
        <w:pStyle w:val="TextoNormalSangraFrancesa"/>
        <w:rPr>
          <w:rStyle w:val="TextoNormalCaracter"/>
        </w:rPr>
      </w:pPr>
      <w:bookmarkStart w:id="1348" w:name="DESCRIPTORALFABETICO244"/>
      <w:r w:rsidRPr="00506787">
        <w:rPr>
          <w:rStyle w:val="TextoNormalNegritaCaracter"/>
        </w:rPr>
        <w:t>Parlamentarios</w:t>
      </w:r>
      <w:bookmarkEnd w:id="1348"/>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ff. 3, 6.</w:t>
      </w:r>
    </w:p>
    <w:p w:rsidR="00506787" w:rsidRPr="00506787" w:rsidRDefault="00506787" w:rsidP="00506787">
      <w:pPr>
        <w:pStyle w:val="TextoNormalSangraFrancesa"/>
        <w:rPr>
          <w:rStyle w:val="TextoNormalCaracter"/>
        </w:rPr>
      </w:pPr>
      <w:bookmarkStart w:id="1349" w:name="DESCRIPTORALFABETICO354"/>
      <w:r w:rsidRPr="00506787">
        <w:rPr>
          <w:rStyle w:val="TextoNormalNegritaCaracter"/>
        </w:rPr>
        <w:t>Penas privativas de libertad</w:t>
      </w:r>
      <w:bookmarkEnd w:id="1349"/>
      <w:r w:rsidRPr="00506787">
        <w:rPr>
          <w:rStyle w:val="TextoNormalCaracter"/>
        </w:rPr>
        <w:t xml:space="preserve">, Auto </w:t>
      </w:r>
      <w:hyperlink w:anchor="AUTO_1985_187" w:history="1">
        <w:r w:rsidRPr="00506787">
          <w:rPr>
            <w:rStyle w:val="TextoNormalCaracter"/>
          </w:rPr>
          <w:t>187/1985</w:t>
        </w:r>
      </w:hyperlink>
      <w:r w:rsidRPr="00506787">
        <w:rPr>
          <w:rStyle w:val="TextoNormalCaracter"/>
        </w:rPr>
        <w:t>.</w:t>
      </w:r>
    </w:p>
    <w:p w:rsidR="00506787" w:rsidRPr="00506787" w:rsidRDefault="00506787" w:rsidP="00506787">
      <w:pPr>
        <w:pStyle w:val="TextoNormalSangraFrancesa"/>
        <w:rPr>
          <w:rStyle w:val="TextoNormalCaracter"/>
        </w:rPr>
      </w:pPr>
      <w:bookmarkStart w:id="1350" w:name="DESCRIPTORALFABETICO211"/>
      <w:r w:rsidRPr="00506787">
        <w:rPr>
          <w:rStyle w:val="TextoNormalNegritaCaracter"/>
        </w:rPr>
        <w:t>Pendencia de recursos judiciales</w:t>
      </w:r>
      <w:bookmarkEnd w:id="1350"/>
      <w:r w:rsidRPr="00506787">
        <w:rPr>
          <w:rStyle w:val="TextoNormalCaracter"/>
        </w:rPr>
        <w:t xml:space="preserve">, Autos </w:t>
      </w:r>
      <w:hyperlink w:anchor="AUTO_1985_65" w:history="1">
        <w:r w:rsidRPr="00506787">
          <w:rPr>
            <w:rStyle w:val="TextoNormalCaracter"/>
          </w:rPr>
          <w:t>65/1985</w:t>
        </w:r>
      </w:hyperlink>
      <w:r w:rsidRPr="00506787">
        <w:rPr>
          <w:rStyle w:val="TextoNormalCaracter"/>
        </w:rPr>
        <w:t xml:space="preserve">; </w:t>
      </w:r>
      <w:hyperlink w:anchor="AUTO_1985_70" w:history="1">
        <w:r w:rsidRPr="00506787">
          <w:rPr>
            <w:rStyle w:val="TextoNormalCaracter"/>
          </w:rPr>
          <w:t>70/1985</w:t>
        </w:r>
      </w:hyperlink>
      <w:r w:rsidRPr="00506787">
        <w:rPr>
          <w:rStyle w:val="TextoNormalCaracter"/>
        </w:rPr>
        <w:t xml:space="preserve">; </w:t>
      </w:r>
      <w:hyperlink w:anchor="AUTO_1985_217" w:history="1">
        <w:r w:rsidRPr="00506787">
          <w:rPr>
            <w:rStyle w:val="TextoNormalCaracter"/>
          </w:rPr>
          <w:t>217/1985</w:t>
        </w:r>
      </w:hyperlink>
      <w:r w:rsidRPr="00506787">
        <w:rPr>
          <w:rStyle w:val="TextoNormalCaracter"/>
        </w:rPr>
        <w:t xml:space="preserve">; </w:t>
      </w:r>
      <w:hyperlink w:anchor="AUTO_1985_248" w:history="1">
        <w:r w:rsidRPr="00506787">
          <w:rPr>
            <w:rStyle w:val="TextoNormalCaracter"/>
          </w:rPr>
          <w:t>248/1985</w:t>
        </w:r>
      </w:hyperlink>
      <w:r w:rsidRPr="00506787">
        <w:rPr>
          <w:rStyle w:val="TextoNormalCaracter"/>
        </w:rPr>
        <w:t>.</w:t>
      </w:r>
    </w:p>
    <w:p w:rsidR="00506787" w:rsidRPr="00506787" w:rsidRDefault="00506787" w:rsidP="00506787">
      <w:pPr>
        <w:pStyle w:val="TextoNormalSangraFrancesa"/>
        <w:rPr>
          <w:rStyle w:val="TextoNormalCaracter"/>
        </w:rPr>
      </w:pPr>
      <w:bookmarkStart w:id="1351" w:name="DESCRIPTORALFABETICO375"/>
      <w:r w:rsidRPr="00506787">
        <w:rPr>
          <w:rStyle w:val="TextoNormalNegritaCaracter"/>
        </w:rPr>
        <w:t>Pensión de viudedad</w:t>
      </w:r>
      <w:bookmarkEnd w:id="1351"/>
      <w:r w:rsidRPr="00506787">
        <w:rPr>
          <w:rStyle w:val="TextoNormalCaracter"/>
        </w:rPr>
        <w:t xml:space="preserve">, Auto </w:t>
      </w:r>
      <w:hyperlink w:anchor="AUTO_1985_241" w:history="1">
        <w:r w:rsidRPr="00506787">
          <w:rPr>
            <w:rStyle w:val="TextoNormalCaracter"/>
          </w:rPr>
          <w:t>241/1985</w:t>
        </w:r>
      </w:hyperlink>
      <w:r w:rsidRPr="00506787">
        <w:rPr>
          <w:rStyle w:val="TextoNormalCaracter"/>
        </w:rPr>
        <w:t>.</w:t>
      </w:r>
    </w:p>
    <w:p w:rsidR="00506787" w:rsidRPr="00506787" w:rsidRDefault="00506787" w:rsidP="00506787">
      <w:pPr>
        <w:pStyle w:val="TextoNormalSangraFrancesa"/>
        <w:rPr>
          <w:rStyle w:val="TextoNormalCaracter"/>
        </w:rPr>
      </w:pPr>
      <w:bookmarkStart w:id="1352" w:name="DESCRIPTORALFABETICO374"/>
      <w:r w:rsidRPr="00506787">
        <w:rPr>
          <w:rStyle w:val="TextoNormalNegritaCaracter"/>
        </w:rPr>
        <w:t>Pensiones</w:t>
      </w:r>
      <w:bookmarkEnd w:id="1352"/>
      <w:r w:rsidRPr="00506787">
        <w:rPr>
          <w:rStyle w:val="TextoNormalCaracter"/>
        </w:rPr>
        <w:t xml:space="preserve">, Auto </w:t>
      </w:r>
      <w:hyperlink w:anchor="AUTO_1985_4" w:history="1">
        <w:r w:rsidRPr="00506787">
          <w:rPr>
            <w:rStyle w:val="TextoNormalCaracter"/>
          </w:rPr>
          <w:t>4/1985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Pensiones de la Seguridad Social</w:t>
      </w:r>
      <w:r>
        <w:t xml:space="preserve"> véase </w:t>
      </w:r>
      <w:hyperlink w:anchor="DESCRIPTORALFABETICO374" w:history="1">
        <w:r w:rsidRPr="00506787">
          <w:rPr>
            <w:rStyle w:val="TextoNormalNegritaCaracter"/>
          </w:rPr>
          <w:t>Pensiones</w:t>
        </w:r>
      </w:hyperlink>
    </w:p>
    <w:p w:rsidR="00506787" w:rsidRPr="00506787" w:rsidRDefault="00506787" w:rsidP="00506787">
      <w:pPr>
        <w:pStyle w:val="TextoNormalSangraFrancesa"/>
        <w:rPr>
          <w:rStyle w:val="TextoNormalCaracter"/>
        </w:rPr>
      </w:pPr>
      <w:bookmarkStart w:id="1353" w:name="DESCRIPTORALFABETICO133"/>
      <w:r w:rsidRPr="00506787">
        <w:rPr>
          <w:rStyle w:val="TextoNormalNegritaCaracter"/>
        </w:rPr>
        <w:t>Pérdida sobrevenida de objeto del incidente de suspensión cautelar</w:t>
      </w:r>
      <w:bookmarkEnd w:id="1353"/>
      <w:r w:rsidRPr="00506787">
        <w:rPr>
          <w:rStyle w:val="TextoNormalCaracter"/>
        </w:rPr>
        <w:t xml:space="preserve">, Auto </w:t>
      </w:r>
      <w:hyperlink w:anchor="AUTO_1985_68" w:history="1">
        <w:r w:rsidRPr="00506787">
          <w:rPr>
            <w:rStyle w:val="TextoNormalCaracter"/>
          </w:rPr>
          <w:t>68/1985</w:t>
        </w:r>
      </w:hyperlink>
      <w:r w:rsidRPr="00506787">
        <w:rPr>
          <w:rStyle w:val="TextoNormalCaracter"/>
        </w:rPr>
        <w:t>.</w:t>
      </w:r>
    </w:p>
    <w:p w:rsidR="00506787" w:rsidRPr="00506787" w:rsidRDefault="00506787" w:rsidP="00506787">
      <w:pPr>
        <w:pStyle w:val="TextoNormalSangraFrancesa"/>
        <w:rPr>
          <w:rStyle w:val="TextoNormalCaracter"/>
        </w:rPr>
      </w:pPr>
      <w:bookmarkStart w:id="1354" w:name="DESCRIPTORALFABETICO204"/>
      <w:r w:rsidRPr="00506787">
        <w:rPr>
          <w:rStyle w:val="TextoNormalNegritaCaracter"/>
        </w:rPr>
        <w:t>Pérdida sobrevenida de objeto del recurso de amparo</w:t>
      </w:r>
      <w:bookmarkEnd w:id="1354"/>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4.</w:t>
      </w:r>
    </w:p>
    <w:p w:rsidR="00506787" w:rsidRPr="00506787" w:rsidRDefault="00506787" w:rsidP="00506787">
      <w:pPr>
        <w:pStyle w:val="TextoNormalSangraFrancesa"/>
        <w:rPr>
          <w:rStyle w:val="TextoNormalCaracter"/>
        </w:rPr>
      </w:pPr>
      <w:bookmarkStart w:id="1355" w:name="DESCRIPTORALFABETICO132"/>
      <w:r w:rsidRPr="00506787">
        <w:rPr>
          <w:rStyle w:val="TextoNormalNegritaCaracter"/>
        </w:rPr>
        <w:t>Perjuicios irreparables</w:t>
      </w:r>
      <w:bookmarkEnd w:id="1355"/>
      <w:r w:rsidRPr="00506787">
        <w:rPr>
          <w:rStyle w:val="TextoNormalCaracter"/>
        </w:rPr>
        <w:t xml:space="preserve">, Auto </w:t>
      </w:r>
      <w:hyperlink w:anchor="AUTO_1985_35" w:history="1">
        <w:r w:rsidRPr="00506787">
          <w:rPr>
            <w:rStyle w:val="TextoNormalCaracter"/>
          </w:rPr>
          <w:t>35/1985</w:t>
        </w:r>
      </w:hyperlink>
      <w:r w:rsidRPr="00506787">
        <w:rPr>
          <w:rStyle w:val="TextoNormalCaracter"/>
        </w:rPr>
        <w:t>.</w:t>
      </w:r>
    </w:p>
    <w:p w:rsidR="00506787" w:rsidRPr="00506787" w:rsidRDefault="00506787" w:rsidP="00506787">
      <w:pPr>
        <w:pStyle w:val="TextoNormalSangraFrancesa"/>
        <w:rPr>
          <w:rStyle w:val="TextoNormalCaracter"/>
        </w:rPr>
      </w:pPr>
      <w:bookmarkStart w:id="1356" w:name="DESCRIPTORALFABETICO304"/>
      <w:r w:rsidRPr="00506787">
        <w:rPr>
          <w:rStyle w:val="TextoNormalNegritaCaracter"/>
        </w:rPr>
        <w:t>Permisos de investigación de hidrocarburos</w:t>
      </w:r>
      <w:bookmarkEnd w:id="1356"/>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 7.</w:t>
      </w:r>
    </w:p>
    <w:p w:rsidR="00506787" w:rsidRPr="00506787" w:rsidRDefault="00506787" w:rsidP="00506787">
      <w:pPr>
        <w:pStyle w:val="TextoNormalSangraFrancesa"/>
        <w:rPr>
          <w:rStyle w:val="TextoNormalCaracter"/>
        </w:rPr>
      </w:pPr>
      <w:bookmarkStart w:id="1357" w:name="DESCRIPTORALFABETICO468"/>
      <w:r w:rsidRPr="00506787">
        <w:rPr>
          <w:rStyle w:val="TextoNormalNegritaCaracter"/>
        </w:rPr>
        <w:t>Personación extemporánea</w:t>
      </w:r>
      <w:bookmarkEnd w:id="1357"/>
      <w:r w:rsidRPr="00506787">
        <w:rPr>
          <w:rStyle w:val="TextoNormalCaracter"/>
        </w:rPr>
        <w:t xml:space="preserve">, Sentencia </w:t>
      </w:r>
      <w:hyperlink w:anchor="SENTENCIA_1985_7" w:history="1">
        <w:r w:rsidRPr="00506787">
          <w:rPr>
            <w:rStyle w:val="TextoNormalCaracter"/>
          </w:rPr>
          <w:t>7/1985</w:t>
        </w:r>
      </w:hyperlink>
      <w:r w:rsidRPr="00506787">
        <w:rPr>
          <w:rStyle w:val="TextoNormalCaracter"/>
        </w:rPr>
        <w:t>, f. 2.</w:t>
      </w:r>
    </w:p>
    <w:p w:rsidR="00506787" w:rsidRPr="00506787" w:rsidRDefault="00506787" w:rsidP="00506787">
      <w:pPr>
        <w:pStyle w:val="TextoNormalSangraFrancesa"/>
        <w:rPr>
          <w:rStyle w:val="TextoNormalCaracter"/>
        </w:rPr>
      </w:pPr>
      <w:bookmarkStart w:id="1358" w:name="DESCRIPTORALFABETICO371"/>
      <w:r w:rsidRPr="00506787">
        <w:rPr>
          <w:rStyle w:val="TextoNormalNegritaCaracter"/>
        </w:rPr>
        <w:t>Personal sanitario</w:t>
      </w:r>
      <w:bookmarkEnd w:id="1358"/>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14.</w:t>
      </w:r>
    </w:p>
    <w:p w:rsidR="00506787" w:rsidRPr="00506787" w:rsidRDefault="00506787" w:rsidP="00506787">
      <w:pPr>
        <w:pStyle w:val="TextoNormalSangraFrancesa"/>
        <w:rPr>
          <w:rStyle w:val="TextoNormalCaracter"/>
        </w:rPr>
      </w:pPr>
      <w:bookmarkStart w:id="1359" w:name="DESCRIPTORALFABETICO358"/>
      <w:r w:rsidRPr="00506787">
        <w:rPr>
          <w:rStyle w:val="TextoNormalNegritaCaracter"/>
        </w:rPr>
        <w:t>Personas jurídicas</w:t>
      </w:r>
      <w:bookmarkEnd w:id="1359"/>
      <w:r w:rsidRPr="00506787">
        <w:rPr>
          <w:rStyle w:val="TextoNormalCaracter"/>
        </w:rPr>
        <w:t xml:space="preserve">, Auto </w:t>
      </w:r>
      <w:hyperlink w:anchor="AUTO_1985_257" w:history="1">
        <w:r w:rsidRPr="00506787">
          <w:rPr>
            <w:rStyle w:val="TextoNormalCaracter"/>
          </w:rPr>
          <w:t>257/1985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Personas jurídicas de Derecho público</w:t>
      </w:r>
      <w:r>
        <w:t xml:space="preserve"> véase </w:t>
      </w:r>
      <w:hyperlink w:anchor="DESCRIPTORALFABETICO231" w:history="1">
        <w:r w:rsidRPr="00506787">
          <w:rPr>
            <w:rStyle w:val="TextoNormalNegritaCaracter"/>
          </w:rPr>
          <w:t>Personas jurídicas públicas</w:t>
        </w:r>
      </w:hyperlink>
    </w:p>
    <w:p w:rsidR="00506787" w:rsidRPr="00506787" w:rsidRDefault="00506787" w:rsidP="00506787">
      <w:pPr>
        <w:pStyle w:val="TextoNormalSangraFrancesa"/>
        <w:rPr>
          <w:rStyle w:val="TextoNormalCaracter"/>
        </w:rPr>
      </w:pPr>
      <w:bookmarkStart w:id="1360" w:name="DESCRIPTORALFABETICO231"/>
      <w:r w:rsidRPr="00506787">
        <w:rPr>
          <w:rStyle w:val="TextoNormalNegritaCaracter"/>
        </w:rPr>
        <w:t>Personas jurídicas públicas</w:t>
      </w:r>
      <w:bookmarkEnd w:id="1360"/>
      <w:r w:rsidRPr="00506787">
        <w:rPr>
          <w:rStyle w:val="TextoNormalCaracter"/>
        </w:rPr>
        <w:t xml:space="preserve">, Auto </w:t>
      </w:r>
      <w:hyperlink w:anchor="AUTO_1985_139" w:history="1">
        <w:r w:rsidRPr="00506787">
          <w:rPr>
            <w:rStyle w:val="TextoNormalCaracter"/>
          </w:rPr>
          <w:t>139/1985</w:t>
        </w:r>
      </w:hyperlink>
      <w:r w:rsidRPr="00506787">
        <w:rPr>
          <w:rStyle w:val="TextoNormalCaracter"/>
        </w:rPr>
        <w:t>.</w:t>
      </w:r>
    </w:p>
    <w:p w:rsidR="00506787" w:rsidRPr="00506787" w:rsidRDefault="00506787" w:rsidP="00506787">
      <w:pPr>
        <w:pStyle w:val="TextoNormalSangraFrancesa"/>
        <w:rPr>
          <w:rStyle w:val="TextoNormalCaracter"/>
        </w:rPr>
      </w:pPr>
      <w:bookmarkStart w:id="1361" w:name="DESCRIPTORALFABETICO470"/>
      <w:r w:rsidRPr="00506787">
        <w:rPr>
          <w:rStyle w:val="TextoNormalNegritaCaracter"/>
        </w:rPr>
        <w:t>Pertinencia de la prueba</w:t>
      </w:r>
      <w:bookmarkEnd w:id="1361"/>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9.</w:t>
      </w:r>
    </w:p>
    <w:p w:rsidR="00506787" w:rsidRPr="00506787" w:rsidRDefault="00506787" w:rsidP="00506787">
      <w:pPr>
        <w:pStyle w:val="TextoNormalSangraFrancesa"/>
        <w:rPr>
          <w:rStyle w:val="TextoNormalCaracter"/>
        </w:rPr>
      </w:pPr>
      <w:bookmarkStart w:id="1362" w:name="DESCRIPTORALFABETICO305"/>
      <w:r w:rsidRPr="00506787">
        <w:rPr>
          <w:rStyle w:val="TextoNormalNegritaCaracter"/>
        </w:rPr>
        <w:t>Petróleo</w:t>
      </w:r>
      <w:bookmarkEnd w:id="1362"/>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ff. 1 a 8.</w:t>
      </w:r>
    </w:p>
    <w:p w:rsidR="00506787" w:rsidRPr="00506787" w:rsidRDefault="00506787" w:rsidP="00506787">
      <w:pPr>
        <w:pStyle w:val="TextoNormalSangraFrancesa"/>
        <w:rPr>
          <w:rStyle w:val="TextoNormalCaracter"/>
        </w:rPr>
      </w:pPr>
      <w:bookmarkStart w:id="1363" w:name="DESCRIPTORALFABETICO422"/>
      <w:r w:rsidRPr="00506787">
        <w:rPr>
          <w:rStyle w:val="TextoNormalNegritaCaracter"/>
        </w:rPr>
        <w:t>Planteamiento de cuestión de competencia judicial</w:t>
      </w:r>
      <w:bookmarkEnd w:id="1363"/>
      <w:r w:rsidRPr="00506787">
        <w:rPr>
          <w:rStyle w:val="TextoNormalCaracter"/>
        </w:rPr>
        <w:t xml:space="preserve">, Sentencia </w:t>
      </w:r>
      <w:hyperlink w:anchor="SENTENCIA_1985_55" w:history="1">
        <w:r w:rsidRPr="00506787">
          <w:rPr>
            <w:rStyle w:val="TextoNormalCaracter"/>
          </w:rPr>
          <w:t>55/1985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64" w:name="DESCRIPTORALFABETICO206"/>
      <w:r w:rsidRPr="00506787">
        <w:rPr>
          <w:rStyle w:val="TextoNormalNegritaCaracter"/>
        </w:rPr>
        <w:t>Plazo de interposición del recurso de amparo</w:t>
      </w:r>
      <w:bookmarkEnd w:id="1364"/>
      <w:r w:rsidRPr="00506787">
        <w:rPr>
          <w:rStyle w:val="TextoNormalCaracter"/>
        </w:rPr>
        <w:t xml:space="preserve">, Auto </w:t>
      </w:r>
      <w:hyperlink w:anchor="AUTO_1985_234" w:history="1">
        <w:r w:rsidRPr="00506787">
          <w:rPr>
            <w:rStyle w:val="TextoNormalCaracter"/>
          </w:rPr>
          <w:t>234/1985</w:t>
        </w:r>
      </w:hyperlink>
      <w:r w:rsidRPr="00506787">
        <w:rPr>
          <w:rStyle w:val="TextoNormalCaracter"/>
        </w:rPr>
        <w:t>.</w:t>
      </w:r>
    </w:p>
    <w:p w:rsidR="00506787" w:rsidRPr="00506787" w:rsidRDefault="00506787" w:rsidP="00506787">
      <w:pPr>
        <w:pStyle w:val="TextoNormalSangraFrancesa"/>
        <w:rPr>
          <w:rStyle w:val="TextoNormalCaracter"/>
        </w:rPr>
      </w:pPr>
      <w:bookmarkStart w:id="1365" w:name="DESCRIPTORALFABETICO577"/>
      <w:r w:rsidRPr="00506787">
        <w:rPr>
          <w:rStyle w:val="TextoNormalNegritaCaracter"/>
        </w:rPr>
        <w:t>Plazo máximo de prisión provisional</w:t>
      </w:r>
      <w:bookmarkEnd w:id="1365"/>
      <w:r w:rsidRPr="00506787">
        <w:rPr>
          <w:rStyle w:val="TextoNormalCaracter"/>
        </w:rPr>
        <w:t xml:space="preserve">, Sentencia </w:t>
      </w:r>
      <w:hyperlink w:anchor="SENTENCIA_1985_28" w:history="1">
        <w:r w:rsidRPr="00506787">
          <w:rPr>
            <w:rStyle w:val="TextoNormalCaracter"/>
          </w:rPr>
          <w:t>28/1985</w:t>
        </w:r>
      </w:hyperlink>
      <w:r w:rsidRPr="00506787">
        <w:rPr>
          <w:rStyle w:val="TextoNormalCaracter"/>
        </w:rPr>
        <w:t>, ff. 1, 2, 3, 4, 5, 6.</w:t>
      </w:r>
    </w:p>
    <w:p w:rsidR="00506787" w:rsidRPr="00506787" w:rsidRDefault="00506787" w:rsidP="00506787">
      <w:pPr>
        <w:pStyle w:val="TextoNormalSangraFrancesa"/>
        <w:rPr>
          <w:rStyle w:val="TextoNormalCaracter"/>
        </w:rPr>
      </w:pPr>
      <w:bookmarkStart w:id="1366" w:name="DESCRIPTORALFABETICO504"/>
      <w:r w:rsidRPr="00506787">
        <w:rPr>
          <w:rStyle w:val="TextoNormalNegritaCaracter"/>
        </w:rPr>
        <w:t>Plazos procesales</w:t>
      </w:r>
      <w:bookmarkEnd w:id="1366"/>
      <w:r w:rsidRPr="00506787">
        <w:rPr>
          <w:rStyle w:val="TextoNormalCaracter"/>
        </w:rPr>
        <w:t xml:space="preserve">, Sentencias </w:t>
      </w:r>
      <w:hyperlink w:anchor="SENTENCIA_1985_41" w:history="1">
        <w:r w:rsidRPr="00506787">
          <w:rPr>
            <w:rStyle w:val="TextoNormalCaracter"/>
          </w:rPr>
          <w:t>41/1985</w:t>
        </w:r>
      </w:hyperlink>
      <w:r w:rsidRPr="00506787">
        <w:rPr>
          <w:rStyle w:val="TextoNormalCaracter"/>
        </w:rPr>
        <w:t xml:space="preserve">, f. 3; </w:t>
      </w:r>
      <w:hyperlink w:anchor="SENTENCIA_1985_45" w:history="1">
        <w:r w:rsidRPr="00506787">
          <w:rPr>
            <w:rStyle w:val="TextoNormalCaracter"/>
          </w:rPr>
          <w:t>45/1985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1" w:history="1">
        <w:r w:rsidRPr="00506787">
          <w:rPr>
            <w:rStyle w:val="TextoNormalCaracter"/>
          </w:rPr>
          <w:t>11/1985</w:t>
        </w:r>
      </w:hyperlink>
      <w:r w:rsidRPr="00506787">
        <w:rPr>
          <w:rStyle w:val="TextoNormalCaracter"/>
        </w:rPr>
        <w:t xml:space="preserve">; </w:t>
      </w:r>
      <w:hyperlink w:anchor="AUTO_1985_13" w:history="1">
        <w:r w:rsidRPr="00506787">
          <w:rPr>
            <w:rStyle w:val="TextoNormalCaracter"/>
          </w:rPr>
          <w:t>13/1985</w:t>
        </w:r>
      </w:hyperlink>
      <w:r w:rsidRPr="00506787">
        <w:rPr>
          <w:rStyle w:val="TextoNormalCaracter"/>
        </w:rPr>
        <w:t xml:space="preserve">; </w:t>
      </w:r>
      <w:hyperlink w:anchor="AUTO_1985_21" w:history="1">
        <w:r w:rsidRPr="00506787">
          <w:rPr>
            <w:rStyle w:val="TextoNormalCaracter"/>
          </w:rPr>
          <w:t>21/1985</w:t>
        </w:r>
      </w:hyperlink>
      <w:r w:rsidRPr="00506787">
        <w:rPr>
          <w:rStyle w:val="TextoNormalCaracter"/>
        </w:rPr>
        <w:t xml:space="preserve">; </w:t>
      </w:r>
      <w:hyperlink w:anchor="AUTO_1985_23" w:history="1">
        <w:r w:rsidRPr="00506787">
          <w:rPr>
            <w:rStyle w:val="TextoNormalCaracter"/>
          </w:rPr>
          <w:t>23/1985</w:t>
        </w:r>
      </w:hyperlink>
      <w:r w:rsidRPr="00506787">
        <w:rPr>
          <w:rStyle w:val="TextoNormalCaracter"/>
        </w:rPr>
        <w:t xml:space="preserve">; </w:t>
      </w:r>
      <w:hyperlink w:anchor="AUTO_1985_41" w:history="1">
        <w:r w:rsidRPr="00506787">
          <w:rPr>
            <w:rStyle w:val="TextoNormalCaracter"/>
          </w:rPr>
          <w:t>41/1985</w:t>
        </w:r>
      </w:hyperlink>
      <w:r w:rsidRPr="00506787">
        <w:rPr>
          <w:rStyle w:val="TextoNormalCaracter"/>
        </w:rPr>
        <w:t xml:space="preserve">; </w:t>
      </w:r>
      <w:hyperlink w:anchor="AUTO_1985_79" w:history="1">
        <w:r w:rsidRPr="00506787">
          <w:rPr>
            <w:rStyle w:val="TextoNormalCaracter"/>
          </w:rPr>
          <w:t>79/1985</w:t>
        </w:r>
      </w:hyperlink>
      <w:r w:rsidRPr="00506787">
        <w:rPr>
          <w:rStyle w:val="TextoNormalCaracter"/>
        </w:rPr>
        <w:t xml:space="preserve">; </w:t>
      </w:r>
      <w:hyperlink w:anchor="AUTO_1985_80" w:history="1">
        <w:r w:rsidRPr="00506787">
          <w:rPr>
            <w:rStyle w:val="TextoNormalCaracter"/>
          </w:rPr>
          <w:t>80/1985</w:t>
        </w:r>
      </w:hyperlink>
      <w:r w:rsidRPr="00506787">
        <w:rPr>
          <w:rStyle w:val="TextoNormalCaracter"/>
        </w:rPr>
        <w:t xml:space="preserve">; </w:t>
      </w:r>
      <w:hyperlink w:anchor="AUTO_1985_133" w:history="1">
        <w:r w:rsidRPr="00506787">
          <w:rPr>
            <w:rStyle w:val="TextoNormalCaracter"/>
          </w:rPr>
          <w:t>133/1985</w:t>
        </w:r>
      </w:hyperlink>
      <w:r w:rsidRPr="00506787">
        <w:rPr>
          <w:rStyle w:val="TextoNormalCaracter"/>
        </w:rPr>
        <w:t xml:space="preserve">; </w:t>
      </w:r>
      <w:hyperlink w:anchor="AUTO_1985_186" w:history="1">
        <w:r w:rsidRPr="00506787">
          <w:rPr>
            <w:rStyle w:val="TextoNormalCaracter"/>
          </w:rPr>
          <w:t>186/1985</w:t>
        </w:r>
      </w:hyperlink>
      <w:r w:rsidRPr="00506787">
        <w:rPr>
          <w:rStyle w:val="TextoNormalCaracter"/>
        </w:rPr>
        <w:t xml:space="preserve">; </w:t>
      </w:r>
      <w:hyperlink w:anchor="AUTO_1985_190" w:history="1">
        <w:r w:rsidRPr="00506787">
          <w:rPr>
            <w:rStyle w:val="TextoNormalCaracter"/>
          </w:rPr>
          <w:t>190/1985</w:t>
        </w:r>
      </w:hyperlink>
      <w:r w:rsidRPr="00506787">
        <w:rPr>
          <w:rStyle w:val="TextoNormalCaracter"/>
        </w:rPr>
        <w:t xml:space="preserve">; </w:t>
      </w:r>
      <w:hyperlink w:anchor="AUTO_1985_202" w:history="1">
        <w:r w:rsidRPr="00506787">
          <w:rPr>
            <w:rStyle w:val="TextoNormalCaracter"/>
          </w:rPr>
          <w:t>202/1985</w:t>
        </w:r>
      </w:hyperlink>
      <w:r w:rsidRPr="00506787">
        <w:rPr>
          <w:rStyle w:val="TextoNormalCaracter"/>
        </w:rPr>
        <w:t xml:space="preserve">; </w:t>
      </w:r>
      <w:hyperlink w:anchor="AUTO_1985_206" w:history="1">
        <w:r w:rsidRPr="00506787">
          <w:rPr>
            <w:rStyle w:val="TextoNormalCaracter"/>
          </w:rPr>
          <w:t>206/1985</w:t>
        </w:r>
      </w:hyperlink>
      <w:r w:rsidRPr="00506787">
        <w:rPr>
          <w:rStyle w:val="TextoNormalCaracter"/>
        </w:rPr>
        <w:t xml:space="preserve">; </w:t>
      </w:r>
      <w:hyperlink w:anchor="AUTO_1985_234" w:history="1">
        <w:r w:rsidRPr="00506787">
          <w:rPr>
            <w:rStyle w:val="TextoNormalCaracter"/>
          </w:rPr>
          <w:t>234/1985</w:t>
        </w:r>
      </w:hyperlink>
      <w:r w:rsidRPr="00506787">
        <w:rPr>
          <w:rStyle w:val="TextoNormalCaracter"/>
        </w:rPr>
        <w:t xml:space="preserve">; </w:t>
      </w:r>
      <w:hyperlink w:anchor="AUTO_1985_244" w:history="1">
        <w:r w:rsidRPr="00506787">
          <w:rPr>
            <w:rStyle w:val="TextoNormalCaracter"/>
          </w:rPr>
          <w:t>244/1985</w:t>
        </w:r>
      </w:hyperlink>
      <w:r w:rsidRPr="00506787">
        <w:rPr>
          <w:rStyle w:val="TextoNormalCaracter"/>
        </w:rPr>
        <w:t xml:space="preserve">; </w:t>
      </w:r>
      <w:hyperlink w:anchor="AUTO_1985_247" w:history="1">
        <w:r w:rsidRPr="00506787">
          <w:rPr>
            <w:rStyle w:val="TextoNormalCaracter"/>
          </w:rPr>
          <w:t>247/1985</w:t>
        </w:r>
      </w:hyperlink>
      <w:r w:rsidRPr="00506787">
        <w:rPr>
          <w:rStyle w:val="TextoNormalCaracter"/>
        </w:rPr>
        <w:t>.</w:t>
      </w:r>
    </w:p>
    <w:p w:rsidR="00506787" w:rsidRPr="00506787" w:rsidRDefault="00506787" w:rsidP="00506787">
      <w:pPr>
        <w:pStyle w:val="TextoNormalSangraFrancesa"/>
        <w:rPr>
          <w:rStyle w:val="TextoNormalCaracter"/>
        </w:rPr>
      </w:pPr>
      <w:bookmarkStart w:id="1367" w:name="DESCRIPTORALFABETICO267"/>
      <w:r w:rsidRPr="00506787">
        <w:rPr>
          <w:rStyle w:val="TextoNormalNegritaCaracter"/>
        </w:rPr>
        <w:t>Pluralismo político</w:t>
      </w:r>
      <w:bookmarkEnd w:id="1367"/>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 2.</w:t>
      </w:r>
    </w:p>
    <w:p w:rsidR="00506787" w:rsidRPr="00506787" w:rsidRDefault="00506787" w:rsidP="00506787">
      <w:pPr>
        <w:pStyle w:val="TextoNormalSangraFrancesa"/>
        <w:rPr>
          <w:rStyle w:val="TextoNormalCaracter"/>
        </w:rPr>
      </w:pPr>
      <w:bookmarkStart w:id="1368" w:name="DESCRIPTORALFABETICO150"/>
      <w:r w:rsidRPr="00506787">
        <w:rPr>
          <w:rStyle w:val="TextoNormalNegritaCaracter"/>
        </w:rPr>
        <w:t>Poder de representación del comisionado</w:t>
      </w:r>
      <w:bookmarkEnd w:id="1368"/>
      <w:r w:rsidRPr="00506787">
        <w:rPr>
          <w:rStyle w:val="TextoNormalCaracter"/>
        </w:rPr>
        <w:t xml:space="preserve">, Sentencia </w:t>
      </w:r>
      <w:hyperlink w:anchor="SENTENCIA_1985_42" w:history="1">
        <w:r w:rsidRPr="00506787">
          <w:rPr>
            <w:rStyle w:val="TextoNormalCaracter"/>
          </w:rPr>
          <w:t>42/1985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69" w:name="DESCRIPTORALFABETICO222"/>
      <w:r w:rsidRPr="00506787">
        <w:rPr>
          <w:rStyle w:val="TextoNormalNegritaCaracter"/>
        </w:rPr>
        <w:t>Poderes públicos</w:t>
      </w:r>
      <w:bookmarkEnd w:id="1369"/>
      <w:r w:rsidRPr="00506787">
        <w:rPr>
          <w:rStyle w:val="TextoNormalCaracter"/>
        </w:rPr>
        <w:t xml:space="preserve">, Autos </w:t>
      </w:r>
      <w:hyperlink w:anchor="AUTO_1985_135" w:history="1">
        <w:r w:rsidRPr="00506787">
          <w:rPr>
            <w:rStyle w:val="TextoNormalCaracter"/>
          </w:rPr>
          <w:t>135/1985</w:t>
        </w:r>
      </w:hyperlink>
      <w:r w:rsidRPr="00506787">
        <w:rPr>
          <w:rStyle w:val="TextoNormalCaracter"/>
        </w:rPr>
        <w:t xml:space="preserve">; </w:t>
      </w:r>
      <w:hyperlink w:anchor="AUTO_1985_139" w:history="1">
        <w:r w:rsidRPr="00506787">
          <w:rPr>
            <w:rStyle w:val="TextoNormalCaracter"/>
          </w:rPr>
          <w:t>139/1985</w:t>
        </w:r>
      </w:hyperlink>
      <w:r w:rsidRPr="00506787">
        <w:rPr>
          <w:rStyle w:val="TextoNormalCaracter"/>
        </w:rPr>
        <w:t>.</w:t>
      </w:r>
    </w:p>
    <w:p w:rsidR="00506787" w:rsidRPr="00506787" w:rsidRDefault="00506787" w:rsidP="00506787">
      <w:pPr>
        <w:pStyle w:val="TextoNormalSangraFrancesa"/>
        <w:rPr>
          <w:rStyle w:val="TextoNormalCaracter"/>
        </w:rPr>
      </w:pPr>
      <w:bookmarkStart w:id="1370" w:name="DESCRIPTORALFABETICO306"/>
      <w:r w:rsidRPr="00506787">
        <w:rPr>
          <w:rStyle w:val="TextoNormalNegritaCaracter"/>
        </w:rPr>
        <w:t>Política energética</w:t>
      </w:r>
      <w:bookmarkEnd w:id="1370"/>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 8.</w:t>
      </w:r>
    </w:p>
    <w:p w:rsidR="00506787" w:rsidRPr="00506787" w:rsidRDefault="00506787" w:rsidP="00506787">
      <w:pPr>
        <w:pStyle w:val="TextoNormalSangraFrancesa"/>
        <w:rPr>
          <w:rStyle w:val="TextoNormalCaracter"/>
        </w:rPr>
      </w:pPr>
      <w:bookmarkStart w:id="1371" w:name="DESCRIPTORALFABETICO293"/>
      <w:r w:rsidRPr="00506787">
        <w:rPr>
          <w:rStyle w:val="TextoNormalNegritaCaracter"/>
        </w:rPr>
        <w:lastRenderedPageBreak/>
        <w:t>Posesión</w:t>
      </w:r>
      <w:bookmarkEnd w:id="1371"/>
      <w:r w:rsidRPr="00506787">
        <w:rPr>
          <w:rStyle w:val="TextoNormalCaracter"/>
        </w:rPr>
        <w:t xml:space="preserve">, Auto </w:t>
      </w:r>
      <w:hyperlink w:anchor="AUTO_1985_109" w:history="1">
        <w:r w:rsidRPr="00506787">
          <w:rPr>
            <w:rStyle w:val="TextoNormalCaracter"/>
          </w:rPr>
          <w:t>109/1985</w:t>
        </w:r>
      </w:hyperlink>
      <w:r w:rsidRPr="00506787">
        <w:rPr>
          <w:rStyle w:val="TextoNormalCaracter"/>
        </w:rPr>
        <w:t>.</w:t>
      </w:r>
    </w:p>
    <w:p w:rsidR="00506787" w:rsidRPr="00506787" w:rsidRDefault="00506787" w:rsidP="00506787">
      <w:pPr>
        <w:pStyle w:val="TextoNormalSangraFrancesa"/>
        <w:rPr>
          <w:rStyle w:val="TextoNormalCaracter"/>
        </w:rPr>
      </w:pPr>
      <w:bookmarkStart w:id="1372" w:name="DESCRIPTORALFABETICO506"/>
      <w:r w:rsidRPr="00506787">
        <w:rPr>
          <w:rStyle w:val="TextoNormalNegritaCaracter"/>
        </w:rPr>
        <w:t>Postulación</w:t>
      </w:r>
      <w:bookmarkEnd w:id="1372"/>
      <w:r w:rsidRPr="00506787">
        <w:rPr>
          <w:rStyle w:val="TextoNormalCaracter"/>
        </w:rPr>
        <w:t xml:space="preserve">, Sentencia </w:t>
      </w:r>
      <w:hyperlink w:anchor="SENTENCIA_1985_42" w:history="1">
        <w:r w:rsidRPr="00506787">
          <w:rPr>
            <w:rStyle w:val="TextoNormalCaracter"/>
          </w:rPr>
          <w:t>42/1985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73" w:name="DESCRIPTORALFABETICO239"/>
      <w:r w:rsidRPr="00506787">
        <w:rPr>
          <w:rStyle w:val="TextoNormalNegritaCaracter"/>
        </w:rPr>
        <w:t>Potestad jurisdiccional</w:t>
      </w:r>
      <w:bookmarkEnd w:id="1373"/>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7.</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33" w:history="1">
        <w:r w:rsidRPr="00506787">
          <w:rPr>
            <w:rStyle w:val="TextoNormalCaracter"/>
          </w:rPr>
          <w:t>233/1985</w:t>
        </w:r>
      </w:hyperlink>
      <w:r w:rsidRPr="00506787">
        <w:rPr>
          <w:rStyle w:val="TextoNormalCaracter"/>
        </w:rPr>
        <w:t>.</w:t>
      </w:r>
    </w:p>
    <w:p w:rsidR="00506787" w:rsidRPr="00506787" w:rsidRDefault="00506787" w:rsidP="00506787">
      <w:pPr>
        <w:pStyle w:val="TextoNormalSangraFrancesa"/>
        <w:rPr>
          <w:rStyle w:val="TextoNormalCaracter"/>
        </w:rPr>
      </w:pPr>
      <w:bookmarkStart w:id="1374" w:name="DESCRIPTORALFABETICO243"/>
      <w:r w:rsidRPr="00506787">
        <w:rPr>
          <w:rStyle w:val="TextoNormalNegritaCaracter"/>
        </w:rPr>
        <w:t>Potestad legislativa del Estado</w:t>
      </w:r>
      <w:bookmarkEnd w:id="1374"/>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VP I, VP II, VP III, VP IV, VP V.</w:t>
      </w:r>
    </w:p>
    <w:p w:rsidR="00506787" w:rsidRPr="00506787" w:rsidRDefault="00506787" w:rsidP="00506787">
      <w:pPr>
        <w:pStyle w:val="TextoNormalSangraFrancesa"/>
        <w:rPr>
          <w:rStyle w:val="TextoNormalCaracter"/>
        </w:rPr>
      </w:pPr>
      <w:bookmarkStart w:id="1375" w:name="DESCRIPTORALFABETICO230"/>
      <w:r w:rsidRPr="00506787">
        <w:rPr>
          <w:rStyle w:val="TextoNormalNegritaCaracter"/>
        </w:rPr>
        <w:t>Potestad sancionadora</w:t>
      </w:r>
      <w:bookmarkEnd w:id="1375"/>
      <w:r w:rsidRPr="00506787">
        <w:rPr>
          <w:rStyle w:val="TextoNormalCaracter"/>
        </w:rPr>
        <w:t xml:space="preserve">, Sentencia </w:t>
      </w:r>
      <w:hyperlink w:anchor="SENTENCIA_1985_31" w:history="1">
        <w:r w:rsidRPr="00506787">
          <w:rPr>
            <w:rStyle w:val="TextoNormalCaracter"/>
          </w:rPr>
          <w:t>31/1985</w:t>
        </w:r>
      </w:hyperlink>
      <w:r w:rsidRPr="00506787">
        <w:rPr>
          <w:rStyle w:val="TextoNormalCaracter"/>
        </w:rPr>
        <w:t>, f. 5.</w:t>
      </w:r>
    </w:p>
    <w:p w:rsidR="00506787" w:rsidRPr="00506787" w:rsidRDefault="00506787" w:rsidP="00506787">
      <w:pPr>
        <w:pStyle w:val="TextoNormalSangraFrancesa"/>
        <w:rPr>
          <w:rStyle w:val="TextoNormalCaracter"/>
        </w:rPr>
      </w:pPr>
      <w:bookmarkStart w:id="1376" w:name="DESCRIPTORALFABETICO85"/>
      <w:r w:rsidRPr="00506787">
        <w:rPr>
          <w:rStyle w:val="TextoNormalNegritaCaracter"/>
        </w:rPr>
        <w:t>Predeterminación legal del órgano judicial</w:t>
      </w:r>
      <w:bookmarkEnd w:id="1376"/>
      <w:r w:rsidRPr="00506787">
        <w:rPr>
          <w:rStyle w:val="TextoNormalCaracter"/>
        </w:rPr>
        <w:t xml:space="preserve">, Autos </w:t>
      </w:r>
      <w:hyperlink w:anchor="AUTO_1985_47" w:history="1">
        <w:r w:rsidRPr="00506787">
          <w:rPr>
            <w:rStyle w:val="TextoNormalCaracter"/>
          </w:rPr>
          <w:t>47/1985</w:t>
        </w:r>
      </w:hyperlink>
      <w:r w:rsidRPr="00506787">
        <w:rPr>
          <w:rStyle w:val="TextoNormalCaracter"/>
        </w:rPr>
        <w:t xml:space="preserve">; </w:t>
      </w:r>
      <w:hyperlink w:anchor="AUTO_1985_155" w:history="1">
        <w:r w:rsidRPr="00506787">
          <w:rPr>
            <w:rStyle w:val="TextoNormalCaracter"/>
          </w:rPr>
          <w:t>155/1985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Prejudicialidad penal</w:t>
      </w:r>
      <w:r>
        <w:t xml:space="preserve"> véase </w:t>
      </w:r>
      <w:hyperlink w:anchor="DESCRIPTORALFABETICO424" w:history="1">
        <w:r w:rsidRPr="00506787">
          <w:rPr>
            <w:rStyle w:val="TextoNormalNegritaCaracter"/>
          </w:rPr>
          <w:t>Cuestión prejudicial penal</w:t>
        </w:r>
      </w:hyperlink>
    </w:p>
    <w:p w:rsidR="00506787" w:rsidRPr="00506787" w:rsidRDefault="00506787" w:rsidP="00506787">
      <w:pPr>
        <w:pStyle w:val="TextoNormalSangraFrancesa"/>
        <w:rPr>
          <w:rStyle w:val="TextoNormalCaracter"/>
        </w:rPr>
      </w:pPr>
      <w:bookmarkStart w:id="1377" w:name="DESCRIPTORALFABETICO245"/>
      <w:r w:rsidRPr="00506787">
        <w:rPr>
          <w:rStyle w:val="TextoNormalNegritaCaracter"/>
        </w:rPr>
        <w:t>Prerrogativas parlamentarias</w:t>
      </w:r>
      <w:bookmarkEnd w:id="1377"/>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6.</w:t>
      </w:r>
    </w:p>
    <w:p w:rsidR="00506787" w:rsidRPr="00506787" w:rsidRDefault="00506787" w:rsidP="00506787">
      <w:pPr>
        <w:pStyle w:val="TextoNormalSangraFrancesa"/>
        <w:rPr>
          <w:rStyle w:val="TextoNormalCaracter"/>
        </w:rPr>
      </w:pPr>
      <w:r w:rsidRPr="00506787">
        <w:rPr>
          <w:rStyle w:val="TextoNormalCursivaCaracter"/>
        </w:rPr>
        <w:t xml:space="preserve">    Naturaleza, </w:t>
      </w:r>
      <w:r w:rsidRPr="00506787">
        <w:rPr>
          <w:rStyle w:val="TextoNormalCaracter"/>
        </w:rPr>
        <w:t xml:space="preserve">Sentencia </w:t>
      </w:r>
      <w:hyperlink w:anchor="SENTENCIA_1985_51" w:history="1">
        <w:r w:rsidRPr="00506787">
          <w:rPr>
            <w:rStyle w:val="TextoNormalCaracter"/>
          </w:rPr>
          <w:t>51/1985</w:t>
        </w:r>
      </w:hyperlink>
      <w:r w:rsidRPr="00506787">
        <w:rPr>
          <w:rStyle w:val="TextoNormalCaracter"/>
        </w:rPr>
        <w:t>, f. 6.</w:t>
      </w:r>
    </w:p>
    <w:p w:rsidR="00506787" w:rsidRPr="00506787" w:rsidRDefault="00506787" w:rsidP="00506787">
      <w:pPr>
        <w:pStyle w:val="TextoNormalSangraFrancesa"/>
        <w:rPr>
          <w:rStyle w:val="TextoNormalCaracter"/>
        </w:rPr>
      </w:pPr>
      <w:bookmarkStart w:id="1378" w:name="DESCRIPTORALFABETICO432"/>
      <w:r w:rsidRPr="00506787">
        <w:rPr>
          <w:rStyle w:val="TextoNormalNegritaCaracter"/>
        </w:rPr>
        <w:t>Prescripción y caducidad de acciones</w:t>
      </w:r>
      <w:bookmarkEnd w:id="1378"/>
      <w:r w:rsidRPr="00506787">
        <w:rPr>
          <w:rStyle w:val="TextoNormalCaracter"/>
        </w:rPr>
        <w:t xml:space="preserve">, Sentencias </w:t>
      </w:r>
      <w:hyperlink w:anchor="SENTENCIA_1985_10" w:history="1">
        <w:r w:rsidRPr="00506787">
          <w:rPr>
            <w:rStyle w:val="TextoNormalCaracter"/>
          </w:rPr>
          <w:t>10/1985</w:t>
        </w:r>
      </w:hyperlink>
      <w:r w:rsidRPr="00506787">
        <w:rPr>
          <w:rStyle w:val="TextoNormalCaracter"/>
        </w:rPr>
        <w:t xml:space="preserve">, ff. 3, 4; </w:t>
      </w:r>
      <w:hyperlink w:anchor="SENTENCIA_1985_15" w:history="1">
        <w:r w:rsidRPr="00506787">
          <w:rPr>
            <w:rStyle w:val="TextoNormalCaracter"/>
          </w:rPr>
          <w:t>15/1985</w:t>
        </w:r>
      </w:hyperlink>
      <w:r w:rsidRPr="00506787">
        <w:rPr>
          <w:rStyle w:val="TextoNormalCaracter"/>
        </w:rPr>
        <w:t>, ff. 2, 3, 5.</w:t>
      </w:r>
    </w:p>
    <w:p w:rsidR="00506787" w:rsidRPr="00506787" w:rsidRDefault="00506787" w:rsidP="00506787">
      <w:pPr>
        <w:pStyle w:val="TextoNormalSangraFrancesa"/>
        <w:rPr>
          <w:rStyle w:val="TextoNormalCaracter"/>
        </w:rPr>
      </w:pPr>
      <w:bookmarkStart w:id="1379" w:name="DESCRIPTORALFABETICO237"/>
      <w:r w:rsidRPr="00506787">
        <w:rPr>
          <w:rStyle w:val="TextoNormalNegritaCaracter"/>
        </w:rPr>
        <w:t>Presentación de escritos ante los juzgados y tribunales</w:t>
      </w:r>
      <w:bookmarkEnd w:id="1379"/>
      <w:r w:rsidRPr="00506787">
        <w:rPr>
          <w:rStyle w:val="TextoNormalCaracter"/>
        </w:rPr>
        <w:t xml:space="preserve">, Sentencia </w:t>
      </w:r>
      <w:hyperlink w:anchor="SENTENCIA_1985_41" w:history="1">
        <w:r w:rsidRPr="00506787">
          <w:rPr>
            <w:rStyle w:val="TextoNormalCaracter"/>
          </w:rPr>
          <w:t>41/1985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80" w:name="DESCRIPTORALFABETICO376"/>
      <w:r w:rsidRPr="00506787">
        <w:rPr>
          <w:rStyle w:val="TextoNormalNegritaCaracter"/>
        </w:rPr>
        <w:t>Prestaciones por desempleo</w:t>
      </w:r>
      <w:bookmarkEnd w:id="1380"/>
      <w:r w:rsidRPr="00506787">
        <w:rPr>
          <w:rStyle w:val="TextoNormalCaracter"/>
        </w:rPr>
        <w:t xml:space="preserve">, Autos </w:t>
      </w:r>
      <w:hyperlink w:anchor="AUTO_1985_46" w:history="1">
        <w:r w:rsidRPr="00506787">
          <w:rPr>
            <w:rStyle w:val="TextoNormalCaracter"/>
          </w:rPr>
          <w:t>46/1985</w:t>
        </w:r>
      </w:hyperlink>
      <w:r w:rsidRPr="00506787">
        <w:rPr>
          <w:rStyle w:val="TextoNormalCaracter"/>
        </w:rPr>
        <w:t xml:space="preserve">; </w:t>
      </w:r>
      <w:hyperlink w:anchor="AUTO_1985_67" w:history="1">
        <w:r w:rsidRPr="00506787">
          <w:rPr>
            <w:rStyle w:val="TextoNormalCaracter"/>
          </w:rPr>
          <w:t>67/1985</w:t>
        </w:r>
      </w:hyperlink>
      <w:r w:rsidRPr="00506787">
        <w:rPr>
          <w:rStyle w:val="TextoNormalCaracter"/>
        </w:rPr>
        <w:t>.</w:t>
      </w:r>
    </w:p>
    <w:p w:rsidR="00506787" w:rsidRPr="00506787" w:rsidRDefault="00506787" w:rsidP="00506787">
      <w:pPr>
        <w:pStyle w:val="TextoNormalSangraFrancesa"/>
        <w:rPr>
          <w:rStyle w:val="TextoNormalCaracter"/>
        </w:rPr>
      </w:pPr>
      <w:bookmarkStart w:id="1381" w:name="DESCRIPTORALFABETICO377"/>
      <w:r w:rsidRPr="00506787">
        <w:rPr>
          <w:rStyle w:val="TextoNormalNegritaCaracter"/>
        </w:rPr>
        <w:t>Prestaciones sociales</w:t>
      </w:r>
      <w:bookmarkEnd w:id="1381"/>
      <w:r w:rsidRPr="00506787">
        <w:rPr>
          <w:rStyle w:val="TextoNormalCaracter"/>
        </w:rPr>
        <w:t xml:space="preserve">, Auto </w:t>
      </w:r>
      <w:hyperlink w:anchor="AUTO_1985_4" w:history="1">
        <w:r w:rsidRPr="00506787">
          <w:rPr>
            <w:rStyle w:val="TextoNormalCaracter"/>
          </w:rPr>
          <w:t>4/1985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Presunción de inocencia</w:t>
      </w:r>
      <w:r>
        <w:t xml:space="preserve"> véase </w:t>
      </w:r>
      <w:hyperlink w:anchor="DESCRIPTORALFABETICO37" w:history="1">
        <w:r w:rsidRPr="00506787">
          <w:rPr>
            <w:rStyle w:val="TextoNormalNegritaCaracter"/>
          </w:rPr>
          <w:t>Derecho a la presunción de inocencia</w:t>
        </w:r>
      </w:hyperlink>
    </w:p>
    <w:p w:rsidR="00506787" w:rsidRPr="00506787" w:rsidRDefault="00506787" w:rsidP="00506787">
      <w:pPr>
        <w:pStyle w:val="TextoNormalSangraFrancesa"/>
        <w:rPr>
          <w:rStyle w:val="TextoNormalCaracter"/>
        </w:rPr>
      </w:pPr>
      <w:bookmarkStart w:id="1382" w:name="DESCRIPTORALFABETICO484"/>
      <w:r w:rsidRPr="00506787">
        <w:rPr>
          <w:rStyle w:val="TextoNormalNegritaCaracter"/>
        </w:rPr>
        <w:t xml:space="preserve">Presunciones </w:t>
      </w:r>
      <w:r w:rsidRPr="00506787">
        <w:rPr>
          <w:rStyle w:val="TextoNormalNegritaCaracter"/>
          <w:i/>
        </w:rPr>
        <w:t>iuris tantum</w:t>
      </w:r>
      <w:bookmarkEnd w:id="1382"/>
      <w:r w:rsidRPr="00506787">
        <w:rPr>
          <w:rStyle w:val="TextoNormalCaracter"/>
        </w:rPr>
        <w:t xml:space="preserve">, Auto </w:t>
      </w:r>
      <w:hyperlink w:anchor="AUTO_1985_21" w:history="1">
        <w:r w:rsidRPr="00506787">
          <w:rPr>
            <w:rStyle w:val="TextoNormalCaracter"/>
          </w:rPr>
          <w:t>21/1985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Presupuestos procesales</w:t>
      </w:r>
      <w:r>
        <w:t xml:space="preserve"> véase </w:t>
      </w:r>
      <w:hyperlink w:anchor="DESCRIPTORALFABETICO532" w:history="1">
        <w:r w:rsidRPr="00506787">
          <w:rPr>
            <w:rStyle w:val="TextoNormalNegritaCaracter"/>
          </w:rPr>
          <w:t>Requisitos procesales</w:t>
        </w:r>
      </w:hyperlink>
    </w:p>
    <w:p w:rsidR="00506787" w:rsidRPr="00506787" w:rsidRDefault="00506787" w:rsidP="00506787">
      <w:pPr>
        <w:pStyle w:val="TextoNormalSangraFrancesa"/>
        <w:rPr>
          <w:rStyle w:val="TextoNormalCaracter"/>
        </w:rPr>
      </w:pPr>
      <w:bookmarkStart w:id="1383" w:name="DESCRIPTORALFABETICO190"/>
      <w:r w:rsidRPr="00506787">
        <w:rPr>
          <w:rStyle w:val="TextoNormalNegritaCaracter"/>
        </w:rPr>
        <w:t>Pretensión de amparo determinante del contenido del fallo</w:t>
      </w:r>
      <w:bookmarkEnd w:id="1383"/>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8.</w:t>
      </w:r>
    </w:p>
    <w:p w:rsidR="00506787" w:rsidRPr="00506787" w:rsidRDefault="00506787" w:rsidP="00506787">
      <w:pPr>
        <w:pStyle w:val="TextoNormalSangraFrancesa"/>
        <w:rPr>
          <w:rStyle w:val="TextoNormalCaracter"/>
        </w:rPr>
      </w:pPr>
      <w:bookmarkStart w:id="1384" w:name="DESCRIPTORALFABETICO512"/>
      <w:r w:rsidRPr="00506787">
        <w:rPr>
          <w:rStyle w:val="TextoNormalNegritaCaracter"/>
        </w:rPr>
        <w:t>Principio acusatorio</w:t>
      </w:r>
      <w:bookmarkEnd w:id="1384"/>
      <w:r w:rsidRPr="00506787">
        <w:rPr>
          <w:rStyle w:val="TextoNormalCaracter"/>
        </w:rPr>
        <w:t xml:space="preserve">, Sentencia </w:t>
      </w:r>
      <w:hyperlink w:anchor="SENTENCIA_1985_54" w:history="1">
        <w:r w:rsidRPr="00506787">
          <w:rPr>
            <w:rStyle w:val="TextoNormalCaracter"/>
          </w:rPr>
          <w:t>54/1985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85" w:name="DESCRIPTORALFABETICO514"/>
      <w:r w:rsidRPr="00506787">
        <w:rPr>
          <w:rStyle w:val="TextoNormalNegritaCaracter"/>
        </w:rPr>
        <w:t>Principio de congruencia</w:t>
      </w:r>
      <w:bookmarkEnd w:id="1385"/>
      <w:r w:rsidRPr="00506787">
        <w:rPr>
          <w:rStyle w:val="TextoNormalCaracter"/>
        </w:rPr>
        <w:t xml:space="preserve">, Sentencias </w:t>
      </w:r>
      <w:hyperlink w:anchor="SENTENCIA_1985_14" w:history="1">
        <w:r w:rsidRPr="00506787">
          <w:rPr>
            <w:rStyle w:val="TextoNormalCaracter"/>
          </w:rPr>
          <w:t>14/1985</w:t>
        </w:r>
      </w:hyperlink>
      <w:r w:rsidRPr="00506787">
        <w:rPr>
          <w:rStyle w:val="TextoNormalCaracter"/>
        </w:rPr>
        <w:t xml:space="preserve">, f. 3; </w:t>
      </w:r>
      <w:hyperlink w:anchor="SENTENCIA_1985_34" w:history="1">
        <w:r w:rsidRPr="00506787">
          <w:rPr>
            <w:rStyle w:val="TextoNormalCaracter"/>
          </w:rPr>
          <w:t>34/1985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93" w:history="1">
        <w:r w:rsidRPr="00506787">
          <w:rPr>
            <w:rStyle w:val="TextoNormalCaracter"/>
          </w:rPr>
          <w:t>93/1985</w:t>
        </w:r>
      </w:hyperlink>
      <w:r w:rsidRPr="00506787">
        <w:rPr>
          <w:rStyle w:val="TextoNormalCaracter"/>
        </w:rPr>
        <w:t xml:space="preserve">; </w:t>
      </w:r>
      <w:hyperlink w:anchor="AUTO_1985_185" w:history="1">
        <w:r w:rsidRPr="00506787">
          <w:rPr>
            <w:rStyle w:val="TextoNormalCaracter"/>
          </w:rPr>
          <w:t>185/1985</w:t>
        </w:r>
      </w:hyperlink>
      <w:r w:rsidRPr="00506787">
        <w:rPr>
          <w:rStyle w:val="TextoNormalCaracter"/>
        </w:rPr>
        <w:t xml:space="preserve">; </w:t>
      </w:r>
      <w:hyperlink w:anchor="AUTO_1985_222" w:history="1">
        <w:r w:rsidRPr="00506787">
          <w:rPr>
            <w:rStyle w:val="TextoNormalCaracter"/>
          </w:rPr>
          <w:t>222/1985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Alcance, </w:t>
      </w:r>
      <w:r w:rsidRPr="00506787">
        <w:rPr>
          <w:rStyle w:val="TextoNormalCaracter"/>
        </w:rPr>
        <w:t xml:space="preserve">Auto </w:t>
      </w:r>
      <w:hyperlink w:anchor="AUTO_1985_59" w:history="1">
        <w:r w:rsidRPr="00506787">
          <w:rPr>
            <w:rStyle w:val="TextoNormalCaracter"/>
          </w:rPr>
          <w:t>59/1985</w:t>
        </w:r>
      </w:hyperlink>
      <w:r w:rsidRPr="00506787">
        <w:rPr>
          <w:rStyle w:val="TextoNormalCaracter"/>
        </w:rPr>
        <w:t>.</w:t>
      </w:r>
    </w:p>
    <w:p w:rsidR="00506787" w:rsidRPr="00506787" w:rsidRDefault="00506787" w:rsidP="00506787">
      <w:pPr>
        <w:pStyle w:val="TextoNormalSangraFrancesa"/>
        <w:rPr>
          <w:rStyle w:val="TextoNormalCaracter"/>
        </w:rPr>
      </w:pPr>
      <w:bookmarkStart w:id="1386" w:name="DESCRIPTORALFABETICO345"/>
      <w:r w:rsidRPr="00506787">
        <w:rPr>
          <w:rStyle w:val="TextoNormalNegritaCaracter"/>
        </w:rPr>
        <w:t>Principio de conservación de la ley</w:t>
      </w:r>
      <w:bookmarkEnd w:id="1386"/>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Límites, </w:t>
      </w:r>
      <w:r w:rsidRPr="00506787">
        <w:rPr>
          <w:rStyle w:val="TextoNormalCaracter"/>
        </w:rPr>
        <w:t xml:space="preserve">Sentencia </w:t>
      </w:r>
      <w:hyperlink w:anchor="SENTENCIA_1985_22" w:history="1">
        <w:r w:rsidRPr="00506787">
          <w:rPr>
            <w:rStyle w:val="TextoNormalCaracter"/>
          </w:rPr>
          <w:t>22/1985</w:t>
        </w:r>
      </w:hyperlink>
      <w:r w:rsidRPr="00506787">
        <w:rPr>
          <w:rStyle w:val="TextoNormalCaracter"/>
        </w:rPr>
        <w:t>, f. 5.</w:t>
      </w:r>
    </w:p>
    <w:p w:rsidR="00506787" w:rsidRPr="00506787" w:rsidRDefault="00506787" w:rsidP="00506787">
      <w:pPr>
        <w:pStyle w:val="TextoNormalSangraFrancesa"/>
        <w:rPr>
          <w:rStyle w:val="TextoNormalCaracter"/>
        </w:rPr>
      </w:pPr>
      <w:bookmarkStart w:id="1387" w:name="DESCRIPTORALFABETICO515"/>
      <w:r w:rsidRPr="00506787">
        <w:rPr>
          <w:rStyle w:val="TextoNormalNegritaCaracter"/>
        </w:rPr>
        <w:t>Principio de contradicción</w:t>
      </w:r>
      <w:bookmarkEnd w:id="1387"/>
      <w:r w:rsidRPr="00506787">
        <w:rPr>
          <w:rStyle w:val="TextoNormalCaracter"/>
        </w:rPr>
        <w:t xml:space="preserve">, Sentencias </w:t>
      </w:r>
      <w:hyperlink w:anchor="SENTENCIA_1985_23" w:history="1">
        <w:r w:rsidRPr="00506787">
          <w:rPr>
            <w:rStyle w:val="TextoNormalCaracter"/>
          </w:rPr>
          <w:t>23/1985</w:t>
        </w:r>
      </w:hyperlink>
      <w:r w:rsidRPr="00506787">
        <w:rPr>
          <w:rStyle w:val="TextoNormalCaracter"/>
        </w:rPr>
        <w:t xml:space="preserve">, f. 3; </w:t>
      </w:r>
      <w:hyperlink w:anchor="SENTENCIA_1985_54" w:history="1">
        <w:r w:rsidRPr="00506787">
          <w:rPr>
            <w:rStyle w:val="TextoNormalCaracter"/>
          </w:rPr>
          <w:t>54/1985</w:t>
        </w:r>
      </w:hyperlink>
      <w:r w:rsidRPr="00506787">
        <w:rPr>
          <w:rStyle w:val="TextoNormalCaracter"/>
        </w:rPr>
        <w:t>, f. 6.</w:t>
      </w:r>
    </w:p>
    <w:p w:rsidR="00506787" w:rsidRPr="00506787" w:rsidRDefault="00506787" w:rsidP="00506787">
      <w:pPr>
        <w:pStyle w:val="TextoNormalSangraFrancesa"/>
        <w:rPr>
          <w:rStyle w:val="TextoNormalCaracter"/>
        </w:rPr>
      </w:pPr>
      <w:bookmarkStart w:id="1388" w:name="DESCRIPTORALFABETICO241"/>
      <w:r w:rsidRPr="00506787">
        <w:rPr>
          <w:rStyle w:val="TextoNormalNegritaCaracter"/>
        </w:rPr>
        <w:t>Principio de exclusividad jurisdiccional</w:t>
      </w:r>
      <w:bookmarkEnd w:id="1388"/>
      <w:r w:rsidRPr="00506787">
        <w:rPr>
          <w:rStyle w:val="TextoNormalCaracter"/>
        </w:rPr>
        <w:t xml:space="preserve">, Autos </w:t>
      </w:r>
      <w:hyperlink w:anchor="AUTO_1985_8" w:history="1">
        <w:r w:rsidRPr="00506787">
          <w:rPr>
            <w:rStyle w:val="TextoNormalCaracter"/>
          </w:rPr>
          <w:t>8/1985</w:t>
        </w:r>
      </w:hyperlink>
      <w:r w:rsidRPr="00506787">
        <w:rPr>
          <w:rStyle w:val="TextoNormalCaracter"/>
        </w:rPr>
        <w:t xml:space="preserve">; </w:t>
      </w:r>
      <w:hyperlink w:anchor="AUTO_1985_67" w:history="1">
        <w:r w:rsidRPr="00506787">
          <w:rPr>
            <w:rStyle w:val="TextoNormalCaracter"/>
          </w:rPr>
          <w:t>67/1985</w:t>
        </w:r>
      </w:hyperlink>
      <w:r w:rsidRPr="00506787">
        <w:rPr>
          <w:rStyle w:val="TextoNormalCaracter"/>
        </w:rPr>
        <w:t xml:space="preserve">; </w:t>
      </w:r>
      <w:hyperlink w:anchor="AUTO_1985_89" w:history="1">
        <w:r w:rsidRPr="00506787">
          <w:rPr>
            <w:rStyle w:val="TextoNormalCaracter"/>
          </w:rPr>
          <w:t>89/1985</w:t>
        </w:r>
      </w:hyperlink>
      <w:r w:rsidRPr="00506787">
        <w:rPr>
          <w:rStyle w:val="TextoNormalCaracter"/>
        </w:rPr>
        <w:t xml:space="preserve">; </w:t>
      </w:r>
      <w:hyperlink w:anchor="AUTO_1985_107" w:history="1">
        <w:r w:rsidRPr="00506787">
          <w:rPr>
            <w:rStyle w:val="TextoNormalCaracter"/>
          </w:rPr>
          <w:t>107/1985</w:t>
        </w:r>
      </w:hyperlink>
      <w:r w:rsidRPr="00506787">
        <w:rPr>
          <w:rStyle w:val="TextoNormalCaracter"/>
        </w:rPr>
        <w:t xml:space="preserve">; </w:t>
      </w:r>
      <w:hyperlink w:anchor="AUTO_1985_171" w:history="1">
        <w:r w:rsidRPr="00506787">
          <w:rPr>
            <w:rStyle w:val="TextoNormalCaracter"/>
          </w:rPr>
          <w:t>171/1985</w:t>
        </w:r>
      </w:hyperlink>
      <w:r w:rsidRPr="00506787">
        <w:rPr>
          <w:rStyle w:val="TextoNormalCaracter"/>
        </w:rPr>
        <w:t xml:space="preserve">; </w:t>
      </w:r>
      <w:hyperlink w:anchor="AUTO_1985_208" w:history="1">
        <w:r w:rsidRPr="00506787">
          <w:rPr>
            <w:rStyle w:val="TextoNormalCaracter"/>
          </w:rPr>
          <w:t>208/1985</w:t>
        </w:r>
      </w:hyperlink>
      <w:r w:rsidRPr="00506787">
        <w:rPr>
          <w:rStyle w:val="TextoNormalCaracter"/>
        </w:rPr>
        <w:t xml:space="preserve">; </w:t>
      </w:r>
      <w:hyperlink w:anchor="AUTO_1985_252" w:history="1">
        <w:r w:rsidRPr="00506787">
          <w:rPr>
            <w:rStyle w:val="TextoNormalCaracter"/>
          </w:rPr>
          <w:t>252/1985</w:t>
        </w:r>
      </w:hyperlink>
      <w:r w:rsidRPr="00506787">
        <w:rPr>
          <w:rStyle w:val="TextoNormalCaracter"/>
        </w:rPr>
        <w:t>.</w:t>
      </w:r>
    </w:p>
    <w:p w:rsidR="00506787" w:rsidRPr="00506787" w:rsidRDefault="00506787" w:rsidP="00506787">
      <w:pPr>
        <w:pStyle w:val="TextoNormalSangraFrancesa"/>
        <w:rPr>
          <w:rStyle w:val="TextoNormalCaracter"/>
        </w:rPr>
      </w:pPr>
      <w:bookmarkStart w:id="1389" w:name="DESCRIPTORALFABETICO252"/>
      <w:r w:rsidRPr="00506787">
        <w:rPr>
          <w:rStyle w:val="TextoNormalNegritaCaracter"/>
        </w:rPr>
        <w:t>Principio de igualdad</w:t>
      </w:r>
      <w:bookmarkEnd w:id="1389"/>
      <w:r w:rsidRPr="00506787">
        <w:rPr>
          <w:rStyle w:val="TextoNormalCaracter"/>
        </w:rPr>
        <w:t xml:space="preserve">, Sentencias </w:t>
      </w:r>
      <w:hyperlink w:anchor="SENTENCIA_1985_16" w:history="1">
        <w:r w:rsidRPr="00506787">
          <w:rPr>
            <w:rStyle w:val="TextoNormalCaracter"/>
          </w:rPr>
          <w:t>16/1985</w:t>
        </w:r>
      </w:hyperlink>
      <w:r w:rsidRPr="00506787">
        <w:rPr>
          <w:rStyle w:val="TextoNormalCaracter"/>
        </w:rPr>
        <w:t xml:space="preserve">, ff. 3, 4; </w:t>
      </w:r>
      <w:hyperlink w:anchor="SENTENCIA_1985_19" w:history="1">
        <w:r w:rsidRPr="00506787">
          <w:rPr>
            <w:rStyle w:val="TextoNormalCaracter"/>
          </w:rPr>
          <w:t>19/1985</w:t>
        </w:r>
      </w:hyperlink>
      <w:r w:rsidRPr="00506787">
        <w:rPr>
          <w:rStyle w:val="TextoNormalCaracter"/>
        </w:rPr>
        <w:t xml:space="preserve">, f. 3; </w:t>
      </w:r>
      <w:hyperlink w:anchor="SENTENCIA_1985_20" w:history="1">
        <w:r w:rsidRPr="00506787">
          <w:rPr>
            <w:rStyle w:val="TextoNormalCaracter"/>
          </w:rPr>
          <w:t>20/1985</w:t>
        </w:r>
      </w:hyperlink>
      <w:r w:rsidRPr="00506787">
        <w:rPr>
          <w:rStyle w:val="TextoNormalCaracter"/>
        </w:rPr>
        <w:t xml:space="preserve">, ff. 2, 3; </w:t>
      </w:r>
      <w:hyperlink w:anchor="SENTENCIA_1985_26" w:history="1">
        <w:r w:rsidRPr="00506787">
          <w:rPr>
            <w:rStyle w:val="TextoNormalCaracter"/>
          </w:rPr>
          <w:t>26/1985</w:t>
        </w:r>
      </w:hyperlink>
      <w:r w:rsidRPr="00506787">
        <w:rPr>
          <w:rStyle w:val="TextoNormalCaracter"/>
        </w:rPr>
        <w:t xml:space="preserve">, f. 2; </w:t>
      </w:r>
      <w:hyperlink w:anchor="SENTENCIA_1985_27" w:history="1">
        <w:r w:rsidRPr="00506787">
          <w:rPr>
            <w:rStyle w:val="TextoNormalCaracter"/>
          </w:rPr>
          <w:t>27/1985</w:t>
        </w:r>
      </w:hyperlink>
      <w:r w:rsidRPr="00506787">
        <w:rPr>
          <w:rStyle w:val="TextoNormalCaracter"/>
        </w:rPr>
        <w:t xml:space="preserve">, ff. 3, 4; </w:t>
      </w:r>
      <w:hyperlink w:anchor="SENTENCIA_1985_32" w:history="1">
        <w:r w:rsidRPr="00506787">
          <w:rPr>
            <w:rStyle w:val="TextoNormalCaracter"/>
          </w:rPr>
          <w:t>32/1985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4" w:history="1">
        <w:r w:rsidRPr="00506787">
          <w:rPr>
            <w:rStyle w:val="TextoNormalCaracter"/>
          </w:rPr>
          <w:t>4/1985</w:t>
        </w:r>
      </w:hyperlink>
      <w:r w:rsidRPr="00506787">
        <w:rPr>
          <w:rStyle w:val="TextoNormalCaracter"/>
        </w:rPr>
        <w:t xml:space="preserve">; </w:t>
      </w:r>
      <w:hyperlink w:anchor="AUTO_1985_46" w:history="1">
        <w:r w:rsidRPr="00506787">
          <w:rPr>
            <w:rStyle w:val="TextoNormalCaracter"/>
          </w:rPr>
          <w:t>46/1985</w:t>
        </w:r>
      </w:hyperlink>
      <w:r w:rsidRPr="00506787">
        <w:rPr>
          <w:rStyle w:val="TextoNormalCaracter"/>
        </w:rPr>
        <w:t xml:space="preserve">; </w:t>
      </w:r>
      <w:hyperlink w:anchor="AUTO_1985_83" w:history="1">
        <w:r w:rsidRPr="00506787">
          <w:rPr>
            <w:rStyle w:val="TextoNormalCaracter"/>
          </w:rPr>
          <w:t>83/1985</w:t>
        </w:r>
      </w:hyperlink>
      <w:r w:rsidRPr="00506787">
        <w:rPr>
          <w:rStyle w:val="TextoNormalCaracter"/>
        </w:rPr>
        <w:t xml:space="preserve">; </w:t>
      </w:r>
      <w:hyperlink w:anchor="AUTO_1985_84" w:history="1">
        <w:r w:rsidRPr="00506787">
          <w:rPr>
            <w:rStyle w:val="TextoNormalCaracter"/>
          </w:rPr>
          <w:t>84/1985</w:t>
        </w:r>
      </w:hyperlink>
      <w:r w:rsidRPr="00506787">
        <w:rPr>
          <w:rStyle w:val="TextoNormalCaracter"/>
        </w:rPr>
        <w:t xml:space="preserve">; </w:t>
      </w:r>
      <w:hyperlink w:anchor="AUTO_1985_94" w:history="1">
        <w:r w:rsidRPr="00506787">
          <w:rPr>
            <w:rStyle w:val="TextoNormalCaracter"/>
          </w:rPr>
          <w:t>94/1985</w:t>
        </w:r>
      </w:hyperlink>
      <w:r w:rsidRPr="00506787">
        <w:rPr>
          <w:rStyle w:val="TextoNormalCaracter"/>
        </w:rPr>
        <w:t xml:space="preserve">; </w:t>
      </w:r>
      <w:hyperlink w:anchor="AUTO_1985_103" w:history="1">
        <w:r w:rsidRPr="00506787">
          <w:rPr>
            <w:rStyle w:val="TextoNormalCaracter"/>
          </w:rPr>
          <w:t>103/1985</w:t>
        </w:r>
      </w:hyperlink>
      <w:r w:rsidRPr="00506787">
        <w:rPr>
          <w:rStyle w:val="TextoNormalCaracter"/>
        </w:rPr>
        <w:t xml:space="preserve">; </w:t>
      </w:r>
      <w:hyperlink w:anchor="AUTO_1985_156" w:history="1">
        <w:r w:rsidRPr="00506787">
          <w:rPr>
            <w:rStyle w:val="TextoNormalCaracter"/>
          </w:rPr>
          <w:t>156/1985</w:t>
        </w:r>
      </w:hyperlink>
      <w:r w:rsidRPr="00506787">
        <w:rPr>
          <w:rStyle w:val="TextoNormalCaracter"/>
        </w:rPr>
        <w:t xml:space="preserve">; </w:t>
      </w:r>
      <w:hyperlink w:anchor="AUTO_1985_164" w:history="1">
        <w:r w:rsidRPr="00506787">
          <w:rPr>
            <w:rStyle w:val="TextoNormalCaracter"/>
          </w:rPr>
          <w:t>164/1985</w:t>
        </w:r>
      </w:hyperlink>
      <w:r w:rsidRPr="00506787">
        <w:rPr>
          <w:rStyle w:val="TextoNormalCaracter"/>
        </w:rPr>
        <w:t xml:space="preserve">; </w:t>
      </w:r>
      <w:hyperlink w:anchor="AUTO_1985_238" w:history="1">
        <w:r w:rsidRPr="00506787">
          <w:rPr>
            <w:rStyle w:val="TextoNormalCaracter"/>
          </w:rPr>
          <w:t>238/1985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Doctrina constitucional, </w:t>
      </w:r>
      <w:r w:rsidRPr="00506787">
        <w:rPr>
          <w:rStyle w:val="TextoNormalCaracter"/>
        </w:rPr>
        <w:t xml:space="preserve">Sentencia </w:t>
      </w:r>
      <w:hyperlink w:anchor="SENTENCIA_1985_49" w:history="1">
        <w:r w:rsidRPr="00506787">
          <w:rPr>
            <w:rStyle w:val="TextoNormalCaracter"/>
          </w:rPr>
          <w:t>49/1985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53" w:history="1">
        <w:r w:rsidRPr="00506787">
          <w:rPr>
            <w:rStyle w:val="TextoNormalCaracter"/>
          </w:rPr>
          <w:t>53/1985</w:t>
        </w:r>
      </w:hyperlink>
      <w:r w:rsidRPr="00506787">
        <w:rPr>
          <w:rStyle w:val="TextoNormalCaracter"/>
        </w:rPr>
        <w:t xml:space="preserve">; </w:t>
      </w:r>
      <w:hyperlink w:anchor="AUTO_1985_119" w:history="1">
        <w:r w:rsidRPr="00506787">
          <w:rPr>
            <w:rStyle w:val="TextoNormalCaracter"/>
          </w:rPr>
          <w:t>119/1985</w:t>
        </w:r>
      </w:hyperlink>
      <w:r w:rsidRPr="00506787">
        <w:rPr>
          <w:rStyle w:val="TextoNormalCaracter"/>
        </w:rPr>
        <w:t xml:space="preserve">; </w:t>
      </w:r>
      <w:hyperlink w:anchor="AUTO_1985_152" w:history="1">
        <w:r w:rsidRPr="00506787">
          <w:rPr>
            <w:rStyle w:val="TextoNormalCaracter"/>
          </w:rPr>
          <w:t>152/1985</w:t>
        </w:r>
      </w:hyperlink>
      <w:r w:rsidRPr="00506787">
        <w:rPr>
          <w:rStyle w:val="TextoNormalCaracter"/>
        </w:rPr>
        <w:t xml:space="preserve">; </w:t>
      </w:r>
      <w:hyperlink w:anchor="AUTO_1985_209" w:history="1">
        <w:r w:rsidRPr="00506787">
          <w:rPr>
            <w:rStyle w:val="TextoNormalCaracter"/>
          </w:rPr>
          <w:t>209/1985</w:t>
        </w:r>
      </w:hyperlink>
      <w:r w:rsidRPr="00506787">
        <w:rPr>
          <w:rStyle w:val="TextoNormalCaracter"/>
        </w:rPr>
        <w:t xml:space="preserve">; </w:t>
      </w:r>
      <w:hyperlink w:anchor="AUTO_1985_256" w:history="1">
        <w:r w:rsidRPr="00506787">
          <w:rPr>
            <w:rStyle w:val="TextoNormalCaracter"/>
          </w:rPr>
          <w:t>256/1985</w:t>
        </w:r>
      </w:hyperlink>
      <w:r w:rsidRPr="00506787">
        <w:rPr>
          <w:rStyle w:val="TextoNormalCaracter"/>
        </w:rPr>
        <w:t xml:space="preserve">; </w:t>
      </w:r>
      <w:hyperlink w:anchor="AUTO_1985_267" w:history="1">
        <w:r w:rsidRPr="00506787">
          <w:rPr>
            <w:rStyle w:val="TextoNormalCaracter"/>
          </w:rPr>
          <w:t>267/1985</w:t>
        </w:r>
      </w:hyperlink>
      <w:r w:rsidRPr="00506787">
        <w:rPr>
          <w:rStyle w:val="TextoNormalCaracter"/>
        </w:rPr>
        <w:t xml:space="preserve">; </w:t>
      </w:r>
      <w:hyperlink w:anchor="AUTO_1985_278" w:history="1">
        <w:r w:rsidRPr="00506787">
          <w:rPr>
            <w:rStyle w:val="TextoNormalCaracter"/>
          </w:rPr>
          <w:t>278/1985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Principio de igualdad tributaria</w:t>
      </w:r>
      <w:r>
        <w:t xml:space="preserve"> véase </w:t>
      </w:r>
      <w:hyperlink w:anchor="DESCRIPTORALFABETICO253" w:history="1">
        <w:r w:rsidRPr="00506787">
          <w:rPr>
            <w:rStyle w:val="TextoNormalNegritaCaracter"/>
          </w:rPr>
          <w:t>Igualdad tributaria</w:t>
        </w:r>
      </w:hyperlink>
    </w:p>
    <w:p w:rsidR="00506787" w:rsidRPr="00506787" w:rsidRDefault="00506787" w:rsidP="00506787">
      <w:pPr>
        <w:pStyle w:val="TextoNormalSangraFrancesa"/>
        <w:rPr>
          <w:rStyle w:val="TextoNormalCaracter"/>
        </w:rPr>
      </w:pPr>
      <w:bookmarkStart w:id="1390" w:name="DESCRIPTORALFABETICO254"/>
      <w:r w:rsidRPr="00506787">
        <w:rPr>
          <w:rStyle w:val="TextoNormalNegritaCaracter"/>
        </w:rPr>
        <w:t>Principio de legalidad</w:t>
      </w:r>
      <w:bookmarkEnd w:id="1390"/>
      <w:r w:rsidRPr="00506787">
        <w:rPr>
          <w:rStyle w:val="TextoNormalCaracter"/>
        </w:rPr>
        <w:t xml:space="preserve">, Sentencia </w:t>
      </w:r>
      <w:hyperlink w:anchor="SENTENCIA_1985_20" w:history="1">
        <w:r w:rsidRPr="00506787">
          <w:rPr>
            <w:rStyle w:val="TextoNormalCaracter"/>
          </w:rPr>
          <w:t>20/1985</w:t>
        </w:r>
      </w:hyperlink>
      <w:r w:rsidRPr="00506787">
        <w:rPr>
          <w:rStyle w:val="TextoNormalCaracter"/>
        </w:rPr>
        <w:t>, VP.</w:t>
      </w:r>
    </w:p>
    <w:p w:rsidR="00506787" w:rsidRPr="00506787" w:rsidRDefault="00506787" w:rsidP="00506787">
      <w:pPr>
        <w:pStyle w:val="TextoNormalSangraFrancesa"/>
        <w:rPr>
          <w:rStyle w:val="TextoNormalCaracter"/>
        </w:rPr>
      </w:pPr>
      <w:bookmarkStart w:id="1391" w:name="DESCRIPTORALFABETICO256"/>
      <w:r w:rsidRPr="00506787">
        <w:rPr>
          <w:rStyle w:val="TextoNormalNegritaCaracter"/>
        </w:rPr>
        <w:t>Principio de legalidad penal</w:t>
      </w:r>
      <w:bookmarkEnd w:id="1391"/>
      <w:r w:rsidRPr="00506787">
        <w:rPr>
          <w:rStyle w:val="TextoNormalCaracter"/>
        </w:rPr>
        <w:t xml:space="preserve">, Sentencia </w:t>
      </w:r>
      <w:hyperlink w:anchor="SENTENCIA_1985_31" w:history="1">
        <w:r w:rsidRPr="00506787">
          <w:rPr>
            <w:rStyle w:val="TextoNormalCaracter"/>
          </w:rPr>
          <w:t>31/1985</w:t>
        </w:r>
      </w:hyperlink>
      <w:r w:rsidRPr="00506787">
        <w:rPr>
          <w:rStyle w:val="TextoNormalCaracter"/>
        </w:rPr>
        <w:t>, ff. 2,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58" w:history="1">
        <w:r w:rsidRPr="00506787">
          <w:rPr>
            <w:rStyle w:val="TextoNormalCaracter"/>
          </w:rPr>
          <w:t>58/1985</w:t>
        </w:r>
      </w:hyperlink>
      <w:r w:rsidRPr="00506787">
        <w:rPr>
          <w:rStyle w:val="TextoNormalCaracter"/>
        </w:rPr>
        <w:t xml:space="preserve">; </w:t>
      </w:r>
      <w:hyperlink w:anchor="AUTO_1985_267" w:history="1">
        <w:r w:rsidRPr="00506787">
          <w:rPr>
            <w:rStyle w:val="TextoNormalCaracter"/>
          </w:rPr>
          <w:t>267/1985</w:t>
        </w:r>
      </w:hyperlink>
      <w:r w:rsidRPr="00506787">
        <w:rPr>
          <w:rStyle w:val="TextoNormalCaracter"/>
        </w:rPr>
        <w:t>.</w:t>
      </w:r>
    </w:p>
    <w:p w:rsidR="00506787" w:rsidRPr="00506787" w:rsidRDefault="00506787" w:rsidP="00506787">
      <w:pPr>
        <w:pStyle w:val="TextoNormalSangraFrancesa"/>
        <w:rPr>
          <w:rStyle w:val="TextoNormalCaracter"/>
        </w:rPr>
      </w:pPr>
      <w:bookmarkStart w:id="1392" w:name="DESCRIPTORALFABETICO261"/>
      <w:r w:rsidRPr="00506787">
        <w:rPr>
          <w:rStyle w:val="TextoNormalNegritaCaracter"/>
        </w:rPr>
        <w:t>Principio de legalidad procesal</w:t>
      </w:r>
      <w:bookmarkEnd w:id="1392"/>
      <w:r w:rsidRPr="00506787">
        <w:rPr>
          <w:rStyle w:val="TextoNormalCaracter"/>
        </w:rPr>
        <w:t xml:space="preserve">, Sentencia </w:t>
      </w:r>
      <w:hyperlink w:anchor="SENTENCIA_1985_31" w:history="1">
        <w:r w:rsidRPr="00506787">
          <w:rPr>
            <w:rStyle w:val="TextoNormalCaracter"/>
          </w:rPr>
          <w:t>31/1985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93" w:name="DESCRIPTORALFABETICO489"/>
      <w:r w:rsidRPr="00506787">
        <w:rPr>
          <w:rStyle w:val="TextoNormalNegritaCaracter"/>
        </w:rPr>
        <w:t>Principio de libre valoración</w:t>
      </w:r>
      <w:bookmarkEnd w:id="1393"/>
      <w:r w:rsidRPr="00506787">
        <w:rPr>
          <w:rStyle w:val="TextoNormalCaracter"/>
        </w:rPr>
        <w:t xml:space="preserve">, Autos </w:t>
      </w:r>
      <w:hyperlink w:anchor="AUTO_1985_34" w:history="1">
        <w:r w:rsidRPr="00506787">
          <w:rPr>
            <w:rStyle w:val="TextoNormalCaracter"/>
          </w:rPr>
          <w:t>34/1985</w:t>
        </w:r>
      </w:hyperlink>
      <w:r w:rsidRPr="00506787">
        <w:rPr>
          <w:rStyle w:val="TextoNormalCaracter"/>
        </w:rPr>
        <w:t xml:space="preserve">; </w:t>
      </w:r>
      <w:hyperlink w:anchor="AUTO_1985_45" w:history="1">
        <w:r w:rsidRPr="00506787">
          <w:rPr>
            <w:rStyle w:val="TextoNormalCaracter"/>
          </w:rPr>
          <w:t>45/1985</w:t>
        </w:r>
      </w:hyperlink>
      <w:r w:rsidRPr="00506787">
        <w:rPr>
          <w:rStyle w:val="TextoNormalCaracter"/>
        </w:rPr>
        <w:t xml:space="preserve">; </w:t>
      </w:r>
      <w:hyperlink w:anchor="AUTO_1985_150" w:history="1">
        <w:r w:rsidRPr="00506787">
          <w:rPr>
            <w:rStyle w:val="TextoNormalCaracter"/>
          </w:rPr>
          <w:t>150/1985</w:t>
        </w:r>
      </w:hyperlink>
      <w:r w:rsidRPr="00506787">
        <w:rPr>
          <w:rStyle w:val="TextoNormalCaracter"/>
        </w:rPr>
        <w:t>.</w:t>
      </w:r>
    </w:p>
    <w:p w:rsidR="00506787" w:rsidRPr="00506787" w:rsidRDefault="00506787" w:rsidP="00506787">
      <w:pPr>
        <w:pStyle w:val="TextoNormalSangraFrancesa"/>
        <w:rPr>
          <w:rStyle w:val="TextoNormalCaracter"/>
        </w:rPr>
      </w:pPr>
      <w:bookmarkStart w:id="1394" w:name="DESCRIPTORALFABETICO262"/>
      <w:r w:rsidRPr="00506787">
        <w:rPr>
          <w:rStyle w:val="TextoNormalNegritaCaracter"/>
        </w:rPr>
        <w:t>Principio de proporcionalidad</w:t>
      </w:r>
      <w:bookmarkEnd w:id="1394"/>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395" w:name="DESCRIPTORALFABETICO516"/>
      <w:r w:rsidRPr="00506787">
        <w:rPr>
          <w:rStyle w:val="TextoNormalNegritaCaracter"/>
        </w:rPr>
        <w:t>Principio de publicidad procesal</w:t>
      </w:r>
      <w:bookmarkEnd w:id="1395"/>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 3.</w:t>
      </w:r>
    </w:p>
    <w:p w:rsidR="00506787" w:rsidRPr="00506787" w:rsidRDefault="00506787" w:rsidP="00506787">
      <w:pPr>
        <w:pStyle w:val="TextoNormalSangraFrancesa"/>
        <w:rPr>
          <w:rStyle w:val="TextoNormalNegritaCaracter"/>
        </w:rPr>
      </w:pPr>
      <w:r w:rsidRPr="00506787">
        <w:rPr>
          <w:rStyle w:val="TextoNormalCursivaCaracter"/>
        </w:rPr>
        <w:t>Principio de reserva de jurisdicción</w:t>
      </w:r>
      <w:r>
        <w:t xml:space="preserve"> véase </w:t>
      </w:r>
      <w:hyperlink w:anchor="DESCRIPTORALFABETICO241" w:history="1">
        <w:r w:rsidRPr="00506787">
          <w:rPr>
            <w:rStyle w:val="TextoNormalNegritaCaracter"/>
          </w:rPr>
          <w:t>Principio de exclusividad jurisdiccional</w:t>
        </w:r>
      </w:hyperlink>
    </w:p>
    <w:p w:rsidR="00506787" w:rsidRPr="00506787" w:rsidRDefault="00506787" w:rsidP="00506787">
      <w:pPr>
        <w:pStyle w:val="TextoNormalSangraFrancesa"/>
        <w:rPr>
          <w:rStyle w:val="TextoNormalCaracter"/>
        </w:rPr>
      </w:pPr>
      <w:bookmarkStart w:id="1396" w:name="DESCRIPTORALFABETICO263"/>
      <w:r w:rsidRPr="00506787">
        <w:rPr>
          <w:rStyle w:val="TextoNormalNegritaCaracter"/>
        </w:rPr>
        <w:t>Principio de seguridad jurídica</w:t>
      </w:r>
      <w:bookmarkEnd w:id="1396"/>
      <w:r w:rsidRPr="00506787">
        <w:rPr>
          <w:rStyle w:val="TextoNormalCaracter"/>
        </w:rPr>
        <w:t xml:space="preserve">, Autos </w:t>
      </w:r>
      <w:hyperlink w:anchor="AUTO_1985_57" w:history="1">
        <w:r w:rsidRPr="00506787">
          <w:rPr>
            <w:rStyle w:val="TextoNormalCaracter"/>
          </w:rPr>
          <w:t>57/1985</w:t>
        </w:r>
      </w:hyperlink>
      <w:r w:rsidRPr="00506787">
        <w:rPr>
          <w:rStyle w:val="TextoNormalCaracter"/>
        </w:rPr>
        <w:t xml:space="preserve">; </w:t>
      </w:r>
      <w:hyperlink w:anchor="AUTO_1985_95" w:history="1">
        <w:r w:rsidRPr="00506787">
          <w:rPr>
            <w:rStyle w:val="TextoNormalCaracter"/>
          </w:rPr>
          <w:t>95/1985</w:t>
        </w:r>
      </w:hyperlink>
      <w:r w:rsidRPr="00506787">
        <w:rPr>
          <w:rStyle w:val="TextoNormalCaracter"/>
        </w:rPr>
        <w:t xml:space="preserve">; </w:t>
      </w:r>
      <w:hyperlink w:anchor="AUTO_1985_193" w:history="1">
        <w:r w:rsidRPr="00506787">
          <w:rPr>
            <w:rStyle w:val="TextoNormalCaracter"/>
          </w:rPr>
          <w:t>193/1985</w:t>
        </w:r>
      </w:hyperlink>
      <w:r w:rsidRPr="00506787">
        <w:rPr>
          <w:rStyle w:val="TextoNormalCaracter"/>
        </w:rPr>
        <w:t xml:space="preserve">; </w:t>
      </w:r>
      <w:hyperlink w:anchor="AUTO_1985_204" w:history="1">
        <w:r w:rsidRPr="00506787">
          <w:rPr>
            <w:rStyle w:val="TextoNormalCaracter"/>
          </w:rPr>
          <w:t>204/1985</w:t>
        </w:r>
      </w:hyperlink>
      <w:r w:rsidRPr="00506787">
        <w:rPr>
          <w:rStyle w:val="TextoNormalCaracter"/>
        </w:rPr>
        <w:t xml:space="preserve">; </w:t>
      </w:r>
      <w:hyperlink w:anchor="AUTO_1985_245" w:history="1">
        <w:r w:rsidRPr="00506787">
          <w:rPr>
            <w:rStyle w:val="TextoNormalCaracter"/>
          </w:rPr>
          <w:t>245/1985</w:t>
        </w:r>
      </w:hyperlink>
      <w:r w:rsidRPr="00506787">
        <w:rPr>
          <w:rStyle w:val="TextoNormalCaracter"/>
        </w:rPr>
        <w:t>.</w:t>
      </w:r>
    </w:p>
    <w:p w:rsidR="00506787" w:rsidRPr="00506787" w:rsidRDefault="00506787" w:rsidP="00506787">
      <w:pPr>
        <w:pStyle w:val="TextoNormalSangraFrancesa"/>
        <w:rPr>
          <w:rStyle w:val="TextoNormalCaracter"/>
        </w:rPr>
      </w:pPr>
      <w:bookmarkStart w:id="1397" w:name="DESCRIPTORALFABETICO517"/>
      <w:r w:rsidRPr="00506787">
        <w:rPr>
          <w:rStyle w:val="TextoNormalNegritaCaracter"/>
        </w:rPr>
        <w:t xml:space="preserve">Principio </w:t>
      </w:r>
      <w:r w:rsidRPr="00506787">
        <w:rPr>
          <w:rStyle w:val="TextoNormalNegritaCaracter"/>
          <w:i/>
        </w:rPr>
        <w:t>in dubio pro reo</w:t>
      </w:r>
      <w:bookmarkEnd w:id="1397"/>
      <w:r w:rsidRPr="00506787">
        <w:rPr>
          <w:rStyle w:val="TextoNormalCaracter"/>
        </w:rPr>
        <w:t xml:space="preserve">, Auto </w:t>
      </w:r>
      <w:hyperlink w:anchor="AUTO_1985_21" w:history="1">
        <w:r w:rsidRPr="00506787">
          <w:rPr>
            <w:rStyle w:val="TextoNormalCaracter"/>
          </w:rPr>
          <w:t>21/1985</w:t>
        </w:r>
      </w:hyperlink>
      <w:r w:rsidRPr="00506787">
        <w:rPr>
          <w:rStyle w:val="TextoNormalCaracter"/>
        </w:rPr>
        <w:t>.</w:t>
      </w:r>
    </w:p>
    <w:p w:rsidR="00506787" w:rsidRPr="00506787" w:rsidRDefault="00506787" w:rsidP="00506787">
      <w:pPr>
        <w:pStyle w:val="TextoNormalSangraFrancesa"/>
        <w:rPr>
          <w:rStyle w:val="TextoNormalCaracter"/>
        </w:rPr>
      </w:pPr>
      <w:bookmarkStart w:id="1398" w:name="DESCRIPTORALFABETICO518"/>
      <w:r w:rsidRPr="00506787">
        <w:rPr>
          <w:rStyle w:val="TextoNormalNegritaCaracter"/>
        </w:rPr>
        <w:t xml:space="preserve">Principio </w:t>
      </w:r>
      <w:r w:rsidRPr="00506787">
        <w:rPr>
          <w:rStyle w:val="TextoNormalNegritaCaracter"/>
          <w:i/>
        </w:rPr>
        <w:t>iura novit curia</w:t>
      </w:r>
      <w:bookmarkEnd w:id="1398"/>
      <w:r w:rsidRPr="00506787">
        <w:rPr>
          <w:rStyle w:val="TextoNormalCaracter"/>
        </w:rPr>
        <w:t xml:space="preserve">, Sentencia </w:t>
      </w:r>
      <w:hyperlink w:anchor="SENTENCIA_1985_14" w:history="1">
        <w:r w:rsidRPr="00506787">
          <w:rPr>
            <w:rStyle w:val="TextoNormalCaracter"/>
          </w:rPr>
          <w:t>14/1985</w:t>
        </w:r>
      </w:hyperlink>
      <w:r w:rsidRPr="00506787">
        <w:rPr>
          <w:rStyle w:val="TextoNormalCaracter"/>
        </w:rPr>
        <w:t>, f. 3.</w:t>
      </w:r>
    </w:p>
    <w:p w:rsidR="00506787" w:rsidRPr="00506787" w:rsidRDefault="00506787" w:rsidP="00506787">
      <w:pPr>
        <w:pStyle w:val="TextoNormalSangraFrancesa"/>
        <w:rPr>
          <w:rStyle w:val="TextoNormalCaracter"/>
        </w:rPr>
      </w:pPr>
      <w:bookmarkStart w:id="1399" w:name="DESCRIPTORALFABETICO260"/>
      <w:r w:rsidRPr="00506787">
        <w:rPr>
          <w:rStyle w:val="TextoNormalNegritaCaracter"/>
        </w:rPr>
        <w:t xml:space="preserve">Principio </w:t>
      </w:r>
      <w:r w:rsidRPr="00506787">
        <w:rPr>
          <w:rStyle w:val="TextoNormalNegritaCaracter"/>
          <w:i/>
        </w:rPr>
        <w:t>non bis in idem</w:t>
      </w:r>
      <w:bookmarkEnd w:id="1399"/>
      <w:r w:rsidRPr="00506787">
        <w:rPr>
          <w:rStyle w:val="TextoNormalCaracter"/>
        </w:rPr>
        <w:t xml:space="preserve">, Autos </w:t>
      </w:r>
      <w:hyperlink w:anchor="AUTO_1985_59" w:history="1">
        <w:r w:rsidRPr="00506787">
          <w:rPr>
            <w:rStyle w:val="TextoNormalCaracter"/>
          </w:rPr>
          <w:t>59/1985</w:t>
        </w:r>
      </w:hyperlink>
      <w:r w:rsidRPr="00506787">
        <w:rPr>
          <w:rStyle w:val="TextoNormalCaracter"/>
        </w:rPr>
        <w:t xml:space="preserve">; </w:t>
      </w:r>
      <w:hyperlink w:anchor="AUTO_1985_90" w:history="1">
        <w:r w:rsidRPr="00506787">
          <w:rPr>
            <w:rStyle w:val="TextoNormalCaracter"/>
          </w:rPr>
          <w:t>90/1985</w:t>
        </w:r>
      </w:hyperlink>
      <w:r w:rsidRPr="00506787">
        <w:rPr>
          <w:rStyle w:val="TextoNormalCaracter"/>
        </w:rPr>
        <w:t>.</w:t>
      </w:r>
    </w:p>
    <w:p w:rsidR="00506787" w:rsidRPr="00506787" w:rsidRDefault="00506787" w:rsidP="00506787">
      <w:pPr>
        <w:pStyle w:val="TextoNormalSangraFrancesa"/>
        <w:rPr>
          <w:rStyle w:val="TextoNormalCaracter"/>
        </w:rPr>
      </w:pPr>
      <w:bookmarkStart w:id="1400" w:name="DESCRIPTORALFABETICO573"/>
      <w:r w:rsidRPr="00506787">
        <w:rPr>
          <w:rStyle w:val="TextoNormalNegritaCaracter"/>
        </w:rPr>
        <w:t>Principios configuradores del juicio de faltas</w:t>
      </w:r>
      <w:bookmarkEnd w:id="1400"/>
      <w:r w:rsidRPr="00506787">
        <w:rPr>
          <w:rStyle w:val="TextoNormalCaracter"/>
        </w:rPr>
        <w:t xml:space="preserve">, Sentencia </w:t>
      </w:r>
      <w:hyperlink w:anchor="SENTENCIA_1985_54" w:history="1">
        <w:r w:rsidRPr="00506787">
          <w:rPr>
            <w:rStyle w:val="TextoNormalCaracter"/>
          </w:rPr>
          <w:t>54/1985</w:t>
        </w:r>
      </w:hyperlink>
      <w:r w:rsidRPr="00506787">
        <w:rPr>
          <w:rStyle w:val="TextoNormalCaracter"/>
        </w:rPr>
        <w:t>, f. 3.</w:t>
      </w:r>
    </w:p>
    <w:p w:rsidR="00506787" w:rsidRPr="00506787" w:rsidRDefault="00506787" w:rsidP="00506787">
      <w:pPr>
        <w:pStyle w:val="TextoNormalSangraFrancesa"/>
        <w:rPr>
          <w:rStyle w:val="TextoNormalCaracter"/>
        </w:rPr>
      </w:pPr>
      <w:bookmarkStart w:id="1401" w:name="DESCRIPTORALFABETICO567"/>
      <w:r w:rsidRPr="00506787">
        <w:rPr>
          <w:rStyle w:val="TextoNormalNegritaCaracter"/>
        </w:rPr>
        <w:lastRenderedPageBreak/>
        <w:t>Prioridad de los tratados de extradición frente a la ley</w:t>
      </w:r>
      <w:bookmarkEnd w:id="1401"/>
      <w:r w:rsidRPr="00506787">
        <w:rPr>
          <w:rStyle w:val="TextoNormalCaracter"/>
        </w:rPr>
        <w:t xml:space="preserve">, Sentencia </w:t>
      </w:r>
      <w:hyperlink w:anchor="SENTENCIA_1985_11" w:history="1">
        <w:r w:rsidRPr="00506787">
          <w:rPr>
            <w:rStyle w:val="TextoNormalCaracter"/>
          </w:rPr>
          <w:t>11/1985</w:t>
        </w:r>
      </w:hyperlink>
      <w:r w:rsidRPr="00506787">
        <w:rPr>
          <w:rStyle w:val="TextoNormalCaracter"/>
        </w:rPr>
        <w:t>, f. 4.</w:t>
      </w:r>
    </w:p>
    <w:p w:rsidR="00506787" w:rsidRPr="00506787" w:rsidRDefault="00506787" w:rsidP="00506787">
      <w:pPr>
        <w:pStyle w:val="TextoNormalSangraFrancesa"/>
        <w:rPr>
          <w:rStyle w:val="TextoNormalNegritaCaracter"/>
        </w:rPr>
      </w:pPr>
      <w:r w:rsidRPr="00506787">
        <w:rPr>
          <w:rStyle w:val="TextoNormalCursivaCaracter"/>
        </w:rPr>
        <w:t>Prisión preventiva</w:t>
      </w:r>
      <w:r>
        <w:t xml:space="preserve"> véase </w:t>
      </w:r>
      <w:hyperlink w:anchor="DESCRIPTORALFABETICO576" w:history="1">
        <w:r w:rsidRPr="00506787">
          <w:rPr>
            <w:rStyle w:val="TextoNormalNegritaCaracter"/>
          </w:rPr>
          <w:t>Prisión provisional</w:t>
        </w:r>
      </w:hyperlink>
    </w:p>
    <w:p w:rsidR="00506787" w:rsidRPr="00506787" w:rsidRDefault="00506787" w:rsidP="00506787">
      <w:pPr>
        <w:pStyle w:val="TextoNormalSangraFrancesa"/>
        <w:rPr>
          <w:rStyle w:val="TextoNormalCaracter"/>
        </w:rPr>
      </w:pPr>
      <w:bookmarkStart w:id="1402" w:name="DESCRIPTORALFABETICO576"/>
      <w:r w:rsidRPr="00506787">
        <w:rPr>
          <w:rStyle w:val="TextoNormalNegritaCaracter"/>
        </w:rPr>
        <w:t>Prisión provisional</w:t>
      </w:r>
      <w:bookmarkEnd w:id="1402"/>
      <w:r w:rsidRPr="00506787">
        <w:rPr>
          <w:rStyle w:val="TextoNormalCaracter"/>
        </w:rPr>
        <w:t xml:space="preserve">, Sentencia </w:t>
      </w:r>
      <w:hyperlink w:anchor="SENTENCIA_1985_28" w:history="1">
        <w:r w:rsidRPr="00506787">
          <w:rPr>
            <w:rStyle w:val="TextoNormalCaracter"/>
          </w:rPr>
          <w:t>28/1985</w:t>
        </w:r>
      </w:hyperlink>
      <w:r w:rsidRPr="00506787">
        <w:rPr>
          <w:rStyle w:val="TextoNormalCaracter"/>
        </w:rPr>
        <w:t>, f. 4.</w:t>
      </w:r>
    </w:p>
    <w:p w:rsidR="00506787" w:rsidRPr="00506787" w:rsidRDefault="00506787" w:rsidP="00506787">
      <w:pPr>
        <w:pStyle w:val="TextoNormalSangraFrancesa"/>
        <w:rPr>
          <w:rStyle w:val="TextoNormalCaracter"/>
        </w:rPr>
      </w:pPr>
      <w:bookmarkStart w:id="1403" w:name="DESCRIPTORALFABETICO35"/>
      <w:r w:rsidRPr="00506787">
        <w:rPr>
          <w:rStyle w:val="TextoNormalNegritaCaracter"/>
        </w:rPr>
        <w:t>Privación de libertad</w:t>
      </w:r>
      <w:bookmarkEnd w:id="1403"/>
      <w:r w:rsidRPr="00506787">
        <w:rPr>
          <w:rStyle w:val="TextoNormalCaracter"/>
        </w:rPr>
        <w:t xml:space="preserve">, Sentencia </w:t>
      </w:r>
      <w:hyperlink w:anchor="SENTENCIA_1985_31" w:history="1">
        <w:r w:rsidRPr="00506787">
          <w:rPr>
            <w:rStyle w:val="TextoNormalCaracter"/>
          </w:rPr>
          <w:t>31/1985</w:t>
        </w:r>
      </w:hyperlink>
      <w:r w:rsidRPr="00506787">
        <w:rPr>
          <w:rStyle w:val="TextoNormalCaracter"/>
        </w:rPr>
        <w:t>, f. 5.</w:t>
      </w:r>
    </w:p>
    <w:p w:rsidR="00506787" w:rsidRPr="00506787" w:rsidRDefault="00506787" w:rsidP="00506787">
      <w:pPr>
        <w:pStyle w:val="TextoNormalSangraFrancesa"/>
        <w:rPr>
          <w:rStyle w:val="TextoNormalCaracter"/>
        </w:rPr>
      </w:pPr>
      <w:bookmarkStart w:id="1404" w:name="DESCRIPTORALFABETICO289"/>
      <w:r w:rsidRPr="00506787">
        <w:rPr>
          <w:rStyle w:val="TextoNormalNegritaCaracter"/>
        </w:rPr>
        <w:t>Procedimiento administrativo sancionador</w:t>
      </w:r>
      <w:bookmarkEnd w:id="1404"/>
      <w:r w:rsidRPr="00506787">
        <w:rPr>
          <w:rStyle w:val="TextoNormalCaracter"/>
        </w:rPr>
        <w:t xml:space="preserve">, Sentencia </w:t>
      </w:r>
      <w:hyperlink w:anchor="SENTENCIA_1985_36" w:history="1">
        <w:r w:rsidRPr="00506787">
          <w:rPr>
            <w:rStyle w:val="TextoNormalCaracter"/>
          </w:rPr>
          <w:t>36/1985</w:t>
        </w:r>
      </w:hyperlink>
      <w:r w:rsidRPr="00506787">
        <w:rPr>
          <w:rStyle w:val="TextoNormalCaracter"/>
        </w:rPr>
        <w:t>, f. 2.</w:t>
      </w:r>
    </w:p>
    <w:p w:rsidR="00506787" w:rsidRPr="00506787" w:rsidRDefault="00506787" w:rsidP="00506787">
      <w:pPr>
        <w:pStyle w:val="TextoNormalSangraFrancesa"/>
        <w:rPr>
          <w:rStyle w:val="TextoNormalCaracter"/>
        </w:rPr>
      </w:pPr>
      <w:bookmarkStart w:id="1405" w:name="DESCRIPTORALFABETICO145"/>
      <w:r w:rsidRPr="00506787">
        <w:rPr>
          <w:rStyle w:val="TextoNormalNegritaCaracter"/>
        </w:rPr>
        <w:t>Procedimiento constitucional</w:t>
      </w:r>
      <w:bookmarkEnd w:id="1405"/>
      <w:r w:rsidRPr="00506787">
        <w:rPr>
          <w:rStyle w:val="TextoNormalCaracter"/>
        </w:rPr>
        <w:t xml:space="preserve">, Sentencia </w:t>
      </w:r>
      <w:hyperlink w:anchor="SENTENCIA_1985_45" w:history="1">
        <w:r w:rsidRPr="00506787">
          <w:rPr>
            <w:rStyle w:val="TextoNormalCaracter"/>
          </w:rPr>
          <w:t>45/1985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43" w:history="1">
        <w:r w:rsidRPr="00506787">
          <w:rPr>
            <w:rStyle w:val="TextoNormalCaracter"/>
          </w:rPr>
          <w:t>43/1985</w:t>
        </w:r>
      </w:hyperlink>
      <w:r w:rsidRPr="00506787">
        <w:rPr>
          <w:rStyle w:val="TextoNormalCaracter"/>
        </w:rPr>
        <w:t xml:space="preserve">; </w:t>
      </w:r>
      <w:hyperlink w:anchor="AUTO_1985_47" w:history="1">
        <w:r w:rsidRPr="00506787">
          <w:rPr>
            <w:rStyle w:val="TextoNormalCaracter"/>
          </w:rPr>
          <w:t>47/1985</w:t>
        </w:r>
      </w:hyperlink>
      <w:r w:rsidRPr="00506787">
        <w:rPr>
          <w:rStyle w:val="TextoNormalCaracter"/>
        </w:rPr>
        <w:t xml:space="preserve">; </w:t>
      </w:r>
      <w:hyperlink w:anchor="AUTO_1985_52" w:history="1">
        <w:r w:rsidRPr="00506787">
          <w:rPr>
            <w:rStyle w:val="TextoNormalCaracter"/>
          </w:rPr>
          <w:t>52/1985</w:t>
        </w:r>
      </w:hyperlink>
      <w:r w:rsidRPr="00506787">
        <w:rPr>
          <w:rStyle w:val="TextoNormalCaracter"/>
        </w:rPr>
        <w:t xml:space="preserve">; </w:t>
      </w:r>
      <w:hyperlink w:anchor="AUTO_1985_63" w:history="1">
        <w:r w:rsidRPr="00506787">
          <w:rPr>
            <w:rStyle w:val="TextoNormalCaracter"/>
          </w:rPr>
          <w:t>63/1985</w:t>
        </w:r>
      </w:hyperlink>
      <w:r w:rsidRPr="00506787">
        <w:rPr>
          <w:rStyle w:val="TextoNormalCaracter"/>
        </w:rPr>
        <w:t xml:space="preserve">; </w:t>
      </w:r>
      <w:hyperlink w:anchor="AUTO_1985_106" w:history="1">
        <w:r w:rsidRPr="00506787">
          <w:rPr>
            <w:rStyle w:val="TextoNormalCaracter"/>
          </w:rPr>
          <w:t>106/1985</w:t>
        </w:r>
      </w:hyperlink>
      <w:r w:rsidRPr="00506787">
        <w:rPr>
          <w:rStyle w:val="TextoNormalCaracter"/>
        </w:rPr>
        <w:t xml:space="preserve">; </w:t>
      </w:r>
      <w:hyperlink w:anchor="AUTO_1985_124" w:history="1">
        <w:r w:rsidRPr="00506787">
          <w:rPr>
            <w:rStyle w:val="TextoNormalCaracter"/>
          </w:rPr>
          <w:t>124/1985</w:t>
        </w:r>
      </w:hyperlink>
      <w:r w:rsidRPr="00506787">
        <w:rPr>
          <w:rStyle w:val="TextoNormalCaracter"/>
        </w:rPr>
        <w:t xml:space="preserve">; </w:t>
      </w:r>
      <w:hyperlink w:anchor="AUTO_1985_133" w:history="1">
        <w:r w:rsidRPr="00506787">
          <w:rPr>
            <w:rStyle w:val="TextoNormalCaracter"/>
          </w:rPr>
          <w:t>133/1985</w:t>
        </w:r>
      </w:hyperlink>
      <w:r w:rsidRPr="00506787">
        <w:rPr>
          <w:rStyle w:val="TextoNormalCaracter"/>
        </w:rPr>
        <w:t xml:space="preserve">; </w:t>
      </w:r>
      <w:hyperlink w:anchor="AUTO_1985_191" w:history="1">
        <w:r w:rsidRPr="00506787">
          <w:rPr>
            <w:rStyle w:val="TextoNormalCaracter"/>
          </w:rPr>
          <w:t>191/1985</w:t>
        </w:r>
      </w:hyperlink>
      <w:r w:rsidRPr="00506787">
        <w:rPr>
          <w:rStyle w:val="TextoNormalCaracter"/>
        </w:rPr>
        <w:t xml:space="preserve">; </w:t>
      </w:r>
      <w:hyperlink w:anchor="AUTO_1985_193" w:history="1">
        <w:r w:rsidRPr="00506787">
          <w:rPr>
            <w:rStyle w:val="TextoNormalCaracter"/>
          </w:rPr>
          <w:t>193/1985</w:t>
        </w:r>
      </w:hyperlink>
      <w:r w:rsidRPr="00506787">
        <w:rPr>
          <w:rStyle w:val="TextoNormalCaracter"/>
        </w:rPr>
        <w:t xml:space="preserve">; </w:t>
      </w:r>
      <w:hyperlink w:anchor="AUTO_1985_194" w:history="1">
        <w:r w:rsidRPr="00506787">
          <w:rPr>
            <w:rStyle w:val="TextoNormalCaracter"/>
          </w:rPr>
          <w:t>194/1985</w:t>
        </w:r>
      </w:hyperlink>
      <w:r w:rsidRPr="00506787">
        <w:rPr>
          <w:rStyle w:val="TextoNormalCaracter"/>
        </w:rPr>
        <w:t xml:space="preserve">; </w:t>
      </w:r>
      <w:hyperlink w:anchor="AUTO_1985_198" w:history="1">
        <w:r w:rsidRPr="00506787">
          <w:rPr>
            <w:rStyle w:val="TextoNormalCaracter"/>
          </w:rPr>
          <w:t>198/1985</w:t>
        </w:r>
      </w:hyperlink>
      <w:r w:rsidRPr="00506787">
        <w:rPr>
          <w:rStyle w:val="TextoNormalCaracter"/>
        </w:rPr>
        <w:t xml:space="preserve">; </w:t>
      </w:r>
      <w:hyperlink w:anchor="AUTO_1985_204" w:history="1">
        <w:r w:rsidRPr="00506787">
          <w:rPr>
            <w:rStyle w:val="TextoNormalCaracter"/>
          </w:rPr>
          <w:t>204/1985</w:t>
        </w:r>
      </w:hyperlink>
      <w:r w:rsidRPr="00506787">
        <w:rPr>
          <w:rStyle w:val="TextoNormalCaracter"/>
        </w:rPr>
        <w:t xml:space="preserve">; </w:t>
      </w:r>
      <w:hyperlink w:anchor="AUTO_1985_207" w:history="1">
        <w:r w:rsidRPr="00506787">
          <w:rPr>
            <w:rStyle w:val="TextoNormalCaracter"/>
          </w:rPr>
          <w:t>207/1985</w:t>
        </w:r>
      </w:hyperlink>
      <w:r w:rsidRPr="00506787">
        <w:rPr>
          <w:rStyle w:val="TextoNormalCaracter"/>
        </w:rPr>
        <w:t xml:space="preserve">; </w:t>
      </w:r>
      <w:hyperlink w:anchor="AUTO_1985_216" w:history="1">
        <w:r w:rsidRPr="00506787">
          <w:rPr>
            <w:rStyle w:val="TextoNormalCaracter"/>
          </w:rPr>
          <w:t>216/1985</w:t>
        </w:r>
      </w:hyperlink>
      <w:r w:rsidRPr="00506787">
        <w:rPr>
          <w:rStyle w:val="TextoNormalCaracter"/>
        </w:rPr>
        <w:t xml:space="preserve">; </w:t>
      </w:r>
      <w:hyperlink w:anchor="AUTO_1985_219" w:history="1">
        <w:r w:rsidRPr="00506787">
          <w:rPr>
            <w:rStyle w:val="TextoNormalCaracter"/>
          </w:rPr>
          <w:t>219/1985</w:t>
        </w:r>
      </w:hyperlink>
      <w:r w:rsidRPr="00506787">
        <w:rPr>
          <w:rStyle w:val="TextoNormalCaracter"/>
        </w:rPr>
        <w:t xml:space="preserve">; </w:t>
      </w:r>
      <w:hyperlink w:anchor="AUTO_1985_256" w:history="1">
        <w:r w:rsidRPr="00506787">
          <w:rPr>
            <w:rStyle w:val="TextoNormalCaracter"/>
          </w:rPr>
          <w:t>256/1985</w:t>
        </w:r>
      </w:hyperlink>
      <w:r w:rsidRPr="00506787">
        <w:rPr>
          <w:rStyle w:val="TextoNormalCaracter"/>
        </w:rPr>
        <w:t>.</w:t>
      </w:r>
    </w:p>
    <w:p w:rsidR="00506787" w:rsidRPr="00506787" w:rsidRDefault="00506787" w:rsidP="00506787">
      <w:pPr>
        <w:pStyle w:val="TextoNormalSangraFrancesa"/>
        <w:rPr>
          <w:rStyle w:val="TextoNormalCaracter"/>
        </w:rPr>
      </w:pPr>
      <w:bookmarkStart w:id="1406" w:name="DESCRIPTORALFABETICO564"/>
      <w:r w:rsidRPr="00506787">
        <w:rPr>
          <w:rStyle w:val="TextoNormalNegritaCaracter"/>
        </w:rPr>
        <w:t>Procedimiento de extradición</w:t>
      </w:r>
      <w:bookmarkEnd w:id="1406"/>
      <w:r w:rsidRPr="00506787">
        <w:rPr>
          <w:rStyle w:val="TextoNormalCaracter"/>
        </w:rPr>
        <w:t xml:space="preserve">, Auto </w:t>
      </w:r>
      <w:hyperlink w:anchor="AUTO_1985_196" w:history="1">
        <w:r w:rsidRPr="00506787">
          <w:rPr>
            <w:rStyle w:val="TextoNormalCaracter"/>
          </w:rPr>
          <w:t>196/1985</w:t>
        </w:r>
      </w:hyperlink>
      <w:r w:rsidRPr="00506787">
        <w:rPr>
          <w:rStyle w:val="TextoNormalCaracter"/>
        </w:rPr>
        <w:t>.</w:t>
      </w:r>
    </w:p>
    <w:p w:rsidR="00506787" w:rsidRPr="00506787" w:rsidRDefault="00506787" w:rsidP="00506787">
      <w:pPr>
        <w:pStyle w:val="TextoNormalSangraFrancesa"/>
        <w:rPr>
          <w:rStyle w:val="TextoNormalCaracter"/>
        </w:rPr>
      </w:pPr>
      <w:bookmarkStart w:id="1407" w:name="DESCRIPTORALFABETICO574"/>
      <w:r w:rsidRPr="00506787">
        <w:rPr>
          <w:rStyle w:val="TextoNormalNegritaCaracter"/>
        </w:rPr>
        <w:t>Procedimiento en el juicio de faltas</w:t>
      </w:r>
      <w:bookmarkEnd w:id="1407"/>
      <w:r w:rsidRPr="00506787">
        <w:rPr>
          <w:rStyle w:val="TextoNormalCaracter"/>
        </w:rPr>
        <w:t xml:space="preserve">, Sentencia </w:t>
      </w:r>
      <w:hyperlink w:anchor="SENTENCIA_1985_34" w:history="1">
        <w:r w:rsidRPr="00506787">
          <w:rPr>
            <w:rStyle w:val="TextoNormalCaracter"/>
          </w:rPr>
          <w:t>34/1985</w:t>
        </w:r>
      </w:hyperlink>
      <w:r w:rsidRPr="00506787">
        <w:rPr>
          <w:rStyle w:val="TextoNormalCaracter"/>
        </w:rPr>
        <w:t>, f. 2.</w:t>
      </w:r>
    </w:p>
    <w:p w:rsidR="00506787" w:rsidRPr="00506787" w:rsidRDefault="00506787" w:rsidP="00506787">
      <w:pPr>
        <w:pStyle w:val="TextoNormalSangraFrancesa"/>
        <w:rPr>
          <w:rStyle w:val="TextoNormalNegritaCaracter"/>
        </w:rPr>
      </w:pPr>
      <w:r w:rsidRPr="00506787">
        <w:rPr>
          <w:rStyle w:val="TextoNormalCursivaCaracter"/>
        </w:rPr>
        <w:t>Procedimiento hipotecario</w:t>
      </w:r>
      <w:r>
        <w:t xml:space="preserve"> véase </w:t>
      </w:r>
      <w:hyperlink w:anchor="DESCRIPTORALFABETICO542" w:history="1">
        <w:r w:rsidRPr="00506787">
          <w:rPr>
            <w:rStyle w:val="TextoNormalNegritaCaracter"/>
          </w:rPr>
          <w:t>Proceso de ejecución hipotecaria</w:t>
        </w:r>
      </w:hyperlink>
    </w:p>
    <w:p w:rsidR="00506787" w:rsidRPr="00506787" w:rsidRDefault="00506787" w:rsidP="00506787">
      <w:pPr>
        <w:pStyle w:val="TextoNormalSangraFrancesa"/>
        <w:rPr>
          <w:rStyle w:val="TextoNormalCaracter"/>
        </w:rPr>
      </w:pPr>
      <w:bookmarkStart w:id="1408" w:name="DESCRIPTORALFABETICO429"/>
      <w:r w:rsidRPr="00506787">
        <w:rPr>
          <w:rStyle w:val="TextoNormalNegritaCaracter"/>
        </w:rPr>
        <w:t>Procedimiento judicial</w:t>
      </w:r>
      <w:bookmarkEnd w:id="1408"/>
      <w:r w:rsidRPr="00506787">
        <w:rPr>
          <w:rStyle w:val="TextoNormalCaracter"/>
        </w:rPr>
        <w:t xml:space="preserve">, Sentencia </w:t>
      </w:r>
      <w:hyperlink w:anchor="SENTENCIA_1985_36" w:history="1">
        <w:r w:rsidRPr="00506787">
          <w:rPr>
            <w:rStyle w:val="TextoNormalCaracter"/>
          </w:rPr>
          <w:t>36/1985</w:t>
        </w:r>
      </w:hyperlink>
      <w:r w:rsidRPr="00506787">
        <w:rPr>
          <w:rStyle w:val="TextoNormalCaracter"/>
        </w:rPr>
        <w:t>, f. 4.</w:t>
      </w:r>
    </w:p>
    <w:p w:rsidR="00506787" w:rsidRPr="00506787" w:rsidRDefault="00506787" w:rsidP="00506787">
      <w:pPr>
        <w:pStyle w:val="TextoNormalSangraFrancesa"/>
        <w:rPr>
          <w:rStyle w:val="TextoNormalCaracter"/>
        </w:rPr>
      </w:pPr>
      <w:bookmarkStart w:id="1409" w:name="DESCRIPTORALFABETICO578"/>
      <w:r w:rsidRPr="00506787">
        <w:rPr>
          <w:rStyle w:val="TextoNormalNegritaCaracter"/>
        </w:rPr>
        <w:t>Procesamiento</w:t>
      </w:r>
      <w:bookmarkEnd w:id="1409"/>
      <w:r w:rsidRPr="00506787">
        <w:rPr>
          <w:rStyle w:val="TextoNormalCaracter"/>
        </w:rPr>
        <w:t xml:space="preserve">, Sentencia </w:t>
      </w:r>
      <w:hyperlink w:anchor="SENTENCIA_1985_30" w:history="1">
        <w:r w:rsidRPr="00506787">
          <w:rPr>
            <w:rStyle w:val="TextoNormalCaracter"/>
          </w:rPr>
          <w:t>30/1985</w:t>
        </w:r>
      </w:hyperlink>
      <w:r w:rsidRPr="00506787">
        <w:rPr>
          <w:rStyle w:val="TextoNormalCaracter"/>
        </w:rPr>
        <w:t>, f. 2.</w:t>
      </w:r>
    </w:p>
    <w:p w:rsidR="00506787" w:rsidRPr="00506787" w:rsidRDefault="00506787" w:rsidP="00506787">
      <w:pPr>
        <w:pStyle w:val="TextoNormalSangraFrancesa"/>
        <w:rPr>
          <w:rStyle w:val="TextoNormalCaracter"/>
        </w:rPr>
      </w:pPr>
      <w:bookmarkStart w:id="1410" w:name="DESCRIPTORALFABETICO543"/>
      <w:r w:rsidRPr="00506787">
        <w:rPr>
          <w:rStyle w:val="TextoNormalNegritaCaracter"/>
        </w:rPr>
        <w:t>Proceso contencioso-administrativo</w:t>
      </w:r>
      <w:bookmarkEnd w:id="1410"/>
      <w:r w:rsidRPr="00506787">
        <w:rPr>
          <w:rStyle w:val="TextoNormalCaracter"/>
        </w:rPr>
        <w:t xml:space="preserve">, Sentencia </w:t>
      </w:r>
      <w:hyperlink w:anchor="SENTENCIA_1985_4" w:history="1">
        <w:r w:rsidRPr="00506787">
          <w:rPr>
            <w:rStyle w:val="TextoNormalCaracter"/>
          </w:rPr>
          <w:t>4/1985</w:t>
        </w:r>
      </w:hyperlink>
      <w:r w:rsidRPr="00506787">
        <w:rPr>
          <w:rStyle w:val="TextoNormalCaracter"/>
        </w:rPr>
        <w:t>, ff. 2,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28" w:history="1">
        <w:r w:rsidRPr="00506787">
          <w:rPr>
            <w:rStyle w:val="TextoNormalCaracter"/>
          </w:rPr>
          <w:t>28/1985</w:t>
        </w:r>
      </w:hyperlink>
      <w:r w:rsidRPr="00506787">
        <w:rPr>
          <w:rStyle w:val="TextoNormalCaracter"/>
        </w:rPr>
        <w:t xml:space="preserve">; </w:t>
      </w:r>
      <w:hyperlink w:anchor="AUTO_1985_80" w:history="1">
        <w:r w:rsidRPr="00506787">
          <w:rPr>
            <w:rStyle w:val="TextoNormalCaracter"/>
          </w:rPr>
          <w:t>80/1985</w:t>
        </w:r>
      </w:hyperlink>
      <w:r w:rsidRPr="00506787">
        <w:rPr>
          <w:rStyle w:val="TextoNormalCaracter"/>
        </w:rPr>
        <w:t xml:space="preserve">; </w:t>
      </w:r>
      <w:hyperlink w:anchor="AUTO_1985_134" w:history="1">
        <w:r w:rsidRPr="00506787">
          <w:rPr>
            <w:rStyle w:val="TextoNormalCaracter"/>
          </w:rPr>
          <w:t>134/1985</w:t>
        </w:r>
      </w:hyperlink>
      <w:r w:rsidRPr="00506787">
        <w:rPr>
          <w:rStyle w:val="TextoNormalCaracter"/>
        </w:rPr>
        <w:t xml:space="preserve">; </w:t>
      </w:r>
      <w:hyperlink w:anchor="AUTO_1985_218" w:history="1">
        <w:r w:rsidRPr="00506787">
          <w:rPr>
            <w:rStyle w:val="TextoNormalCaracter"/>
          </w:rPr>
          <w:t>218/1985</w:t>
        </w:r>
      </w:hyperlink>
      <w:r w:rsidRPr="00506787">
        <w:rPr>
          <w:rStyle w:val="TextoNormalCaracter"/>
        </w:rPr>
        <w:t>.</w:t>
      </w:r>
    </w:p>
    <w:p w:rsidR="00506787" w:rsidRPr="00506787" w:rsidRDefault="00506787" w:rsidP="00506787">
      <w:pPr>
        <w:pStyle w:val="TextoNormalSangraFrancesa"/>
        <w:rPr>
          <w:rStyle w:val="TextoNormalCaracter"/>
        </w:rPr>
      </w:pPr>
      <w:bookmarkStart w:id="1411" w:name="DESCRIPTORALFABETICO542"/>
      <w:r w:rsidRPr="00506787">
        <w:rPr>
          <w:rStyle w:val="TextoNormalNegritaCaracter"/>
        </w:rPr>
        <w:t>Proceso de ejecución hipotecaria</w:t>
      </w:r>
      <w:bookmarkEnd w:id="1411"/>
      <w:r w:rsidRPr="00506787">
        <w:rPr>
          <w:rStyle w:val="TextoNormalCaracter"/>
        </w:rPr>
        <w:t xml:space="preserve">, Sentencia </w:t>
      </w:r>
      <w:hyperlink w:anchor="SENTENCIA_1985_21" w:history="1">
        <w:r w:rsidRPr="00506787">
          <w:rPr>
            <w:rStyle w:val="TextoNormalCaracter"/>
          </w:rPr>
          <w:t>21/1985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09" w:history="1">
        <w:r w:rsidRPr="00506787">
          <w:rPr>
            <w:rStyle w:val="TextoNormalCaracter"/>
          </w:rPr>
          <w:t>109/1985</w:t>
        </w:r>
      </w:hyperlink>
      <w:r w:rsidRPr="00506787">
        <w:rPr>
          <w:rStyle w:val="TextoNormalCaracter"/>
        </w:rPr>
        <w:t xml:space="preserve">; </w:t>
      </w:r>
      <w:hyperlink w:anchor="AUTO_1985_248" w:history="1">
        <w:r w:rsidRPr="00506787">
          <w:rPr>
            <w:rStyle w:val="TextoNormalCaracter"/>
          </w:rPr>
          <w:t>248/1985</w:t>
        </w:r>
      </w:hyperlink>
      <w:r w:rsidRPr="00506787">
        <w:rPr>
          <w:rStyle w:val="TextoNormalCaracter"/>
        </w:rPr>
        <w:t>.</w:t>
      </w:r>
    </w:p>
    <w:p w:rsidR="00506787" w:rsidRPr="00506787" w:rsidRDefault="00506787" w:rsidP="00506787">
      <w:pPr>
        <w:pStyle w:val="TextoNormalSangraFrancesa"/>
        <w:rPr>
          <w:rStyle w:val="TextoNormalCaracter"/>
        </w:rPr>
      </w:pPr>
      <w:bookmarkStart w:id="1412" w:name="DESCRIPTORALFABETICO545"/>
      <w:r w:rsidRPr="00506787">
        <w:rPr>
          <w:rStyle w:val="TextoNormalNegritaCaracter"/>
        </w:rPr>
        <w:t>Proceso laboral</w:t>
      </w:r>
      <w:bookmarkEnd w:id="1412"/>
      <w:r w:rsidRPr="00506787">
        <w:rPr>
          <w:rStyle w:val="TextoNormalCaracter"/>
        </w:rPr>
        <w:t xml:space="preserve">, Sentencia </w:t>
      </w:r>
      <w:hyperlink w:anchor="SENTENCIA_1985_36" w:history="1">
        <w:r w:rsidRPr="00506787">
          <w:rPr>
            <w:rStyle w:val="TextoNormalCaracter"/>
          </w:rPr>
          <w:t>36/1985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25" w:history="1">
        <w:r w:rsidRPr="00506787">
          <w:rPr>
            <w:rStyle w:val="TextoNormalCaracter"/>
          </w:rPr>
          <w:t>25/1985</w:t>
        </w:r>
      </w:hyperlink>
      <w:r w:rsidRPr="00506787">
        <w:rPr>
          <w:rStyle w:val="TextoNormalCaracter"/>
        </w:rPr>
        <w:t xml:space="preserve">; </w:t>
      </w:r>
      <w:hyperlink w:anchor="AUTO_1985_273" w:history="1">
        <w:r w:rsidRPr="00506787">
          <w:rPr>
            <w:rStyle w:val="TextoNormalCaracter"/>
          </w:rPr>
          <w:t>273/1985</w:t>
        </w:r>
      </w:hyperlink>
      <w:r w:rsidRPr="00506787">
        <w:rPr>
          <w:rStyle w:val="TextoNormalCaracter"/>
        </w:rPr>
        <w:t>.</w:t>
      </w:r>
    </w:p>
    <w:p w:rsidR="00506787" w:rsidRPr="00506787" w:rsidRDefault="00506787" w:rsidP="00506787">
      <w:pPr>
        <w:pStyle w:val="TextoNormalSangraFrancesa"/>
        <w:rPr>
          <w:rStyle w:val="TextoNormalCaracter"/>
        </w:rPr>
      </w:pPr>
      <w:bookmarkStart w:id="1413" w:name="DESCRIPTORALFABETICO553"/>
      <w:r w:rsidRPr="00506787">
        <w:rPr>
          <w:rStyle w:val="TextoNormalNegritaCaracter"/>
        </w:rPr>
        <w:t>Proceso penal</w:t>
      </w:r>
      <w:bookmarkEnd w:id="1413"/>
      <w:r w:rsidRPr="00506787">
        <w:rPr>
          <w:rStyle w:val="TextoNormalCaracter"/>
        </w:rPr>
        <w:t xml:space="preserve">, Sentencias </w:t>
      </w:r>
      <w:hyperlink w:anchor="SENTENCIA_1985_1" w:history="1">
        <w:r w:rsidRPr="00506787">
          <w:rPr>
            <w:rStyle w:val="TextoNormalCaracter"/>
          </w:rPr>
          <w:t>1/1985</w:t>
        </w:r>
      </w:hyperlink>
      <w:r w:rsidRPr="00506787">
        <w:rPr>
          <w:rStyle w:val="TextoNormalCaracter"/>
        </w:rPr>
        <w:t xml:space="preserve">, f. 4; </w:t>
      </w:r>
      <w:hyperlink w:anchor="SENTENCIA_1985_44" w:history="1">
        <w:r w:rsidRPr="00506787">
          <w:rPr>
            <w:rStyle w:val="TextoNormalCaracter"/>
          </w:rPr>
          <w:t>44/1985</w:t>
        </w:r>
      </w:hyperlink>
      <w:r w:rsidRPr="00506787">
        <w:rPr>
          <w:rStyle w:val="TextoNormalCaracter"/>
        </w:rPr>
        <w:t xml:space="preserve">, f. 3; </w:t>
      </w:r>
      <w:hyperlink w:anchor="SENTENCIA_1985_54" w:history="1">
        <w:r w:rsidRPr="00506787">
          <w:rPr>
            <w:rStyle w:val="TextoNormalCaracter"/>
          </w:rPr>
          <w:t>54/1985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31" w:history="1">
        <w:r w:rsidRPr="00506787">
          <w:rPr>
            <w:rStyle w:val="TextoNormalCaracter"/>
          </w:rPr>
          <w:t>31/1985</w:t>
        </w:r>
      </w:hyperlink>
      <w:r w:rsidRPr="00506787">
        <w:rPr>
          <w:rStyle w:val="TextoNormalCaracter"/>
        </w:rPr>
        <w:t>.</w:t>
      </w:r>
    </w:p>
    <w:p w:rsidR="00506787" w:rsidRPr="00506787" w:rsidRDefault="00506787" w:rsidP="00506787">
      <w:pPr>
        <w:pStyle w:val="TextoNormalSangraFrancesa"/>
        <w:rPr>
          <w:rStyle w:val="TextoNormalCaracter"/>
        </w:rPr>
      </w:pPr>
      <w:bookmarkStart w:id="1414" w:name="DESCRIPTORALFABETICO159"/>
      <w:r w:rsidRPr="00506787">
        <w:rPr>
          <w:rStyle w:val="TextoNormalNegritaCaracter"/>
        </w:rPr>
        <w:t>Procesos constitucionales</w:t>
      </w:r>
      <w:bookmarkEnd w:id="1414"/>
      <w:r w:rsidRPr="00506787">
        <w:rPr>
          <w:rStyle w:val="TextoNormalCaracter"/>
        </w:rPr>
        <w:t xml:space="preserve">, Auto </w:t>
      </w:r>
      <w:hyperlink w:anchor="AUTO_1985_43" w:history="1">
        <w:r w:rsidRPr="00506787">
          <w:rPr>
            <w:rStyle w:val="TextoNormalCaracter"/>
          </w:rPr>
          <w:t>43/1985</w:t>
        </w:r>
      </w:hyperlink>
      <w:r w:rsidRPr="00506787">
        <w:rPr>
          <w:rStyle w:val="TextoNormalCaracter"/>
        </w:rPr>
        <w:t>.</w:t>
      </w:r>
    </w:p>
    <w:p w:rsidR="00506787" w:rsidRPr="00506787" w:rsidRDefault="00506787" w:rsidP="00506787">
      <w:pPr>
        <w:pStyle w:val="TextoNormalSangraFrancesa"/>
        <w:rPr>
          <w:rStyle w:val="TextoNormalCaracter"/>
        </w:rPr>
      </w:pPr>
      <w:bookmarkStart w:id="1415" w:name="DESCRIPTORALFABETICO511"/>
      <w:r w:rsidRPr="00506787">
        <w:rPr>
          <w:rStyle w:val="TextoNormalNegritaCaracter"/>
        </w:rPr>
        <w:t>Procuradores de los tribunales</w:t>
      </w:r>
      <w:bookmarkEnd w:id="1415"/>
      <w:r w:rsidRPr="00506787">
        <w:rPr>
          <w:rStyle w:val="TextoNormalCaracter"/>
        </w:rPr>
        <w:t xml:space="preserve">, Autos </w:t>
      </w:r>
      <w:hyperlink w:anchor="AUTO_1985_21" w:history="1">
        <w:r w:rsidRPr="00506787">
          <w:rPr>
            <w:rStyle w:val="TextoNormalCaracter"/>
          </w:rPr>
          <w:t>21/1985</w:t>
        </w:r>
      </w:hyperlink>
      <w:r w:rsidRPr="00506787">
        <w:rPr>
          <w:rStyle w:val="TextoNormalCaracter"/>
        </w:rPr>
        <w:t xml:space="preserve">; </w:t>
      </w:r>
      <w:hyperlink w:anchor="AUTO_1985_23" w:history="1">
        <w:r w:rsidRPr="00506787">
          <w:rPr>
            <w:rStyle w:val="TextoNormalCaracter"/>
          </w:rPr>
          <w:t>23/1985</w:t>
        </w:r>
      </w:hyperlink>
      <w:r w:rsidRPr="00506787">
        <w:rPr>
          <w:rStyle w:val="TextoNormalCaracter"/>
        </w:rPr>
        <w:t xml:space="preserve">; </w:t>
      </w:r>
      <w:hyperlink w:anchor="AUTO_1985_210" w:history="1">
        <w:r w:rsidRPr="00506787">
          <w:rPr>
            <w:rStyle w:val="TextoNormalCaracter"/>
          </w:rPr>
          <w:t>210/1985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Profesorado</w:t>
      </w:r>
      <w:r>
        <w:t xml:space="preserve"> véase </w:t>
      </w:r>
      <w:hyperlink w:anchor="DESCRIPTORALFABETICO295" w:history="1">
        <w:r w:rsidRPr="00506787">
          <w:rPr>
            <w:rStyle w:val="TextoNormalNegritaCaracter"/>
          </w:rPr>
          <w:t>Profesores</w:t>
        </w:r>
      </w:hyperlink>
    </w:p>
    <w:p w:rsidR="00506787" w:rsidRPr="00506787" w:rsidRDefault="00506787" w:rsidP="00506787">
      <w:pPr>
        <w:pStyle w:val="TextoNormalSangraFrancesa"/>
        <w:rPr>
          <w:rStyle w:val="TextoNormalCaracter"/>
        </w:rPr>
      </w:pPr>
      <w:bookmarkStart w:id="1416" w:name="DESCRIPTORALFABETICO295"/>
      <w:r w:rsidRPr="00506787">
        <w:rPr>
          <w:rStyle w:val="TextoNormalNegritaCaracter"/>
        </w:rPr>
        <w:t>Profesores</w:t>
      </w:r>
      <w:bookmarkEnd w:id="1416"/>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ff. 1, 2, 3, 4, 5.</w:t>
      </w:r>
    </w:p>
    <w:p w:rsidR="00506787" w:rsidRPr="00506787" w:rsidRDefault="00506787" w:rsidP="00506787">
      <w:pPr>
        <w:pStyle w:val="TextoNormalSangraFrancesa"/>
        <w:rPr>
          <w:rStyle w:val="TextoNormalCaracter"/>
        </w:rPr>
      </w:pPr>
      <w:bookmarkStart w:id="1417" w:name="DESCRIPTORALFABETICO66"/>
      <w:r w:rsidRPr="00506787">
        <w:rPr>
          <w:rStyle w:val="TextoNormalNegritaCaracter"/>
        </w:rPr>
        <w:t xml:space="preserve">Protección del </w:t>
      </w:r>
      <w:r w:rsidRPr="00506787">
        <w:rPr>
          <w:rStyle w:val="TextoNormalNegritaCaracter"/>
          <w:i/>
        </w:rPr>
        <w:t>nasciturus</w:t>
      </w:r>
      <w:bookmarkEnd w:id="1417"/>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ff. 5, 9.</w:t>
      </w:r>
    </w:p>
    <w:p w:rsidR="00506787" w:rsidRPr="00506787" w:rsidRDefault="00506787" w:rsidP="00506787">
      <w:pPr>
        <w:pStyle w:val="TextoNormalSangraFrancesa"/>
        <w:rPr>
          <w:rStyle w:val="TextoNormalCaracter"/>
        </w:rPr>
      </w:pPr>
      <w:bookmarkStart w:id="1418" w:name="DESCRIPTORALFABETICO122"/>
      <w:r w:rsidRPr="00506787">
        <w:rPr>
          <w:rStyle w:val="TextoNormalNegritaCaracter"/>
        </w:rPr>
        <w:t>Protección jurisdiccional en el orden social</w:t>
      </w:r>
      <w:bookmarkEnd w:id="1418"/>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 5.</w:t>
      </w:r>
    </w:p>
    <w:p w:rsidR="00506787" w:rsidRPr="00506787" w:rsidRDefault="00506787" w:rsidP="00506787">
      <w:pPr>
        <w:pStyle w:val="TextoNormalSangraFrancesa"/>
        <w:rPr>
          <w:rStyle w:val="TextoNormalCaracter"/>
        </w:rPr>
      </w:pPr>
      <w:bookmarkStart w:id="1419" w:name="DESCRIPTORALFABETICO281"/>
      <w:r w:rsidRPr="00506787">
        <w:rPr>
          <w:rStyle w:val="TextoNormalNegritaCaracter"/>
        </w:rPr>
        <w:t>Protesto</w:t>
      </w:r>
      <w:bookmarkEnd w:id="1419"/>
      <w:r w:rsidRPr="00506787">
        <w:rPr>
          <w:rStyle w:val="TextoNormalCaracter"/>
        </w:rPr>
        <w:t xml:space="preserve">, Sentencia </w:t>
      </w:r>
      <w:hyperlink w:anchor="SENTENCIA_1985_21" w:history="1">
        <w:r w:rsidRPr="00506787">
          <w:rPr>
            <w:rStyle w:val="TextoNormalCaracter"/>
          </w:rPr>
          <w:t>21/1985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178" w:history="1">
        <w:r w:rsidRPr="00506787">
          <w:rPr>
            <w:rStyle w:val="TextoNormalCaracter"/>
          </w:rPr>
          <w:t>178/1985</w:t>
        </w:r>
      </w:hyperlink>
      <w:r w:rsidRPr="00506787">
        <w:rPr>
          <w:rStyle w:val="TextoNormalCaracter"/>
        </w:rPr>
        <w:t>.</w:t>
      </w:r>
    </w:p>
    <w:p w:rsidR="00506787" w:rsidRPr="00506787" w:rsidRDefault="00506787" w:rsidP="00506787">
      <w:pPr>
        <w:pStyle w:val="TextoNormalSangraFrancesa"/>
        <w:rPr>
          <w:rStyle w:val="TextoNormalCaracter"/>
        </w:rPr>
      </w:pPr>
      <w:bookmarkStart w:id="1420" w:name="DESCRIPTORALFABETICO232"/>
      <w:r w:rsidRPr="00506787">
        <w:rPr>
          <w:rStyle w:val="TextoNormalNegritaCaracter"/>
        </w:rPr>
        <w:t>Protocolo</w:t>
      </w:r>
      <w:bookmarkEnd w:id="1420"/>
      <w:r w:rsidRPr="00506787">
        <w:rPr>
          <w:rStyle w:val="TextoNormalCaracter"/>
        </w:rPr>
        <w:t xml:space="preserve">, Sentencia </w:t>
      </w:r>
      <w:hyperlink w:anchor="SENTENCIA_1985_12" w:history="1">
        <w:r w:rsidRPr="00506787">
          <w:rPr>
            <w:rStyle w:val="TextoNormalCaracter"/>
          </w:rPr>
          <w:t>12/1985</w:t>
        </w:r>
      </w:hyperlink>
      <w:r w:rsidRPr="00506787">
        <w:rPr>
          <w:rStyle w:val="TextoNormalCaracter"/>
        </w:rPr>
        <w:t>, ff. 3, 4.</w:t>
      </w:r>
    </w:p>
    <w:p w:rsidR="00506787" w:rsidRPr="00506787" w:rsidRDefault="00506787" w:rsidP="00506787">
      <w:pPr>
        <w:pStyle w:val="TextoNormalSangraFrancesa"/>
        <w:rPr>
          <w:rStyle w:val="TextoNormalCaracter"/>
        </w:rPr>
      </w:pPr>
      <w:bookmarkStart w:id="1421" w:name="DESCRIPTORALFABETICO280"/>
      <w:r w:rsidRPr="00506787">
        <w:rPr>
          <w:rStyle w:val="TextoNormalNegritaCaracter"/>
        </w:rPr>
        <w:t>Provisión de fondos</w:t>
      </w:r>
      <w:bookmarkEnd w:id="1421"/>
      <w:r w:rsidRPr="00506787">
        <w:rPr>
          <w:rStyle w:val="TextoNormalCaracter"/>
        </w:rPr>
        <w:t xml:space="preserve">, Auto </w:t>
      </w:r>
      <w:hyperlink w:anchor="AUTO_1985_121" w:history="1">
        <w:r w:rsidRPr="00506787">
          <w:rPr>
            <w:rStyle w:val="TextoNormalCaracter"/>
          </w:rPr>
          <w:t>121/1985</w:t>
        </w:r>
      </w:hyperlink>
      <w:r w:rsidRPr="00506787">
        <w:rPr>
          <w:rStyle w:val="TextoNormalCaracter"/>
        </w:rPr>
        <w:t>.</w:t>
      </w:r>
    </w:p>
    <w:p w:rsidR="00506787" w:rsidRPr="00506787" w:rsidRDefault="00506787" w:rsidP="00506787">
      <w:pPr>
        <w:pStyle w:val="TextoNormalSangraFrancesa"/>
        <w:rPr>
          <w:rStyle w:val="TextoNormalCaracter"/>
        </w:rPr>
      </w:pPr>
      <w:bookmarkStart w:id="1422" w:name="DESCRIPTORALFABETICO480"/>
      <w:r w:rsidRPr="00506787">
        <w:rPr>
          <w:rStyle w:val="TextoNormalNegritaCaracter"/>
        </w:rPr>
        <w:t>Prueba de alcoholemia</w:t>
      </w:r>
      <w:bookmarkEnd w:id="1422"/>
      <w:r w:rsidRPr="00506787">
        <w:rPr>
          <w:rStyle w:val="TextoNormalCaracter"/>
        </w:rPr>
        <w:t xml:space="preserve">, Auto </w:t>
      </w:r>
      <w:hyperlink w:anchor="AUTO_1985_58" w:history="1">
        <w:r w:rsidRPr="00506787">
          <w:rPr>
            <w:rStyle w:val="TextoNormalCaracter"/>
          </w:rPr>
          <w:t>58/1985</w:t>
        </w:r>
      </w:hyperlink>
      <w:r w:rsidRPr="00506787">
        <w:rPr>
          <w:rStyle w:val="TextoNormalCaracter"/>
        </w:rPr>
        <w:t>.</w:t>
      </w:r>
    </w:p>
    <w:p w:rsidR="00506787" w:rsidRPr="00506787" w:rsidRDefault="00506787" w:rsidP="00506787">
      <w:pPr>
        <w:pStyle w:val="TextoNormalSangraFrancesa"/>
        <w:rPr>
          <w:rStyle w:val="TextoNormalCaracter"/>
        </w:rPr>
      </w:pPr>
      <w:bookmarkStart w:id="1423" w:name="DESCRIPTORALFABETICO481"/>
      <w:r w:rsidRPr="00506787">
        <w:rPr>
          <w:rStyle w:val="TextoNormalNegritaCaracter"/>
        </w:rPr>
        <w:t>Prueba de confesión</w:t>
      </w:r>
      <w:bookmarkEnd w:id="1423"/>
      <w:r w:rsidRPr="00506787">
        <w:rPr>
          <w:rStyle w:val="TextoNormalCaracter"/>
        </w:rPr>
        <w:t xml:space="preserve">, Auto </w:t>
      </w:r>
      <w:hyperlink w:anchor="AUTO_1985_21" w:history="1">
        <w:r w:rsidRPr="00506787">
          <w:rPr>
            <w:rStyle w:val="TextoNormalCaracter"/>
          </w:rPr>
          <w:t>21/1985</w:t>
        </w:r>
      </w:hyperlink>
      <w:r w:rsidRPr="00506787">
        <w:rPr>
          <w:rStyle w:val="TextoNormalCaracter"/>
        </w:rPr>
        <w:t>.</w:t>
      </w:r>
    </w:p>
    <w:p w:rsidR="00506787" w:rsidRPr="00506787" w:rsidRDefault="00506787" w:rsidP="00506787">
      <w:pPr>
        <w:pStyle w:val="TextoNormalSangraFrancesa"/>
        <w:rPr>
          <w:rStyle w:val="TextoNormalCaracter"/>
        </w:rPr>
      </w:pPr>
      <w:bookmarkStart w:id="1424" w:name="DESCRIPTORALFABETICO581"/>
      <w:r w:rsidRPr="00506787">
        <w:rPr>
          <w:rStyle w:val="TextoNormalNegritaCaracter"/>
        </w:rPr>
        <w:t>Prueba penal</w:t>
      </w:r>
      <w:bookmarkEnd w:id="1424"/>
      <w:r w:rsidRPr="00506787">
        <w:rPr>
          <w:rStyle w:val="TextoNormalCaracter"/>
        </w:rPr>
        <w:t xml:space="preserve">, Auto </w:t>
      </w:r>
      <w:hyperlink w:anchor="AUTO_1985_21" w:history="1">
        <w:r w:rsidRPr="00506787">
          <w:rPr>
            <w:rStyle w:val="TextoNormalCaracter"/>
          </w:rPr>
          <w:t>21/1985</w:t>
        </w:r>
      </w:hyperlink>
      <w:r w:rsidRPr="00506787">
        <w:rPr>
          <w:rStyle w:val="TextoNormalCaracter"/>
        </w:rPr>
        <w:t>.</w:t>
      </w:r>
    </w:p>
    <w:p w:rsidR="00506787" w:rsidRPr="00506787" w:rsidRDefault="00506787" w:rsidP="00506787">
      <w:pPr>
        <w:pStyle w:val="TextoNormalSangraFrancesa"/>
        <w:rPr>
          <w:rStyle w:val="TextoNormalCaracter"/>
        </w:rPr>
      </w:pPr>
      <w:bookmarkStart w:id="1425" w:name="DESCRIPTORALFABETICO486"/>
      <w:r w:rsidRPr="00506787">
        <w:rPr>
          <w:rStyle w:val="TextoNormalNegritaCaracter"/>
        </w:rPr>
        <w:t>Prueba preconstituida</w:t>
      </w:r>
      <w:bookmarkEnd w:id="1425"/>
      <w:r w:rsidRPr="00506787">
        <w:rPr>
          <w:rStyle w:val="TextoNormalCaracter"/>
        </w:rPr>
        <w:t xml:space="preserve">, Auto </w:t>
      </w:r>
      <w:hyperlink w:anchor="AUTO_1985_70" w:history="1">
        <w:r w:rsidRPr="00506787">
          <w:rPr>
            <w:rStyle w:val="TextoNormalCaracter"/>
          </w:rPr>
          <w:t>70/1985</w:t>
        </w:r>
      </w:hyperlink>
      <w:r w:rsidRPr="00506787">
        <w:rPr>
          <w:rStyle w:val="TextoNormalCaracter"/>
        </w:rPr>
        <w:t>.</w:t>
      </w:r>
    </w:p>
    <w:p w:rsidR="00506787" w:rsidRPr="00506787" w:rsidRDefault="00506787" w:rsidP="00506787">
      <w:pPr>
        <w:pStyle w:val="TextoNormalSangraFrancesa"/>
        <w:rPr>
          <w:rStyle w:val="TextoNormalCaracter"/>
        </w:rPr>
      </w:pPr>
      <w:bookmarkStart w:id="1426" w:name="DESCRIPTORALFABETICO487"/>
      <w:r w:rsidRPr="00506787">
        <w:rPr>
          <w:rStyle w:val="TextoNormalNegritaCaracter"/>
        </w:rPr>
        <w:t>Prueba testifical</w:t>
      </w:r>
      <w:bookmarkEnd w:id="1426"/>
      <w:r w:rsidRPr="00506787">
        <w:rPr>
          <w:rStyle w:val="TextoNormalCaracter"/>
        </w:rPr>
        <w:t xml:space="preserve">, Auto </w:t>
      </w:r>
      <w:hyperlink w:anchor="AUTO_1985_73" w:history="1">
        <w:r w:rsidRPr="00506787">
          <w:rPr>
            <w:rStyle w:val="TextoNormalCaracter"/>
          </w:rPr>
          <w:t>73/1985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Publicidad de las actuaciones judiciales</w:t>
      </w:r>
      <w:r>
        <w:t xml:space="preserve"> véase </w:t>
      </w:r>
      <w:hyperlink w:anchor="DESCRIPTORALFABETICO516" w:history="1">
        <w:r w:rsidRPr="00506787">
          <w:rPr>
            <w:rStyle w:val="TextoNormalNegritaCaracter"/>
          </w:rPr>
          <w:t>Principio de publicidad procesal</w:t>
        </w:r>
      </w:hyperlink>
    </w:p>
    <w:p w:rsidR="00506787" w:rsidRPr="00506787" w:rsidRDefault="00506787" w:rsidP="00506787">
      <w:pPr>
        <w:pStyle w:val="TextoNormalSangraFrancesa"/>
        <w:rPr>
          <w:rStyle w:val="TextoNormalCaracter"/>
        </w:rPr>
      </w:pPr>
      <w:bookmarkStart w:id="1427" w:name="DESCRIPTORALFABETICO277"/>
      <w:r w:rsidRPr="00506787">
        <w:rPr>
          <w:rStyle w:val="TextoNormalNegritaCaracter"/>
        </w:rPr>
        <w:t>Publicidad de las circulares administrativas</w:t>
      </w:r>
      <w:bookmarkEnd w:id="1427"/>
      <w:r w:rsidRPr="00506787">
        <w:rPr>
          <w:rStyle w:val="TextoNormalCaracter"/>
        </w:rPr>
        <w:t xml:space="preserve">, Sentencia </w:t>
      </w:r>
      <w:hyperlink w:anchor="SENTENCIA_1985_45" w:history="1">
        <w:r w:rsidRPr="00506787">
          <w:rPr>
            <w:rStyle w:val="TextoNormalCaracter"/>
          </w:rPr>
          <w:t>45/1985</w:t>
        </w:r>
      </w:hyperlink>
      <w:r w:rsidRPr="00506787">
        <w:rPr>
          <w:rStyle w:val="TextoNormalCaracter"/>
        </w:rPr>
        <w:t>, f. 3.</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R</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428" w:name="DESCRIPTORALFABETICO325"/>
      <w:r w:rsidRPr="00506787">
        <w:rPr>
          <w:rStyle w:val="TextoNormalNegritaCaracter"/>
        </w:rPr>
        <w:t>Radiodifusión</w:t>
      </w:r>
      <w:bookmarkEnd w:id="1428"/>
      <w:r w:rsidRPr="00506787">
        <w:rPr>
          <w:rStyle w:val="TextoNormalCaracter"/>
        </w:rPr>
        <w:t xml:space="preserve">, Auto </w:t>
      </w:r>
      <w:hyperlink w:anchor="AUTO_1985_237" w:history="1">
        <w:r w:rsidRPr="00506787">
          <w:rPr>
            <w:rStyle w:val="TextoNormalCaracter"/>
          </w:rPr>
          <w:t>237/1985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Rango de la norma</w:t>
      </w:r>
      <w:r>
        <w:t xml:space="preserve"> véase </w:t>
      </w:r>
      <w:hyperlink w:anchor="DESCRIPTORALFABETICO351" w:history="1">
        <w:r w:rsidRPr="00506787">
          <w:rPr>
            <w:rStyle w:val="TextoNormalNegritaCaracter"/>
          </w:rPr>
          <w:t>Rango normativo</w:t>
        </w:r>
      </w:hyperlink>
    </w:p>
    <w:p w:rsidR="00506787" w:rsidRPr="00506787" w:rsidRDefault="00506787" w:rsidP="00506787">
      <w:pPr>
        <w:pStyle w:val="TextoNormalSangraFrancesa"/>
        <w:rPr>
          <w:rStyle w:val="TextoNormalCaracter"/>
        </w:rPr>
      </w:pPr>
      <w:bookmarkStart w:id="1429" w:name="DESCRIPTORALFABETICO351"/>
      <w:r w:rsidRPr="00506787">
        <w:rPr>
          <w:rStyle w:val="TextoNormalNegritaCaracter"/>
        </w:rPr>
        <w:t>Rango normativo</w:t>
      </w:r>
      <w:bookmarkEnd w:id="1429"/>
      <w:r w:rsidRPr="00506787">
        <w:rPr>
          <w:rStyle w:val="TextoNormalCaracter"/>
        </w:rPr>
        <w:t xml:space="preserve">, Sentencia </w:t>
      </w:r>
      <w:hyperlink w:anchor="SENTENCIA_1985_12" w:history="1">
        <w:r w:rsidRPr="00506787">
          <w:rPr>
            <w:rStyle w:val="TextoNormalCaracter"/>
          </w:rPr>
          <w:t>12/1985</w:t>
        </w:r>
      </w:hyperlink>
      <w:r w:rsidRPr="00506787">
        <w:rPr>
          <w:rStyle w:val="TextoNormalCaracter"/>
        </w:rPr>
        <w:t>, f. 2.</w:t>
      </w:r>
    </w:p>
    <w:p w:rsidR="00506787" w:rsidRPr="00506787" w:rsidRDefault="00506787" w:rsidP="00506787">
      <w:pPr>
        <w:pStyle w:val="TextoNormalSangraFrancesa"/>
        <w:rPr>
          <w:rStyle w:val="TextoNormalNegritaCaracter"/>
        </w:rPr>
      </w:pPr>
      <w:r w:rsidRPr="00506787">
        <w:rPr>
          <w:rStyle w:val="TextoNormalCursivaCaracter"/>
        </w:rPr>
        <w:lastRenderedPageBreak/>
        <w:t>Razonabilidad del cambio en la interpretación de las normas jurídicas</w:t>
      </w:r>
      <w:r>
        <w:t xml:space="preserve"> véase </w:t>
      </w:r>
      <w:hyperlink w:anchor="DESCRIPTORALFABETICO25" w:history="1">
        <w:r w:rsidRPr="00506787">
          <w:rPr>
            <w:rStyle w:val="TextoNormalNegritaCaracter"/>
          </w:rPr>
          <w:t>Razonabilidad del cambio jurisprudencial</w:t>
        </w:r>
      </w:hyperlink>
    </w:p>
    <w:p w:rsidR="00506787" w:rsidRPr="00506787" w:rsidRDefault="00506787" w:rsidP="00506787">
      <w:pPr>
        <w:pStyle w:val="TextoNormalSangraFrancesa"/>
        <w:rPr>
          <w:rStyle w:val="TextoNormalCaracter"/>
        </w:rPr>
      </w:pPr>
      <w:bookmarkStart w:id="1430" w:name="DESCRIPTORALFABETICO25"/>
      <w:r w:rsidRPr="00506787">
        <w:rPr>
          <w:rStyle w:val="TextoNormalNegritaCaracter"/>
        </w:rPr>
        <w:t>Razonabilidad del cambio jurisprudencial</w:t>
      </w:r>
      <w:bookmarkEnd w:id="1430"/>
      <w:r w:rsidRPr="00506787">
        <w:rPr>
          <w:rStyle w:val="TextoNormalCaracter"/>
        </w:rPr>
        <w:t xml:space="preserve">, Sentencias </w:t>
      </w:r>
      <w:hyperlink w:anchor="SENTENCIA_1985_49" w:history="1">
        <w:r w:rsidRPr="00506787">
          <w:rPr>
            <w:rStyle w:val="TextoNormalCaracter"/>
          </w:rPr>
          <w:t>49/1985</w:t>
        </w:r>
      </w:hyperlink>
      <w:r w:rsidRPr="00506787">
        <w:rPr>
          <w:rStyle w:val="TextoNormalCaracter"/>
        </w:rPr>
        <w:t xml:space="preserve">, f. 1; </w:t>
      </w:r>
      <w:hyperlink w:anchor="SENTENCIA_1985_57" w:history="1">
        <w:r w:rsidRPr="00506787">
          <w:rPr>
            <w:rStyle w:val="TextoNormalCaracter"/>
          </w:rPr>
          <w:t>57/1985</w:t>
        </w:r>
      </w:hyperlink>
      <w:r w:rsidRPr="00506787">
        <w:rPr>
          <w:rStyle w:val="TextoNormalCaracter"/>
        </w:rPr>
        <w:t>, f. 1.</w:t>
      </w:r>
    </w:p>
    <w:p w:rsidR="00506787" w:rsidRPr="00506787" w:rsidRDefault="00506787" w:rsidP="00506787">
      <w:pPr>
        <w:pStyle w:val="TextoNormalSangraFrancesa"/>
        <w:rPr>
          <w:rStyle w:val="TextoNormalCaracter"/>
        </w:rPr>
      </w:pPr>
      <w:bookmarkStart w:id="1431" w:name="DESCRIPTORALFABETICO411"/>
      <w:r w:rsidRPr="00506787">
        <w:rPr>
          <w:rStyle w:val="TextoNormalNegritaCaracter"/>
        </w:rPr>
        <w:t>Readmisión de trabajadores</w:t>
      </w:r>
      <w:bookmarkEnd w:id="1431"/>
      <w:r w:rsidRPr="00506787">
        <w:rPr>
          <w:rStyle w:val="TextoNormalCaracter"/>
        </w:rPr>
        <w:t xml:space="preserve">, Sentencia </w:t>
      </w:r>
      <w:hyperlink w:anchor="SENTENCIA_1985_15" w:history="1">
        <w:r w:rsidRPr="00506787">
          <w:rPr>
            <w:rStyle w:val="TextoNormalCaracter"/>
          </w:rPr>
          <w:t>15/1985</w:t>
        </w:r>
      </w:hyperlink>
      <w:r w:rsidRPr="00506787">
        <w:rPr>
          <w:rStyle w:val="TextoNormalCaracter"/>
        </w:rPr>
        <w:t>, ff. 2, 3.</w:t>
      </w:r>
    </w:p>
    <w:p w:rsidR="00506787" w:rsidRPr="00506787" w:rsidRDefault="00506787" w:rsidP="00506787">
      <w:pPr>
        <w:pStyle w:val="TextoNormalSangraFrancesa"/>
        <w:rPr>
          <w:rStyle w:val="TextoNormalCaracter"/>
        </w:rPr>
      </w:pPr>
      <w:bookmarkStart w:id="1432" w:name="DESCRIPTORALFABETICO217"/>
      <w:r w:rsidRPr="00506787">
        <w:rPr>
          <w:rStyle w:val="TextoNormalNegritaCaracter"/>
        </w:rPr>
        <w:t>Rectificación de Autos del Tribunal Constitucional</w:t>
      </w:r>
      <w:bookmarkEnd w:id="1432"/>
      <w:r w:rsidRPr="00506787">
        <w:rPr>
          <w:rStyle w:val="TextoNormalCaracter"/>
        </w:rPr>
        <w:t xml:space="preserve">, Auto </w:t>
      </w:r>
      <w:hyperlink w:anchor="AUTO_1985_151" w:history="1">
        <w:r w:rsidRPr="00506787">
          <w:rPr>
            <w:rStyle w:val="TextoNormalCaracter"/>
          </w:rPr>
          <w:t>151/1985</w:t>
        </w:r>
      </w:hyperlink>
      <w:r w:rsidRPr="00506787">
        <w:rPr>
          <w:rStyle w:val="TextoNormalCaracter"/>
        </w:rPr>
        <w:t>.</w:t>
      </w:r>
    </w:p>
    <w:p w:rsidR="00506787" w:rsidRPr="00506787" w:rsidRDefault="00506787" w:rsidP="00506787">
      <w:pPr>
        <w:pStyle w:val="TextoNormalSangraFrancesa"/>
        <w:rPr>
          <w:rStyle w:val="TextoNormalCaracter"/>
        </w:rPr>
      </w:pPr>
      <w:bookmarkStart w:id="1433" w:name="DESCRIPTORALFABETICO477"/>
      <w:r w:rsidRPr="00506787">
        <w:rPr>
          <w:rStyle w:val="TextoNormalNegritaCaracter"/>
        </w:rPr>
        <w:t>Rectificación de hechos probados</w:t>
      </w:r>
      <w:bookmarkEnd w:id="1433"/>
      <w:r w:rsidRPr="00506787">
        <w:rPr>
          <w:rStyle w:val="TextoNormalCaracter"/>
        </w:rPr>
        <w:t xml:space="preserve">, Auto </w:t>
      </w:r>
      <w:hyperlink w:anchor="AUTO_1985_267" w:history="1">
        <w:r w:rsidRPr="00506787">
          <w:rPr>
            <w:rStyle w:val="TextoNormalCaracter"/>
          </w:rPr>
          <w:t>267/1985</w:t>
        </w:r>
      </w:hyperlink>
      <w:r w:rsidRPr="00506787">
        <w:rPr>
          <w:rStyle w:val="TextoNormalCaracter"/>
        </w:rPr>
        <w:t>.</w:t>
      </w:r>
    </w:p>
    <w:p w:rsidR="00506787" w:rsidRPr="00506787" w:rsidRDefault="00506787" w:rsidP="00506787">
      <w:pPr>
        <w:pStyle w:val="TextoNormalSangraFrancesa"/>
        <w:rPr>
          <w:rStyle w:val="TextoNormalCaracter"/>
        </w:rPr>
      </w:pPr>
      <w:bookmarkStart w:id="1434" w:name="DESCRIPTORALFABETICO198"/>
      <w:r w:rsidRPr="00506787">
        <w:rPr>
          <w:rStyle w:val="TextoNormalNegritaCaracter"/>
        </w:rPr>
        <w:t>Recurso ad cautelam</w:t>
      </w:r>
      <w:bookmarkEnd w:id="1434"/>
      <w:r w:rsidRPr="00506787">
        <w:rPr>
          <w:rStyle w:val="TextoNormalCaracter"/>
        </w:rPr>
        <w:t xml:space="preserve">, Auto </w:t>
      </w:r>
      <w:hyperlink w:anchor="AUTO_1985_204" w:history="1">
        <w:r w:rsidRPr="00506787">
          <w:rPr>
            <w:rStyle w:val="TextoNormalCaracter"/>
          </w:rPr>
          <w:t>204/1985</w:t>
        </w:r>
      </w:hyperlink>
      <w:r w:rsidRPr="00506787">
        <w:rPr>
          <w:rStyle w:val="TextoNormalCaracter"/>
        </w:rPr>
        <w:t>.</w:t>
      </w:r>
    </w:p>
    <w:p w:rsidR="00506787" w:rsidRPr="00506787" w:rsidRDefault="00506787" w:rsidP="00506787">
      <w:pPr>
        <w:pStyle w:val="TextoNormalSangraFrancesa"/>
        <w:rPr>
          <w:rStyle w:val="TextoNormalCaracter"/>
        </w:rPr>
      </w:pPr>
      <w:bookmarkStart w:id="1435" w:name="DESCRIPTORALFABETICO582"/>
      <w:r w:rsidRPr="00506787">
        <w:rPr>
          <w:rStyle w:val="TextoNormalNegritaCaracter"/>
        </w:rPr>
        <w:t>Recurso ante Tribunal superior</w:t>
      </w:r>
      <w:bookmarkEnd w:id="1435"/>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3.</w:t>
      </w:r>
    </w:p>
    <w:p w:rsidR="00506787" w:rsidRPr="00506787" w:rsidRDefault="00506787" w:rsidP="00506787">
      <w:pPr>
        <w:pStyle w:val="TextoNormalSangraFrancesa"/>
        <w:rPr>
          <w:rStyle w:val="TextoNormalCaracter"/>
        </w:rPr>
      </w:pPr>
      <w:bookmarkStart w:id="1436" w:name="DESCRIPTORALFABETICO363"/>
      <w:r w:rsidRPr="00506787">
        <w:rPr>
          <w:rStyle w:val="TextoNormalNegritaCaracter"/>
        </w:rPr>
        <w:t>Recurso de alzada</w:t>
      </w:r>
      <w:bookmarkEnd w:id="1436"/>
      <w:r w:rsidRPr="00506787">
        <w:rPr>
          <w:rStyle w:val="TextoNormalCaracter"/>
        </w:rPr>
        <w:t xml:space="preserve">, Sentencia </w:t>
      </w:r>
      <w:hyperlink w:anchor="SENTENCIA_1985_54" w:history="1">
        <w:r w:rsidRPr="00506787">
          <w:rPr>
            <w:rStyle w:val="TextoNormalCaracter"/>
          </w:rPr>
          <w:t>54/1985</w:t>
        </w:r>
      </w:hyperlink>
      <w:r w:rsidRPr="00506787">
        <w:rPr>
          <w:rStyle w:val="TextoNormalCaracter"/>
        </w:rPr>
        <w:t>, ff. 7, 8.</w:t>
      </w:r>
    </w:p>
    <w:p w:rsidR="00506787" w:rsidRPr="00506787" w:rsidRDefault="00506787" w:rsidP="00506787">
      <w:pPr>
        <w:pStyle w:val="TextoNormalSangraFrancesa"/>
        <w:rPr>
          <w:rStyle w:val="TextoNormalCaracter"/>
        </w:rPr>
      </w:pPr>
      <w:bookmarkStart w:id="1437" w:name="DESCRIPTORALFABETICO364"/>
      <w:r w:rsidRPr="00506787">
        <w:rPr>
          <w:rStyle w:val="TextoNormalNegritaCaracter"/>
        </w:rPr>
        <w:t>Recurso de alzada contra actos dictados por delegación</w:t>
      </w:r>
      <w:bookmarkEnd w:id="1437"/>
      <w:r w:rsidRPr="00506787">
        <w:rPr>
          <w:rStyle w:val="TextoNormalCaracter"/>
        </w:rPr>
        <w:t xml:space="preserve">, Sentencia </w:t>
      </w:r>
      <w:hyperlink w:anchor="SENTENCIA_1985_9" w:history="1">
        <w:r w:rsidRPr="00506787">
          <w:rPr>
            <w:rStyle w:val="TextoNormalCaracter"/>
          </w:rPr>
          <w:t>9/1985</w:t>
        </w:r>
      </w:hyperlink>
      <w:r w:rsidRPr="00506787">
        <w:rPr>
          <w:rStyle w:val="TextoNormalCaracter"/>
        </w:rPr>
        <w:t>, ff. 1, 2, 3.</w:t>
      </w:r>
    </w:p>
    <w:p w:rsidR="00506787" w:rsidRPr="00506787" w:rsidRDefault="00506787" w:rsidP="00506787">
      <w:pPr>
        <w:pStyle w:val="TextoNormalSangraFrancesa"/>
        <w:rPr>
          <w:rStyle w:val="TextoNormalCaracter"/>
        </w:rPr>
      </w:pPr>
      <w:bookmarkStart w:id="1438" w:name="DESCRIPTORALFABETICO173"/>
      <w:r w:rsidRPr="00506787">
        <w:rPr>
          <w:rStyle w:val="TextoNormalNegritaCaracter"/>
        </w:rPr>
        <w:t>Recurso de amparo</w:t>
      </w:r>
      <w:bookmarkEnd w:id="1438"/>
      <w:r w:rsidRPr="00506787">
        <w:rPr>
          <w:rStyle w:val="TextoNormalCaracter"/>
        </w:rPr>
        <w:t xml:space="preserve">, Sentencia </w:t>
      </w:r>
      <w:hyperlink w:anchor="SENTENCIA_1985_11" w:history="1">
        <w:r w:rsidRPr="00506787">
          <w:rPr>
            <w:rStyle w:val="TextoNormalCaracter"/>
          </w:rPr>
          <w:t>11/1985</w:t>
        </w:r>
      </w:hyperlink>
      <w:r w:rsidRPr="00506787">
        <w:rPr>
          <w:rStyle w:val="TextoNormalCaracter"/>
        </w:rPr>
        <w:t>, f. 1.</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93" w:history="1">
        <w:r w:rsidRPr="00506787">
          <w:rPr>
            <w:rStyle w:val="TextoNormalCaracter"/>
          </w:rPr>
          <w:t>93/1985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Función, </w:t>
      </w:r>
      <w:r w:rsidRPr="00506787">
        <w:rPr>
          <w:rStyle w:val="TextoNormalCaracter"/>
        </w:rPr>
        <w:t xml:space="preserve">Auto </w:t>
      </w:r>
      <w:hyperlink w:anchor="AUTO_1985_216" w:history="1">
        <w:r w:rsidRPr="00506787">
          <w:rPr>
            <w:rStyle w:val="TextoNormalCaracter"/>
          </w:rPr>
          <w:t>216/1985</w:t>
        </w:r>
      </w:hyperlink>
      <w:r w:rsidRPr="00506787">
        <w:rPr>
          <w:rStyle w:val="TextoNormalCaracter"/>
        </w:rPr>
        <w:t>.</w:t>
      </w:r>
    </w:p>
    <w:p w:rsidR="00506787" w:rsidRPr="00506787" w:rsidRDefault="00506787" w:rsidP="00506787">
      <w:pPr>
        <w:pStyle w:val="TextoNormalSangraFrancesa"/>
        <w:rPr>
          <w:rStyle w:val="TextoNormalCaracter"/>
        </w:rPr>
      </w:pPr>
      <w:bookmarkStart w:id="1439" w:name="DESCRIPTORALFABETICO200"/>
      <w:r w:rsidRPr="00506787">
        <w:rPr>
          <w:rStyle w:val="TextoNormalNegritaCaracter"/>
        </w:rPr>
        <w:t>Recurso de amparo mixto</w:t>
      </w:r>
      <w:bookmarkEnd w:id="1439"/>
      <w:r w:rsidRPr="00506787">
        <w:rPr>
          <w:rStyle w:val="TextoNormalCaracter"/>
        </w:rPr>
        <w:t xml:space="preserve">, Autos </w:t>
      </w:r>
      <w:hyperlink w:anchor="AUTO_1985_121" w:history="1">
        <w:r w:rsidRPr="00506787">
          <w:rPr>
            <w:rStyle w:val="TextoNormalCaracter"/>
          </w:rPr>
          <w:t>121/1985</w:t>
        </w:r>
      </w:hyperlink>
      <w:r w:rsidRPr="00506787">
        <w:rPr>
          <w:rStyle w:val="TextoNormalCaracter"/>
        </w:rPr>
        <w:t xml:space="preserve">; </w:t>
      </w:r>
      <w:hyperlink w:anchor="AUTO_1985_150" w:history="1">
        <w:r w:rsidRPr="00506787">
          <w:rPr>
            <w:rStyle w:val="TextoNormalCaracter"/>
          </w:rPr>
          <w:t>150/1985</w:t>
        </w:r>
      </w:hyperlink>
      <w:r w:rsidRPr="00506787">
        <w:rPr>
          <w:rStyle w:val="TextoNormalCaracter"/>
        </w:rPr>
        <w:t>.</w:t>
      </w:r>
    </w:p>
    <w:p w:rsidR="00506787" w:rsidRPr="00506787" w:rsidRDefault="00506787" w:rsidP="00506787">
      <w:pPr>
        <w:pStyle w:val="TextoNormalSangraFrancesa"/>
        <w:rPr>
          <w:rStyle w:val="TextoNormalCaracter"/>
        </w:rPr>
      </w:pPr>
      <w:bookmarkStart w:id="1440" w:name="DESCRIPTORALFABETICO524"/>
      <w:r w:rsidRPr="00506787">
        <w:rPr>
          <w:rStyle w:val="TextoNormalNegritaCaracter"/>
        </w:rPr>
        <w:t>Recurso de apelación</w:t>
      </w:r>
      <w:bookmarkEnd w:id="1440"/>
      <w:r w:rsidRPr="00506787">
        <w:rPr>
          <w:rStyle w:val="TextoNormalCaracter"/>
        </w:rPr>
        <w:t xml:space="preserve">, Auto </w:t>
      </w:r>
      <w:hyperlink w:anchor="AUTO_1985_159" w:history="1">
        <w:r w:rsidRPr="00506787">
          <w:rPr>
            <w:rStyle w:val="TextoNormalCaracter"/>
          </w:rPr>
          <w:t>159/1985</w:t>
        </w:r>
      </w:hyperlink>
      <w:r w:rsidRPr="00506787">
        <w:rPr>
          <w:rStyle w:val="TextoNormalCaracter"/>
        </w:rPr>
        <w:t>.</w:t>
      </w:r>
    </w:p>
    <w:p w:rsidR="00506787" w:rsidRPr="00506787" w:rsidRDefault="00506787" w:rsidP="00506787">
      <w:pPr>
        <w:pStyle w:val="TextoNormalSangraFrancesa"/>
        <w:rPr>
          <w:rStyle w:val="TextoNormalCaracter"/>
        </w:rPr>
      </w:pPr>
      <w:bookmarkStart w:id="1441" w:name="DESCRIPTORALFABETICO526"/>
      <w:r w:rsidRPr="00506787">
        <w:rPr>
          <w:rStyle w:val="TextoNormalNegritaCaracter"/>
        </w:rPr>
        <w:t>Recurso de casación</w:t>
      </w:r>
      <w:bookmarkEnd w:id="1441"/>
      <w:r w:rsidRPr="00506787">
        <w:rPr>
          <w:rStyle w:val="TextoNormalCaracter"/>
        </w:rPr>
        <w:t xml:space="preserve">, Sentencias </w:t>
      </w:r>
      <w:hyperlink w:anchor="SENTENCIA_1985_27" w:history="1">
        <w:r w:rsidRPr="00506787">
          <w:rPr>
            <w:rStyle w:val="TextoNormalCaracter"/>
          </w:rPr>
          <w:t>27/1985</w:t>
        </w:r>
      </w:hyperlink>
      <w:r w:rsidRPr="00506787">
        <w:rPr>
          <w:rStyle w:val="TextoNormalCaracter"/>
        </w:rPr>
        <w:t xml:space="preserve">, ff. 1, 2, 3, 4; </w:t>
      </w:r>
      <w:hyperlink w:anchor="SENTENCIA_1985_32" w:history="1">
        <w:r w:rsidRPr="00506787">
          <w:rPr>
            <w:rStyle w:val="TextoNormalCaracter"/>
          </w:rPr>
          <w:t>32/1985</w:t>
        </w:r>
      </w:hyperlink>
      <w:r w:rsidRPr="00506787">
        <w:rPr>
          <w:rStyle w:val="TextoNormalCaracter"/>
        </w:rPr>
        <w:t xml:space="preserve">, ff. 1, 2, 3, 4; </w:t>
      </w:r>
      <w:hyperlink w:anchor="SENTENCIA_1985_52" w:history="1">
        <w:r w:rsidRPr="00506787">
          <w:rPr>
            <w:rStyle w:val="TextoNormalCaracter"/>
          </w:rPr>
          <w:t>52/1985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21" w:history="1">
        <w:r w:rsidRPr="00506787">
          <w:rPr>
            <w:rStyle w:val="TextoNormalCaracter"/>
          </w:rPr>
          <w:t>21/1985</w:t>
        </w:r>
      </w:hyperlink>
      <w:r w:rsidRPr="00506787">
        <w:rPr>
          <w:rStyle w:val="TextoNormalCaracter"/>
        </w:rPr>
        <w:t xml:space="preserve">; </w:t>
      </w:r>
      <w:hyperlink w:anchor="AUTO_1985_106" w:history="1">
        <w:r w:rsidRPr="00506787">
          <w:rPr>
            <w:rStyle w:val="TextoNormalCaracter"/>
          </w:rPr>
          <w:t>106/1985</w:t>
        </w:r>
      </w:hyperlink>
      <w:r w:rsidRPr="00506787">
        <w:rPr>
          <w:rStyle w:val="TextoNormalCaracter"/>
        </w:rPr>
        <w:t>.</w:t>
      </w:r>
    </w:p>
    <w:p w:rsidR="00506787" w:rsidRPr="00506787" w:rsidRDefault="00506787" w:rsidP="00506787">
      <w:pPr>
        <w:pStyle w:val="TextoNormalSangraFrancesa"/>
        <w:rPr>
          <w:rStyle w:val="TextoNormalCaracter"/>
        </w:rPr>
      </w:pPr>
      <w:bookmarkStart w:id="1442" w:name="DESCRIPTORALFABETICO546"/>
      <w:r w:rsidRPr="00506787">
        <w:rPr>
          <w:rStyle w:val="TextoNormalNegritaCaracter"/>
        </w:rPr>
        <w:t>Recurso de casación laboral</w:t>
      </w:r>
      <w:bookmarkEnd w:id="1442"/>
      <w:r w:rsidRPr="00506787">
        <w:rPr>
          <w:rStyle w:val="TextoNormalCaracter"/>
        </w:rPr>
        <w:t xml:space="preserve">, Sentencias </w:t>
      </w:r>
      <w:hyperlink w:anchor="SENTENCIA_1985_17" w:history="1">
        <w:r w:rsidRPr="00506787">
          <w:rPr>
            <w:rStyle w:val="TextoNormalCaracter"/>
          </w:rPr>
          <w:t>17/1985</w:t>
        </w:r>
      </w:hyperlink>
      <w:r w:rsidRPr="00506787">
        <w:rPr>
          <w:rStyle w:val="TextoNormalCaracter"/>
        </w:rPr>
        <w:t xml:space="preserve">, ff. 3, 4; </w:t>
      </w:r>
      <w:hyperlink w:anchor="SENTENCIA_1985_57" w:history="1">
        <w:r w:rsidRPr="00506787">
          <w:rPr>
            <w:rStyle w:val="TextoNormalCaracter"/>
          </w:rPr>
          <w:t>57/1985</w:t>
        </w:r>
      </w:hyperlink>
      <w:r w:rsidRPr="00506787">
        <w:rPr>
          <w:rStyle w:val="TextoNormalCaracter"/>
        </w:rPr>
        <w:t>, f. 4.</w:t>
      </w:r>
    </w:p>
    <w:p w:rsidR="00506787" w:rsidRPr="00506787" w:rsidRDefault="00506787" w:rsidP="00506787">
      <w:pPr>
        <w:pStyle w:val="TextoNormalSangraFrancesa"/>
        <w:rPr>
          <w:rStyle w:val="TextoNormalCaracter"/>
        </w:rPr>
      </w:pPr>
      <w:bookmarkStart w:id="1443" w:name="DESCRIPTORALFABETICO548"/>
      <w:r w:rsidRPr="00506787">
        <w:rPr>
          <w:rStyle w:val="TextoNormalNegritaCaracter"/>
        </w:rPr>
        <w:t>Recurso de casación laboral por infracción de ley</w:t>
      </w:r>
      <w:bookmarkEnd w:id="1443"/>
      <w:r w:rsidRPr="00506787">
        <w:rPr>
          <w:rStyle w:val="TextoNormalCaracter"/>
        </w:rPr>
        <w:t xml:space="preserve">, Sentencias </w:t>
      </w:r>
      <w:hyperlink w:anchor="SENTENCIA_1985_17" w:history="1">
        <w:r w:rsidRPr="00506787">
          <w:rPr>
            <w:rStyle w:val="TextoNormalCaracter"/>
          </w:rPr>
          <w:t>17/1985</w:t>
        </w:r>
      </w:hyperlink>
      <w:r w:rsidRPr="00506787">
        <w:rPr>
          <w:rStyle w:val="TextoNormalCaracter"/>
        </w:rPr>
        <w:t xml:space="preserve">, ff. 1, 2, 3, 4, 5; </w:t>
      </w:r>
      <w:hyperlink w:anchor="SENTENCIA_1985_57" w:history="1">
        <w:r w:rsidRPr="00506787">
          <w:rPr>
            <w:rStyle w:val="TextoNormalCaracter"/>
          </w:rPr>
          <w:t>57/1985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444" w:name="DESCRIPTORALFABETICO583"/>
      <w:r w:rsidRPr="00506787">
        <w:rPr>
          <w:rStyle w:val="TextoNormalNegritaCaracter"/>
        </w:rPr>
        <w:t>Recurso de casación penal</w:t>
      </w:r>
      <w:bookmarkEnd w:id="1444"/>
      <w:r w:rsidRPr="00506787">
        <w:rPr>
          <w:rStyle w:val="TextoNormalCaracter"/>
        </w:rPr>
        <w:t xml:space="preserve">, Auto </w:t>
      </w:r>
      <w:hyperlink w:anchor="AUTO_1985_187" w:history="1">
        <w:r w:rsidRPr="00506787">
          <w:rPr>
            <w:rStyle w:val="TextoNormalCaracter"/>
          </w:rPr>
          <w:t>187/1985</w:t>
        </w:r>
      </w:hyperlink>
      <w:r w:rsidRPr="00506787">
        <w:rPr>
          <w:rStyle w:val="TextoNormalCaracter"/>
        </w:rPr>
        <w:t>.</w:t>
      </w:r>
    </w:p>
    <w:p w:rsidR="00506787" w:rsidRPr="00506787" w:rsidRDefault="00506787" w:rsidP="00506787">
      <w:pPr>
        <w:pStyle w:val="TextoNormalSangraFrancesa"/>
        <w:rPr>
          <w:rStyle w:val="TextoNormalCaracter"/>
        </w:rPr>
      </w:pPr>
      <w:bookmarkStart w:id="1445" w:name="DESCRIPTORALFABETICO167"/>
      <w:r w:rsidRPr="00506787">
        <w:rPr>
          <w:rStyle w:val="TextoNormalNegritaCaracter"/>
        </w:rPr>
        <w:t>Recurso de inconstitucionalidad</w:t>
      </w:r>
      <w:bookmarkEnd w:id="1445"/>
      <w:r w:rsidRPr="00506787">
        <w:rPr>
          <w:rStyle w:val="TextoNormalCaracter"/>
        </w:rPr>
        <w:t xml:space="preserve">, Sentencia </w:t>
      </w:r>
      <w:hyperlink w:anchor="SENTENCIA_1985_42" w:history="1">
        <w:r w:rsidRPr="00506787">
          <w:rPr>
            <w:rStyle w:val="TextoNormalCaracter"/>
          </w:rPr>
          <w:t>42/1985</w:t>
        </w:r>
      </w:hyperlink>
      <w:r w:rsidRPr="00506787">
        <w:rPr>
          <w:rStyle w:val="TextoNormalCaracter"/>
        </w:rPr>
        <w:t>, ff. 2, 3.</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04" w:history="1">
        <w:r w:rsidRPr="00506787">
          <w:rPr>
            <w:rStyle w:val="TextoNormalCaracter"/>
          </w:rPr>
          <w:t>204/1985</w:t>
        </w:r>
      </w:hyperlink>
      <w:r w:rsidRPr="00506787">
        <w:rPr>
          <w:rStyle w:val="TextoNormalCaracter"/>
        </w:rPr>
        <w:t>.</w:t>
      </w:r>
    </w:p>
    <w:p w:rsidR="00506787" w:rsidRPr="00506787" w:rsidRDefault="00506787" w:rsidP="00506787">
      <w:pPr>
        <w:pStyle w:val="TextoNormalSangraFrancesa"/>
        <w:rPr>
          <w:rStyle w:val="TextoNormalCaracter"/>
        </w:rPr>
      </w:pPr>
      <w:bookmarkStart w:id="1446" w:name="DESCRIPTORALFABETICO528"/>
      <w:r w:rsidRPr="00506787">
        <w:rPr>
          <w:rStyle w:val="TextoNormalNegritaCaracter"/>
        </w:rPr>
        <w:t>Recurso de queja</w:t>
      </w:r>
      <w:bookmarkEnd w:id="1446"/>
      <w:r w:rsidRPr="00506787">
        <w:rPr>
          <w:rStyle w:val="TextoNormalCaracter"/>
        </w:rPr>
        <w:t xml:space="preserve">, Auto </w:t>
      </w:r>
      <w:hyperlink w:anchor="AUTO_1985_134" w:history="1">
        <w:r w:rsidRPr="00506787">
          <w:rPr>
            <w:rStyle w:val="TextoNormalCaracter"/>
          </w:rPr>
          <w:t>134/1985</w:t>
        </w:r>
      </w:hyperlink>
      <w:r w:rsidRPr="00506787">
        <w:rPr>
          <w:rStyle w:val="TextoNormalCaracter"/>
        </w:rPr>
        <w:t>.</w:t>
      </w:r>
    </w:p>
    <w:p w:rsidR="00506787" w:rsidRPr="00506787" w:rsidRDefault="00506787" w:rsidP="00506787">
      <w:pPr>
        <w:pStyle w:val="TextoNormalSangraFrancesa"/>
        <w:rPr>
          <w:rStyle w:val="TextoNormalCaracter"/>
        </w:rPr>
      </w:pPr>
      <w:bookmarkStart w:id="1447" w:name="DESCRIPTORALFABETICO529"/>
      <w:r w:rsidRPr="00506787">
        <w:rPr>
          <w:rStyle w:val="TextoNormalNegritaCaracter"/>
        </w:rPr>
        <w:t>Recurso de queja ante Consejo Supremo de Justicia Militar</w:t>
      </w:r>
      <w:bookmarkEnd w:id="1447"/>
      <w:r w:rsidRPr="00506787">
        <w:rPr>
          <w:rStyle w:val="TextoNormalCaracter"/>
        </w:rPr>
        <w:t xml:space="preserve">, Sentencia </w:t>
      </w:r>
      <w:hyperlink w:anchor="SENTENCIA_1985_52" w:history="1">
        <w:r w:rsidRPr="00506787">
          <w:rPr>
            <w:rStyle w:val="TextoNormalCaracter"/>
          </w:rPr>
          <w:t>52/1985</w:t>
        </w:r>
      </w:hyperlink>
      <w:r w:rsidRPr="00506787">
        <w:rPr>
          <w:rStyle w:val="TextoNormalCaracter"/>
        </w:rPr>
        <w:t>, f. 2.</w:t>
      </w:r>
    </w:p>
    <w:p w:rsidR="00506787" w:rsidRPr="00506787" w:rsidRDefault="00506787" w:rsidP="00506787">
      <w:pPr>
        <w:pStyle w:val="TextoNormalSangraFrancesa"/>
        <w:rPr>
          <w:rStyle w:val="TextoNormalNegritaCaracter"/>
        </w:rPr>
      </w:pPr>
      <w:r w:rsidRPr="00506787">
        <w:rPr>
          <w:rStyle w:val="TextoNormalCursivaCaracter"/>
        </w:rPr>
        <w:t>Recurso de revisión</w:t>
      </w:r>
      <w:r>
        <w:t xml:space="preserve"> véase </w:t>
      </w:r>
      <w:hyperlink w:anchor="DESCRIPTORALFABETICO530" w:history="1">
        <w:r w:rsidRPr="00506787">
          <w:rPr>
            <w:rStyle w:val="TextoNormalNegritaCaracter"/>
          </w:rPr>
          <w:t>Recurso de revisión de sentencia firme</w:t>
        </w:r>
      </w:hyperlink>
    </w:p>
    <w:p w:rsidR="00506787" w:rsidRPr="00506787" w:rsidRDefault="00506787" w:rsidP="00506787">
      <w:pPr>
        <w:pStyle w:val="TextoNormalSangraFrancesa"/>
        <w:rPr>
          <w:rStyle w:val="TextoNormalCaracter"/>
        </w:rPr>
      </w:pPr>
      <w:bookmarkStart w:id="1448" w:name="DESCRIPTORALFABETICO530"/>
      <w:r w:rsidRPr="00506787">
        <w:rPr>
          <w:rStyle w:val="TextoNormalNegritaCaracter"/>
        </w:rPr>
        <w:t>Recurso de revisión de sentencia firme</w:t>
      </w:r>
      <w:bookmarkEnd w:id="1448"/>
      <w:r w:rsidRPr="00506787">
        <w:rPr>
          <w:rStyle w:val="TextoNormalCaracter"/>
        </w:rPr>
        <w:t xml:space="preserve">, Sentencias </w:t>
      </w:r>
      <w:hyperlink w:anchor="SENTENCIA_1985_22" w:history="1">
        <w:r w:rsidRPr="00506787">
          <w:rPr>
            <w:rStyle w:val="TextoNormalCaracter"/>
          </w:rPr>
          <w:t>22/1985</w:t>
        </w:r>
      </w:hyperlink>
      <w:r w:rsidRPr="00506787">
        <w:rPr>
          <w:rStyle w:val="TextoNormalCaracter"/>
        </w:rPr>
        <w:t xml:space="preserve">, f. 2; </w:t>
      </w:r>
      <w:hyperlink w:anchor="SENTENCIA_1985_39" w:history="1">
        <w:r w:rsidRPr="00506787">
          <w:rPr>
            <w:rStyle w:val="TextoNormalCaracter"/>
          </w:rPr>
          <w:t>39/1985</w:t>
        </w:r>
      </w:hyperlink>
      <w:r w:rsidRPr="00506787">
        <w:rPr>
          <w:rStyle w:val="TextoNormalCaracter"/>
        </w:rPr>
        <w:t>, f. 1, VP.</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80" w:history="1">
        <w:r w:rsidRPr="00506787">
          <w:rPr>
            <w:rStyle w:val="TextoNormalCaracter"/>
          </w:rPr>
          <w:t>80/1985</w:t>
        </w:r>
      </w:hyperlink>
      <w:r w:rsidRPr="00506787">
        <w:rPr>
          <w:rStyle w:val="TextoNormalCaracter"/>
        </w:rPr>
        <w:t xml:space="preserve">; </w:t>
      </w:r>
      <w:hyperlink w:anchor="AUTO_1985_240" w:history="1">
        <w:r w:rsidRPr="00506787">
          <w:rPr>
            <w:rStyle w:val="TextoNormalCaracter"/>
          </w:rPr>
          <w:t>240/1985</w:t>
        </w:r>
      </w:hyperlink>
      <w:r w:rsidRPr="00506787">
        <w:rPr>
          <w:rStyle w:val="TextoNormalCaracter"/>
        </w:rPr>
        <w:t>.</w:t>
      </w:r>
    </w:p>
    <w:p w:rsidR="00506787" w:rsidRPr="00506787" w:rsidRDefault="00506787" w:rsidP="00506787">
      <w:pPr>
        <w:pStyle w:val="TextoNormalSangraFrancesa"/>
        <w:rPr>
          <w:rStyle w:val="TextoNormalCaracter"/>
        </w:rPr>
      </w:pPr>
      <w:bookmarkStart w:id="1449" w:name="DESCRIPTORALFABETICO531"/>
      <w:r w:rsidRPr="00506787">
        <w:rPr>
          <w:rStyle w:val="TextoNormalNegritaCaracter"/>
        </w:rPr>
        <w:t>Recurso de súplica</w:t>
      </w:r>
      <w:bookmarkEnd w:id="1449"/>
      <w:r w:rsidRPr="00506787">
        <w:rPr>
          <w:rStyle w:val="TextoNormalCaracter"/>
        </w:rPr>
        <w:t xml:space="preserve">, Autos </w:t>
      </w:r>
      <w:hyperlink w:anchor="AUTO_1985_37" w:history="1">
        <w:r w:rsidRPr="00506787">
          <w:rPr>
            <w:rStyle w:val="TextoNormalCaracter"/>
          </w:rPr>
          <w:t>37/1985</w:t>
        </w:r>
      </w:hyperlink>
      <w:r w:rsidRPr="00506787">
        <w:rPr>
          <w:rStyle w:val="TextoNormalCaracter"/>
        </w:rPr>
        <w:t xml:space="preserve">; </w:t>
      </w:r>
      <w:hyperlink w:anchor="AUTO_1985_196" w:history="1">
        <w:r w:rsidRPr="00506787">
          <w:rPr>
            <w:rStyle w:val="TextoNormalCaracter"/>
          </w:rPr>
          <w:t>196/1985</w:t>
        </w:r>
      </w:hyperlink>
      <w:r w:rsidRPr="00506787">
        <w:rPr>
          <w:rStyle w:val="TextoNormalCaracter"/>
        </w:rPr>
        <w:t>.</w:t>
      </w:r>
    </w:p>
    <w:p w:rsidR="00506787" w:rsidRPr="00506787" w:rsidRDefault="00506787" w:rsidP="00506787">
      <w:pPr>
        <w:pStyle w:val="TextoNormalSangraFrancesa"/>
        <w:rPr>
          <w:rStyle w:val="TextoNormalCaracter"/>
        </w:rPr>
      </w:pPr>
      <w:bookmarkStart w:id="1450" w:name="DESCRIPTORALFABETICO154"/>
      <w:r w:rsidRPr="00506787">
        <w:rPr>
          <w:rStyle w:val="TextoNormalNegritaCaracter"/>
        </w:rPr>
        <w:t>Recurso de súplica contra Autos del Tribunal Constitucional</w:t>
      </w:r>
      <w:bookmarkEnd w:id="1450"/>
      <w:r w:rsidRPr="00506787">
        <w:rPr>
          <w:rStyle w:val="TextoNormalCaracter"/>
        </w:rPr>
        <w:t xml:space="preserve">, Sentencia </w:t>
      </w:r>
      <w:hyperlink w:anchor="SENTENCIA_1985_4" w:history="1">
        <w:r w:rsidRPr="00506787">
          <w:rPr>
            <w:rStyle w:val="TextoNormalCaracter"/>
          </w:rPr>
          <w:t>4/1985</w:t>
        </w:r>
      </w:hyperlink>
      <w:r w:rsidRPr="00506787">
        <w:rPr>
          <w:rStyle w:val="TextoNormalCaracter"/>
        </w:rPr>
        <w:t>, f. 1.</w:t>
      </w:r>
    </w:p>
    <w:p w:rsidR="00506787" w:rsidRPr="00506787" w:rsidRDefault="00506787" w:rsidP="00506787">
      <w:pPr>
        <w:pStyle w:val="TextoNormalSangraFrancesa"/>
        <w:rPr>
          <w:rStyle w:val="TextoNormalCaracter"/>
        </w:rPr>
      </w:pPr>
      <w:bookmarkStart w:id="1451" w:name="DESCRIPTORALFABETICO549"/>
      <w:r w:rsidRPr="00506787">
        <w:rPr>
          <w:rStyle w:val="TextoNormalNegritaCaracter"/>
        </w:rPr>
        <w:t>Recurso de suplicación</w:t>
      </w:r>
      <w:bookmarkEnd w:id="1451"/>
      <w:r w:rsidRPr="00506787">
        <w:rPr>
          <w:rStyle w:val="TextoNormalCaracter"/>
        </w:rPr>
        <w:t xml:space="preserve">, Autos </w:t>
      </w:r>
      <w:hyperlink w:anchor="AUTO_1985_25" w:history="1">
        <w:r w:rsidRPr="00506787">
          <w:rPr>
            <w:rStyle w:val="TextoNormalCaracter"/>
          </w:rPr>
          <w:t>25/1985</w:t>
        </w:r>
      </w:hyperlink>
      <w:r w:rsidRPr="00506787">
        <w:rPr>
          <w:rStyle w:val="TextoNormalCaracter"/>
        </w:rPr>
        <w:t xml:space="preserve">; </w:t>
      </w:r>
      <w:hyperlink w:anchor="AUTO_1985_84" w:history="1">
        <w:r w:rsidRPr="00506787">
          <w:rPr>
            <w:rStyle w:val="TextoNormalCaracter"/>
          </w:rPr>
          <w:t>84/1985</w:t>
        </w:r>
      </w:hyperlink>
      <w:r w:rsidRPr="00506787">
        <w:rPr>
          <w:rStyle w:val="TextoNormalCaracter"/>
        </w:rPr>
        <w:t xml:space="preserve">; </w:t>
      </w:r>
      <w:hyperlink w:anchor="AUTO_1985_97" w:history="1">
        <w:r w:rsidRPr="00506787">
          <w:rPr>
            <w:rStyle w:val="TextoNormalCaracter"/>
          </w:rPr>
          <w:t>97/1985</w:t>
        </w:r>
      </w:hyperlink>
      <w:r w:rsidRPr="00506787">
        <w:rPr>
          <w:rStyle w:val="TextoNormalCaracter"/>
        </w:rPr>
        <w:t xml:space="preserve">; </w:t>
      </w:r>
      <w:hyperlink w:anchor="AUTO_1985_117" w:history="1">
        <w:r w:rsidRPr="00506787">
          <w:rPr>
            <w:rStyle w:val="TextoNormalCaracter"/>
          </w:rPr>
          <w:t>117/1985</w:t>
        </w:r>
      </w:hyperlink>
      <w:r w:rsidRPr="00506787">
        <w:rPr>
          <w:rStyle w:val="TextoNormalCaracter"/>
        </w:rPr>
        <w:t xml:space="preserve">; </w:t>
      </w:r>
      <w:hyperlink w:anchor="AUTO_1985_190" w:history="1">
        <w:r w:rsidRPr="00506787">
          <w:rPr>
            <w:rStyle w:val="TextoNormalCaracter"/>
          </w:rPr>
          <w:t>190/1985</w:t>
        </w:r>
      </w:hyperlink>
      <w:r w:rsidRPr="00506787">
        <w:rPr>
          <w:rStyle w:val="TextoNormalCaracter"/>
        </w:rPr>
        <w:t xml:space="preserve">; </w:t>
      </w:r>
      <w:hyperlink w:anchor="AUTO_1985_196" w:history="1">
        <w:r w:rsidRPr="00506787">
          <w:rPr>
            <w:rStyle w:val="TextoNormalCaracter"/>
          </w:rPr>
          <w:t>196/1985</w:t>
        </w:r>
      </w:hyperlink>
      <w:r w:rsidRPr="00506787">
        <w:rPr>
          <w:rStyle w:val="TextoNormalCaracter"/>
        </w:rPr>
        <w:t>.</w:t>
      </w:r>
    </w:p>
    <w:p w:rsidR="00506787" w:rsidRPr="00506787" w:rsidRDefault="00506787" w:rsidP="00506787">
      <w:pPr>
        <w:pStyle w:val="TextoNormalSangraFrancesa"/>
        <w:rPr>
          <w:rStyle w:val="TextoNormalCaracter"/>
        </w:rPr>
      </w:pPr>
      <w:bookmarkStart w:id="1452" w:name="DESCRIPTORALFABETICO552"/>
      <w:r w:rsidRPr="00506787">
        <w:rPr>
          <w:rStyle w:val="TextoNormalNegritaCaracter"/>
        </w:rPr>
        <w:t>Recurso de suplicación no exigible</w:t>
      </w:r>
      <w:bookmarkEnd w:id="1452"/>
      <w:r w:rsidRPr="00506787">
        <w:rPr>
          <w:rStyle w:val="TextoNormalCaracter"/>
        </w:rPr>
        <w:t xml:space="preserve">, Auto </w:t>
      </w:r>
      <w:hyperlink w:anchor="AUTO_1985_79" w:history="1">
        <w:r w:rsidRPr="00506787">
          <w:rPr>
            <w:rStyle w:val="TextoNormalCaracter"/>
          </w:rPr>
          <w:t>79/1985</w:t>
        </w:r>
      </w:hyperlink>
      <w:r w:rsidRPr="00506787">
        <w:rPr>
          <w:rStyle w:val="TextoNormalCaracter"/>
        </w:rPr>
        <w:t>.</w:t>
      </w:r>
    </w:p>
    <w:p w:rsidR="00506787" w:rsidRPr="00506787" w:rsidRDefault="00506787" w:rsidP="00506787">
      <w:pPr>
        <w:pStyle w:val="TextoNormalSangraFrancesa"/>
        <w:rPr>
          <w:rStyle w:val="TextoNormalCaracter"/>
        </w:rPr>
      </w:pPr>
      <w:bookmarkStart w:id="1453" w:name="DESCRIPTORALFABETICO180"/>
      <w:r w:rsidRPr="00506787">
        <w:rPr>
          <w:rStyle w:val="TextoNormalNegritaCaracter"/>
        </w:rPr>
        <w:t>Recurso fundamentado en argumentaciones del órgano judicial no trascendentes para el fallo</w:t>
      </w:r>
      <w:bookmarkEnd w:id="1453"/>
      <w:r w:rsidRPr="00506787">
        <w:rPr>
          <w:rStyle w:val="TextoNormalCaracter"/>
        </w:rPr>
        <w:t xml:space="preserve">, Auto </w:t>
      </w:r>
      <w:hyperlink w:anchor="AUTO_1985_30" w:history="1">
        <w:r w:rsidRPr="00506787">
          <w:rPr>
            <w:rStyle w:val="TextoNormalCaracter"/>
          </w:rPr>
          <w:t>30/1985</w:t>
        </w:r>
      </w:hyperlink>
      <w:r w:rsidRPr="00506787">
        <w:rPr>
          <w:rStyle w:val="TextoNormalCaracter"/>
        </w:rPr>
        <w:t>.</w:t>
      </w:r>
    </w:p>
    <w:p w:rsidR="00506787" w:rsidRPr="00506787" w:rsidRDefault="00506787" w:rsidP="00506787">
      <w:pPr>
        <w:pStyle w:val="TextoNormalSangraFrancesa"/>
        <w:rPr>
          <w:rStyle w:val="TextoNormalCaracter"/>
        </w:rPr>
      </w:pPr>
      <w:bookmarkStart w:id="1454" w:name="DESCRIPTORALFABETICO171"/>
      <w:r w:rsidRPr="00506787">
        <w:rPr>
          <w:rStyle w:val="TextoNormalNegritaCaracter"/>
        </w:rPr>
        <w:t>Recurso previo de inconstitucionalidad</w:t>
      </w:r>
      <w:bookmarkEnd w:id="1454"/>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12, VP I, VP III, VP IV.</w:t>
      </w:r>
    </w:p>
    <w:p w:rsidR="00506787" w:rsidRPr="00506787" w:rsidRDefault="00506787" w:rsidP="00506787">
      <w:pPr>
        <w:pStyle w:val="TextoNormalSangraFrancesa"/>
        <w:rPr>
          <w:rStyle w:val="TextoNormalCaracter"/>
        </w:rPr>
      </w:pPr>
      <w:bookmarkStart w:id="1455" w:name="DESCRIPTORALFABETICO519"/>
      <w:r w:rsidRPr="00506787">
        <w:rPr>
          <w:rStyle w:val="TextoNormalNegritaCaracter"/>
        </w:rPr>
        <w:t>Recursos judiciales</w:t>
      </w:r>
      <w:bookmarkEnd w:id="1455"/>
      <w:r w:rsidRPr="00506787">
        <w:rPr>
          <w:rStyle w:val="TextoNormalCaracter"/>
        </w:rPr>
        <w:t xml:space="preserve">, Sentencias </w:t>
      </w:r>
      <w:hyperlink w:anchor="SENTENCIA_1985_17" w:history="1">
        <w:r w:rsidRPr="00506787">
          <w:rPr>
            <w:rStyle w:val="TextoNormalCaracter"/>
          </w:rPr>
          <w:t>17/1985</w:t>
        </w:r>
      </w:hyperlink>
      <w:r w:rsidRPr="00506787">
        <w:rPr>
          <w:rStyle w:val="TextoNormalCaracter"/>
        </w:rPr>
        <w:t xml:space="preserve">, f. 1; </w:t>
      </w:r>
      <w:hyperlink w:anchor="SENTENCIA_1985_27" w:history="1">
        <w:r w:rsidRPr="00506787">
          <w:rPr>
            <w:rStyle w:val="TextoNormalCaracter"/>
          </w:rPr>
          <w:t>27/1985</w:t>
        </w:r>
      </w:hyperlink>
      <w:r w:rsidRPr="00506787">
        <w:rPr>
          <w:rStyle w:val="TextoNormalCaracter"/>
        </w:rPr>
        <w:t xml:space="preserve">, ff. 3, 4; </w:t>
      </w:r>
      <w:hyperlink w:anchor="SENTENCIA_1985_32" w:history="1">
        <w:r w:rsidRPr="00506787">
          <w:rPr>
            <w:rStyle w:val="TextoNormalCaracter"/>
          </w:rPr>
          <w:t>32/1985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83" w:history="1">
        <w:r w:rsidRPr="00506787">
          <w:rPr>
            <w:rStyle w:val="TextoNormalCaracter"/>
          </w:rPr>
          <w:t>83/1985</w:t>
        </w:r>
      </w:hyperlink>
      <w:r w:rsidRPr="00506787">
        <w:rPr>
          <w:rStyle w:val="TextoNormalCaracter"/>
        </w:rPr>
        <w:t>.</w:t>
      </w:r>
    </w:p>
    <w:p w:rsidR="00506787" w:rsidRPr="00506787" w:rsidRDefault="00506787" w:rsidP="00506787">
      <w:pPr>
        <w:pStyle w:val="TextoNormalSangraFrancesa"/>
        <w:rPr>
          <w:rStyle w:val="TextoNormalCaracter"/>
        </w:rPr>
      </w:pPr>
      <w:bookmarkStart w:id="1456" w:name="DESCRIPTORALFABETICO430"/>
      <w:r w:rsidRPr="00506787">
        <w:rPr>
          <w:rStyle w:val="TextoNormalNegritaCaracter"/>
        </w:rPr>
        <w:t>Recusación de jueces y magistrados</w:t>
      </w:r>
      <w:bookmarkEnd w:id="1456"/>
      <w:r w:rsidRPr="00506787">
        <w:rPr>
          <w:rStyle w:val="TextoNormalCaracter"/>
        </w:rPr>
        <w:t xml:space="preserve">, Sentencia </w:t>
      </w:r>
      <w:hyperlink w:anchor="SENTENCIA_1985_44" w:history="1">
        <w:r w:rsidRPr="00506787">
          <w:rPr>
            <w:rStyle w:val="TextoNormalCaracter"/>
          </w:rPr>
          <w:t>44/1985</w:t>
        </w:r>
      </w:hyperlink>
      <w:r w:rsidRPr="00506787">
        <w:rPr>
          <w:rStyle w:val="TextoNormalCaracter"/>
        </w:rPr>
        <w:t>, f. 4.</w:t>
      </w:r>
    </w:p>
    <w:p w:rsidR="00506787" w:rsidRPr="00506787" w:rsidRDefault="00506787" w:rsidP="00506787">
      <w:pPr>
        <w:pStyle w:val="TextoNormalSangraFrancesa"/>
        <w:rPr>
          <w:rStyle w:val="TextoNormalCaracter"/>
        </w:rPr>
      </w:pPr>
      <w:bookmarkStart w:id="1457" w:name="DESCRIPTORALFABETICO58"/>
      <w:r w:rsidRPr="00506787">
        <w:rPr>
          <w:rStyle w:val="TextoNormalNegritaCaracter"/>
          <w:i/>
        </w:rPr>
        <w:t>Reformatio in peius</w:t>
      </w:r>
      <w:bookmarkEnd w:id="1457"/>
      <w:r w:rsidRPr="00506787">
        <w:rPr>
          <w:rStyle w:val="TextoNormalCaracter"/>
        </w:rPr>
        <w:t xml:space="preserve">, Sentencia </w:t>
      </w:r>
      <w:hyperlink w:anchor="SENTENCIA_1985_54" w:history="1">
        <w:r w:rsidRPr="00506787">
          <w:rPr>
            <w:rStyle w:val="TextoNormalCaracter"/>
          </w:rPr>
          <w:t>54/1985</w:t>
        </w:r>
      </w:hyperlink>
      <w:r w:rsidRPr="00506787">
        <w:rPr>
          <w:rStyle w:val="TextoNormalCaracter"/>
        </w:rPr>
        <w:t>, ff. 7, 8.</w:t>
      </w:r>
    </w:p>
    <w:p w:rsidR="00506787" w:rsidRPr="00506787" w:rsidRDefault="00506787" w:rsidP="00506787">
      <w:pPr>
        <w:pStyle w:val="TextoNormalSangraFrancesa"/>
        <w:rPr>
          <w:rStyle w:val="TextoNormalCaracter"/>
        </w:rPr>
      </w:pPr>
      <w:bookmarkStart w:id="1458" w:name="DESCRIPTORALFABETICO312"/>
      <w:r w:rsidRPr="00506787">
        <w:rPr>
          <w:rStyle w:val="TextoNormalNegritaCaracter"/>
        </w:rPr>
        <w:t>Régimen disciplinario militar</w:t>
      </w:r>
      <w:bookmarkEnd w:id="1458"/>
      <w:r w:rsidRPr="00506787">
        <w:rPr>
          <w:rStyle w:val="TextoNormalCaracter"/>
        </w:rPr>
        <w:t xml:space="preserve">, Sentencia </w:t>
      </w:r>
      <w:hyperlink w:anchor="SENTENCIA_1985_31" w:history="1">
        <w:r w:rsidRPr="00506787">
          <w:rPr>
            <w:rStyle w:val="TextoNormalCaracter"/>
          </w:rPr>
          <w:t>31/1985</w:t>
        </w:r>
      </w:hyperlink>
      <w:r w:rsidRPr="00506787">
        <w:rPr>
          <w:rStyle w:val="TextoNormalCaracter"/>
        </w:rPr>
        <w:t>, f. 5.</w:t>
      </w:r>
    </w:p>
    <w:p w:rsidR="00506787" w:rsidRPr="00506787" w:rsidRDefault="00506787" w:rsidP="00506787">
      <w:pPr>
        <w:pStyle w:val="TextoNormalSangraFrancesa"/>
        <w:rPr>
          <w:rStyle w:val="TextoNormalCaracter"/>
        </w:rPr>
      </w:pPr>
      <w:bookmarkStart w:id="1459" w:name="DESCRIPTORALFABETICO378"/>
      <w:r w:rsidRPr="00506787">
        <w:rPr>
          <w:rStyle w:val="TextoNormalNegritaCaracter"/>
        </w:rPr>
        <w:t>Régimen económico de la Seguridad Social</w:t>
      </w:r>
      <w:bookmarkEnd w:id="1459"/>
      <w:r w:rsidRPr="00506787">
        <w:rPr>
          <w:rStyle w:val="TextoNormalCaracter"/>
        </w:rPr>
        <w:t xml:space="preserve">, Sentencia </w:t>
      </w:r>
      <w:hyperlink w:anchor="SENTENCIA_1985_46" w:history="1">
        <w:r w:rsidRPr="00506787">
          <w:rPr>
            <w:rStyle w:val="TextoNormalCaracter"/>
          </w:rPr>
          <w:t>46/1985</w:t>
        </w:r>
      </w:hyperlink>
      <w:r w:rsidRPr="00506787">
        <w:rPr>
          <w:rStyle w:val="TextoNormalCaracter"/>
        </w:rPr>
        <w:t>, f. 2.</w:t>
      </w:r>
    </w:p>
    <w:p w:rsidR="00506787" w:rsidRPr="00506787" w:rsidRDefault="00506787" w:rsidP="00506787">
      <w:pPr>
        <w:pStyle w:val="TextoNormalSangraFrancesa"/>
        <w:rPr>
          <w:rStyle w:val="TextoNormalCaracter"/>
        </w:rPr>
      </w:pPr>
      <w:bookmarkStart w:id="1460" w:name="DESCRIPTORALFABETICO307"/>
      <w:r w:rsidRPr="00506787">
        <w:rPr>
          <w:rStyle w:val="TextoNormalNegritaCaracter"/>
        </w:rPr>
        <w:t>Régimen energético</w:t>
      </w:r>
      <w:bookmarkEnd w:id="1460"/>
      <w:r w:rsidRPr="00506787">
        <w:rPr>
          <w:rStyle w:val="TextoNormalCaracter"/>
        </w:rPr>
        <w:t xml:space="preserve">, Sentencia </w:t>
      </w:r>
      <w:hyperlink w:anchor="SENTENCIA_1985_24" w:history="1">
        <w:r w:rsidRPr="00506787">
          <w:rPr>
            <w:rStyle w:val="TextoNormalCaracter"/>
          </w:rPr>
          <w:t>24/1985</w:t>
        </w:r>
      </w:hyperlink>
      <w:r w:rsidRPr="00506787">
        <w:rPr>
          <w:rStyle w:val="TextoNormalCaracter"/>
        </w:rPr>
        <w:t>, ff. 3, 8.</w:t>
      </w:r>
    </w:p>
    <w:p w:rsidR="00506787" w:rsidRPr="00506787" w:rsidRDefault="00506787" w:rsidP="00506787">
      <w:pPr>
        <w:pStyle w:val="TextoNormalSangraFrancesa"/>
        <w:rPr>
          <w:rStyle w:val="TextoNormalNegritaCaracter"/>
        </w:rPr>
      </w:pPr>
      <w:r w:rsidRPr="00506787">
        <w:rPr>
          <w:rStyle w:val="TextoNormalCursivaCaracter"/>
        </w:rPr>
        <w:t>Reglas procesales</w:t>
      </w:r>
      <w:r>
        <w:t xml:space="preserve"> véase </w:t>
      </w:r>
      <w:hyperlink w:anchor="DESCRIPTORALFABETICO532" w:history="1">
        <w:r w:rsidRPr="00506787">
          <w:rPr>
            <w:rStyle w:val="TextoNormalNegritaCaracter"/>
          </w:rPr>
          <w:t>Requisitos procesales</w:t>
        </w:r>
      </w:hyperlink>
    </w:p>
    <w:p w:rsidR="00506787" w:rsidRPr="00506787" w:rsidRDefault="00506787" w:rsidP="00506787">
      <w:pPr>
        <w:pStyle w:val="TextoNormalSangraFrancesa"/>
        <w:rPr>
          <w:rStyle w:val="TextoNormalCaracter"/>
        </w:rPr>
      </w:pPr>
      <w:bookmarkStart w:id="1461" w:name="DESCRIPTORALFABETICO566"/>
      <w:r w:rsidRPr="00506787">
        <w:rPr>
          <w:rStyle w:val="TextoNormalNegritaCaracter"/>
        </w:rPr>
        <w:t>Regulación de la extradición</w:t>
      </w:r>
      <w:bookmarkEnd w:id="1461"/>
      <w:r w:rsidRPr="00506787">
        <w:rPr>
          <w:rStyle w:val="TextoNormalCaracter"/>
        </w:rPr>
        <w:t xml:space="preserve">, Sentencia </w:t>
      </w:r>
      <w:hyperlink w:anchor="SENTENCIA_1985_11" w:history="1">
        <w:r w:rsidRPr="00506787">
          <w:rPr>
            <w:rStyle w:val="TextoNormalCaracter"/>
          </w:rPr>
          <w:t>11/1985</w:t>
        </w:r>
      </w:hyperlink>
      <w:r w:rsidRPr="00506787">
        <w:rPr>
          <w:rStyle w:val="TextoNormalCaracter"/>
        </w:rPr>
        <w:t>, f. 4.</w:t>
      </w:r>
    </w:p>
    <w:p w:rsidR="00506787" w:rsidRPr="00506787" w:rsidRDefault="00506787" w:rsidP="00506787">
      <w:pPr>
        <w:pStyle w:val="TextoNormalSangraFrancesa"/>
        <w:rPr>
          <w:rStyle w:val="TextoNormalNegritaCaracter"/>
        </w:rPr>
      </w:pPr>
      <w:r w:rsidRPr="00506787">
        <w:rPr>
          <w:rStyle w:val="TextoNormalCursivaCaracter"/>
        </w:rPr>
        <w:t>Reingreso en la empresa</w:t>
      </w:r>
      <w:r>
        <w:t xml:space="preserve"> véase </w:t>
      </w:r>
      <w:hyperlink w:anchor="DESCRIPTORALFABETICO411" w:history="1">
        <w:r w:rsidRPr="00506787">
          <w:rPr>
            <w:rStyle w:val="TextoNormalNegritaCaracter"/>
          </w:rPr>
          <w:t>Readmisión de trabajadores</w:t>
        </w:r>
      </w:hyperlink>
    </w:p>
    <w:p w:rsidR="00506787" w:rsidRPr="00506787" w:rsidRDefault="00506787" w:rsidP="00506787">
      <w:pPr>
        <w:pStyle w:val="TextoNormalSangraFrancesa"/>
        <w:rPr>
          <w:rStyle w:val="TextoNormalNegritaCaracter"/>
        </w:rPr>
      </w:pPr>
      <w:r w:rsidRPr="00506787">
        <w:rPr>
          <w:rStyle w:val="TextoNormalCursivaCaracter"/>
        </w:rPr>
        <w:t>Relación contractual</w:t>
      </w:r>
      <w:r>
        <w:t xml:space="preserve"> véase </w:t>
      </w:r>
      <w:hyperlink w:anchor="DESCRIPTORALFABETICO283" w:history="1">
        <w:r w:rsidRPr="00506787">
          <w:rPr>
            <w:rStyle w:val="TextoNormalNegritaCaracter"/>
          </w:rPr>
          <w:t>Contratos</w:t>
        </w:r>
      </w:hyperlink>
    </w:p>
    <w:p w:rsidR="00506787" w:rsidRPr="00506787" w:rsidRDefault="00506787" w:rsidP="00506787">
      <w:pPr>
        <w:pStyle w:val="TextoNormalSangraFrancesa"/>
        <w:rPr>
          <w:rStyle w:val="TextoNormalNegritaCaracter"/>
        </w:rPr>
      </w:pPr>
      <w:r w:rsidRPr="00506787">
        <w:rPr>
          <w:rStyle w:val="TextoNormalCursivaCaracter"/>
        </w:rPr>
        <w:lastRenderedPageBreak/>
        <w:t>Relaciones &lt;em&gt;inter privatos&lt;/em&gt;</w:t>
      </w:r>
      <w:r>
        <w:t xml:space="preserve"> véase </w:t>
      </w:r>
      <w:hyperlink w:anchor="DESCRIPTORALFABETICO123" w:history="1">
        <w:r w:rsidRPr="00506787">
          <w:rPr>
            <w:rStyle w:val="TextoNormalNegritaCaracter"/>
          </w:rPr>
          <w:t>Relaciones entre particulares</w:t>
        </w:r>
      </w:hyperlink>
    </w:p>
    <w:p w:rsidR="00506787" w:rsidRPr="00506787" w:rsidRDefault="00506787" w:rsidP="00506787">
      <w:pPr>
        <w:pStyle w:val="TextoNormalSangraFrancesa"/>
        <w:rPr>
          <w:rStyle w:val="TextoNormalCaracter"/>
        </w:rPr>
      </w:pPr>
      <w:bookmarkStart w:id="1462" w:name="DESCRIPTORALFABETICO123"/>
      <w:r w:rsidRPr="00506787">
        <w:rPr>
          <w:rStyle w:val="TextoNormalNegritaCaracter"/>
        </w:rPr>
        <w:t>Relaciones entre particulares</w:t>
      </w:r>
      <w:bookmarkEnd w:id="1462"/>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ff. 1, 5.</w:t>
      </w:r>
    </w:p>
    <w:p w:rsidR="00506787" w:rsidRPr="00506787" w:rsidRDefault="00506787" w:rsidP="00506787">
      <w:pPr>
        <w:pStyle w:val="TextoNormalSangraFrancesa"/>
        <w:rPr>
          <w:rStyle w:val="TextoNormalCaracter"/>
        </w:rPr>
      </w:pPr>
      <w:bookmarkStart w:id="1463" w:name="DESCRIPTORALFABETICO401"/>
      <w:r w:rsidRPr="00506787">
        <w:rPr>
          <w:rStyle w:val="TextoNormalNegritaCaracter"/>
        </w:rPr>
        <w:t>Relaciones laborales</w:t>
      </w:r>
      <w:bookmarkEnd w:id="1463"/>
      <w:r w:rsidRPr="00506787">
        <w:rPr>
          <w:rStyle w:val="TextoNormalCaracter"/>
        </w:rPr>
        <w:t xml:space="preserve">, Sentencias </w:t>
      </w:r>
      <w:hyperlink w:anchor="SENTENCIA_1985_19" w:history="1">
        <w:r w:rsidRPr="00506787">
          <w:rPr>
            <w:rStyle w:val="TextoNormalCaracter"/>
          </w:rPr>
          <w:t>19/1985</w:t>
        </w:r>
      </w:hyperlink>
      <w:r w:rsidRPr="00506787">
        <w:rPr>
          <w:rStyle w:val="TextoNormalCaracter"/>
        </w:rPr>
        <w:t xml:space="preserve">, f. 1; </w:t>
      </w:r>
      <w:hyperlink w:anchor="SENTENCIA_1985_47" w:history="1">
        <w:r w:rsidRPr="00506787">
          <w:rPr>
            <w:rStyle w:val="TextoNormalCaracter"/>
          </w:rPr>
          <w:t>47/1985</w:t>
        </w:r>
      </w:hyperlink>
      <w:r w:rsidRPr="00506787">
        <w:rPr>
          <w:rStyle w:val="TextoNormalCaracter"/>
        </w:rPr>
        <w:t>, f. 5.</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57" w:history="1">
        <w:r w:rsidRPr="00506787">
          <w:rPr>
            <w:rStyle w:val="TextoNormalCaracter"/>
          </w:rPr>
          <w:t>57/1985</w:t>
        </w:r>
      </w:hyperlink>
      <w:r w:rsidRPr="00506787">
        <w:rPr>
          <w:rStyle w:val="TextoNormalCaracter"/>
        </w:rPr>
        <w:t xml:space="preserve">; </w:t>
      </w:r>
      <w:hyperlink w:anchor="AUTO_1985_95" w:history="1">
        <w:r w:rsidRPr="00506787">
          <w:rPr>
            <w:rStyle w:val="TextoNormalCaracter"/>
          </w:rPr>
          <w:t>95/1985</w:t>
        </w:r>
      </w:hyperlink>
      <w:r w:rsidRPr="00506787">
        <w:rPr>
          <w:rStyle w:val="TextoNormalCaracter"/>
        </w:rPr>
        <w:t>.</w:t>
      </w:r>
    </w:p>
    <w:p w:rsidR="00506787" w:rsidRPr="00506787" w:rsidRDefault="00506787" w:rsidP="00506787">
      <w:pPr>
        <w:pStyle w:val="TextoNormalSangraFrancesa"/>
        <w:rPr>
          <w:rStyle w:val="TextoNormalCaracter"/>
        </w:rPr>
      </w:pPr>
      <w:bookmarkStart w:id="1464" w:name="DESCRIPTORALFABETICO493"/>
      <w:r w:rsidRPr="00506787">
        <w:rPr>
          <w:rStyle w:val="TextoNormalNegritaCaracter"/>
        </w:rPr>
        <w:t>Renuncia de abogado de oficio</w:t>
      </w:r>
      <w:bookmarkEnd w:id="1464"/>
      <w:r w:rsidRPr="00506787">
        <w:rPr>
          <w:rStyle w:val="TextoNormalCaracter"/>
        </w:rPr>
        <w:t xml:space="preserve">, Autos </w:t>
      </w:r>
      <w:hyperlink w:anchor="AUTO_1985_10" w:history="1">
        <w:r w:rsidRPr="00506787">
          <w:rPr>
            <w:rStyle w:val="TextoNormalCaracter"/>
          </w:rPr>
          <w:t>10/1985</w:t>
        </w:r>
      </w:hyperlink>
      <w:r w:rsidRPr="00506787">
        <w:rPr>
          <w:rStyle w:val="TextoNormalCaracter"/>
        </w:rPr>
        <w:t xml:space="preserve">; </w:t>
      </w:r>
      <w:hyperlink w:anchor="AUTO_1985_112" w:history="1">
        <w:r w:rsidRPr="00506787">
          <w:rPr>
            <w:rStyle w:val="TextoNormalCaracter"/>
          </w:rPr>
          <w:t>112/1985</w:t>
        </w:r>
      </w:hyperlink>
      <w:r w:rsidRPr="00506787">
        <w:rPr>
          <w:rStyle w:val="TextoNormalCaracter"/>
        </w:rPr>
        <w:t>.</w:t>
      </w:r>
    </w:p>
    <w:p w:rsidR="00506787" w:rsidRPr="00506787" w:rsidRDefault="00506787" w:rsidP="00506787">
      <w:pPr>
        <w:pStyle w:val="TextoNormalSangraFrancesa"/>
        <w:rPr>
          <w:rStyle w:val="TextoNormalCaracter"/>
        </w:rPr>
      </w:pPr>
      <w:bookmarkStart w:id="1465" w:name="DESCRIPTORALFABETICO227"/>
      <w:r w:rsidRPr="00506787">
        <w:rPr>
          <w:rStyle w:val="TextoNormalNegritaCaracter"/>
        </w:rPr>
        <w:t>Representación de interés público</w:t>
      </w:r>
      <w:bookmarkEnd w:id="1465"/>
      <w:r w:rsidRPr="00506787">
        <w:rPr>
          <w:rStyle w:val="TextoNormalCaracter"/>
        </w:rPr>
        <w:t xml:space="preserve">, Auto </w:t>
      </w:r>
      <w:hyperlink w:anchor="AUTO_1985_218" w:history="1">
        <w:r w:rsidRPr="00506787">
          <w:rPr>
            <w:rStyle w:val="TextoNormalCaracter"/>
          </w:rPr>
          <w:t>218/1985</w:t>
        </w:r>
      </w:hyperlink>
      <w:r w:rsidRPr="00506787">
        <w:rPr>
          <w:rStyle w:val="TextoNormalCaracter"/>
        </w:rPr>
        <w:t>.</w:t>
      </w:r>
    </w:p>
    <w:p w:rsidR="00506787" w:rsidRPr="00506787" w:rsidRDefault="00506787" w:rsidP="00506787">
      <w:pPr>
        <w:pStyle w:val="TextoNormalSangraFrancesa"/>
        <w:rPr>
          <w:rStyle w:val="TextoNormalCaracter"/>
        </w:rPr>
      </w:pPr>
      <w:bookmarkStart w:id="1466" w:name="DESCRIPTORALFABETICO400"/>
      <w:r w:rsidRPr="00506787">
        <w:rPr>
          <w:rStyle w:val="TextoNormalNegritaCaracter"/>
        </w:rPr>
        <w:t>Representación de trabajadores y empresarios</w:t>
      </w:r>
      <w:bookmarkEnd w:id="1466"/>
      <w:r w:rsidRPr="00506787">
        <w:rPr>
          <w:rStyle w:val="TextoNormalCaracter"/>
        </w:rPr>
        <w:t xml:space="preserve">, Sentencia </w:t>
      </w:r>
      <w:hyperlink w:anchor="SENTENCIA_1985_58" w:history="1">
        <w:r w:rsidRPr="00506787">
          <w:rPr>
            <w:rStyle w:val="TextoNormalCaracter"/>
          </w:rPr>
          <w:t>58/1985</w:t>
        </w:r>
      </w:hyperlink>
      <w:r w:rsidRPr="00506787">
        <w:rPr>
          <w:rStyle w:val="TextoNormalCaracter"/>
        </w:rPr>
        <w:t>, f. 4.</w:t>
      </w:r>
    </w:p>
    <w:p w:rsidR="00506787" w:rsidRPr="00506787" w:rsidRDefault="00506787" w:rsidP="00506787">
      <w:pPr>
        <w:pStyle w:val="TextoNormalSangraFrancesa"/>
        <w:rPr>
          <w:rStyle w:val="TextoNormalCaracter"/>
        </w:rPr>
      </w:pPr>
      <w:bookmarkStart w:id="1467" w:name="DESCRIPTORALFABETICO248"/>
      <w:r w:rsidRPr="00506787">
        <w:rPr>
          <w:rStyle w:val="TextoNormalNegritaCaracter"/>
        </w:rPr>
        <w:t>Representación política</w:t>
      </w:r>
      <w:bookmarkEnd w:id="1467"/>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 2.</w:t>
      </w:r>
    </w:p>
    <w:p w:rsidR="00506787" w:rsidRPr="00506787" w:rsidRDefault="00506787" w:rsidP="00506787">
      <w:pPr>
        <w:pStyle w:val="TextoNormalSangraFrancesa"/>
        <w:rPr>
          <w:rStyle w:val="TextoNormalCaracter"/>
        </w:rPr>
      </w:pPr>
      <w:bookmarkStart w:id="1468" w:name="DESCRIPTORALFABETICO381"/>
      <w:r w:rsidRPr="00506787">
        <w:rPr>
          <w:rStyle w:val="TextoNormalNegritaCaracter"/>
        </w:rPr>
        <w:t>Representantes de los trabajadores</w:t>
      </w:r>
      <w:bookmarkEnd w:id="1468"/>
      <w:r w:rsidRPr="00506787">
        <w:rPr>
          <w:rStyle w:val="TextoNormalCaracter"/>
        </w:rPr>
        <w:t xml:space="preserve">, Sentencia </w:t>
      </w:r>
      <w:hyperlink w:anchor="SENTENCIA_1985_40" w:history="1">
        <w:r w:rsidRPr="00506787">
          <w:rPr>
            <w:rStyle w:val="TextoNormalCaracter"/>
          </w:rPr>
          <w:t>40/1985</w:t>
        </w:r>
      </w:hyperlink>
      <w:r w:rsidRPr="00506787">
        <w:rPr>
          <w:rStyle w:val="TextoNormalCaracter"/>
        </w:rPr>
        <w:t>, ff. 1, 2.</w:t>
      </w:r>
    </w:p>
    <w:p w:rsidR="00506787" w:rsidRPr="00506787" w:rsidRDefault="00506787" w:rsidP="00506787">
      <w:pPr>
        <w:pStyle w:val="TextoNormalSangraFrancesa"/>
        <w:rPr>
          <w:rStyle w:val="TextoNormalCaracter"/>
        </w:rPr>
      </w:pPr>
      <w:bookmarkStart w:id="1469" w:name="DESCRIPTORALFABETICO287"/>
      <w:r w:rsidRPr="00506787">
        <w:rPr>
          <w:rStyle w:val="TextoNormalNegritaCaracter"/>
        </w:rPr>
        <w:t>Requerimiento de pago</w:t>
      </w:r>
      <w:bookmarkEnd w:id="1469"/>
      <w:r w:rsidRPr="00506787">
        <w:rPr>
          <w:rStyle w:val="TextoNormalCaracter"/>
        </w:rPr>
        <w:t xml:space="preserve">, Auto </w:t>
      </w:r>
      <w:hyperlink w:anchor="AUTO_1985_248" w:history="1">
        <w:r w:rsidRPr="00506787">
          <w:rPr>
            <w:rStyle w:val="TextoNormalCaracter"/>
          </w:rPr>
          <w:t>248/1985</w:t>
        </w:r>
      </w:hyperlink>
      <w:r w:rsidRPr="00506787">
        <w:rPr>
          <w:rStyle w:val="TextoNormalCaracter"/>
        </w:rPr>
        <w:t>.</w:t>
      </w:r>
    </w:p>
    <w:p w:rsidR="00506787" w:rsidRPr="00506787" w:rsidRDefault="00506787" w:rsidP="00506787">
      <w:pPr>
        <w:pStyle w:val="TextoNormalSangraFrancesa"/>
        <w:rPr>
          <w:rStyle w:val="TextoNormalCaracter"/>
        </w:rPr>
      </w:pPr>
      <w:bookmarkStart w:id="1470" w:name="DESCRIPTORALFABETICO172"/>
      <w:r w:rsidRPr="00506787">
        <w:rPr>
          <w:rStyle w:val="TextoNormalNegritaCaracter"/>
        </w:rPr>
        <w:t>Requisitos de interposición del recurso de inconstitucionalidad</w:t>
      </w:r>
      <w:bookmarkEnd w:id="1470"/>
      <w:r w:rsidRPr="00506787">
        <w:rPr>
          <w:rStyle w:val="TextoNormalCaracter"/>
        </w:rPr>
        <w:t xml:space="preserve">, Sentencia </w:t>
      </w:r>
      <w:hyperlink w:anchor="SENTENCIA_1985_42" w:history="1">
        <w:r w:rsidRPr="00506787">
          <w:rPr>
            <w:rStyle w:val="TextoNormalCaracter"/>
          </w:rPr>
          <w:t>42/1985</w:t>
        </w:r>
      </w:hyperlink>
      <w:r w:rsidRPr="00506787">
        <w:rPr>
          <w:rStyle w:val="TextoNormalCaracter"/>
        </w:rPr>
        <w:t>, f. 1.</w:t>
      </w:r>
    </w:p>
    <w:p w:rsidR="00506787" w:rsidRPr="00506787" w:rsidRDefault="00506787" w:rsidP="00506787">
      <w:pPr>
        <w:pStyle w:val="TextoNormalSangraFrancesa"/>
        <w:rPr>
          <w:rStyle w:val="TextoNormalCaracter"/>
        </w:rPr>
      </w:pPr>
      <w:bookmarkStart w:id="1471" w:name="DESCRIPTORALFABETICO534"/>
      <w:r w:rsidRPr="00506787">
        <w:rPr>
          <w:rStyle w:val="TextoNormalNegritaCaracter"/>
        </w:rPr>
        <w:t>Requisitos formales</w:t>
      </w:r>
      <w:bookmarkEnd w:id="1471"/>
      <w:r w:rsidRPr="00506787">
        <w:rPr>
          <w:rStyle w:val="TextoNormalCaracter"/>
        </w:rPr>
        <w:t xml:space="preserve">, Sentencia </w:t>
      </w:r>
      <w:hyperlink w:anchor="SENTENCIA_1985_57" w:history="1">
        <w:r w:rsidRPr="00506787">
          <w:rPr>
            <w:rStyle w:val="TextoNormalCaracter"/>
          </w:rPr>
          <w:t>57/1985</w:t>
        </w:r>
      </w:hyperlink>
      <w:r w:rsidRPr="00506787">
        <w:rPr>
          <w:rStyle w:val="TextoNormalCaracter"/>
        </w:rPr>
        <w:t>, f. 4.</w:t>
      </w:r>
    </w:p>
    <w:p w:rsidR="00506787" w:rsidRPr="00506787" w:rsidRDefault="00506787" w:rsidP="00506787">
      <w:pPr>
        <w:pStyle w:val="TextoNormalSangraFrancesa"/>
        <w:rPr>
          <w:rStyle w:val="TextoNormalCaracter"/>
        </w:rPr>
      </w:pPr>
      <w:bookmarkStart w:id="1472" w:name="DESCRIPTORALFABETICO568"/>
      <w:r w:rsidRPr="00506787">
        <w:rPr>
          <w:rStyle w:val="TextoNormalNegritaCaracter"/>
        </w:rPr>
        <w:t>Requisitos formales de la extradición</w:t>
      </w:r>
      <w:bookmarkEnd w:id="1472"/>
      <w:r w:rsidRPr="00506787">
        <w:rPr>
          <w:rStyle w:val="TextoNormalCaracter"/>
        </w:rPr>
        <w:t xml:space="preserve">, Auto </w:t>
      </w:r>
      <w:hyperlink w:anchor="AUTO_1985_59" w:history="1">
        <w:r w:rsidRPr="00506787">
          <w:rPr>
            <w:rStyle w:val="TextoNormalCaracter"/>
          </w:rPr>
          <w:t>59/1985</w:t>
        </w:r>
      </w:hyperlink>
      <w:r w:rsidRPr="00506787">
        <w:rPr>
          <w:rStyle w:val="TextoNormalCaracter"/>
        </w:rPr>
        <w:t>.</w:t>
      </w:r>
    </w:p>
    <w:p w:rsidR="00506787" w:rsidRPr="00506787" w:rsidRDefault="00506787" w:rsidP="00506787">
      <w:pPr>
        <w:pStyle w:val="TextoNormalSangraFrancesa"/>
        <w:rPr>
          <w:rStyle w:val="TextoNormalCaracter"/>
        </w:rPr>
      </w:pPr>
      <w:bookmarkStart w:id="1473" w:name="DESCRIPTORALFABETICO532"/>
      <w:r w:rsidRPr="00506787">
        <w:rPr>
          <w:rStyle w:val="TextoNormalNegritaCaracter"/>
        </w:rPr>
        <w:t>Requisitos procesales</w:t>
      </w:r>
      <w:bookmarkEnd w:id="1473"/>
      <w:r w:rsidRPr="00506787">
        <w:rPr>
          <w:rStyle w:val="TextoNormalCaracter"/>
        </w:rPr>
        <w:t xml:space="preserve">, Sentencias </w:t>
      </w:r>
      <w:hyperlink w:anchor="SENTENCIA_1985_17" w:history="1">
        <w:r w:rsidRPr="00506787">
          <w:rPr>
            <w:rStyle w:val="TextoNormalCaracter"/>
          </w:rPr>
          <w:t>17/1985</w:t>
        </w:r>
      </w:hyperlink>
      <w:r w:rsidRPr="00506787">
        <w:rPr>
          <w:rStyle w:val="TextoNormalCaracter"/>
        </w:rPr>
        <w:t xml:space="preserve">, ff. 2, 3, 4; </w:t>
      </w:r>
      <w:hyperlink w:anchor="SENTENCIA_1985_57" w:history="1">
        <w:r w:rsidRPr="00506787">
          <w:rPr>
            <w:rStyle w:val="TextoNormalCaracter"/>
          </w:rPr>
          <w:t>57/1985</w:t>
        </w:r>
      </w:hyperlink>
      <w:r w:rsidRPr="00506787">
        <w:rPr>
          <w:rStyle w:val="TextoNormalCaracter"/>
        </w:rPr>
        <w:t>, ff. 3, 4.</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Sentencias </w:t>
      </w:r>
      <w:hyperlink w:anchor="SENTENCIA_1985_17" w:history="1">
        <w:r w:rsidRPr="00506787">
          <w:rPr>
            <w:rStyle w:val="TextoNormalCaracter"/>
          </w:rPr>
          <w:t>17/1985</w:t>
        </w:r>
      </w:hyperlink>
      <w:r w:rsidRPr="00506787">
        <w:rPr>
          <w:rStyle w:val="TextoNormalCaracter"/>
        </w:rPr>
        <w:t xml:space="preserve">, f. 2; </w:t>
      </w:r>
      <w:hyperlink w:anchor="SENTENCIA_1985_29" w:history="1">
        <w:r w:rsidRPr="00506787">
          <w:rPr>
            <w:rStyle w:val="TextoNormalCaracter"/>
          </w:rPr>
          <w:t>29/1985</w:t>
        </w:r>
      </w:hyperlink>
      <w:r w:rsidRPr="00506787">
        <w:rPr>
          <w:rStyle w:val="TextoNormalCaracter"/>
        </w:rPr>
        <w:t xml:space="preserve">, f. 2, VP; </w:t>
      </w:r>
      <w:hyperlink w:anchor="SENTENCIA_1985_57" w:history="1">
        <w:r w:rsidRPr="00506787">
          <w:rPr>
            <w:rStyle w:val="TextoNormalCaracter"/>
          </w:rPr>
          <w:t>57/1985</w:t>
        </w:r>
      </w:hyperlink>
      <w:r w:rsidRPr="00506787">
        <w:rPr>
          <w:rStyle w:val="TextoNormalCaracter"/>
        </w:rPr>
        <w:t>, f. 3.</w:t>
      </w:r>
    </w:p>
    <w:p w:rsidR="00506787" w:rsidRPr="00506787" w:rsidRDefault="00506787" w:rsidP="00506787">
      <w:pPr>
        <w:pStyle w:val="TextoNormalSangraFrancesa"/>
        <w:rPr>
          <w:rStyle w:val="TextoNormalCaracter"/>
        </w:rPr>
      </w:pPr>
      <w:bookmarkStart w:id="1474" w:name="DESCRIPTORALFABETICO352"/>
      <w:r w:rsidRPr="00506787">
        <w:rPr>
          <w:rStyle w:val="TextoNormalNegritaCaracter"/>
        </w:rPr>
        <w:t>Reserva de ley</w:t>
      </w:r>
      <w:bookmarkEnd w:id="1474"/>
      <w:r w:rsidRPr="00506787">
        <w:rPr>
          <w:rStyle w:val="TextoNormalCaracter"/>
        </w:rPr>
        <w:t xml:space="preserve">, Sentencia </w:t>
      </w:r>
      <w:hyperlink w:anchor="SENTENCIA_1985_20" w:history="1">
        <w:r w:rsidRPr="00506787">
          <w:rPr>
            <w:rStyle w:val="TextoNormalCaracter"/>
          </w:rPr>
          <w:t>20/1985</w:t>
        </w:r>
      </w:hyperlink>
      <w:r w:rsidRPr="00506787">
        <w:rPr>
          <w:rStyle w:val="TextoNormalCaracter"/>
        </w:rPr>
        <w:t>, VP.</w:t>
      </w:r>
    </w:p>
    <w:p w:rsidR="00506787" w:rsidRPr="00506787" w:rsidRDefault="00506787" w:rsidP="00506787">
      <w:pPr>
        <w:pStyle w:val="TextoNormalSangraFrancesa"/>
        <w:rPr>
          <w:rStyle w:val="TextoNormalCaracter"/>
        </w:rPr>
      </w:pPr>
      <w:bookmarkStart w:id="1475" w:name="DESCRIPTORALFABETICO288"/>
      <w:r w:rsidRPr="00506787">
        <w:rPr>
          <w:rStyle w:val="TextoNormalNegritaCaracter"/>
        </w:rPr>
        <w:t>Resolución de contrato</w:t>
      </w:r>
      <w:bookmarkEnd w:id="1475"/>
      <w:r w:rsidRPr="00506787">
        <w:rPr>
          <w:rStyle w:val="TextoNormalCaracter"/>
        </w:rPr>
        <w:t xml:space="preserve">, Auto </w:t>
      </w:r>
      <w:hyperlink w:anchor="AUTO_1985_118" w:history="1">
        <w:r w:rsidRPr="00506787">
          <w:rPr>
            <w:rStyle w:val="TextoNormalCaracter"/>
          </w:rPr>
          <w:t>118/1985</w:t>
        </w:r>
      </w:hyperlink>
      <w:r w:rsidRPr="00506787">
        <w:rPr>
          <w:rStyle w:val="TextoNormalCaracter"/>
        </w:rPr>
        <w:t>.</w:t>
      </w:r>
    </w:p>
    <w:p w:rsidR="00506787" w:rsidRPr="00506787" w:rsidRDefault="00506787" w:rsidP="00506787">
      <w:pPr>
        <w:pStyle w:val="TextoNormalSangraFrancesa"/>
        <w:rPr>
          <w:rStyle w:val="TextoNormalCaracter"/>
        </w:rPr>
      </w:pPr>
      <w:bookmarkStart w:id="1476" w:name="DESCRIPTORALFABETICO286"/>
      <w:r w:rsidRPr="00506787">
        <w:rPr>
          <w:rStyle w:val="TextoNormalNegritaCaracter"/>
        </w:rPr>
        <w:t>Resolución de contrato de arrendamiento</w:t>
      </w:r>
      <w:bookmarkEnd w:id="1476"/>
      <w:r w:rsidRPr="00506787">
        <w:rPr>
          <w:rStyle w:val="TextoNormalCaracter"/>
        </w:rPr>
        <w:t xml:space="preserve">, Auto </w:t>
      </w:r>
      <w:hyperlink w:anchor="AUTO_1985_236" w:history="1">
        <w:r w:rsidRPr="00506787">
          <w:rPr>
            <w:rStyle w:val="TextoNormalCaracter"/>
          </w:rPr>
          <w:t>236/1985</w:t>
        </w:r>
      </w:hyperlink>
      <w:r w:rsidRPr="00506787">
        <w:rPr>
          <w:rStyle w:val="TextoNormalCaracter"/>
        </w:rPr>
        <w:t>.</w:t>
      </w:r>
    </w:p>
    <w:p w:rsidR="00506787" w:rsidRPr="00506787" w:rsidRDefault="00506787" w:rsidP="00506787">
      <w:pPr>
        <w:pStyle w:val="TextoNormalSangraFrancesa"/>
        <w:rPr>
          <w:rStyle w:val="TextoNormalCaracter"/>
        </w:rPr>
      </w:pPr>
      <w:bookmarkStart w:id="1477" w:name="DESCRIPTORALFABETICO59"/>
      <w:r w:rsidRPr="00506787">
        <w:rPr>
          <w:rStyle w:val="TextoNormalNegritaCaracter"/>
        </w:rPr>
        <w:t>Resolución fundada en Derecho</w:t>
      </w:r>
      <w:bookmarkEnd w:id="1477"/>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Vulnerado, </w:t>
      </w:r>
      <w:r w:rsidRPr="00506787">
        <w:rPr>
          <w:rStyle w:val="TextoNormalCaracter"/>
        </w:rPr>
        <w:t xml:space="preserve">Sentencia </w:t>
      </w:r>
      <w:hyperlink w:anchor="SENTENCIA_1985_22" w:history="1">
        <w:r w:rsidRPr="00506787">
          <w:rPr>
            <w:rStyle w:val="TextoNormalCaracter"/>
          </w:rPr>
          <w:t>22/1985</w:t>
        </w:r>
      </w:hyperlink>
      <w:r w:rsidRPr="00506787">
        <w:rPr>
          <w:rStyle w:val="TextoNormalCaracter"/>
        </w:rPr>
        <w:t>, ff. 1, 2, 3, 4, 5, 6.</w:t>
      </w:r>
    </w:p>
    <w:p w:rsidR="00506787" w:rsidRPr="00506787" w:rsidRDefault="00506787" w:rsidP="00506787">
      <w:pPr>
        <w:pStyle w:val="TextoNormalSangraFrancesa"/>
        <w:rPr>
          <w:rStyle w:val="TextoNormalCaracter"/>
        </w:rPr>
      </w:pPr>
      <w:bookmarkStart w:id="1478" w:name="DESCRIPTORALFABETICO99"/>
      <w:r w:rsidRPr="00506787">
        <w:rPr>
          <w:rStyle w:val="TextoNormalNegritaCaracter"/>
        </w:rPr>
        <w:t>Respeto de los profesores al ideario educativo</w:t>
      </w:r>
      <w:bookmarkEnd w:id="1478"/>
      <w:r w:rsidRPr="00506787">
        <w:rPr>
          <w:rStyle w:val="TextoNormalCaracter"/>
        </w:rPr>
        <w:t xml:space="preserve">, Sentencia </w:t>
      </w:r>
      <w:hyperlink w:anchor="SENTENCIA_1985_47" w:history="1">
        <w:r w:rsidRPr="00506787">
          <w:rPr>
            <w:rStyle w:val="TextoNormalCaracter"/>
          </w:rPr>
          <w:t>47/1985</w:t>
        </w:r>
      </w:hyperlink>
      <w:r w:rsidRPr="00506787">
        <w:rPr>
          <w:rStyle w:val="TextoNormalCaracter"/>
        </w:rPr>
        <w:t>, f. 4.</w:t>
      </w:r>
    </w:p>
    <w:p w:rsidR="00506787" w:rsidRPr="00506787" w:rsidRDefault="00506787" w:rsidP="00506787">
      <w:pPr>
        <w:pStyle w:val="TextoNormalSangraFrancesa"/>
        <w:rPr>
          <w:rStyle w:val="TextoNormalCaracter"/>
        </w:rPr>
      </w:pPr>
      <w:bookmarkStart w:id="1479" w:name="DESCRIPTORALFABETICO368"/>
      <w:r w:rsidRPr="00506787">
        <w:rPr>
          <w:rStyle w:val="TextoNormalNegritaCaracter"/>
        </w:rPr>
        <w:t>Responsabilidad civil derivada de delito</w:t>
      </w:r>
      <w:bookmarkEnd w:id="1479"/>
      <w:r w:rsidRPr="00506787">
        <w:rPr>
          <w:rStyle w:val="TextoNormalCaracter"/>
        </w:rPr>
        <w:t xml:space="preserve">, Sentencia </w:t>
      </w:r>
      <w:hyperlink w:anchor="SENTENCIA_1985_18" w:history="1">
        <w:r w:rsidRPr="00506787">
          <w:rPr>
            <w:rStyle w:val="TextoNormalCaracter"/>
          </w:rPr>
          <w:t>18/1985</w:t>
        </w:r>
      </w:hyperlink>
      <w:r w:rsidRPr="00506787">
        <w:rPr>
          <w:rStyle w:val="TextoNormalCaracter"/>
        </w:rPr>
        <w:t>, ff. 1, 2, 3, 4, 5.</w:t>
      </w:r>
    </w:p>
    <w:p w:rsidR="00506787" w:rsidRPr="00506787" w:rsidRDefault="00506787" w:rsidP="00506787">
      <w:pPr>
        <w:pStyle w:val="TextoNormalSangraFrancesa"/>
        <w:rPr>
          <w:rStyle w:val="TextoNormalNegritaCaracter"/>
        </w:rPr>
      </w:pPr>
      <w:r w:rsidRPr="00506787">
        <w:rPr>
          <w:rStyle w:val="TextoNormalCursivaCaracter"/>
        </w:rPr>
        <w:t>Responsabilidad civil por delito</w:t>
      </w:r>
      <w:r>
        <w:t xml:space="preserve"> véase </w:t>
      </w:r>
      <w:hyperlink w:anchor="DESCRIPTORALFABETICO368" w:history="1">
        <w:r w:rsidRPr="00506787">
          <w:rPr>
            <w:rStyle w:val="TextoNormalNegritaCaracter"/>
          </w:rPr>
          <w:t>Responsabilidad civil derivada de delito</w:t>
        </w:r>
      </w:hyperlink>
    </w:p>
    <w:p w:rsidR="00506787" w:rsidRPr="00506787" w:rsidRDefault="00506787" w:rsidP="00506787">
      <w:pPr>
        <w:pStyle w:val="TextoNormalSangraFrancesa"/>
        <w:rPr>
          <w:rStyle w:val="TextoNormalCaracter"/>
        </w:rPr>
      </w:pPr>
      <w:bookmarkStart w:id="1480" w:name="DESCRIPTORALFABETICO318"/>
      <w:r w:rsidRPr="00506787">
        <w:rPr>
          <w:rStyle w:val="TextoNormalNegritaCaracter"/>
        </w:rPr>
        <w:t>Retribuciones de empleados públicos</w:t>
      </w:r>
      <w:bookmarkEnd w:id="1480"/>
      <w:r w:rsidRPr="00506787">
        <w:rPr>
          <w:rStyle w:val="TextoNormalCaracter"/>
        </w:rPr>
        <w:t xml:space="preserve">, Auto </w:t>
      </w:r>
      <w:hyperlink w:anchor="AUTO_1985_224" w:history="1">
        <w:r w:rsidRPr="00506787">
          <w:rPr>
            <w:rStyle w:val="TextoNormalCaracter"/>
          </w:rPr>
          <w:t>224/1985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Retribuciones de personal</w:t>
      </w:r>
      <w:r>
        <w:t xml:space="preserve"> véase </w:t>
      </w:r>
      <w:hyperlink w:anchor="DESCRIPTORALFABETICO318" w:history="1">
        <w:r w:rsidRPr="00506787">
          <w:rPr>
            <w:rStyle w:val="TextoNormalNegritaCaracter"/>
          </w:rPr>
          <w:t>Retribuciones de empleados públicos</w:t>
        </w:r>
      </w:hyperlink>
    </w:p>
    <w:p w:rsidR="00506787" w:rsidRPr="00506787" w:rsidRDefault="00506787" w:rsidP="00506787">
      <w:pPr>
        <w:pStyle w:val="TextoNormalSangraFrancesa"/>
        <w:rPr>
          <w:rStyle w:val="TextoNormalNegritaCaracter"/>
        </w:rPr>
      </w:pPr>
      <w:r w:rsidRPr="00506787">
        <w:rPr>
          <w:rStyle w:val="TextoNormalCursivaCaracter"/>
        </w:rPr>
        <w:t>Retribuciones en el sector público</w:t>
      </w:r>
      <w:r>
        <w:t xml:space="preserve"> véase </w:t>
      </w:r>
      <w:hyperlink w:anchor="DESCRIPTORALFABETICO318" w:history="1">
        <w:r w:rsidRPr="00506787">
          <w:rPr>
            <w:rStyle w:val="TextoNormalNegritaCaracter"/>
          </w:rPr>
          <w:t>Retribuciones de empleados públicos</w:t>
        </w:r>
      </w:hyperlink>
    </w:p>
    <w:p w:rsidR="00506787" w:rsidRPr="00506787" w:rsidRDefault="00506787" w:rsidP="00506787">
      <w:pPr>
        <w:pStyle w:val="TextoNormalSangraFrancesa"/>
        <w:rPr>
          <w:rStyle w:val="TextoNormalCaracter"/>
        </w:rPr>
      </w:pPr>
      <w:bookmarkStart w:id="1481" w:name="DESCRIPTORALFABETICO342"/>
      <w:r w:rsidRPr="00506787">
        <w:rPr>
          <w:rStyle w:val="TextoNormalNegritaCaracter"/>
        </w:rPr>
        <w:t>Retroactividad de las normas jurídicas</w:t>
      </w:r>
      <w:bookmarkEnd w:id="1481"/>
      <w:r w:rsidRPr="00506787">
        <w:rPr>
          <w:rStyle w:val="TextoNormalCaracter"/>
        </w:rPr>
        <w:t xml:space="preserve">, Sentencia </w:t>
      </w:r>
      <w:hyperlink w:anchor="SENTENCIA_1985_10" w:history="1">
        <w:r w:rsidRPr="00506787">
          <w:rPr>
            <w:rStyle w:val="TextoNormalCaracter"/>
          </w:rPr>
          <w:t>10/1985</w:t>
        </w:r>
      </w:hyperlink>
      <w:r w:rsidRPr="00506787">
        <w:rPr>
          <w:rStyle w:val="TextoNormalCaracter"/>
        </w:rPr>
        <w:t>, f. 4.</w:t>
      </w:r>
    </w:p>
    <w:p w:rsidR="00506787" w:rsidRPr="00506787" w:rsidRDefault="00506787" w:rsidP="00506787">
      <w:pPr>
        <w:pStyle w:val="TextoNormalSangraFrancesa"/>
        <w:rPr>
          <w:rStyle w:val="TextoNormalCaracter"/>
        </w:rPr>
      </w:pPr>
      <w:bookmarkStart w:id="1482" w:name="DESCRIPTORALFABETICO584"/>
      <w:r w:rsidRPr="00506787">
        <w:rPr>
          <w:rStyle w:val="TextoNormalNegritaCaracter"/>
        </w:rPr>
        <w:t>Revisión de condena ante un tribunal superior</w:t>
      </w:r>
      <w:bookmarkEnd w:id="1482"/>
      <w:r w:rsidRPr="00506787">
        <w:rPr>
          <w:rStyle w:val="TextoNormalCaracter"/>
        </w:rPr>
        <w:t xml:space="preserve">, Auto </w:t>
      </w:r>
      <w:hyperlink w:anchor="AUTO_1985_88" w:history="1">
        <w:r w:rsidRPr="00506787">
          <w:rPr>
            <w:rStyle w:val="TextoNormalCaracter"/>
          </w:rPr>
          <w:t>88/1985</w:t>
        </w:r>
      </w:hyperlink>
      <w:r w:rsidRPr="00506787">
        <w:rPr>
          <w:rStyle w:val="TextoNormalCaracter"/>
        </w:rPr>
        <w:t>.</w:t>
      </w:r>
    </w:p>
    <w:p w:rsidR="00506787" w:rsidRPr="00506787" w:rsidRDefault="00506787" w:rsidP="00506787">
      <w:pPr>
        <w:pStyle w:val="TextoNormalSangraFrancesa"/>
        <w:rPr>
          <w:rStyle w:val="TextoNormalCaracter"/>
        </w:rPr>
      </w:pPr>
      <w:bookmarkStart w:id="1483" w:name="DESCRIPTORALFABETICO538"/>
      <w:r w:rsidRPr="00506787">
        <w:rPr>
          <w:rStyle w:val="TextoNormalNegritaCaracter"/>
        </w:rPr>
        <w:t>Revocación de sobreseimiento</w:t>
      </w:r>
      <w:bookmarkEnd w:id="1483"/>
      <w:r w:rsidRPr="00506787">
        <w:rPr>
          <w:rStyle w:val="TextoNormalCaracter"/>
        </w:rPr>
        <w:t xml:space="preserve">, Sentencia </w:t>
      </w:r>
      <w:hyperlink w:anchor="SENTENCIA_1985_30" w:history="1">
        <w:r w:rsidRPr="00506787">
          <w:rPr>
            <w:rStyle w:val="TextoNormalCaracter"/>
          </w:rPr>
          <w:t>30/1985</w:t>
        </w:r>
      </w:hyperlink>
      <w:r w:rsidRPr="00506787">
        <w:rPr>
          <w:rStyle w:val="TextoNormalCaracter"/>
        </w:rPr>
        <w:t>, f. 2.</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S</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484" w:name="DESCRIPTORALFABETICO404"/>
      <w:r w:rsidRPr="00506787">
        <w:rPr>
          <w:rStyle w:val="TextoNormalNegritaCaracter"/>
        </w:rPr>
        <w:t>Salarios de tramitación</w:t>
      </w:r>
      <w:bookmarkEnd w:id="1484"/>
      <w:r w:rsidRPr="00506787">
        <w:rPr>
          <w:rStyle w:val="TextoNormalCaracter"/>
        </w:rPr>
        <w:t xml:space="preserve">, Auto </w:t>
      </w:r>
      <w:hyperlink w:anchor="AUTO_1985_190" w:history="1">
        <w:r w:rsidRPr="00506787">
          <w:rPr>
            <w:rStyle w:val="TextoNormalCaracter"/>
          </w:rPr>
          <w:t>190/1985</w:t>
        </w:r>
      </w:hyperlink>
      <w:r w:rsidRPr="00506787">
        <w:rPr>
          <w:rStyle w:val="TextoNormalCaracter"/>
        </w:rPr>
        <w:t>.</w:t>
      </w:r>
    </w:p>
    <w:p w:rsidR="00506787" w:rsidRPr="00506787" w:rsidRDefault="00506787" w:rsidP="00506787">
      <w:pPr>
        <w:pStyle w:val="TextoNormalSangraFrancesa"/>
        <w:rPr>
          <w:rStyle w:val="TextoNormalCaracter"/>
        </w:rPr>
      </w:pPr>
      <w:bookmarkStart w:id="1485" w:name="DESCRIPTORALFABETICO290"/>
      <w:r w:rsidRPr="00506787">
        <w:rPr>
          <w:rStyle w:val="TextoNormalNegritaCaracter"/>
        </w:rPr>
        <w:t>Sanciones administrativas</w:t>
      </w:r>
      <w:bookmarkEnd w:id="1485"/>
      <w:r w:rsidRPr="00506787">
        <w:rPr>
          <w:rStyle w:val="TextoNormalCaracter"/>
        </w:rPr>
        <w:t xml:space="preserve">, Auto </w:t>
      </w:r>
      <w:hyperlink w:anchor="AUTO_1985_238" w:history="1">
        <w:r w:rsidRPr="00506787">
          <w:rPr>
            <w:rStyle w:val="TextoNormalCaracter"/>
          </w:rPr>
          <w:t>238/1985</w:t>
        </w:r>
      </w:hyperlink>
      <w:r w:rsidRPr="00506787">
        <w:rPr>
          <w:rStyle w:val="TextoNormalCaracter"/>
        </w:rPr>
        <w:t>.</w:t>
      </w:r>
    </w:p>
    <w:p w:rsidR="00506787" w:rsidRPr="00506787" w:rsidRDefault="00506787" w:rsidP="00506787">
      <w:pPr>
        <w:pStyle w:val="TextoNormalSangraFrancesa"/>
        <w:rPr>
          <w:rStyle w:val="TextoNormalCaracter"/>
        </w:rPr>
      </w:pPr>
      <w:bookmarkStart w:id="1486" w:name="DESCRIPTORALFABETICO405"/>
      <w:r w:rsidRPr="00506787">
        <w:rPr>
          <w:rStyle w:val="TextoNormalNegritaCaracter"/>
        </w:rPr>
        <w:t>Sanciones laborales</w:t>
      </w:r>
      <w:bookmarkEnd w:id="1486"/>
      <w:r w:rsidRPr="00506787">
        <w:rPr>
          <w:rStyle w:val="TextoNormalCaracter"/>
        </w:rPr>
        <w:t xml:space="preserve">, Sentencia </w:t>
      </w:r>
      <w:hyperlink w:anchor="SENTENCIA_1985_16" w:history="1">
        <w:r w:rsidRPr="00506787">
          <w:rPr>
            <w:rStyle w:val="TextoNormalCaracter"/>
          </w:rPr>
          <w:t>16/1985</w:t>
        </w:r>
      </w:hyperlink>
      <w:r w:rsidRPr="00506787">
        <w:rPr>
          <w:rStyle w:val="TextoNormalCaracter"/>
        </w:rPr>
        <w:t>, ff. 3, 4.</w:t>
      </w:r>
    </w:p>
    <w:p w:rsidR="00506787" w:rsidRPr="00506787" w:rsidRDefault="00506787" w:rsidP="00506787">
      <w:pPr>
        <w:pStyle w:val="TextoNormalSangraFrancesa"/>
        <w:rPr>
          <w:rStyle w:val="TextoNormalCaracter"/>
        </w:rPr>
      </w:pPr>
      <w:bookmarkStart w:id="1487" w:name="DESCRIPTORALFABETICO291"/>
      <w:r w:rsidRPr="00506787">
        <w:rPr>
          <w:rStyle w:val="TextoNormalNegritaCaracter"/>
        </w:rPr>
        <w:t>Sanciones pecuniarias</w:t>
      </w:r>
      <w:bookmarkEnd w:id="1487"/>
      <w:r w:rsidRPr="00506787">
        <w:rPr>
          <w:rStyle w:val="TextoNormalCaracter"/>
        </w:rPr>
        <w:t xml:space="preserve">, Auto </w:t>
      </w:r>
      <w:hyperlink w:anchor="AUTO_1985_238" w:history="1">
        <w:r w:rsidRPr="00506787">
          <w:rPr>
            <w:rStyle w:val="TextoNormalCaracter"/>
          </w:rPr>
          <w:t>238/1985</w:t>
        </w:r>
      </w:hyperlink>
      <w:r w:rsidRPr="00506787">
        <w:rPr>
          <w:rStyle w:val="TextoNormalCaracter"/>
        </w:rPr>
        <w:t>.</w:t>
      </w:r>
    </w:p>
    <w:p w:rsidR="00506787" w:rsidRPr="00506787" w:rsidRDefault="00506787" w:rsidP="00506787">
      <w:pPr>
        <w:pStyle w:val="TextoNormalSangraFrancesa"/>
        <w:rPr>
          <w:rStyle w:val="TextoNormalCaracter"/>
        </w:rPr>
      </w:pPr>
      <w:bookmarkStart w:id="1488" w:name="DESCRIPTORALFABETICO365"/>
      <w:r w:rsidRPr="00506787">
        <w:rPr>
          <w:rStyle w:val="TextoNormalNegritaCaracter"/>
        </w:rPr>
        <w:t>Sanciones penitenciarias</w:t>
      </w:r>
      <w:bookmarkEnd w:id="1488"/>
      <w:r w:rsidRPr="00506787">
        <w:rPr>
          <w:rStyle w:val="TextoNormalCaracter"/>
        </w:rPr>
        <w:t xml:space="preserve">, Auto </w:t>
      </w:r>
      <w:hyperlink w:anchor="AUTO_1985_24" w:history="1">
        <w:r w:rsidRPr="00506787">
          <w:rPr>
            <w:rStyle w:val="TextoNormalCaracter"/>
          </w:rPr>
          <w:t>24/1985</w:t>
        </w:r>
      </w:hyperlink>
      <w:r w:rsidRPr="00506787">
        <w:rPr>
          <w:rStyle w:val="TextoNormalCaracter"/>
        </w:rPr>
        <w:t>.</w:t>
      </w:r>
    </w:p>
    <w:p w:rsidR="00506787" w:rsidRPr="00506787" w:rsidRDefault="00506787" w:rsidP="00506787">
      <w:pPr>
        <w:pStyle w:val="TextoNormalSangraFrancesa"/>
        <w:rPr>
          <w:rStyle w:val="TextoNormalCaracter"/>
        </w:rPr>
      </w:pPr>
      <w:bookmarkStart w:id="1489" w:name="DESCRIPTORALFABETICO537"/>
      <w:r w:rsidRPr="00506787">
        <w:rPr>
          <w:rStyle w:val="TextoNormalNegritaCaracter"/>
        </w:rPr>
        <w:t>Satisfacción extraprocesal de la pretensión</w:t>
      </w:r>
      <w:bookmarkEnd w:id="1489"/>
      <w:r w:rsidRPr="00506787">
        <w:rPr>
          <w:rStyle w:val="TextoNormalCaracter"/>
        </w:rPr>
        <w:t xml:space="preserve">, Auto </w:t>
      </w:r>
      <w:hyperlink w:anchor="AUTO_1985_43" w:history="1">
        <w:r w:rsidRPr="00506787">
          <w:rPr>
            <w:rStyle w:val="TextoNormalCaracter"/>
          </w:rPr>
          <w:t>43/1985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Secretarios Judiciales</w:t>
      </w:r>
      <w:r>
        <w:t xml:space="preserve"> véase </w:t>
      </w:r>
      <w:hyperlink w:anchor="DESCRIPTORALFABETICO228" w:history="1">
        <w:r w:rsidRPr="00506787">
          <w:rPr>
            <w:rStyle w:val="TextoNormalNegritaCaracter"/>
          </w:rPr>
          <w:t>Cuerpo de letrados de la Administración de justicia</w:t>
        </w:r>
      </w:hyperlink>
    </w:p>
    <w:p w:rsidR="00506787" w:rsidRPr="00506787" w:rsidRDefault="00506787" w:rsidP="00506787">
      <w:pPr>
        <w:pStyle w:val="TextoNormalSangraFrancesa"/>
        <w:rPr>
          <w:rStyle w:val="TextoNormalNegritaCaracter"/>
        </w:rPr>
      </w:pPr>
      <w:r w:rsidRPr="00506787">
        <w:rPr>
          <w:rStyle w:val="TextoNormalCursivaCaracter"/>
        </w:rPr>
        <w:t>Secreto del sumario</w:t>
      </w:r>
      <w:r>
        <w:t xml:space="preserve"> véase </w:t>
      </w:r>
      <w:hyperlink w:anchor="DESCRIPTORALFABETICO560" w:history="1">
        <w:r w:rsidRPr="00506787">
          <w:rPr>
            <w:rStyle w:val="TextoNormalNegritaCaracter"/>
          </w:rPr>
          <w:t>Secreto sumarial</w:t>
        </w:r>
      </w:hyperlink>
    </w:p>
    <w:p w:rsidR="00506787" w:rsidRPr="00506787" w:rsidRDefault="00506787" w:rsidP="00506787">
      <w:pPr>
        <w:pStyle w:val="TextoNormalSangraFrancesa"/>
        <w:rPr>
          <w:rStyle w:val="TextoNormalCaracter"/>
        </w:rPr>
      </w:pPr>
      <w:bookmarkStart w:id="1490" w:name="DESCRIPTORALFABETICO560"/>
      <w:r w:rsidRPr="00506787">
        <w:rPr>
          <w:rStyle w:val="TextoNormalNegritaCaracter"/>
        </w:rPr>
        <w:t>Secreto sumarial</w:t>
      </w:r>
      <w:bookmarkEnd w:id="1490"/>
      <w:r w:rsidRPr="00506787">
        <w:rPr>
          <w:rStyle w:val="TextoNormalCaracter"/>
        </w:rPr>
        <w:t xml:space="preserve">, Sentencia </w:t>
      </w:r>
      <w:hyperlink w:anchor="SENTENCIA_1985_13" w:history="1">
        <w:r w:rsidRPr="00506787">
          <w:rPr>
            <w:rStyle w:val="TextoNormalCaracter"/>
          </w:rPr>
          <w:t>13/1985</w:t>
        </w:r>
      </w:hyperlink>
      <w:r w:rsidRPr="00506787">
        <w:rPr>
          <w:rStyle w:val="TextoNormalCaracter"/>
        </w:rPr>
        <w:t>, ff. 1, 2, 3.</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Sentencia </w:t>
      </w:r>
      <w:hyperlink w:anchor="SENTENCIA_1985_13" w:history="1">
        <w:r w:rsidRPr="00506787">
          <w:rPr>
            <w:rStyle w:val="TextoNormalCaracter"/>
          </w:rPr>
          <w:t>13/1985</w:t>
        </w:r>
      </w:hyperlink>
      <w:r w:rsidRPr="00506787">
        <w:rPr>
          <w:rStyle w:val="TextoNormalCaracter"/>
        </w:rPr>
        <w:t>, ff. 2, 3.</w:t>
      </w:r>
    </w:p>
    <w:p w:rsidR="00506787" w:rsidRPr="00506787" w:rsidRDefault="00506787" w:rsidP="00506787">
      <w:pPr>
        <w:pStyle w:val="TextoNormalSangraFrancesa"/>
        <w:rPr>
          <w:rStyle w:val="TextoNormalCaracter"/>
        </w:rPr>
      </w:pPr>
      <w:bookmarkStart w:id="1491" w:name="DESCRIPTORALFABETICO268"/>
      <w:r w:rsidRPr="00506787">
        <w:rPr>
          <w:rStyle w:val="TextoNormalNegritaCaracter"/>
        </w:rPr>
        <w:t>Seguridad del Estado</w:t>
      </w:r>
      <w:bookmarkEnd w:id="1491"/>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10.</w:t>
      </w:r>
    </w:p>
    <w:p w:rsidR="00506787" w:rsidRPr="00506787" w:rsidRDefault="00506787" w:rsidP="00506787">
      <w:pPr>
        <w:pStyle w:val="TextoNormalSangraFrancesa"/>
        <w:rPr>
          <w:rStyle w:val="TextoNormalNegritaCaracter"/>
        </w:rPr>
      </w:pPr>
      <w:r w:rsidRPr="00506787">
        <w:rPr>
          <w:rStyle w:val="TextoNormalCursivaCaracter"/>
        </w:rPr>
        <w:t>Seguridad personal</w:t>
      </w:r>
      <w:r>
        <w:t xml:space="preserve"> véase </w:t>
      </w:r>
      <w:hyperlink w:anchor="DESCRIPTORALFABETICO40" w:history="1">
        <w:r w:rsidRPr="00506787">
          <w:rPr>
            <w:rStyle w:val="TextoNormalNegritaCaracter"/>
          </w:rPr>
          <w:t>Derecho a la seguridad personal</w:t>
        </w:r>
      </w:hyperlink>
    </w:p>
    <w:p w:rsidR="00506787" w:rsidRPr="00506787" w:rsidRDefault="00506787" w:rsidP="00506787">
      <w:pPr>
        <w:pStyle w:val="TextoNormalSangraFrancesa"/>
        <w:rPr>
          <w:rStyle w:val="TextoNormalCaracter"/>
        </w:rPr>
      </w:pPr>
      <w:bookmarkStart w:id="1492" w:name="DESCRIPTORALFABETICO372"/>
      <w:r w:rsidRPr="00506787">
        <w:rPr>
          <w:rStyle w:val="TextoNormalNegritaCaracter"/>
        </w:rPr>
        <w:lastRenderedPageBreak/>
        <w:t>Seguridad Social</w:t>
      </w:r>
      <w:bookmarkEnd w:id="1492"/>
      <w:r w:rsidRPr="00506787">
        <w:rPr>
          <w:rStyle w:val="TextoNormalCaracter"/>
        </w:rPr>
        <w:t xml:space="preserve">, Sentencia </w:t>
      </w:r>
      <w:hyperlink w:anchor="SENTENCIA_1985_46" w:history="1">
        <w:r w:rsidRPr="00506787">
          <w:rPr>
            <w:rStyle w:val="TextoNormalCaracter"/>
          </w:rPr>
          <w:t>46/1985</w:t>
        </w:r>
      </w:hyperlink>
      <w:r w:rsidRPr="00506787">
        <w:rPr>
          <w:rStyle w:val="TextoNormalCaracter"/>
        </w:rPr>
        <w:t>, ff. 1, 2, 3, 4.</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94" w:history="1">
        <w:r w:rsidRPr="00506787">
          <w:rPr>
            <w:rStyle w:val="TextoNormalCaracter"/>
          </w:rPr>
          <w:t>94/1985</w:t>
        </w:r>
      </w:hyperlink>
      <w:r w:rsidRPr="00506787">
        <w:rPr>
          <w:rStyle w:val="TextoNormalCaracter"/>
        </w:rPr>
        <w:t>.</w:t>
      </w:r>
    </w:p>
    <w:p w:rsidR="00506787" w:rsidRPr="00506787" w:rsidRDefault="00506787" w:rsidP="00506787">
      <w:pPr>
        <w:pStyle w:val="TextoNormalSangraFrancesa"/>
        <w:rPr>
          <w:rStyle w:val="TextoNormalCaracter"/>
        </w:rPr>
      </w:pPr>
      <w:bookmarkStart w:id="1493" w:name="DESCRIPTORALFABETICO340"/>
      <w:r w:rsidRPr="00506787">
        <w:rPr>
          <w:rStyle w:val="TextoNormalNegritaCaracter"/>
        </w:rPr>
        <w:t>Selección de la norma aplicable</w:t>
      </w:r>
      <w:bookmarkEnd w:id="1493"/>
      <w:r w:rsidRPr="00506787">
        <w:rPr>
          <w:rStyle w:val="TextoNormalCaracter"/>
        </w:rPr>
        <w:t xml:space="preserve">, Auto </w:t>
      </w:r>
      <w:hyperlink w:anchor="AUTO_1985_144" w:history="1">
        <w:r w:rsidRPr="00506787">
          <w:rPr>
            <w:rStyle w:val="TextoNormalCaracter"/>
          </w:rPr>
          <w:t>144/1985</w:t>
        </w:r>
      </w:hyperlink>
      <w:r w:rsidRPr="00506787">
        <w:rPr>
          <w:rStyle w:val="TextoNormalCaracter"/>
        </w:rPr>
        <w:t>.</w:t>
      </w:r>
    </w:p>
    <w:p w:rsidR="00506787" w:rsidRPr="00506787" w:rsidRDefault="00506787" w:rsidP="00506787">
      <w:pPr>
        <w:pStyle w:val="TextoNormalSangraFrancesa"/>
        <w:rPr>
          <w:rStyle w:val="TextoNormalCaracter"/>
        </w:rPr>
      </w:pPr>
      <w:bookmarkStart w:id="1494" w:name="DESCRIPTORALFABETICO218"/>
      <w:r w:rsidRPr="00506787">
        <w:rPr>
          <w:rStyle w:val="TextoNormalNegritaCaracter"/>
        </w:rPr>
        <w:t>Sentencia de amparo</w:t>
      </w:r>
      <w:bookmarkEnd w:id="1494"/>
      <w:r w:rsidRPr="00506787">
        <w:rPr>
          <w:rStyle w:val="TextoNormalCaracter"/>
        </w:rPr>
        <w:t xml:space="preserve">, Sentencia </w:t>
      </w:r>
      <w:hyperlink w:anchor="SENTENCIA_1985_45" w:history="1">
        <w:r w:rsidRPr="00506787">
          <w:rPr>
            <w:rStyle w:val="TextoNormalCaracter"/>
          </w:rPr>
          <w:t>45/1985</w:t>
        </w:r>
      </w:hyperlink>
      <w:r w:rsidRPr="00506787">
        <w:rPr>
          <w:rStyle w:val="TextoNormalCaracter"/>
        </w:rPr>
        <w:t>, f. 4.</w:t>
      </w:r>
    </w:p>
    <w:p w:rsidR="00506787" w:rsidRPr="00506787" w:rsidRDefault="00506787" w:rsidP="00506787">
      <w:pPr>
        <w:pStyle w:val="TextoNormalSangraFrancesa"/>
        <w:rPr>
          <w:rStyle w:val="TextoNormalCaracter"/>
        </w:rPr>
      </w:pPr>
      <w:bookmarkStart w:id="1495" w:name="DESCRIPTORALFABETICO60"/>
      <w:r w:rsidRPr="00506787">
        <w:rPr>
          <w:rStyle w:val="TextoNormalNegritaCaracter"/>
        </w:rPr>
        <w:t>Sentencia fundada en Derecho</w:t>
      </w:r>
      <w:bookmarkEnd w:id="1495"/>
      <w:r w:rsidRPr="00506787">
        <w:rPr>
          <w:rStyle w:val="TextoNormalCaracter"/>
        </w:rPr>
        <w:t xml:space="preserve">, Autos </w:t>
      </w:r>
      <w:hyperlink w:anchor="AUTO_1985_95" w:history="1">
        <w:r w:rsidRPr="00506787">
          <w:rPr>
            <w:rStyle w:val="TextoNormalCaracter"/>
          </w:rPr>
          <w:t>95/1985</w:t>
        </w:r>
      </w:hyperlink>
      <w:r w:rsidRPr="00506787">
        <w:rPr>
          <w:rStyle w:val="TextoNormalCaracter"/>
        </w:rPr>
        <w:t xml:space="preserve">; </w:t>
      </w:r>
      <w:hyperlink w:anchor="AUTO_1985_143" w:history="1">
        <w:r w:rsidRPr="00506787">
          <w:rPr>
            <w:rStyle w:val="TextoNormalCaracter"/>
          </w:rPr>
          <w:t>143/1985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Respetado, </w:t>
      </w:r>
      <w:r w:rsidRPr="00506787">
        <w:rPr>
          <w:rStyle w:val="TextoNormalCaracter"/>
        </w:rPr>
        <w:t xml:space="preserve">Auto </w:t>
      </w:r>
      <w:hyperlink w:anchor="AUTO_1985_95" w:history="1">
        <w:r w:rsidRPr="00506787">
          <w:rPr>
            <w:rStyle w:val="TextoNormalCaracter"/>
          </w:rPr>
          <w:t>95/1985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Vulnerado, </w:t>
      </w:r>
      <w:r w:rsidRPr="00506787">
        <w:rPr>
          <w:rStyle w:val="TextoNormalCaracter"/>
        </w:rPr>
        <w:t xml:space="preserve">Sentencia </w:t>
      </w:r>
      <w:hyperlink w:anchor="SENTENCIA_1985_47" w:history="1">
        <w:r w:rsidRPr="00506787">
          <w:rPr>
            <w:rStyle w:val="TextoNormalCaracter"/>
          </w:rPr>
          <w:t>47/1985</w:t>
        </w:r>
      </w:hyperlink>
      <w:r w:rsidRPr="00506787">
        <w:rPr>
          <w:rStyle w:val="TextoNormalCaracter"/>
        </w:rPr>
        <w:t>, f. 1.</w:t>
      </w:r>
    </w:p>
    <w:p w:rsidR="00506787" w:rsidRPr="00506787" w:rsidRDefault="00506787" w:rsidP="00506787">
      <w:pPr>
        <w:pStyle w:val="TextoNormalSangraFrancesa"/>
        <w:rPr>
          <w:rStyle w:val="TextoNormalCaracter"/>
        </w:rPr>
      </w:pPr>
      <w:bookmarkStart w:id="1496" w:name="DESCRIPTORALFABETICO535"/>
      <w:r w:rsidRPr="00506787">
        <w:rPr>
          <w:rStyle w:val="TextoNormalNegritaCaracter"/>
        </w:rPr>
        <w:t>Sentencias</w:t>
      </w:r>
      <w:bookmarkEnd w:id="1496"/>
      <w:r w:rsidRPr="00506787">
        <w:rPr>
          <w:rStyle w:val="TextoNormalCaracter"/>
        </w:rPr>
        <w:t xml:space="preserve">, Sentencia </w:t>
      </w:r>
      <w:hyperlink w:anchor="SENTENCIA_1985_14" w:history="1">
        <w:r w:rsidRPr="00506787">
          <w:rPr>
            <w:rStyle w:val="TextoNormalCaracter"/>
          </w:rPr>
          <w:t>14/1985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222" w:history="1">
        <w:r w:rsidRPr="00506787">
          <w:rPr>
            <w:rStyle w:val="TextoNormalCaracter"/>
          </w:rPr>
          <w:t>222/1985</w:t>
        </w:r>
      </w:hyperlink>
      <w:r w:rsidRPr="00506787">
        <w:rPr>
          <w:rStyle w:val="TextoNormalCaracter"/>
        </w:rPr>
        <w:t>.</w:t>
      </w:r>
    </w:p>
    <w:p w:rsidR="00506787" w:rsidRPr="00506787" w:rsidRDefault="00506787" w:rsidP="00506787">
      <w:pPr>
        <w:pStyle w:val="TextoNormalSangraFrancesa"/>
        <w:rPr>
          <w:rStyle w:val="TextoNormalCaracter"/>
        </w:rPr>
      </w:pPr>
      <w:bookmarkStart w:id="1497" w:name="DESCRIPTORALFABETICO16"/>
      <w:r w:rsidRPr="00506787">
        <w:rPr>
          <w:rStyle w:val="TextoNormalNegritaCaracter"/>
        </w:rPr>
        <w:t>Servicio militar</w:t>
      </w:r>
      <w:bookmarkEnd w:id="1497"/>
      <w:r w:rsidRPr="00506787">
        <w:rPr>
          <w:rStyle w:val="TextoNormalCaracter"/>
        </w:rPr>
        <w:t xml:space="preserve">, Sentencia </w:t>
      </w:r>
      <w:hyperlink w:anchor="SENTENCIA_1985_35" w:history="1">
        <w:r w:rsidRPr="00506787">
          <w:rPr>
            <w:rStyle w:val="TextoNormalCaracter"/>
          </w:rPr>
          <w:t>35/1985</w:t>
        </w:r>
      </w:hyperlink>
      <w:r w:rsidRPr="00506787">
        <w:rPr>
          <w:rStyle w:val="TextoNormalCaracter"/>
        </w:rPr>
        <w:t>, f. 3.</w:t>
      </w:r>
    </w:p>
    <w:p w:rsidR="00506787" w:rsidRPr="00506787" w:rsidRDefault="00506787" w:rsidP="00506787">
      <w:pPr>
        <w:pStyle w:val="TextoNormalSangraFrancesa"/>
        <w:rPr>
          <w:rStyle w:val="TextoNormalCaracter"/>
        </w:rPr>
      </w:pPr>
      <w:bookmarkStart w:id="1498" w:name="DESCRIPTORALFABETICO379"/>
      <w:r w:rsidRPr="00506787">
        <w:rPr>
          <w:rStyle w:val="TextoNormalNegritaCaracter"/>
        </w:rPr>
        <w:t>Sindicatos</w:t>
      </w:r>
      <w:bookmarkEnd w:id="1498"/>
      <w:r w:rsidRPr="00506787">
        <w:rPr>
          <w:rStyle w:val="TextoNormalCaracter"/>
        </w:rPr>
        <w:t xml:space="preserve">, Sentencias </w:t>
      </w:r>
      <w:hyperlink w:anchor="SENTENCIA_1985_20" w:history="1">
        <w:r w:rsidRPr="00506787">
          <w:rPr>
            <w:rStyle w:val="TextoNormalCaracter"/>
          </w:rPr>
          <w:t>20/1985</w:t>
        </w:r>
      </w:hyperlink>
      <w:r w:rsidRPr="00506787">
        <w:rPr>
          <w:rStyle w:val="TextoNormalCaracter"/>
        </w:rPr>
        <w:t xml:space="preserve">, ff. 1, 2, 3, 4; </w:t>
      </w:r>
      <w:hyperlink w:anchor="SENTENCIA_1985_26" w:history="1">
        <w:r w:rsidRPr="00506787">
          <w:rPr>
            <w:rStyle w:val="TextoNormalCaracter"/>
          </w:rPr>
          <w:t>26/1985</w:t>
        </w:r>
      </w:hyperlink>
      <w:r w:rsidRPr="00506787">
        <w:rPr>
          <w:rStyle w:val="TextoNormalCaracter"/>
        </w:rPr>
        <w:t>, f. 2.</w:t>
      </w:r>
    </w:p>
    <w:p w:rsidR="00506787" w:rsidRPr="00506787" w:rsidRDefault="00506787" w:rsidP="00506787">
      <w:pPr>
        <w:pStyle w:val="TextoNormalSangraFrancesa"/>
        <w:rPr>
          <w:rStyle w:val="TextoNormalCaracter"/>
        </w:rPr>
      </w:pPr>
      <w:r w:rsidRPr="00506787">
        <w:rPr>
          <w:rStyle w:val="TextoNormalCaracter"/>
        </w:rPr>
        <w:t xml:space="preserve">    Auto </w:t>
      </w:r>
      <w:hyperlink w:anchor="AUTO_1985_66" w:history="1">
        <w:r w:rsidRPr="00506787">
          <w:rPr>
            <w:rStyle w:val="TextoNormalCaracter"/>
          </w:rPr>
          <w:t>66/1985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Sistema retributivo</w:t>
      </w:r>
      <w:r>
        <w:t xml:space="preserve"> véase </w:t>
      </w:r>
      <w:hyperlink w:anchor="DESCRIPTORALFABETICO318" w:history="1">
        <w:r w:rsidRPr="00506787">
          <w:rPr>
            <w:rStyle w:val="TextoNormalNegritaCaracter"/>
          </w:rPr>
          <w:t>Retribuciones de empleados públicos</w:t>
        </w:r>
      </w:hyperlink>
    </w:p>
    <w:p w:rsidR="00506787" w:rsidRPr="00506787" w:rsidRDefault="00506787" w:rsidP="00506787">
      <w:pPr>
        <w:pStyle w:val="TextoNormalSangraFrancesa"/>
        <w:rPr>
          <w:rStyle w:val="TextoNormalCaracter"/>
        </w:rPr>
      </w:pPr>
      <w:bookmarkStart w:id="1499" w:name="DESCRIPTORALFABETICO12"/>
      <w:r w:rsidRPr="00506787">
        <w:rPr>
          <w:rStyle w:val="TextoNormalNegritaCaracter"/>
        </w:rPr>
        <w:t>Sistema tributario</w:t>
      </w:r>
      <w:bookmarkEnd w:id="1499"/>
      <w:r w:rsidRPr="00506787">
        <w:rPr>
          <w:rStyle w:val="TextoNormalCaracter"/>
        </w:rPr>
        <w:t xml:space="preserve">, Autos </w:t>
      </w:r>
      <w:hyperlink w:anchor="AUTO_1985_27" w:history="1">
        <w:r w:rsidRPr="00506787">
          <w:rPr>
            <w:rStyle w:val="TextoNormalCaracter"/>
          </w:rPr>
          <w:t>27/1985</w:t>
        </w:r>
      </w:hyperlink>
      <w:r w:rsidRPr="00506787">
        <w:rPr>
          <w:rStyle w:val="TextoNormalCaracter"/>
        </w:rPr>
        <w:t xml:space="preserve">; </w:t>
      </w:r>
      <w:hyperlink w:anchor="AUTO_1985_81" w:history="1">
        <w:r w:rsidRPr="00506787">
          <w:rPr>
            <w:rStyle w:val="TextoNormalCaracter"/>
          </w:rPr>
          <w:t>81/1985</w:t>
        </w:r>
      </w:hyperlink>
      <w:r w:rsidRPr="00506787">
        <w:rPr>
          <w:rStyle w:val="TextoNormalCaracter"/>
        </w:rPr>
        <w:t>.</w:t>
      </w:r>
    </w:p>
    <w:p w:rsidR="00506787" w:rsidRPr="00506787" w:rsidRDefault="00506787" w:rsidP="00506787">
      <w:pPr>
        <w:pStyle w:val="TextoNormalSangraFrancesa"/>
        <w:rPr>
          <w:rStyle w:val="TextoNormalCaracter"/>
        </w:rPr>
      </w:pPr>
      <w:bookmarkStart w:id="1500" w:name="DESCRIPTORALFABETICO313"/>
      <w:r w:rsidRPr="00506787">
        <w:rPr>
          <w:rStyle w:val="TextoNormalNegritaCaracter"/>
        </w:rPr>
        <w:t>Situación de reserva militar</w:t>
      </w:r>
      <w:bookmarkEnd w:id="1500"/>
      <w:r w:rsidRPr="00506787">
        <w:rPr>
          <w:rStyle w:val="TextoNormalCaracter"/>
        </w:rPr>
        <w:t xml:space="preserve">, Sentencia </w:t>
      </w:r>
      <w:hyperlink w:anchor="SENTENCIA_1985_35" w:history="1">
        <w:r w:rsidRPr="00506787">
          <w:rPr>
            <w:rStyle w:val="TextoNormalCaracter"/>
          </w:rPr>
          <w:t>35/1985</w:t>
        </w:r>
      </w:hyperlink>
      <w:r w:rsidRPr="00506787">
        <w:rPr>
          <w:rStyle w:val="TextoNormalCaracter"/>
        </w:rPr>
        <w:t>, f. 3.</w:t>
      </w:r>
    </w:p>
    <w:p w:rsidR="00506787" w:rsidRPr="00506787" w:rsidRDefault="00506787" w:rsidP="00506787">
      <w:pPr>
        <w:pStyle w:val="TextoNormalSangraFrancesa"/>
        <w:rPr>
          <w:rStyle w:val="TextoNormalCaracter"/>
        </w:rPr>
      </w:pPr>
      <w:bookmarkStart w:id="1501" w:name="DESCRIPTORALFABETICO494"/>
      <w:r w:rsidRPr="00506787">
        <w:rPr>
          <w:rStyle w:val="TextoNormalNegritaCaracter"/>
        </w:rPr>
        <w:t>Solicitud de abogado de oficio</w:t>
      </w:r>
      <w:bookmarkEnd w:id="1501"/>
      <w:r w:rsidRPr="00506787">
        <w:rPr>
          <w:rStyle w:val="TextoNormalCaracter"/>
        </w:rPr>
        <w:t xml:space="preserve">, Auto </w:t>
      </w:r>
      <w:hyperlink w:anchor="AUTO_1985_3" w:history="1">
        <w:r w:rsidRPr="00506787">
          <w:rPr>
            <w:rStyle w:val="TextoNormalCaracter"/>
          </w:rPr>
          <w:t>3/1985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Solicitud de nulidad de actuaciones</w:t>
      </w:r>
      <w:r>
        <w:t xml:space="preserve"> véase </w:t>
      </w:r>
      <w:hyperlink w:anchor="DESCRIPTORALFABETICO490" w:history="1">
        <w:r w:rsidRPr="00506787">
          <w:rPr>
            <w:rStyle w:val="TextoNormalNegritaCaracter"/>
          </w:rPr>
          <w:t>Incidente de nulidad de actuaciones</w:t>
        </w:r>
      </w:hyperlink>
    </w:p>
    <w:p w:rsidR="00506787" w:rsidRPr="00506787" w:rsidRDefault="00506787" w:rsidP="00506787">
      <w:pPr>
        <w:pStyle w:val="TextoNormalSangraFrancesa"/>
        <w:rPr>
          <w:rStyle w:val="TextoNormalCaracter"/>
        </w:rPr>
      </w:pPr>
      <w:bookmarkStart w:id="1502" w:name="DESCRIPTORALFABETICO177"/>
      <w:r w:rsidRPr="00506787">
        <w:rPr>
          <w:rStyle w:val="TextoNormalNegritaCaracter"/>
        </w:rPr>
        <w:t>Subsanación de defectos de la demanda de amparo</w:t>
      </w:r>
      <w:bookmarkEnd w:id="1502"/>
      <w:r w:rsidRPr="00506787">
        <w:rPr>
          <w:rStyle w:val="TextoNormalCaracter"/>
        </w:rPr>
        <w:t xml:space="preserve">, Auto </w:t>
      </w:r>
      <w:hyperlink w:anchor="AUTO_1985_61" w:history="1">
        <w:r w:rsidRPr="00506787">
          <w:rPr>
            <w:rStyle w:val="TextoNormalCaracter"/>
          </w:rPr>
          <w:t>61/1985</w:t>
        </w:r>
      </w:hyperlink>
      <w:r w:rsidRPr="00506787">
        <w:rPr>
          <w:rStyle w:val="TextoNormalCaracter"/>
        </w:rPr>
        <w:t>.</w:t>
      </w:r>
    </w:p>
    <w:p w:rsidR="00506787" w:rsidRPr="00506787" w:rsidRDefault="00506787" w:rsidP="00506787">
      <w:pPr>
        <w:pStyle w:val="TextoNormalSangraFrancesa"/>
        <w:rPr>
          <w:rStyle w:val="TextoNormalCaracter"/>
        </w:rPr>
      </w:pPr>
      <w:bookmarkStart w:id="1503" w:name="DESCRIPTORALFABETICO464"/>
      <w:r w:rsidRPr="00506787">
        <w:rPr>
          <w:rStyle w:val="TextoNormalNegritaCaracter"/>
        </w:rPr>
        <w:t>Subsanación de error de procedimiento</w:t>
      </w:r>
      <w:bookmarkEnd w:id="1503"/>
      <w:r w:rsidRPr="00506787">
        <w:rPr>
          <w:rStyle w:val="TextoNormalCaracter"/>
        </w:rPr>
        <w:t xml:space="preserve">, Auto </w:t>
      </w:r>
      <w:hyperlink w:anchor="AUTO_1985_161" w:history="1">
        <w:r w:rsidRPr="00506787">
          <w:rPr>
            <w:rStyle w:val="TextoNormalCaracter"/>
          </w:rPr>
          <w:t>161/1985</w:t>
        </w:r>
      </w:hyperlink>
      <w:r w:rsidRPr="00506787">
        <w:rPr>
          <w:rStyle w:val="TextoNormalCaracter"/>
        </w:rPr>
        <w:t>.</w:t>
      </w:r>
    </w:p>
    <w:p w:rsidR="00506787" w:rsidRPr="00506787" w:rsidRDefault="00506787" w:rsidP="00506787">
      <w:pPr>
        <w:pStyle w:val="TextoNormalSangraFrancesa"/>
        <w:rPr>
          <w:rStyle w:val="TextoNormalNegritaCaracter"/>
        </w:rPr>
      </w:pPr>
      <w:r w:rsidRPr="00506787">
        <w:rPr>
          <w:rStyle w:val="TextoNormalCursivaCaracter"/>
        </w:rPr>
        <w:t>Subvenciones a centrales sindicales</w:t>
      </w:r>
      <w:r>
        <w:t xml:space="preserve"> véase </w:t>
      </w:r>
      <w:hyperlink w:anchor="DESCRIPTORALFABETICO310" w:history="1">
        <w:r w:rsidRPr="00506787">
          <w:rPr>
            <w:rStyle w:val="TextoNormalNegritaCaracter"/>
          </w:rPr>
          <w:t>Subvenciones a sindicatos</w:t>
        </w:r>
      </w:hyperlink>
    </w:p>
    <w:p w:rsidR="00506787" w:rsidRPr="00506787" w:rsidRDefault="00506787" w:rsidP="00506787">
      <w:pPr>
        <w:pStyle w:val="TextoNormalSangraFrancesa"/>
        <w:rPr>
          <w:rStyle w:val="TextoNormalCaracter"/>
        </w:rPr>
      </w:pPr>
      <w:bookmarkStart w:id="1504" w:name="DESCRIPTORALFABETICO310"/>
      <w:r w:rsidRPr="00506787">
        <w:rPr>
          <w:rStyle w:val="TextoNormalNegritaCaracter"/>
        </w:rPr>
        <w:t>Subvenciones a sindicatos</w:t>
      </w:r>
      <w:bookmarkEnd w:id="1504"/>
      <w:r w:rsidRPr="00506787">
        <w:rPr>
          <w:rStyle w:val="TextoNormalCaracter"/>
        </w:rPr>
        <w:t xml:space="preserve">, Sentencia </w:t>
      </w:r>
      <w:hyperlink w:anchor="SENTENCIA_1985_20" w:history="1">
        <w:r w:rsidRPr="00506787">
          <w:rPr>
            <w:rStyle w:val="TextoNormalCaracter"/>
          </w:rPr>
          <w:t>20/1985</w:t>
        </w:r>
      </w:hyperlink>
      <w:r w:rsidRPr="00506787">
        <w:rPr>
          <w:rStyle w:val="TextoNormalCaracter"/>
        </w:rPr>
        <w:t>, VP.</w:t>
      </w:r>
    </w:p>
    <w:p w:rsidR="00506787" w:rsidRPr="00506787" w:rsidRDefault="00506787" w:rsidP="00506787">
      <w:pPr>
        <w:pStyle w:val="TextoNormalSangraFrancesa"/>
        <w:rPr>
          <w:rStyle w:val="TextoNormalCaracter"/>
        </w:rPr>
      </w:pPr>
      <w:bookmarkStart w:id="1505" w:name="DESCRIPTORALFABETICO311"/>
      <w:r w:rsidRPr="00506787">
        <w:rPr>
          <w:rStyle w:val="TextoNormalNegritaCaracter"/>
        </w:rPr>
        <w:t>Subvenciones estatales</w:t>
      </w:r>
      <w:bookmarkEnd w:id="1505"/>
      <w:r w:rsidRPr="00506787">
        <w:rPr>
          <w:rStyle w:val="TextoNormalCaracter"/>
        </w:rPr>
        <w:t xml:space="preserve">, Sentencias </w:t>
      </w:r>
      <w:hyperlink w:anchor="SENTENCIA_1985_20" w:history="1">
        <w:r w:rsidRPr="00506787">
          <w:rPr>
            <w:rStyle w:val="TextoNormalCaracter"/>
          </w:rPr>
          <w:t>20/1985</w:t>
        </w:r>
      </w:hyperlink>
      <w:r w:rsidRPr="00506787">
        <w:rPr>
          <w:rStyle w:val="TextoNormalCaracter"/>
        </w:rPr>
        <w:t xml:space="preserve">, ff. 1, 2, 3, 4, VP; </w:t>
      </w:r>
      <w:hyperlink w:anchor="SENTENCIA_1985_26" w:history="1">
        <w:r w:rsidRPr="00506787">
          <w:rPr>
            <w:rStyle w:val="TextoNormalCaracter"/>
          </w:rPr>
          <w:t>26/1985</w:t>
        </w:r>
      </w:hyperlink>
      <w:r w:rsidRPr="00506787">
        <w:rPr>
          <w:rStyle w:val="TextoNormalCaracter"/>
        </w:rPr>
        <w:t>, f. 2.</w:t>
      </w:r>
    </w:p>
    <w:p w:rsidR="00506787" w:rsidRPr="00506787" w:rsidRDefault="00506787" w:rsidP="00506787">
      <w:pPr>
        <w:pStyle w:val="TextoNormalSangraFrancesa"/>
        <w:rPr>
          <w:rStyle w:val="TextoNormalCaracter"/>
        </w:rPr>
      </w:pPr>
      <w:bookmarkStart w:id="1506" w:name="DESCRIPTORALFABETICO309"/>
      <w:r w:rsidRPr="00506787">
        <w:rPr>
          <w:rStyle w:val="TextoNormalNegritaCaracter"/>
        </w:rPr>
        <w:t>Subvenciones públicas</w:t>
      </w:r>
      <w:bookmarkEnd w:id="1506"/>
      <w:r w:rsidRPr="00506787">
        <w:rPr>
          <w:rStyle w:val="TextoNormalCaracter"/>
        </w:rPr>
        <w:t xml:space="preserve">, Sentencias </w:t>
      </w:r>
      <w:hyperlink w:anchor="SENTENCIA_1985_20" w:history="1">
        <w:r w:rsidRPr="00506787">
          <w:rPr>
            <w:rStyle w:val="TextoNormalCaracter"/>
          </w:rPr>
          <w:t>20/1985</w:t>
        </w:r>
      </w:hyperlink>
      <w:r w:rsidRPr="00506787">
        <w:rPr>
          <w:rStyle w:val="TextoNormalCaracter"/>
        </w:rPr>
        <w:t xml:space="preserve">, ff. 1, 2, 3, 4, VP; </w:t>
      </w:r>
      <w:hyperlink w:anchor="SENTENCIA_1985_26" w:history="1">
        <w:r w:rsidRPr="00506787">
          <w:rPr>
            <w:rStyle w:val="TextoNormalCaracter"/>
          </w:rPr>
          <w:t>26/1985</w:t>
        </w:r>
      </w:hyperlink>
      <w:r w:rsidRPr="00506787">
        <w:rPr>
          <w:rStyle w:val="TextoNormalCaracter"/>
        </w:rPr>
        <w:t>, f. 2.</w:t>
      </w:r>
    </w:p>
    <w:p w:rsidR="00506787" w:rsidRPr="00506787" w:rsidRDefault="00506787" w:rsidP="00506787">
      <w:pPr>
        <w:pStyle w:val="TextoNormalSangraFrancesa"/>
        <w:rPr>
          <w:rStyle w:val="TextoNormalCaracter"/>
        </w:rPr>
      </w:pPr>
      <w:bookmarkStart w:id="1507" w:name="DESCRIPTORALFABETICO580"/>
      <w:r w:rsidRPr="00506787">
        <w:rPr>
          <w:rStyle w:val="TextoNormalNegritaCaracter"/>
        </w:rPr>
        <w:t>Suplicatorio</w:t>
      </w:r>
      <w:bookmarkEnd w:id="1507"/>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3.</w:t>
      </w:r>
    </w:p>
    <w:p w:rsidR="00506787" w:rsidRPr="00506787" w:rsidRDefault="00506787" w:rsidP="00506787">
      <w:pPr>
        <w:pStyle w:val="TextoNormalSangraFrancesa"/>
        <w:rPr>
          <w:rStyle w:val="TextoNormalCaracter"/>
        </w:rPr>
      </w:pPr>
      <w:bookmarkStart w:id="1508" w:name="DESCRIPTORALFABETICO137"/>
      <w:r w:rsidRPr="00506787">
        <w:rPr>
          <w:rStyle w:val="TextoNormalNegritaCaracter"/>
        </w:rPr>
        <w:t>Suspensión cautelar de resoluciones militares</w:t>
      </w:r>
      <w:bookmarkEnd w:id="1508"/>
      <w:r w:rsidRPr="00506787">
        <w:rPr>
          <w:rStyle w:val="TextoNormalCaracter"/>
        </w:rPr>
        <w:t xml:space="preserve">, Auto </w:t>
      </w:r>
      <w:hyperlink w:anchor="AUTO_1985_35" w:history="1">
        <w:r w:rsidRPr="00506787">
          <w:rPr>
            <w:rStyle w:val="TextoNormalCaracter"/>
          </w:rPr>
          <w:t>35/1985</w:t>
        </w:r>
      </w:hyperlink>
      <w:r w:rsidRPr="00506787">
        <w:rPr>
          <w:rStyle w:val="TextoNormalCaracter"/>
        </w:rPr>
        <w:t>.</w:t>
      </w:r>
    </w:p>
    <w:p w:rsidR="00506787" w:rsidRPr="00506787" w:rsidRDefault="00506787" w:rsidP="00506787">
      <w:pPr>
        <w:pStyle w:val="TextoNormalSangraFrancesa"/>
        <w:rPr>
          <w:rStyle w:val="TextoNormalCaracter"/>
        </w:rPr>
      </w:pPr>
      <w:bookmarkStart w:id="1509" w:name="DESCRIPTORALFABETICO138"/>
      <w:r w:rsidRPr="00506787">
        <w:rPr>
          <w:rStyle w:val="TextoNormalNegritaCaracter"/>
        </w:rPr>
        <w:t>Suspensión cautelar de resoluciones penales</w:t>
      </w:r>
      <w:bookmarkEnd w:id="1509"/>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Suspende, </w:t>
      </w:r>
      <w:r w:rsidRPr="00506787">
        <w:rPr>
          <w:rStyle w:val="TextoNormalCaracter"/>
        </w:rPr>
        <w:t xml:space="preserve">Auto </w:t>
      </w:r>
      <w:hyperlink w:anchor="AUTO_1985_24" w:history="1">
        <w:r w:rsidRPr="00506787">
          <w:rPr>
            <w:rStyle w:val="TextoNormalCaracter"/>
          </w:rPr>
          <w:t>24/1985</w:t>
        </w:r>
      </w:hyperlink>
      <w:r w:rsidRPr="00506787">
        <w:rPr>
          <w:rStyle w:val="TextoNormalCaracter"/>
        </w:rPr>
        <w:t>.</w:t>
      </w:r>
    </w:p>
    <w:p w:rsidR="00506787" w:rsidRPr="00506787" w:rsidRDefault="00506787" w:rsidP="00506787">
      <w:pPr>
        <w:pStyle w:val="TextoNormalSangraFrancesa"/>
        <w:rPr>
          <w:rStyle w:val="TextoNormalCaracter"/>
        </w:rPr>
      </w:pPr>
      <w:bookmarkStart w:id="1510" w:name="DESCRIPTORALFABETICO135"/>
      <w:r w:rsidRPr="00506787">
        <w:rPr>
          <w:rStyle w:val="TextoNormalNegritaCaracter"/>
        </w:rPr>
        <w:t>Suspensión cautelar de sentencias civiles</w:t>
      </w:r>
      <w:bookmarkEnd w:id="1510"/>
      <w:r w:rsidRPr="00506787">
        <w:rPr>
          <w:rStyle w:val="TextoNormalCaracter"/>
        </w:rPr>
        <w:t xml:space="preserve">, Autos </w:t>
      </w:r>
      <w:hyperlink w:anchor="AUTO_1985_108" w:history="1">
        <w:r w:rsidRPr="00506787">
          <w:rPr>
            <w:rStyle w:val="TextoNormalCaracter"/>
          </w:rPr>
          <w:t>108/1985</w:t>
        </w:r>
      </w:hyperlink>
      <w:r w:rsidRPr="00506787">
        <w:rPr>
          <w:rStyle w:val="TextoNormalCaracter"/>
        </w:rPr>
        <w:t xml:space="preserve">; </w:t>
      </w:r>
      <w:hyperlink w:anchor="AUTO_1985_197" w:history="1">
        <w:r w:rsidRPr="00506787">
          <w:rPr>
            <w:rStyle w:val="TextoNormalCaracter"/>
          </w:rPr>
          <w:t>197/1985</w:t>
        </w:r>
      </w:hyperlink>
      <w:r w:rsidRPr="00506787">
        <w:rPr>
          <w:rStyle w:val="TextoNormalCaracter"/>
        </w:rPr>
        <w:t>.</w:t>
      </w:r>
    </w:p>
    <w:p w:rsidR="00506787" w:rsidRPr="00506787" w:rsidRDefault="00506787" w:rsidP="00506787">
      <w:pPr>
        <w:pStyle w:val="TextoNormalSangraFrancesa"/>
        <w:rPr>
          <w:rStyle w:val="TextoNormalCaracter"/>
        </w:rPr>
      </w:pPr>
      <w:bookmarkStart w:id="1511" w:name="DESCRIPTORALFABETICO136"/>
      <w:r w:rsidRPr="00506787">
        <w:rPr>
          <w:rStyle w:val="TextoNormalNegritaCaracter"/>
        </w:rPr>
        <w:t>Suspensión cautelar de sentencias contencioso-administrativas</w:t>
      </w:r>
      <w:bookmarkEnd w:id="1511"/>
      <w:r w:rsidRPr="00506787">
        <w:rPr>
          <w:rStyle w:val="TextoNormalCaracter"/>
        </w:rPr>
        <w:t xml:space="preserve">, Autos </w:t>
      </w:r>
      <w:hyperlink w:anchor="AUTO_1985_36" w:history="1">
        <w:r w:rsidRPr="00506787">
          <w:rPr>
            <w:rStyle w:val="TextoNormalCaracter"/>
          </w:rPr>
          <w:t>36/1985</w:t>
        </w:r>
      </w:hyperlink>
      <w:r w:rsidRPr="00506787">
        <w:rPr>
          <w:rStyle w:val="TextoNormalCaracter"/>
        </w:rPr>
        <w:t xml:space="preserve">; </w:t>
      </w:r>
      <w:hyperlink w:anchor="AUTO_1985_127" w:history="1">
        <w:r w:rsidRPr="00506787">
          <w:rPr>
            <w:rStyle w:val="TextoNormalCaracter"/>
          </w:rPr>
          <w:t>127/1985</w:t>
        </w:r>
      </w:hyperlink>
      <w:r w:rsidRPr="00506787">
        <w:rPr>
          <w:rStyle w:val="TextoNormalCaracter"/>
        </w:rPr>
        <w:t xml:space="preserve">; </w:t>
      </w:r>
      <w:hyperlink w:anchor="AUTO_1985_128" w:history="1">
        <w:r w:rsidRPr="00506787">
          <w:rPr>
            <w:rStyle w:val="TextoNormalCaracter"/>
          </w:rPr>
          <w:t>128/1985</w:t>
        </w:r>
      </w:hyperlink>
      <w:r w:rsidRPr="00506787">
        <w:rPr>
          <w:rStyle w:val="TextoNormalCaracter"/>
        </w:rPr>
        <w:t xml:space="preserve">; </w:t>
      </w:r>
      <w:hyperlink w:anchor="AUTO_1985_181" w:history="1">
        <w:r w:rsidRPr="00506787">
          <w:rPr>
            <w:rStyle w:val="TextoNormalCaracter"/>
          </w:rPr>
          <w:t>181/1985</w:t>
        </w:r>
      </w:hyperlink>
      <w:r w:rsidRPr="00506787">
        <w:rPr>
          <w:rStyle w:val="TextoNormalCaracter"/>
        </w:rPr>
        <w:t xml:space="preserve">; </w:t>
      </w:r>
      <w:hyperlink w:anchor="AUTO_1985_251" w:history="1">
        <w:r w:rsidRPr="00506787">
          <w:rPr>
            <w:rStyle w:val="TextoNormalCaracter"/>
          </w:rPr>
          <w:t>251/1985</w:t>
        </w:r>
      </w:hyperlink>
      <w:r w:rsidRPr="00506787">
        <w:rPr>
          <w:rStyle w:val="TextoNormalCaracter"/>
        </w:rPr>
        <w:t>.</w:t>
      </w:r>
    </w:p>
    <w:p w:rsidR="00506787" w:rsidRPr="00506787" w:rsidRDefault="00506787" w:rsidP="00506787">
      <w:pPr>
        <w:pStyle w:val="TextoNormalSangraFrancesa"/>
        <w:rPr>
          <w:rStyle w:val="TextoNormalCaracter"/>
        </w:rPr>
      </w:pPr>
      <w:bookmarkStart w:id="1512" w:name="DESCRIPTORALFABETICO139"/>
      <w:r w:rsidRPr="00506787">
        <w:rPr>
          <w:rStyle w:val="TextoNormalNegritaCaracter"/>
        </w:rPr>
        <w:t>Suspensión cautelar de sentencias penales</w:t>
      </w:r>
      <w:bookmarkEnd w:id="1512"/>
      <w:r w:rsidRPr="00506787">
        <w:rPr>
          <w:rStyle w:val="TextoNormalCaracter"/>
        </w:rPr>
        <w:t xml:space="preserve">, Autos </w:t>
      </w:r>
      <w:hyperlink w:anchor="AUTO_1985_68" w:history="1">
        <w:r w:rsidRPr="00506787">
          <w:rPr>
            <w:rStyle w:val="TextoNormalCaracter"/>
          </w:rPr>
          <w:t>68/1985</w:t>
        </w:r>
      </w:hyperlink>
      <w:r w:rsidRPr="00506787">
        <w:rPr>
          <w:rStyle w:val="TextoNormalCaracter"/>
        </w:rPr>
        <w:t xml:space="preserve">; </w:t>
      </w:r>
      <w:hyperlink w:anchor="AUTO_1985_71" w:history="1">
        <w:r w:rsidRPr="00506787">
          <w:rPr>
            <w:rStyle w:val="TextoNormalCaracter"/>
          </w:rPr>
          <w:t>71/1985</w:t>
        </w:r>
      </w:hyperlink>
      <w:r w:rsidRPr="00506787">
        <w:rPr>
          <w:rStyle w:val="TextoNormalCaracter"/>
        </w:rPr>
        <w:t xml:space="preserve">; </w:t>
      </w:r>
      <w:hyperlink w:anchor="AUTO_1985_132" w:history="1">
        <w:r w:rsidRPr="00506787">
          <w:rPr>
            <w:rStyle w:val="TextoNormalCaracter"/>
          </w:rPr>
          <w:t>132/1985</w:t>
        </w:r>
      </w:hyperlink>
      <w:r w:rsidRPr="00506787">
        <w:rPr>
          <w:rStyle w:val="TextoNormalCaracter"/>
        </w:rPr>
        <w:t xml:space="preserve">; </w:t>
      </w:r>
      <w:hyperlink w:anchor="AUTO_1985_140" w:history="1">
        <w:r w:rsidRPr="00506787">
          <w:rPr>
            <w:rStyle w:val="TextoNormalCaracter"/>
          </w:rPr>
          <w:t>140/1985</w:t>
        </w:r>
      </w:hyperlink>
      <w:r w:rsidRPr="00506787">
        <w:rPr>
          <w:rStyle w:val="TextoNormalCaracter"/>
        </w:rPr>
        <w:t xml:space="preserve">; </w:t>
      </w:r>
      <w:hyperlink w:anchor="AUTO_1985_172" w:history="1">
        <w:r w:rsidRPr="00506787">
          <w:rPr>
            <w:rStyle w:val="TextoNormalCaracter"/>
          </w:rPr>
          <w:t>172/1985</w:t>
        </w:r>
      </w:hyperlink>
      <w:r w:rsidRPr="00506787">
        <w:rPr>
          <w:rStyle w:val="TextoNormalCaracter"/>
        </w:rPr>
        <w:t xml:space="preserve">; </w:t>
      </w:r>
      <w:hyperlink w:anchor="AUTO_1985_277" w:history="1">
        <w:r w:rsidRPr="00506787">
          <w:rPr>
            <w:rStyle w:val="TextoNormalCaracter"/>
          </w:rPr>
          <w:t>277/1985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Suspende parcialmente, </w:t>
      </w:r>
      <w:r w:rsidRPr="00506787">
        <w:rPr>
          <w:rStyle w:val="TextoNormalCaracter"/>
        </w:rPr>
        <w:t xml:space="preserve">Auto </w:t>
      </w:r>
      <w:hyperlink w:anchor="AUTO_1985_183" w:history="1">
        <w:r w:rsidRPr="00506787">
          <w:rPr>
            <w:rStyle w:val="TextoNormalCaracter"/>
          </w:rPr>
          <w:t>183/1985</w:t>
        </w:r>
      </w:hyperlink>
      <w:r w:rsidRPr="00506787">
        <w:rPr>
          <w:rStyle w:val="TextoNormalCaracter"/>
        </w:rPr>
        <w:t>.</w:t>
      </w:r>
    </w:p>
    <w:p w:rsidR="00506787" w:rsidRPr="00506787" w:rsidRDefault="00506787" w:rsidP="00506787">
      <w:pPr>
        <w:pStyle w:val="TextoNormalSangraFrancesa"/>
        <w:rPr>
          <w:rStyle w:val="TextoNormalCaracter"/>
        </w:rPr>
      </w:pPr>
      <w:bookmarkStart w:id="1513" w:name="DESCRIPTORALFABETICO276"/>
      <w:r w:rsidRPr="00506787">
        <w:rPr>
          <w:rStyle w:val="TextoNormalNegritaCaracter"/>
        </w:rPr>
        <w:t>Suspensión de actos administrativos</w:t>
      </w:r>
      <w:bookmarkEnd w:id="1513"/>
      <w:r w:rsidRPr="00506787">
        <w:rPr>
          <w:rStyle w:val="TextoNormalCaracter"/>
        </w:rPr>
        <w:t xml:space="preserve">, Auto </w:t>
      </w:r>
      <w:hyperlink w:anchor="AUTO_1985_265" w:history="1">
        <w:r w:rsidRPr="00506787">
          <w:rPr>
            <w:rStyle w:val="TextoNormalCaracter"/>
          </w:rPr>
          <w:t>265/1985</w:t>
        </w:r>
      </w:hyperlink>
      <w:r w:rsidRPr="00506787">
        <w:rPr>
          <w:rStyle w:val="TextoNormalCaracter"/>
        </w:rPr>
        <w:t>.</w:t>
      </w:r>
    </w:p>
    <w:p w:rsidR="00506787" w:rsidRPr="00506787" w:rsidRDefault="00506787" w:rsidP="00506787">
      <w:pPr>
        <w:pStyle w:val="TextoNormalSangraFrancesa"/>
        <w:rPr>
          <w:rStyle w:val="TextoNormalCaracter"/>
        </w:rPr>
      </w:pPr>
      <w:bookmarkStart w:id="1514" w:name="DESCRIPTORALFABETICO140"/>
      <w:r w:rsidRPr="00506787">
        <w:rPr>
          <w:rStyle w:val="TextoNormalNegritaCaracter"/>
        </w:rPr>
        <w:t>Suspensión de disposiciones de las Comunidades Autónomas</w:t>
      </w:r>
      <w:bookmarkEnd w:id="1514"/>
      <w:r w:rsidRPr="00506787">
        <w:rPr>
          <w:rStyle w:val="TextoNormalCaracter"/>
        </w:rPr>
        <w:t xml:space="preserve">, Auto </w:t>
      </w:r>
      <w:hyperlink w:anchor="AUTO_1985_231" w:history="1">
        <w:r w:rsidRPr="00506787">
          <w:rPr>
            <w:rStyle w:val="TextoNormalCaracter"/>
          </w:rPr>
          <w:t>231/1985</w:t>
        </w:r>
      </w:hyperlink>
      <w:r w:rsidRPr="00506787">
        <w:rPr>
          <w:rStyle w:val="TextoNormalCaracter"/>
        </w:rPr>
        <w:t>.</w:t>
      </w:r>
    </w:p>
    <w:p w:rsidR="00506787" w:rsidRPr="00506787" w:rsidRDefault="00506787" w:rsidP="00506787">
      <w:pPr>
        <w:pStyle w:val="TextoNormalSangraFrancesa"/>
        <w:rPr>
          <w:rStyle w:val="TextoNormalCaracter"/>
        </w:rPr>
      </w:pPr>
      <w:bookmarkStart w:id="1515" w:name="DESCRIPTORALFABETICO388"/>
      <w:r w:rsidRPr="00506787">
        <w:rPr>
          <w:rStyle w:val="TextoNormalNegritaCaracter"/>
        </w:rPr>
        <w:t>Suspensión del contrato de trabajo</w:t>
      </w:r>
      <w:bookmarkEnd w:id="1515"/>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Régimen jurídico, </w:t>
      </w:r>
      <w:r w:rsidRPr="00506787">
        <w:rPr>
          <w:rStyle w:val="TextoNormalCaracter"/>
        </w:rPr>
        <w:t xml:space="preserve">Auto </w:t>
      </w:r>
      <w:hyperlink w:anchor="AUTO_1985_185" w:history="1">
        <w:r w:rsidRPr="00506787">
          <w:rPr>
            <w:rStyle w:val="TextoNormalCaracter"/>
          </w:rPr>
          <w:t>185/1985</w:t>
        </w:r>
      </w:hyperlink>
      <w:r w:rsidRPr="00506787">
        <w:rPr>
          <w:rStyle w:val="TextoNormalCaracter"/>
        </w:rPr>
        <w:t>.</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T</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516" w:name="DESCRIPTORALFABETICO226"/>
      <w:r w:rsidRPr="00506787">
        <w:rPr>
          <w:rStyle w:val="TextoNormalNegritaCaracter"/>
        </w:rPr>
        <w:t>Tablón de anuncios</w:t>
      </w:r>
      <w:bookmarkEnd w:id="1516"/>
      <w:r w:rsidRPr="00506787">
        <w:rPr>
          <w:rStyle w:val="TextoNormalCaracter"/>
        </w:rPr>
        <w:t xml:space="preserve">, Sentencia </w:t>
      </w:r>
      <w:hyperlink w:anchor="SENTENCIA_1985_45" w:history="1">
        <w:r w:rsidRPr="00506787">
          <w:rPr>
            <w:rStyle w:val="TextoNormalCaracter"/>
          </w:rPr>
          <w:t>45/1985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517" w:name="DESCRIPTORALFABETICO13"/>
      <w:r w:rsidRPr="00506787">
        <w:rPr>
          <w:rStyle w:val="TextoNormalNegritaCaracter"/>
        </w:rPr>
        <w:t>Tasas</w:t>
      </w:r>
      <w:bookmarkEnd w:id="1517"/>
      <w:r w:rsidRPr="00506787">
        <w:rPr>
          <w:rStyle w:val="TextoNormalCaracter"/>
        </w:rPr>
        <w:t xml:space="preserve">, Auto </w:t>
      </w:r>
      <w:hyperlink w:anchor="AUTO_1985_204" w:history="1">
        <w:r w:rsidRPr="00506787">
          <w:rPr>
            <w:rStyle w:val="TextoNormalCaracter"/>
          </w:rPr>
          <w:t>204/1985</w:t>
        </w:r>
      </w:hyperlink>
      <w:r w:rsidRPr="00506787">
        <w:rPr>
          <w:rStyle w:val="TextoNormalCaracter"/>
        </w:rPr>
        <w:t>.</w:t>
      </w:r>
    </w:p>
    <w:p w:rsidR="00506787" w:rsidRPr="00506787" w:rsidRDefault="00506787" w:rsidP="00506787">
      <w:pPr>
        <w:pStyle w:val="TextoNormalSangraFrancesa"/>
        <w:rPr>
          <w:rStyle w:val="TextoNormalCaracter"/>
        </w:rPr>
      </w:pPr>
      <w:bookmarkStart w:id="1518" w:name="DESCRIPTORALFABETICO14"/>
      <w:r w:rsidRPr="00506787">
        <w:rPr>
          <w:rStyle w:val="TextoNormalNegritaCaracter"/>
        </w:rPr>
        <w:t>Tasas sanitarias</w:t>
      </w:r>
      <w:bookmarkEnd w:id="1518"/>
      <w:r w:rsidRPr="00506787">
        <w:rPr>
          <w:rStyle w:val="TextoNormalCaracter"/>
        </w:rPr>
        <w:t xml:space="preserve">, Sentencia </w:t>
      </w:r>
      <w:hyperlink w:anchor="SENTENCIA_1985_46" w:history="1">
        <w:r w:rsidRPr="00506787">
          <w:rPr>
            <w:rStyle w:val="TextoNormalCaracter"/>
          </w:rPr>
          <w:t>46/1985</w:t>
        </w:r>
      </w:hyperlink>
      <w:r w:rsidRPr="00506787">
        <w:rPr>
          <w:rStyle w:val="TextoNormalCaracter"/>
        </w:rPr>
        <w:t>, ff. 1, 2, 3, 4.</w:t>
      </w:r>
    </w:p>
    <w:p w:rsidR="00506787" w:rsidRPr="00506787" w:rsidRDefault="00506787" w:rsidP="00506787">
      <w:pPr>
        <w:pStyle w:val="TextoNormalSangraFrancesa"/>
        <w:rPr>
          <w:rStyle w:val="TextoNormalCaracter"/>
        </w:rPr>
      </w:pPr>
      <w:bookmarkStart w:id="1519" w:name="DESCRIPTORALFABETICO461"/>
      <w:r w:rsidRPr="00506787">
        <w:rPr>
          <w:rStyle w:val="TextoNormalNegritaCaracter"/>
        </w:rPr>
        <w:t>Temeridad procesal</w:t>
      </w:r>
      <w:bookmarkEnd w:id="1519"/>
      <w:r w:rsidRPr="00506787">
        <w:rPr>
          <w:rStyle w:val="TextoNormalCaracter"/>
        </w:rPr>
        <w:t xml:space="preserve">, Sentencia </w:t>
      </w:r>
      <w:hyperlink w:anchor="SENTENCIA_1985_45" w:history="1">
        <w:r w:rsidRPr="00506787">
          <w:rPr>
            <w:rStyle w:val="TextoNormalCaracter"/>
          </w:rPr>
          <w:t>45/1985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aracter"/>
        </w:rPr>
        <w:lastRenderedPageBreak/>
        <w:t xml:space="preserve">    Autos </w:t>
      </w:r>
      <w:hyperlink w:anchor="AUTO_1985_22" w:history="1">
        <w:r w:rsidRPr="00506787">
          <w:rPr>
            <w:rStyle w:val="TextoNormalCaracter"/>
          </w:rPr>
          <w:t>22/1985</w:t>
        </w:r>
      </w:hyperlink>
      <w:r w:rsidRPr="00506787">
        <w:rPr>
          <w:rStyle w:val="TextoNormalCaracter"/>
        </w:rPr>
        <w:t xml:space="preserve">; </w:t>
      </w:r>
      <w:hyperlink w:anchor="AUTO_1985_47" w:history="1">
        <w:r w:rsidRPr="00506787">
          <w:rPr>
            <w:rStyle w:val="TextoNormalCaracter"/>
          </w:rPr>
          <w:t>47/1985</w:t>
        </w:r>
      </w:hyperlink>
      <w:r w:rsidRPr="00506787">
        <w:rPr>
          <w:rStyle w:val="TextoNormalCaracter"/>
        </w:rPr>
        <w:t xml:space="preserve">; </w:t>
      </w:r>
      <w:hyperlink w:anchor="AUTO_1985_52" w:history="1">
        <w:r w:rsidRPr="00506787">
          <w:rPr>
            <w:rStyle w:val="TextoNormalCaracter"/>
          </w:rPr>
          <w:t>52/1985</w:t>
        </w:r>
      </w:hyperlink>
      <w:r w:rsidRPr="00506787">
        <w:rPr>
          <w:rStyle w:val="TextoNormalCaracter"/>
        </w:rPr>
        <w:t xml:space="preserve">; </w:t>
      </w:r>
      <w:hyperlink w:anchor="AUTO_1985_63" w:history="1">
        <w:r w:rsidRPr="00506787">
          <w:rPr>
            <w:rStyle w:val="TextoNormalCaracter"/>
          </w:rPr>
          <w:t>63/1985</w:t>
        </w:r>
      </w:hyperlink>
      <w:r w:rsidRPr="00506787">
        <w:rPr>
          <w:rStyle w:val="TextoNormalCaracter"/>
        </w:rPr>
        <w:t xml:space="preserve">; </w:t>
      </w:r>
      <w:hyperlink w:anchor="AUTO_1985_106" w:history="1">
        <w:r w:rsidRPr="00506787">
          <w:rPr>
            <w:rStyle w:val="TextoNormalCaracter"/>
          </w:rPr>
          <w:t>106/1985</w:t>
        </w:r>
      </w:hyperlink>
      <w:r w:rsidRPr="00506787">
        <w:rPr>
          <w:rStyle w:val="TextoNormalCaracter"/>
        </w:rPr>
        <w:t xml:space="preserve">; </w:t>
      </w:r>
      <w:hyperlink w:anchor="AUTO_1985_124" w:history="1">
        <w:r w:rsidRPr="00506787">
          <w:rPr>
            <w:rStyle w:val="TextoNormalCaracter"/>
          </w:rPr>
          <w:t>124/1985</w:t>
        </w:r>
      </w:hyperlink>
      <w:r w:rsidRPr="00506787">
        <w:rPr>
          <w:rStyle w:val="TextoNormalCaracter"/>
        </w:rPr>
        <w:t xml:space="preserve">; </w:t>
      </w:r>
      <w:hyperlink w:anchor="AUTO_1985_133" w:history="1">
        <w:r w:rsidRPr="00506787">
          <w:rPr>
            <w:rStyle w:val="TextoNormalCaracter"/>
          </w:rPr>
          <w:t>133/1985</w:t>
        </w:r>
      </w:hyperlink>
      <w:r w:rsidRPr="00506787">
        <w:rPr>
          <w:rStyle w:val="TextoNormalCaracter"/>
        </w:rPr>
        <w:t xml:space="preserve">; </w:t>
      </w:r>
      <w:hyperlink w:anchor="AUTO_1985_191" w:history="1">
        <w:r w:rsidRPr="00506787">
          <w:rPr>
            <w:rStyle w:val="TextoNormalCaracter"/>
          </w:rPr>
          <w:t>191/1985</w:t>
        </w:r>
      </w:hyperlink>
      <w:r w:rsidRPr="00506787">
        <w:rPr>
          <w:rStyle w:val="TextoNormalCaracter"/>
        </w:rPr>
        <w:t xml:space="preserve">; </w:t>
      </w:r>
      <w:hyperlink w:anchor="AUTO_1985_193" w:history="1">
        <w:r w:rsidRPr="00506787">
          <w:rPr>
            <w:rStyle w:val="TextoNormalCaracter"/>
          </w:rPr>
          <w:t>193/1985</w:t>
        </w:r>
      </w:hyperlink>
      <w:r w:rsidRPr="00506787">
        <w:rPr>
          <w:rStyle w:val="TextoNormalCaracter"/>
        </w:rPr>
        <w:t xml:space="preserve">; </w:t>
      </w:r>
      <w:hyperlink w:anchor="AUTO_1985_194" w:history="1">
        <w:r w:rsidRPr="00506787">
          <w:rPr>
            <w:rStyle w:val="TextoNormalCaracter"/>
          </w:rPr>
          <w:t>194/1985</w:t>
        </w:r>
      </w:hyperlink>
      <w:r w:rsidRPr="00506787">
        <w:rPr>
          <w:rStyle w:val="TextoNormalCaracter"/>
        </w:rPr>
        <w:t xml:space="preserve">; </w:t>
      </w:r>
      <w:hyperlink w:anchor="AUTO_1985_198" w:history="1">
        <w:r w:rsidRPr="00506787">
          <w:rPr>
            <w:rStyle w:val="TextoNormalCaracter"/>
          </w:rPr>
          <w:t>198/1985</w:t>
        </w:r>
      </w:hyperlink>
      <w:r w:rsidRPr="00506787">
        <w:rPr>
          <w:rStyle w:val="TextoNormalCaracter"/>
        </w:rPr>
        <w:t xml:space="preserve">; </w:t>
      </w:r>
      <w:hyperlink w:anchor="AUTO_1985_204" w:history="1">
        <w:r w:rsidRPr="00506787">
          <w:rPr>
            <w:rStyle w:val="TextoNormalCaracter"/>
          </w:rPr>
          <w:t>204/1985</w:t>
        </w:r>
      </w:hyperlink>
      <w:r w:rsidRPr="00506787">
        <w:rPr>
          <w:rStyle w:val="TextoNormalCaracter"/>
        </w:rPr>
        <w:t xml:space="preserve">; </w:t>
      </w:r>
      <w:hyperlink w:anchor="AUTO_1985_207" w:history="1">
        <w:r w:rsidRPr="00506787">
          <w:rPr>
            <w:rStyle w:val="TextoNormalCaracter"/>
          </w:rPr>
          <w:t>207/1985</w:t>
        </w:r>
      </w:hyperlink>
      <w:r w:rsidRPr="00506787">
        <w:rPr>
          <w:rStyle w:val="TextoNormalCaracter"/>
        </w:rPr>
        <w:t xml:space="preserve">; </w:t>
      </w:r>
      <w:hyperlink w:anchor="AUTO_1985_216" w:history="1">
        <w:r w:rsidRPr="00506787">
          <w:rPr>
            <w:rStyle w:val="TextoNormalCaracter"/>
          </w:rPr>
          <w:t>216/1985</w:t>
        </w:r>
      </w:hyperlink>
      <w:r w:rsidRPr="00506787">
        <w:rPr>
          <w:rStyle w:val="TextoNormalCaracter"/>
        </w:rPr>
        <w:t xml:space="preserve">; </w:t>
      </w:r>
      <w:hyperlink w:anchor="AUTO_1985_219" w:history="1">
        <w:r w:rsidRPr="00506787">
          <w:rPr>
            <w:rStyle w:val="TextoNormalCaracter"/>
          </w:rPr>
          <w:t>219/1985</w:t>
        </w:r>
      </w:hyperlink>
      <w:r w:rsidRPr="00506787">
        <w:rPr>
          <w:rStyle w:val="TextoNormalCaracter"/>
        </w:rPr>
        <w:t xml:space="preserve">; </w:t>
      </w:r>
      <w:hyperlink w:anchor="AUTO_1985_256" w:history="1">
        <w:r w:rsidRPr="00506787">
          <w:rPr>
            <w:rStyle w:val="TextoNormalCaracter"/>
          </w:rPr>
          <w:t>256/1985</w:t>
        </w:r>
      </w:hyperlink>
      <w:r w:rsidRPr="00506787">
        <w:rPr>
          <w:rStyle w:val="TextoNormalCaracter"/>
        </w:rPr>
        <w:t>.</w:t>
      </w:r>
    </w:p>
    <w:p w:rsidR="00506787" w:rsidRPr="00506787" w:rsidRDefault="00506787" w:rsidP="00506787">
      <w:pPr>
        <w:pStyle w:val="TextoNormalSangraFrancesa"/>
        <w:rPr>
          <w:rStyle w:val="TextoNormalCaracter"/>
        </w:rPr>
      </w:pPr>
      <w:bookmarkStart w:id="1520" w:name="DESCRIPTORALFABETICO207"/>
      <w:r w:rsidRPr="00506787">
        <w:rPr>
          <w:rStyle w:val="TextoNormalNegritaCaracter"/>
        </w:rPr>
        <w:t>Temporaneidad del recurso de amparo</w:t>
      </w:r>
      <w:bookmarkEnd w:id="1520"/>
      <w:r w:rsidRPr="00506787">
        <w:rPr>
          <w:rStyle w:val="TextoNormalCaracter"/>
        </w:rPr>
        <w:t xml:space="preserve">, Autos </w:t>
      </w:r>
      <w:hyperlink w:anchor="AUTO_1985_120" w:history="1">
        <w:r w:rsidRPr="00506787">
          <w:rPr>
            <w:rStyle w:val="TextoNormalCaracter"/>
          </w:rPr>
          <w:t>120/1985</w:t>
        </w:r>
      </w:hyperlink>
      <w:r w:rsidRPr="00506787">
        <w:rPr>
          <w:rStyle w:val="TextoNormalCaracter"/>
        </w:rPr>
        <w:t xml:space="preserve">; </w:t>
      </w:r>
      <w:hyperlink w:anchor="AUTO_1985_266" w:history="1">
        <w:r w:rsidRPr="00506787">
          <w:rPr>
            <w:rStyle w:val="TextoNormalCaracter"/>
          </w:rPr>
          <w:t>266/1985</w:t>
        </w:r>
      </w:hyperlink>
      <w:r w:rsidRPr="00506787">
        <w:rPr>
          <w:rStyle w:val="TextoNormalCaracter"/>
        </w:rPr>
        <w:t>.</w:t>
      </w:r>
    </w:p>
    <w:p w:rsidR="00506787" w:rsidRPr="00506787" w:rsidRDefault="00506787" w:rsidP="00506787">
      <w:pPr>
        <w:pStyle w:val="TextoNormalSangraFrancesa"/>
        <w:rPr>
          <w:rStyle w:val="TextoNormalCaracter"/>
        </w:rPr>
      </w:pPr>
      <w:bookmarkStart w:id="1521" w:name="DESCRIPTORALFABETICO117"/>
      <w:r w:rsidRPr="00506787">
        <w:rPr>
          <w:rStyle w:val="TextoNormalNegritaCaracter"/>
        </w:rPr>
        <w:t>Teoría general de los derechos fundamentales</w:t>
      </w:r>
      <w:bookmarkEnd w:id="1521"/>
      <w:r w:rsidRPr="00506787">
        <w:rPr>
          <w:rStyle w:val="TextoNormalCaracter"/>
        </w:rPr>
        <w:t xml:space="preserve">, Sentencias </w:t>
      </w:r>
      <w:hyperlink w:anchor="SENTENCIA_1985_10" w:history="1">
        <w:r w:rsidRPr="00506787">
          <w:rPr>
            <w:rStyle w:val="TextoNormalCaracter"/>
          </w:rPr>
          <w:t>10/1985</w:t>
        </w:r>
      </w:hyperlink>
      <w:r w:rsidRPr="00506787">
        <w:rPr>
          <w:rStyle w:val="TextoNormalCaracter"/>
        </w:rPr>
        <w:t xml:space="preserve">, f. 3; </w:t>
      </w:r>
      <w:hyperlink w:anchor="SENTENCIA_1985_15" w:history="1">
        <w:r w:rsidRPr="00506787">
          <w:rPr>
            <w:rStyle w:val="TextoNormalCaracter"/>
          </w:rPr>
          <w:t>15/1985</w:t>
        </w:r>
      </w:hyperlink>
      <w:r w:rsidRPr="00506787">
        <w:rPr>
          <w:rStyle w:val="TextoNormalCaracter"/>
        </w:rPr>
        <w:t xml:space="preserve">, f. 5; </w:t>
      </w:r>
      <w:hyperlink w:anchor="SENTENCIA_1985_17" w:history="1">
        <w:r w:rsidRPr="00506787">
          <w:rPr>
            <w:rStyle w:val="TextoNormalCaracter"/>
          </w:rPr>
          <w:t>17/1985</w:t>
        </w:r>
      </w:hyperlink>
      <w:r w:rsidRPr="00506787">
        <w:rPr>
          <w:rStyle w:val="TextoNormalCaracter"/>
        </w:rPr>
        <w:t xml:space="preserve">, ff. 2, 3; </w:t>
      </w:r>
      <w:hyperlink w:anchor="SENTENCIA_1985_19" w:history="1">
        <w:r w:rsidRPr="00506787">
          <w:rPr>
            <w:rStyle w:val="TextoNormalCaracter"/>
          </w:rPr>
          <w:t>19/1985</w:t>
        </w:r>
      </w:hyperlink>
      <w:r w:rsidRPr="00506787">
        <w:rPr>
          <w:rStyle w:val="TextoNormalCaracter"/>
        </w:rPr>
        <w:t xml:space="preserve">, f. 1; </w:t>
      </w:r>
      <w:hyperlink w:anchor="SENTENCIA_1985_29" w:history="1">
        <w:r w:rsidRPr="00506787">
          <w:rPr>
            <w:rStyle w:val="TextoNormalCaracter"/>
          </w:rPr>
          <w:t>29/1985</w:t>
        </w:r>
      </w:hyperlink>
      <w:r w:rsidRPr="00506787">
        <w:rPr>
          <w:rStyle w:val="TextoNormalCaracter"/>
        </w:rPr>
        <w:t xml:space="preserve">, f. 2, VP; </w:t>
      </w:r>
      <w:hyperlink w:anchor="SENTENCIA_1985_51" w:history="1">
        <w:r w:rsidRPr="00506787">
          <w:rPr>
            <w:rStyle w:val="TextoNormalCaracter"/>
          </w:rPr>
          <w:t>51/1985</w:t>
        </w:r>
      </w:hyperlink>
      <w:r w:rsidRPr="00506787">
        <w:rPr>
          <w:rStyle w:val="TextoNormalCaracter"/>
        </w:rPr>
        <w:t>, f. 10.</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35" w:history="1">
        <w:r w:rsidRPr="00506787">
          <w:rPr>
            <w:rStyle w:val="TextoNormalCaracter"/>
          </w:rPr>
          <w:t>135/1985</w:t>
        </w:r>
      </w:hyperlink>
      <w:r w:rsidRPr="00506787">
        <w:rPr>
          <w:rStyle w:val="TextoNormalCaracter"/>
        </w:rPr>
        <w:t xml:space="preserve">; </w:t>
      </w:r>
      <w:hyperlink w:anchor="AUTO_1985_139" w:history="1">
        <w:r w:rsidRPr="00506787">
          <w:rPr>
            <w:rStyle w:val="TextoNormalCaracter"/>
          </w:rPr>
          <w:t>139/1985</w:t>
        </w:r>
      </w:hyperlink>
      <w:r w:rsidRPr="00506787">
        <w:rPr>
          <w:rStyle w:val="TextoNormalCaracter"/>
        </w:rPr>
        <w:t>.</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Sentencia </w:t>
      </w:r>
      <w:hyperlink w:anchor="SENTENCIA_1985_53" w:history="1">
        <w:r w:rsidRPr="00506787">
          <w:rPr>
            <w:rStyle w:val="TextoNormalCaracter"/>
          </w:rPr>
          <w:t>53/1985</w:t>
        </w:r>
      </w:hyperlink>
      <w:r w:rsidRPr="00506787">
        <w:rPr>
          <w:rStyle w:val="TextoNormalCaracter"/>
        </w:rPr>
        <w:t>, f. 4.</w:t>
      </w:r>
    </w:p>
    <w:p w:rsidR="00506787" w:rsidRPr="00506787" w:rsidRDefault="00506787" w:rsidP="00506787">
      <w:pPr>
        <w:pStyle w:val="TextoNormalSangraFrancesa"/>
        <w:rPr>
          <w:rStyle w:val="TextoNormalCaracter"/>
        </w:rPr>
      </w:pPr>
      <w:r w:rsidRPr="00506787">
        <w:rPr>
          <w:rStyle w:val="TextoNormalCursivaCaracter"/>
        </w:rPr>
        <w:t xml:space="preserve">    Régimen jurídico, </w:t>
      </w:r>
      <w:r w:rsidRPr="00506787">
        <w:rPr>
          <w:rStyle w:val="TextoNormalCaracter"/>
        </w:rPr>
        <w:t xml:space="preserve">Sentencia </w:t>
      </w:r>
      <w:hyperlink w:anchor="SENTENCIA_1985_8" w:history="1">
        <w:r w:rsidRPr="00506787">
          <w:rPr>
            <w:rStyle w:val="TextoNormalCaracter"/>
          </w:rPr>
          <w:t>8/1985</w:t>
        </w:r>
      </w:hyperlink>
      <w:r w:rsidRPr="00506787">
        <w:rPr>
          <w:rStyle w:val="TextoNormalCaracter"/>
        </w:rPr>
        <w:t>, ff. 3, 4.</w:t>
      </w:r>
    </w:p>
    <w:p w:rsidR="00506787" w:rsidRPr="00506787" w:rsidRDefault="00506787" w:rsidP="00506787">
      <w:pPr>
        <w:pStyle w:val="TextoNormalSangraFrancesa"/>
        <w:rPr>
          <w:rStyle w:val="TextoNormalCaracter"/>
        </w:rPr>
      </w:pPr>
      <w:bookmarkStart w:id="1522" w:name="DESCRIPTORALFABETICO536"/>
      <w:r w:rsidRPr="00506787">
        <w:rPr>
          <w:rStyle w:val="TextoNormalNegritaCaracter"/>
        </w:rPr>
        <w:t>Terminación del proceso judicial</w:t>
      </w:r>
      <w:bookmarkEnd w:id="1522"/>
      <w:r w:rsidRPr="00506787">
        <w:rPr>
          <w:rStyle w:val="TextoNormalCaracter"/>
        </w:rPr>
        <w:t xml:space="preserve">, Sentencia </w:t>
      </w:r>
      <w:hyperlink w:anchor="SENTENCIA_1985_51" w:history="1">
        <w:r w:rsidRPr="00506787">
          <w:rPr>
            <w:rStyle w:val="TextoNormalCaracter"/>
          </w:rPr>
          <w:t>51/1985</w:t>
        </w:r>
      </w:hyperlink>
      <w:r w:rsidRPr="00506787">
        <w:rPr>
          <w:rStyle w:val="TextoNormalCaracter"/>
        </w:rPr>
        <w:t>, f. 4.</w:t>
      </w:r>
    </w:p>
    <w:p w:rsidR="00506787" w:rsidRPr="00506787" w:rsidRDefault="00506787" w:rsidP="00506787">
      <w:pPr>
        <w:pStyle w:val="TextoNormalSangraFrancesa"/>
        <w:rPr>
          <w:rStyle w:val="TextoNormalCaracter"/>
        </w:rPr>
      </w:pPr>
      <w:bookmarkStart w:id="1523" w:name="DESCRIPTORALFABETICO28"/>
      <w:r w:rsidRPr="00506787">
        <w:rPr>
          <w:rStyle w:val="TextoNormalNegritaCaracter"/>
        </w:rPr>
        <w:t>Término de comparación inexistente</w:t>
      </w:r>
      <w:bookmarkEnd w:id="1523"/>
      <w:r w:rsidRPr="00506787">
        <w:rPr>
          <w:rStyle w:val="TextoNormalCaracter"/>
        </w:rPr>
        <w:t xml:space="preserve">, Sentencia </w:t>
      </w:r>
      <w:hyperlink w:anchor="SENTENCIA_1985_14" w:history="1">
        <w:r w:rsidRPr="00506787">
          <w:rPr>
            <w:rStyle w:val="TextoNormalCaracter"/>
          </w:rPr>
          <w:t>14/1985</w:t>
        </w:r>
      </w:hyperlink>
      <w:r w:rsidRPr="00506787">
        <w:rPr>
          <w:rStyle w:val="TextoNormalCaracter"/>
        </w:rPr>
        <w:t>, f. 3.</w:t>
      </w:r>
    </w:p>
    <w:p w:rsidR="00506787" w:rsidRPr="00506787" w:rsidRDefault="00506787" w:rsidP="00506787">
      <w:pPr>
        <w:pStyle w:val="TextoNormalSangraFrancesa"/>
        <w:rPr>
          <w:rStyle w:val="TextoNormalCaracter"/>
        </w:rPr>
      </w:pPr>
      <w:bookmarkStart w:id="1524" w:name="DESCRIPTORALFABETICO353"/>
      <w:r w:rsidRPr="00506787">
        <w:rPr>
          <w:rStyle w:val="TextoNormalNegritaCaracter"/>
        </w:rPr>
        <w:t>Términos imprecisos</w:t>
      </w:r>
      <w:bookmarkEnd w:id="1524"/>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10.</w:t>
      </w:r>
    </w:p>
    <w:p w:rsidR="00506787" w:rsidRPr="00506787" w:rsidRDefault="00506787" w:rsidP="00506787">
      <w:pPr>
        <w:pStyle w:val="TextoNormalSangraFrancesa"/>
        <w:rPr>
          <w:rStyle w:val="TextoNormalCaracter"/>
        </w:rPr>
      </w:pPr>
      <w:bookmarkStart w:id="1525" w:name="DESCRIPTORALFABETICO344"/>
      <w:r w:rsidRPr="00506787">
        <w:rPr>
          <w:rStyle w:val="TextoNormalNegritaCaracter"/>
        </w:rPr>
        <w:t>Territorialidad de la ley penal</w:t>
      </w:r>
      <w:bookmarkEnd w:id="1525"/>
      <w:r w:rsidRPr="00506787">
        <w:rPr>
          <w:rStyle w:val="TextoNormalCaracter"/>
        </w:rPr>
        <w:t xml:space="preserve">, Auto </w:t>
      </w:r>
      <w:hyperlink w:anchor="AUTO_1985_90" w:history="1">
        <w:r w:rsidRPr="00506787">
          <w:rPr>
            <w:rStyle w:val="TextoNormalCaracter"/>
          </w:rPr>
          <w:t>90/1985</w:t>
        </w:r>
      </w:hyperlink>
      <w:r w:rsidRPr="00506787">
        <w:rPr>
          <w:rStyle w:val="TextoNormalCaracter"/>
        </w:rPr>
        <w:t>.</w:t>
      </w:r>
    </w:p>
    <w:p w:rsidR="00506787" w:rsidRPr="00506787" w:rsidRDefault="00506787" w:rsidP="00506787">
      <w:pPr>
        <w:pStyle w:val="TextoNormalSangraFrancesa"/>
        <w:rPr>
          <w:rStyle w:val="TextoNormalCaracter"/>
        </w:rPr>
      </w:pPr>
      <w:bookmarkStart w:id="1526" w:name="DESCRIPTORALFABETICO6"/>
      <w:r w:rsidRPr="00506787">
        <w:rPr>
          <w:rStyle w:val="TextoNormalNegritaCaracter"/>
        </w:rPr>
        <w:t>Titularidad de las competencias</w:t>
      </w:r>
      <w:bookmarkEnd w:id="1526"/>
      <w:r w:rsidRPr="00506787">
        <w:rPr>
          <w:rStyle w:val="TextoNormalCaracter"/>
        </w:rPr>
        <w:t xml:space="preserve">, Sentencia </w:t>
      </w:r>
      <w:hyperlink w:anchor="SENTENCIA_1985_9" w:history="1">
        <w:r w:rsidRPr="00506787">
          <w:rPr>
            <w:rStyle w:val="TextoNormalCaracter"/>
          </w:rPr>
          <w:t>9/1985</w:t>
        </w:r>
      </w:hyperlink>
      <w:r w:rsidRPr="00506787">
        <w:rPr>
          <w:rStyle w:val="TextoNormalCaracter"/>
        </w:rPr>
        <w:t>, f. 2.</w:t>
      </w:r>
    </w:p>
    <w:p w:rsidR="00506787" w:rsidRPr="00506787" w:rsidRDefault="00506787" w:rsidP="00506787">
      <w:pPr>
        <w:pStyle w:val="TextoNormalSangraFrancesa"/>
        <w:rPr>
          <w:rStyle w:val="TextoNormalCaracter"/>
        </w:rPr>
      </w:pPr>
      <w:bookmarkStart w:id="1527" w:name="DESCRIPTORALFABETICO124"/>
      <w:r w:rsidRPr="00506787">
        <w:rPr>
          <w:rStyle w:val="TextoNormalNegritaCaracter"/>
        </w:rPr>
        <w:t>Titularidad de los derechos fundamentales</w:t>
      </w:r>
      <w:bookmarkEnd w:id="1527"/>
      <w:r w:rsidRPr="00506787">
        <w:rPr>
          <w:rStyle w:val="TextoNormalCaracter"/>
        </w:rPr>
        <w:t xml:space="preserve">, Sentencia </w:t>
      </w:r>
      <w:hyperlink w:anchor="SENTENCIA_1985_32" w:history="1">
        <w:r w:rsidRPr="00506787">
          <w:rPr>
            <w:rStyle w:val="TextoNormalCaracter"/>
          </w:rPr>
          <w:t>32/1985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aracter"/>
        </w:rPr>
        <w:t xml:space="preserve">    Autos </w:t>
      </w:r>
      <w:hyperlink w:anchor="AUTO_1985_135" w:history="1">
        <w:r w:rsidRPr="00506787">
          <w:rPr>
            <w:rStyle w:val="TextoNormalCaracter"/>
          </w:rPr>
          <w:t>135/1985</w:t>
        </w:r>
      </w:hyperlink>
      <w:r w:rsidRPr="00506787">
        <w:rPr>
          <w:rStyle w:val="TextoNormalCaracter"/>
        </w:rPr>
        <w:t xml:space="preserve">; </w:t>
      </w:r>
      <w:hyperlink w:anchor="AUTO_1985_139" w:history="1">
        <w:r w:rsidRPr="00506787">
          <w:rPr>
            <w:rStyle w:val="TextoNormalCaracter"/>
          </w:rPr>
          <w:t>139/1985</w:t>
        </w:r>
      </w:hyperlink>
      <w:r w:rsidRPr="00506787">
        <w:rPr>
          <w:rStyle w:val="TextoNormalCaracter"/>
        </w:rPr>
        <w:t>.</w:t>
      </w:r>
    </w:p>
    <w:p w:rsidR="00506787" w:rsidRPr="00506787" w:rsidRDefault="00506787" w:rsidP="00506787">
      <w:pPr>
        <w:pStyle w:val="TextoNormalSangraFrancesa"/>
        <w:rPr>
          <w:rStyle w:val="TextoNormalCaracter"/>
        </w:rPr>
      </w:pPr>
      <w:bookmarkStart w:id="1528" w:name="DESCRIPTORALFABETICO300"/>
      <w:r w:rsidRPr="00506787">
        <w:rPr>
          <w:rStyle w:val="TextoNormalNegritaCaracter"/>
        </w:rPr>
        <w:t>Títulos profesionales</w:t>
      </w:r>
      <w:bookmarkEnd w:id="1528"/>
      <w:r w:rsidRPr="00506787">
        <w:rPr>
          <w:rStyle w:val="TextoNormalCaracter"/>
        </w:rPr>
        <w:t xml:space="preserve">, Auto </w:t>
      </w:r>
      <w:hyperlink w:anchor="AUTO_1985_130" w:history="1">
        <w:r w:rsidRPr="00506787">
          <w:rPr>
            <w:rStyle w:val="TextoNormalCaracter"/>
          </w:rPr>
          <w:t>130/1985</w:t>
        </w:r>
      </w:hyperlink>
      <w:r w:rsidRPr="00506787">
        <w:rPr>
          <w:rStyle w:val="TextoNormalCaracter"/>
        </w:rPr>
        <w:t>.</w:t>
      </w:r>
    </w:p>
    <w:p w:rsidR="00506787" w:rsidRPr="00506787" w:rsidRDefault="00506787" w:rsidP="00506787">
      <w:pPr>
        <w:pStyle w:val="TextoNormalSangraFrancesa"/>
        <w:rPr>
          <w:rStyle w:val="TextoNormalCaracter"/>
        </w:rPr>
      </w:pPr>
      <w:bookmarkStart w:id="1529" w:name="DESCRIPTORALFABETICO208"/>
      <w:r w:rsidRPr="00506787">
        <w:rPr>
          <w:rStyle w:val="TextoNormalNegritaCaracter"/>
        </w:rPr>
        <w:t>Trámite de admisión en el recurso de amparo</w:t>
      </w:r>
      <w:bookmarkEnd w:id="1529"/>
      <w:r w:rsidRPr="00506787">
        <w:rPr>
          <w:rStyle w:val="TextoNormalCaracter"/>
        </w:rPr>
        <w:t xml:space="preserve">, Auto </w:t>
      </w:r>
      <w:hyperlink w:anchor="AUTO_1985_41" w:history="1">
        <w:r w:rsidRPr="00506787">
          <w:rPr>
            <w:rStyle w:val="TextoNormalCaracter"/>
          </w:rPr>
          <w:t>41/1985</w:t>
        </w:r>
      </w:hyperlink>
      <w:r w:rsidRPr="00506787">
        <w:rPr>
          <w:rStyle w:val="TextoNormalCaracter"/>
        </w:rPr>
        <w:t>.</w:t>
      </w:r>
    </w:p>
    <w:p w:rsidR="00506787" w:rsidRPr="00506787" w:rsidRDefault="00506787" w:rsidP="00506787">
      <w:pPr>
        <w:pStyle w:val="TextoNormalSangraFrancesa"/>
        <w:rPr>
          <w:rStyle w:val="TextoNormalCaracter"/>
        </w:rPr>
      </w:pPr>
      <w:bookmarkStart w:id="1530" w:name="DESCRIPTORALFABETICO125"/>
      <w:r w:rsidRPr="00506787">
        <w:rPr>
          <w:rStyle w:val="TextoNormalNegritaCaracter"/>
        </w:rPr>
        <w:t>Trascendencia penal de la vulneración de derechos fundamentales</w:t>
      </w:r>
      <w:bookmarkEnd w:id="1530"/>
      <w:r w:rsidRPr="00506787">
        <w:rPr>
          <w:rStyle w:val="TextoNormalCaracter"/>
        </w:rPr>
        <w:t xml:space="preserve">, Sentencia </w:t>
      </w:r>
      <w:hyperlink w:anchor="SENTENCIA_1985_1" w:history="1">
        <w:r w:rsidRPr="00506787">
          <w:rPr>
            <w:rStyle w:val="TextoNormalCaracter"/>
          </w:rPr>
          <w:t>1/1985</w:t>
        </w:r>
      </w:hyperlink>
      <w:r w:rsidRPr="00506787">
        <w:rPr>
          <w:rStyle w:val="TextoNormalCaracter"/>
        </w:rPr>
        <w:t>, f. 4.</w:t>
      </w:r>
    </w:p>
    <w:p w:rsidR="00506787" w:rsidRPr="00506787" w:rsidRDefault="00506787" w:rsidP="00506787">
      <w:pPr>
        <w:pStyle w:val="TextoNormalSangraFrancesa"/>
        <w:rPr>
          <w:rStyle w:val="TextoNormalCaracter"/>
        </w:rPr>
      </w:pPr>
      <w:bookmarkStart w:id="1531" w:name="DESCRIPTORALFABETICO327"/>
      <w:r w:rsidRPr="00506787">
        <w:rPr>
          <w:rStyle w:val="TextoNormalNegritaCaracter"/>
        </w:rPr>
        <w:t>Tratados internacionales</w:t>
      </w:r>
      <w:bookmarkEnd w:id="1531"/>
      <w:r w:rsidRPr="00506787">
        <w:rPr>
          <w:rStyle w:val="TextoNormalCaracter"/>
        </w:rPr>
        <w:t xml:space="preserve">, Sentencia </w:t>
      </w:r>
      <w:hyperlink w:anchor="SENTENCIA_1985_11" w:history="1">
        <w:r w:rsidRPr="00506787">
          <w:rPr>
            <w:rStyle w:val="TextoNormalCaracter"/>
          </w:rPr>
          <w:t>11/1985</w:t>
        </w:r>
      </w:hyperlink>
      <w:r w:rsidRPr="00506787">
        <w:rPr>
          <w:rStyle w:val="TextoNormalCaracter"/>
        </w:rPr>
        <w:t>, f. 4.</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U</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532" w:name="DESCRIPTORALFABETICO335"/>
      <w:r w:rsidRPr="00506787">
        <w:rPr>
          <w:rStyle w:val="TextoNormalNegritaCaracter"/>
        </w:rPr>
        <w:t>Unificación de criterios</w:t>
      </w:r>
      <w:bookmarkEnd w:id="1532"/>
      <w:r w:rsidRPr="00506787">
        <w:rPr>
          <w:rStyle w:val="TextoNormalCaracter"/>
        </w:rPr>
        <w:t xml:space="preserve">, Auto </w:t>
      </w:r>
      <w:hyperlink w:anchor="AUTO_1985_240" w:history="1">
        <w:r w:rsidRPr="00506787">
          <w:rPr>
            <w:rStyle w:val="TextoNormalCaracter"/>
          </w:rPr>
          <w:t>240/1985</w:t>
        </w:r>
      </w:hyperlink>
      <w:r w:rsidRPr="00506787">
        <w:rPr>
          <w:rStyle w:val="TextoNormalCaracter"/>
        </w:rPr>
        <w:t>.</w:t>
      </w:r>
    </w:p>
    <w:p w:rsidR="00506787" w:rsidRDefault="00506787" w:rsidP="00506787">
      <w:pPr>
        <w:pStyle w:val="TextoNormalSangraFrancesa"/>
      </w:pPr>
    </w:p>
    <w:p w:rsidR="00506787" w:rsidRDefault="00506787" w:rsidP="00506787">
      <w:pPr>
        <w:pStyle w:val="TextoNormalSangraFrancesa"/>
      </w:pPr>
    </w:p>
    <w:p w:rsidR="00506787" w:rsidRDefault="00506787" w:rsidP="00506787">
      <w:pPr>
        <w:pStyle w:val="TextoNormalNegritaCentrado"/>
      </w:pPr>
      <w:r>
        <w:t>V</w:t>
      </w:r>
    </w:p>
    <w:p w:rsidR="00506787" w:rsidRDefault="00506787" w:rsidP="00506787">
      <w:pPr>
        <w:pStyle w:val="TextoNormalNegritaCentrado"/>
      </w:pPr>
    </w:p>
    <w:p w:rsidR="00506787" w:rsidRDefault="00506787" w:rsidP="00506787">
      <w:pPr>
        <w:pStyle w:val="TextoNormalNegritaCentrado"/>
      </w:pPr>
    </w:p>
    <w:p w:rsidR="00506787" w:rsidRDefault="00506787" w:rsidP="00506787">
      <w:pPr>
        <w:pStyle w:val="TextoNormalNegritaCentrado"/>
      </w:pPr>
    </w:p>
    <w:p w:rsidR="00506787" w:rsidRPr="00506787" w:rsidRDefault="00506787" w:rsidP="00506787">
      <w:pPr>
        <w:pStyle w:val="TextoNormalSangraFrancesa"/>
        <w:rPr>
          <w:rStyle w:val="TextoNormalCaracter"/>
        </w:rPr>
      </w:pPr>
      <w:bookmarkStart w:id="1533" w:name="DESCRIPTORALFABETICO299"/>
      <w:r w:rsidRPr="00506787">
        <w:rPr>
          <w:rStyle w:val="TextoNormalNegritaCaracter"/>
        </w:rPr>
        <w:t>Validez de los títulos extranjeros</w:t>
      </w:r>
      <w:bookmarkEnd w:id="1533"/>
      <w:r w:rsidRPr="00506787">
        <w:rPr>
          <w:rStyle w:val="TextoNormalCaracter"/>
        </w:rPr>
        <w:t xml:space="preserve">, Auto </w:t>
      </w:r>
      <w:hyperlink w:anchor="AUTO_1985_130" w:history="1">
        <w:r w:rsidRPr="00506787">
          <w:rPr>
            <w:rStyle w:val="TextoNormalCaracter"/>
          </w:rPr>
          <w:t>130/1985</w:t>
        </w:r>
      </w:hyperlink>
      <w:r w:rsidRPr="00506787">
        <w:rPr>
          <w:rStyle w:val="TextoNormalCaracter"/>
        </w:rPr>
        <w:t>.</w:t>
      </w:r>
    </w:p>
    <w:p w:rsidR="00506787" w:rsidRPr="00506787" w:rsidRDefault="00506787" w:rsidP="00506787">
      <w:pPr>
        <w:pStyle w:val="TextoNormalSangraFrancesa"/>
        <w:rPr>
          <w:rStyle w:val="TextoNormalCaracter"/>
        </w:rPr>
      </w:pPr>
      <w:bookmarkStart w:id="1534" w:name="DESCRIPTORALFABETICO488"/>
      <w:r w:rsidRPr="00506787">
        <w:rPr>
          <w:rStyle w:val="TextoNormalNegritaCaracter"/>
        </w:rPr>
        <w:t>Valoración de la prueba</w:t>
      </w:r>
      <w:bookmarkEnd w:id="1534"/>
      <w:r w:rsidRPr="00506787">
        <w:rPr>
          <w:rStyle w:val="TextoNormalCaracter"/>
        </w:rPr>
        <w:t xml:space="preserve">, Autos </w:t>
      </w:r>
      <w:hyperlink w:anchor="AUTO_1985_118" w:history="1">
        <w:r w:rsidRPr="00506787">
          <w:rPr>
            <w:rStyle w:val="TextoNormalCaracter"/>
          </w:rPr>
          <w:t>118/1985</w:t>
        </w:r>
      </w:hyperlink>
      <w:r w:rsidRPr="00506787">
        <w:rPr>
          <w:rStyle w:val="TextoNormalCaracter"/>
        </w:rPr>
        <w:t xml:space="preserve">; </w:t>
      </w:r>
      <w:hyperlink w:anchor="AUTO_1985_119" w:history="1">
        <w:r w:rsidRPr="00506787">
          <w:rPr>
            <w:rStyle w:val="TextoNormalCaracter"/>
          </w:rPr>
          <w:t>119/1985</w:t>
        </w:r>
      </w:hyperlink>
      <w:r w:rsidRPr="00506787">
        <w:rPr>
          <w:rStyle w:val="TextoNormalCaracter"/>
        </w:rPr>
        <w:t xml:space="preserve">; </w:t>
      </w:r>
      <w:hyperlink w:anchor="AUTO_1985_169" w:history="1">
        <w:r w:rsidRPr="00506787">
          <w:rPr>
            <w:rStyle w:val="TextoNormalCaracter"/>
          </w:rPr>
          <w:t>169/1985</w:t>
        </w:r>
      </w:hyperlink>
      <w:r w:rsidRPr="00506787">
        <w:rPr>
          <w:rStyle w:val="TextoNormalCaracter"/>
        </w:rPr>
        <w:t xml:space="preserve">; </w:t>
      </w:r>
      <w:hyperlink w:anchor="AUTO_1985_267" w:history="1">
        <w:r w:rsidRPr="00506787">
          <w:rPr>
            <w:rStyle w:val="TextoNormalCaracter"/>
          </w:rPr>
          <w:t>267/1985</w:t>
        </w:r>
      </w:hyperlink>
      <w:r w:rsidRPr="00506787">
        <w:rPr>
          <w:rStyle w:val="TextoNormalCaracter"/>
        </w:rPr>
        <w:t>.</w:t>
      </w:r>
    </w:p>
    <w:p w:rsidR="00506787" w:rsidRPr="00506787" w:rsidRDefault="00506787" w:rsidP="00506787">
      <w:pPr>
        <w:pStyle w:val="TextoNormalSangraFrancesa"/>
        <w:rPr>
          <w:rStyle w:val="TextoNormalCaracter"/>
        </w:rPr>
      </w:pPr>
      <w:bookmarkStart w:id="1535" w:name="DESCRIPTORALFABETICO478"/>
      <w:r w:rsidRPr="00506787">
        <w:rPr>
          <w:rStyle w:val="TextoNormalNegritaCaracter"/>
        </w:rPr>
        <w:t>Valoración de los hechos probados</w:t>
      </w:r>
      <w:bookmarkEnd w:id="1535"/>
      <w:r w:rsidRPr="00506787">
        <w:rPr>
          <w:rStyle w:val="TextoNormalCaracter"/>
        </w:rPr>
        <w:t xml:space="preserve">, Auto </w:t>
      </w:r>
      <w:hyperlink w:anchor="AUTO_1985_88" w:history="1">
        <w:r w:rsidRPr="00506787">
          <w:rPr>
            <w:rStyle w:val="TextoNormalCaracter"/>
          </w:rPr>
          <w:t>88/1985</w:t>
        </w:r>
      </w:hyperlink>
      <w:r w:rsidRPr="00506787">
        <w:rPr>
          <w:rStyle w:val="TextoNormalCaracter"/>
        </w:rPr>
        <w:t>.</w:t>
      </w:r>
    </w:p>
    <w:p w:rsidR="00506787" w:rsidRPr="00506787" w:rsidRDefault="00506787" w:rsidP="00506787">
      <w:pPr>
        <w:pStyle w:val="TextoNormalSangraFrancesa"/>
        <w:rPr>
          <w:rStyle w:val="TextoNormalCaracter"/>
        </w:rPr>
      </w:pPr>
      <w:bookmarkStart w:id="1536" w:name="DESCRIPTORALFABETICO479"/>
      <w:r w:rsidRPr="00506787">
        <w:rPr>
          <w:rStyle w:val="TextoNormalNegritaCaracter"/>
        </w:rPr>
        <w:t>Valoración judicial de los hechos</w:t>
      </w:r>
      <w:bookmarkEnd w:id="1536"/>
      <w:r w:rsidRPr="00506787">
        <w:rPr>
          <w:rStyle w:val="TextoNormalCaracter"/>
        </w:rPr>
        <w:t xml:space="preserve">, Sentencia </w:t>
      </w:r>
      <w:hyperlink w:anchor="SENTENCIA_1985_37" w:history="1">
        <w:r w:rsidRPr="00506787">
          <w:rPr>
            <w:rStyle w:val="TextoNormalCaracter"/>
          </w:rPr>
          <w:t>37/1985</w:t>
        </w:r>
      </w:hyperlink>
      <w:r w:rsidRPr="00506787">
        <w:rPr>
          <w:rStyle w:val="TextoNormalCaracter"/>
        </w:rPr>
        <w:t>, f. 1.</w:t>
      </w:r>
    </w:p>
    <w:p w:rsidR="00506787" w:rsidRPr="00506787" w:rsidRDefault="00506787" w:rsidP="00506787">
      <w:pPr>
        <w:pStyle w:val="TextoNormalSangraFrancesa"/>
        <w:rPr>
          <w:rStyle w:val="TextoNormalCaracter"/>
        </w:rPr>
      </w:pPr>
      <w:bookmarkStart w:id="1537" w:name="DESCRIPTORALFABETICO264"/>
      <w:r w:rsidRPr="00506787">
        <w:rPr>
          <w:rStyle w:val="TextoNormalNegritaCaracter"/>
        </w:rPr>
        <w:t>Valores constitucionales</w:t>
      </w:r>
      <w:bookmarkEnd w:id="1537"/>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3.</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Sentencia </w:t>
      </w:r>
      <w:hyperlink w:anchor="SENTENCIA_1985_53" w:history="1">
        <w:r w:rsidRPr="00506787">
          <w:rPr>
            <w:rStyle w:val="TextoNormalCaracter"/>
          </w:rPr>
          <w:t>53/1985</w:t>
        </w:r>
      </w:hyperlink>
      <w:r w:rsidRPr="00506787">
        <w:rPr>
          <w:rStyle w:val="TextoNormalCaracter"/>
        </w:rPr>
        <w:t>, f. 3, VP III, VP V.</w:t>
      </w:r>
    </w:p>
    <w:p w:rsidR="00506787" w:rsidRPr="00506787" w:rsidRDefault="00506787" w:rsidP="00506787">
      <w:pPr>
        <w:pStyle w:val="TextoNormalSangraFrancesa"/>
        <w:rPr>
          <w:rStyle w:val="TextoNormalCaracter"/>
        </w:rPr>
      </w:pPr>
      <w:bookmarkStart w:id="1538" w:name="DESCRIPTORALFABETICO279"/>
      <w:r w:rsidRPr="00506787">
        <w:rPr>
          <w:rStyle w:val="TextoNormalNegritaCaracter"/>
        </w:rPr>
        <w:t>Vía de hecho</w:t>
      </w:r>
      <w:bookmarkEnd w:id="1538"/>
      <w:r w:rsidRPr="00506787">
        <w:rPr>
          <w:rStyle w:val="TextoNormalCaracter"/>
        </w:rPr>
        <w:t xml:space="preserve">, </w:t>
      </w:r>
    </w:p>
    <w:p w:rsidR="00506787" w:rsidRPr="00506787" w:rsidRDefault="00506787" w:rsidP="00506787">
      <w:pPr>
        <w:pStyle w:val="TextoNormalSangraFrancesa"/>
        <w:rPr>
          <w:rStyle w:val="TextoNormalCaracter"/>
        </w:rPr>
      </w:pPr>
      <w:r w:rsidRPr="00506787">
        <w:rPr>
          <w:rStyle w:val="TextoNormalCursivaCaracter"/>
        </w:rPr>
        <w:t xml:space="preserve">    Concepto, </w:t>
      </w:r>
      <w:r w:rsidRPr="00506787">
        <w:rPr>
          <w:rStyle w:val="TextoNormalCaracter"/>
        </w:rPr>
        <w:t xml:space="preserve">Auto </w:t>
      </w:r>
      <w:hyperlink w:anchor="AUTO_1985_217" w:history="1">
        <w:r w:rsidRPr="00506787">
          <w:rPr>
            <w:rStyle w:val="TextoNormalCaracter"/>
          </w:rPr>
          <w:t>217/1985</w:t>
        </w:r>
      </w:hyperlink>
      <w:r w:rsidRPr="00506787">
        <w:rPr>
          <w:rStyle w:val="TextoNormalCaracter"/>
        </w:rPr>
        <w:t>.</w:t>
      </w:r>
    </w:p>
    <w:p w:rsidR="00506787" w:rsidRPr="00506787" w:rsidRDefault="00506787" w:rsidP="00506787">
      <w:pPr>
        <w:pStyle w:val="TextoNormalSangraFrancesa"/>
        <w:rPr>
          <w:rStyle w:val="TextoNormalCaracter"/>
        </w:rPr>
      </w:pPr>
      <w:bookmarkStart w:id="1539" w:name="DESCRIPTORALFABETICO67"/>
      <w:r w:rsidRPr="00506787">
        <w:rPr>
          <w:rStyle w:val="TextoNormalNegritaCaracter"/>
        </w:rPr>
        <w:t>Vida humana</w:t>
      </w:r>
      <w:bookmarkEnd w:id="1539"/>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 f. 3.</w:t>
      </w:r>
    </w:p>
    <w:p w:rsidR="00506787" w:rsidRPr="00506787" w:rsidRDefault="00506787" w:rsidP="00506787">
      <w:pPr>
        <w:pStyle w:val="TextoNormalSangraFrancesa"/>
        <w:rPr>
          <w:rStyle w:val="TextoNormalCaracter"/>
        </w:rPr>
      </w:pPr>
      <w:bookmarkStart w:id="1540" w:name="DESCRIPTORALFABETICO220"/>
      <w:r w:rsidRPr="00506787">
        <w:rPr>
          <w:rStyle w:val="TextoNormalNegritaCaracter"/>
        </w:rPr>
        <w:t>Voto particular, formulado uno</w:t>
      </w:r>
      <w:bookmarkEnd w:id="1540"/>
      <w:r w:rsidRPr="00506787">
        <w:rPr>
          <w:rStyle w:val="TextoNormalCaracter"/>
        </w:rPr>
        <w:t xml:space="preserve">, Sentencias </w:t>
      </w:r>
      <w:hyperlink w:anchor="SENTENCIA_1985_5" w:history="1">
        <w:r w:rsidRPr="00506787">
          <w:rPr>
            <w:rStyle w:val="TextoNormalCaracter"/>
          </w:rPr>
          <w:t>5/1985</w:t>
        </w:r>
      </w:hyperlink>
      <w:r w:rsidRPr="00506787">
        <w:rPr>
          <w:rStyle w:val="TextoNormalCaracter"/>
        </w:rPr>
        <w:t xml:space="preserve">; </w:t>
      </w:r>
      <w:hyperlink w:anchor="SENTENCIA_1985_20" w:history="1">
        <w:r w:rsidRPr="00506787">
          <w:rPr>
            <w:rStyle w:val="TextoNormalCaracter"/>
          </w:rPr>
          <w:t>20/1985</w:t>
        </w:r>
      </w:hyperlink>
      <w:r w:rsidRPr="00506787">
        <w:rPr>
          <w:rStyle w:val="TextoNormalCaracter"/>
        </w:rPr>
        <w:t xml:space="preserve">; </w:t>
      </w:r>
      <w:hyperlink w:anchor="SENTENCIA_1985_22" w:history="1">
        <w:r w:rsidRPr="00506787">
          <w:rPr>
            <w:rStyle w:val="TextoNormalCaracter"/>
          </w:rPr>
          <w:t>22/1985</w:t>
        </w:r>
      </w:hyperlink>
      <w:r w:rsidRPr="00506787">
        <w:rPr>
          <w:rStyle w:val="TextoNormalCaracter"/>
        </w:rPr>
        <w:t xml:space="preserve">; </w:t>
      </w:r>
      <w:hyperlink w:anchor="SENTENCIA_1985_27" w:history="1">
        <w:r w:rsidRPr="00506787">
          <w:rPr>
            <w:rStyle w:val="TextoNormalCaracter"/>
          </w:rPr>
          <w:t>27/1985</w:t>
        </w:r>
      </w:hyperlink>
      <w:r w:rsidRPr="00506787">
        <w:rPr>
          <w:rStyle w:val="TextoNormalCaracter"/>
        </w:rPr>
        <w:t xml:space="preserve">; </w:t>
      </w:r>
      <w:hyperlink w:anchor="SENTENCIA_1985_29" w:history="1">
        <w:r w:rsidRPr="00506787">
          <w:rPr>
            <w:rStyle w:val="TextoNormalCaracter"/>
          </w:rPr>
          <w:t>29/1985</w:t>
        </w:r>
      </w:hyperlink>
      <w:r w:rsidRPr="00506787">
        <w:rPr>
          <w:rStyle w:val="TextoNormalCaracter"/>
        </w:rPr>
        <w:t xml:space="preserve">; </w:t>
      </w:r>
      <w:hyperlink w:anchor="SENTENCIA_1985_39" w:history="1">
        <w:r w:rsidRPr="00506787">
          <w:rPr>
            <w:rStyle w:val="TextoNormalCaracter"/>
          </w:rPr>
          <w:t>39/1985</w:t>
        </w:r>
      </w:hyperlink>
      <w:r w:rsidRPr="00506787">
        <w:rPr>
          <w:rStyle w:val="TextoNormalCaracter"/>
        </w:rPr>
        <w:t>.</w:t>
      </w:r>
    </w:p>
    <w:p w:rsidR="00506787" w:rsidRPr="00506787" w:rsidRDefault="00506787" w:rsidP="00506787">
      <w:pPr>
        <w:pStyle w:val="TextoNormalSangraFrancesa"/>
        <w:rPr>
          <w:rStyle w:val="TextoNormalCaracter"/>
        </w:rPr>
      </w:pPr>
      <w:bookmarkStart w:id="1541" w:name="DESCRIPTORALFABETICO221"/>
      <w:r w:rsidRPr="00506787">
        <w:rPr>
          <w:rStyle w:val="TextoNormalNegritaCaracter"/>
        </w:rPr>
        <w:t>Votos particulares, formulados tres</w:t>
      </w:r>
      <w:bookmarkEnd w:id="1541"/>
      <w:r w:rsidRPr="00506787">
        <w:rPr>
          <w:rStyle w:val="TextoNormalCaracter"/>
        </w:rPr>
        <w:t xml:space="preserve">, Sentencia </w:t>
      </w:r>
      <w:hyperlink w:anchor="SENTENCIA_1985_53" w:history="1">
        <w:r w:rsidRPr="00506787">
          <w:rPr>
            <w:rStyle w:val="TextoNormalCaracter"/>
          </w:rPr>
          <w:t>53/1985</w:t>
        </w:r>
      </w:hyperlink>
      <w:r w:rsidRPr="00506787">
        <w:rPr>
          <w:rStyle w:val="TextoNormalCaracter"/>
        </w:rPr>
        <w:t>.</w:t>
      </w:r>
    </w:p>
    <w:p w:rsidR="00506787" w:rsidRDefault="00506787">
      <w:pPr>
        <w:rPr>
          <w:rFonts w:ascii="Times New Roman" w:eastAsia="Times New Roman" w:hAnsi="Times New Roman" w:cs="Times New Roman"/>
          <w:sz w:val="24"/>
          <w:szCs w:val="24"/>
          <w:lang w:eastAsia="es-ES"/>
        </w:rPr>
      </w:pPr>
      <w:r>
        <w:br w:type="page"/>
      </w:r>
    </w:p>
    <w:p w:rsidR="00506787" w:rsidRDefault="00506787" w:rsidP="00506787">
      <w:pPr>
        <w:pStyle w:val="TextoNormalSangraFrancesa"/>
      </w:pPr>
    </w:p>
    <w:p w:rsidR="006E41A7" w:rsidRDefault="006E41A7" w:rsidP="006E41A7">
      <w:pPr>
        <w:pStyle w:val="TextoNormalSangraFrancesa"/>
      </w:pPr>
    </w:p>
    <w:p w:rsidR="006E41A7" w:rsidRDefault="006E41A7" w:rsidP="006E41A7">
      <w:pPr>
        <w:pStyle w:val="TextoNormalSangraFrancesa"/>
      </w:pPr>
    </w:p>
    <w:p w:rsidR="006E41A7" w:rsidRDefault="006E41A7" w:rsidP="006E41A7">
      <w:pPr>
        <w:pStyle w:val="TextoNormalSangraFrancesa"/>
      </w:pPr>
    </w:p>
    <w:p w:rsidR="006E41A7" w:rsidRDefault="006E41A7" w:rsidP="006E41A7">
      <w:pPr>
        <w:pStyle w:val="TextoNormalSangraFrancesa"/>
      </w:pPr>
    </w:p>
    <w:p w:rsidR="006E41A7" w:rsidRDefault="006E41A7" w:rsidP="006E41A7">
      <w:pPr>
        <w:pStyle w:val="TextoNormalSangraFrancesa"/>
      </w:pPr>
    </w:p>
    <w:p w:rsidR="006E41A7" w:rsidRDefault="006E41A7" w:rsidP="006E41A7">
      <w:pPr>
        <w:pStyle w:val="TextoNormalSangraFrancesa"/>
      </w:pPr>
    </w:p>
    <w:p w:rsidR="006E41A7" w:rsidRDefault="006E41A7" w:rsidP="006E41A7">
      <w:pPr>
        <w:pStyle w:val="TextoNormalSangraFrancesa"/>
      </w:pPr>
    </w:p>
    <w:p w:rsidR="006E41A7" w:rsidRDefault="006E41A7" w:rsidP="006E41A7">
      <w:pPr>
        <w:pStyle w:val="Ttulondice"/>
      </w:pPr>
      <w:bookmarkStart w:id="1542" w:name="ACRONIMOS"/>
      <w:r>
        <w:t>8. ABREVIATURAS Y ACRÓNIMOS</w:t>
      </w:r>
    </w:p>
    <w:bookmarkEnd w:id="1542"/>
    <w:p w:rsidR="006E41A7" w:rsidRDefault="006E41A7" w:rsidP="006E41A7">
      <w:pPr>
        <w:pStyle w:val="Ttulondice"/>
      </w:pPr>
    </w:p>
    <w:p w:rsidR="006E41A7" w:rsidRDefault="006E41A7" w:rsidP="006E41A7">
      <w:pPr>
        <w:pStyle w:val="Ttulondice"/>
      </w:pPr>
    </w:p>
    <w:p w:rsidR="006E41A7" w:rsidRDefault="006E41A7" w:rsidP="006E41A7">
      <w:pPr>
        <w:pStyle w:val="Ttulondice"/>
      </w:pPr>
    </w:p>
    <w:p w:rsidR="006E41A7" w:rsidRDefault="006E41A7" w:rsidP="006E41A7">
      <w:pPr>
        <w:pStyle w:val="Ttulondice"/>
      </w:pPr>
    </w:p>
    <w:p w:rsidR="006E41A7" w:rsidRDefault="006E41A7" w:rsidP="006E41A7">
      <w:pPr>
        <w:pStyle w:val="TextoAbreviaturas"/>
      </w:pPr>
      <w:r>
        <w:t>ATS</w:t>
      </w:r>
      <w:r>
        <w:tab/>
        <w:t>Auto del Tribunal Supremo</w:t>
      </w:r>
    </w:p>
    <w:p w:rsidR="006E41A7" w:rsidRDefault="006E41A7" w:rsidP="006E41A7">
      <w:pPr>
        <w:pStyle w:val="TextoAbreviaturas"/>
      </w:pPr>
      <w:r>
        <w:t>BOE</w:t>
      </w:r>
      <w:r>
        <w:tab/>
        <w:t>Boletín Oficial del Estado</w:t>
      </w:r>
    </w:p>
    <w:p w:rsidR="006E41A7" w:rsidRDefault="006E41A7" w:rsidP="006E41A7">
      <w:pPr>
        <w:pStyle w:val="TextoAbreviaturas"/>
      </w:pPr>
      <w:r>
        <w:t>BOPV</w:t>
      </w:r>
      <w:r>
        <w:tab/>
        <w:t>Boletín Oficial del País Vasco</w:t>
      </w:r>
    </w:p>
    <w:p w:rsidR="006E41A7" w:rsidRDefault="006E41A7" w:rsidP="006E41A7">
      <w:pPr>
        <w:pStyle w:val="TextoAbreviaturas"/>
      </w:pPr>
      <w:r>
        <w:t>CC</w:t>
      </w:r>
      <w:r>
        <w:tab/>
        <w:t>Código civil</w:t>
      </w:r>
    </w:p>
    <w:p w:rsidR="006E41A7" w:rsidRDefault="006E41A7" w:rsidP="006E41A7">
      <w:pPr>
        <w:pStyle w:val="TextoAbreviaturas"/>
      </w:pPr>
      <w:r>
        <w:t>CCOO</w:t>
      </w:r>
      <w:r>
        <w:tab/>
        <w:t>Comisiones Obreras</w:t>
      </w:r>
    </w:p>
    <w:p w:rsidR="006E41A7" w:rsidRDefault="006E41A7" w:rsidP="006E41A7">
      <w:pPr>
        <w:pStyle w:val="TextoAbreviaturas"/>
      </w:pPr>
      <w:r>
        <w:t>CE</w:t>
      </w:r>
      <w:r>
        <w:tab/>
        <w:t>Constitución española</w:t>
      </w:r>
    </w:p>
    <w:p w:rsidR="006E41A7" w:rsidRDefault="006E41A7" w:rsidP="006E41A7">
      <w:pPr>
        <w:pStyle w:val="TextoAbreviaturas"/>
      </w:pPr>
      <w:r>
        <w:t>CEE</w:t>
      </w:r>
      <w:r>
        <w:tab/>
        <w:t>Comunidad Económica Europea</w:t>
      </w:r>
    </w:p>
    <w:p w:rsidR="006E41A7" w:rsidRDefault="006E41A7" w:rsidP="006E41A7">
      <w:pPr>
        <w:pStyle w:val="TextoAbreviaturas"/>
      </w:pPr>
      <w:r>
        <w:t>CGPJ</w:t>
      </w:r>
      <w:r>
        <w:tab/>
        <w:t>Consejo General del Poder Judicial</w:t>
      </w:r>
    </w:p>
    <w:p w:rsidR="006E41A7" w:rsidRDefault="006E41A7" w:rsidP="006E41A7">
      <w:pPr>
        <w:pStyle w:val="TextoAbreviaturas"/>
      </w:pPr>
      <w:r>
        <w:t>CJM</w:t>
      </w:r>
      <w:r>
        <w:tab/>
        <w:t>Código de justicia militar</w:t>
      </w:r>
    </w:p>
    <w:p w:rsidR="006E41A7" w:rsidRDefault="006E41A7" w:rsidP="006E41A7">
      <w:pPr>
        <w:pStyle w:val="TextoAbreviaturas"/>
      </w:pPr>
      <w:r>
        <w:t>CNT</w:t>
      </w:r>
      <w:r>
        <w:tab/>
        <w:t>Confederación Nacional del Trabajo</w:t>
      </w:r>
    </w:p>
    <w:p w:rsidR="006E41A7" w:rsidRDefault="006E41A7" w:rsidP="006E41A7">
      <w:pPr>
        <w:pStyle w:val="TextoAbreviaturas"/>
      </w:pPr>
      <w:r>
        <w:t>CP</w:t>
      </w:r>
      <w:r>
        <w:tab/>
        <w:t>Código penal</w:t>
      </w:r>
    </w:p>
    <w:p w:rsidR="006E41A7" w:rsidRDefault="006E41A7" w:rsidP="006E41A7">
      <w:pPr>
        <w:pStyle w:val="TextoAbreviaturas"/>
      </w:pPr>
      <w:r>
        <w:t>EAC</w:t>
      </w:r>
      <w:r>
        <w:tab/>
        <w:t>Estatuto de Autonomía de Cataluña</w:t>
      </w:r>
    </w:p>
    <w:p w:rsidR="006E41A7" w:rsidRDefault="006E41A7" w:rsidP="006E41A7">
      <w:pPr>
        <w:pStyle w:val="TextoAbreviaturas"/>
      </w:pPr>
      <w:r>
        <w:t>EAPV</w:t>
      </w:r>
      <w:r>
        <w:tab/>
        <w:t>Estatuto de Autonomía para el País Vasco</w:t>
      </w:r>
    </w:p>
    <w:p w:rsidR="006E41A7" w:rsidRDefault="006E41A7" w:rsidP="006E41A7">
      <w:pPr>
        <w:pStyle w:val="TextoAbreviaturas"/>
      </w:pPr>
      <w:r>
        <w:t>ELA-STV</w:t>
      </w:r>
      <w:r>
        <w:tab/>
        <w:t>Eusko Langileen Alkartasuna-Solidaridad de Trabajadores Vascos</w:t>
      </w:r>
    </w:p>
    <w:p w:rsidR="006E41A7" w:rsidRDefault="006E41A7" w:rsidP="006E41A7">
      <w:pPr>
        <w:pStyle w:val="TextoAbreviaturas"/>
      </w:pPr>
      <w:r>
        <w:t>ESO</w:t>
      </w:r>
      <w:r>
        <w:tab/>
        <w:t>Enseñanza Secundaria Obligatoria</w:t>
      </w:r>
    </w:p>
    <w:p w:rsidR="006E41A7" w:rsidRDefault="006E41A7" w:rsidP="006E41A7">
      <w:pPr>
        <w:pStyle w:val="TextoAbreviaturas"/>
      </w:pPr>
      <w:r>
        <w:t>ETA</w:t>
      </w:r>
      <w:r>
        <w:tab/>
        <w:t>Euskadi Ta Askatasuna</w:t>
      </w:r>
    </w:p>
    <w:p w:rsidR="006E41A7" w:rsidRDefault="006E41A7" w:rsidP="006E41A7">
      <w:pPr>
        <w:pStyle w:val="TextoAbreviaturas"/>
      </w:pPr>
      <w:r>
        <w:t>FITC</w:t>
      </w:r>
      <w:r>
        <w:tab/>
        <w:t>Federación Independiente de Trabajadores del Crédito</w:t>
      </w:r>
    </w:p>
    <w:p w:rsidR="006E41A7" w:rsidRDefault="006E41A7" w:rsidP="006E41A7">
      <w:pPr>
        <w:pStyle w:val="TextoAbreviaturas"/>
      </w:pPr>
      <w:r>
        <w:t>FJ</w:t>
      </w:r>
      <w:r>
        <w:tab/>
        <w:t>Fundamento jurídico</w:t>
      </w:r>
    </w:p>
    <w:p w:rsidR="006E41A7" w:rsidRDefault="006E41A7" w:rsidP="006E41A7">
      <w:pPr>
        <w:pStyle w:val="TextoAbreviaturas"/>
      </w:pPr>
      <w:r>
        <w:t>IMAC</w:t>
      </w:r>
      <w:r>
        <w:tab/>
        <w:t>Instituto de Mediación, Arbitraje y Conciliación</w:t>
      </w:r>
    </w:p>
    <w:p w:rsidR="006E41A7" w:rsidRDefault="006E41A7" w:rsidP="006E41A7">
      <w:pPr>
        <w:pStyle w:val="TextoAbreviaturas"/>
      </w:pPr>
      <w:r>
        <w:t>INEM</w:t>
      </w:r>
      <w:r>
        <w:tab/>
        <w:t>Instituto Nacional de Empleo</w:t>
      </w:r>
    </w:p>
    <w:p w:rsidR="006E41A7" w:rsidRDefault="006E41A7" w:rsidP="006E41A7">
      <w:pPr>
        <w:pStyle w:val="TextoAbreviaturas"/>
      </w:pPr>
      <w:r>
        <w:t>INSALUD</w:t>
      </w:r>
      <w:r>
        <w:tab/>
        <w:t>Instituto Nacional de la Salud</w:t>
      </w:r>
    </w:p>
    <w:p w:rsidR="006E41A7" w:rsidRDefault="006E41A7" w:rsidP="006E41A7">
      <w:pPr>
        <w:pStyle w:val="TextoAbreviaturas"/>
      </w:pPr>
      <w:r>
        <w:t>INSS</w:t>
      </w:r>
      <w:r>
        <w:tab/>
        <w:t>Instituto Nacional de la Seguridad Social</w:t>
      </w:r>
    </w:p>
    <w:p w:rsidR="006E41A7" w:rsidRDefault="006E41A7" w:rsidP="006E41A7">
      <w:pPr>
        <w:pStyle w:val="TextoAbreviaturas"/>
      </w:pPr>
      <w:r>
        <w:t>IRPF</w:t>
      </w:r>
      <w:r>
        <w:tab/>
        <w:t>Impuesto sobre la renta de las personas físicas</w:t>
      </w:r>
    </w:p>
    <w:p w:rsidR="006E41A7" w:rsidRDefault="006E41A7" w:rsidP="006E41A7">
      <w:pPr>
        <w:pStyle w:val="TextoAbreviaturas"/>
      </w:pPr>
      <w:r>
        <w:t>LAR</w:t>
      </w:r>
      <w:r>
        <w:tab/>
        <w:t>Ley de arrendamientos rústicos</w:t>
      </w:r>
    </w:p>
    <w:p w:rsidR="006E41A7" w:rsidRDefault="006E41A7" w:rsidP="006E41A7">
      <w:pPr>
        <w:pStyle w:val="TextoAbreviaturas"/>
      </w:pPr>
      <w:r>
        <w:t>LAU</w:t>
      </w:r>
      <w:r>
        <w:tab/>
        <w:t>Ley de arrendamientos urbanos</w:t>
      </w:r>
    </w:p>
    <w:p w:rsidR="006E41A7" w:rsidRDefault="006E41A7" w:rsidP="006E41A7">
      <w:pPr>
        <w:pStyle w:val="TextoAbreviaturas"/>
      </w:pPr>
      <w:r>
        <w:t>LCT</w:t>
      </w:r>
      <w:r>
        <w:tab/>
        <w:t>Ley de contrato de trabajo</w:t>
      </w:r>
    </w:p>
    <w:p w:rsidR="006E41A7" w:rsidRDefault="006E41A7" w:rsidP="006E41A7">
      <w:pPr>
        <w:pStyle w:val="TextoAbreviaturas"/>
      </w:pPr>
      <w:r>
        <w:t>LEC</w:t>
      </w:r>
      <w:r>
        <w:tab/>
        <w:t>Ley de enjuiciamiento civil</w:t>
      </w:r>
    </w:p>
    <w:p w:rsidR="006E41A7" w:rsidRDefault="006E41A7" w:rsidP="006E41A7">
      <w:pPr>
        <w:pStyle w:val="TextoAbreviaturas"/>
      </w:pPr>
      <w:r>
        <w:t>LET</w:t>
      </w:r>
      <w:r>
        <w:tab/>
        <w:t>Ley del estatuto de los trabajadores</w:t>
      </w:r>
    </w:p>
    <w:p w:rsidR="006E41A7" w:rsidRDefault="006E41A7" w:rsidP="006E41A7">
      <w:pPr>
        <w:pStyle w:val="TextoAbreviaturas"/>
      </w:pPr>
      <w:r>
        <w:t>LH</w:t>
      </w:r>
      <w:r>
        <w:tab/>
        <w:t>Ley hipotecaria</w:t>
      </w:r>
    </w:p>
    <w:p w:rsidR="006E41A7" w:rsidRDefault="006E41A7" w:rsidP="006E41A7">
      <w:pPr>
        <w:pStyle w:val="TextoAbreviaturas"/>
      </w:pPr>
      <w:r>
        <w:t>LJCA</w:t>
      </w:r>
      <w:r>
        <w:tab/>
        <w:t>Ley reguladora de la jurisdicción contencioso-administrativa</w:t>
      </w:r>
    </w:p>
    <w:p w:rsidR="006E41A7" w:rsidRDefault="006E41A7" w:rsidP="006E41A7">
      <w:pPr>
        <w:pStyle w:val="TextoAbreviaturas"/>
      </w:pPr>
      <w:r>
        <w:t>LOAPA</w:t>
      </w:r>
      <w:r>
        <w:tab/>
        <w:t>Ley Orgánica de armonización del proceso autonómico</w:t>
      </w:r>
    </w:p>
    <w:p w:rsidR="006E41A7" w:rsidRDefault="006E41A7" w:rsidP="006E41A7">
      <w:pPr>
        <w:pStyle w:val="TextoAbreviaturas"/>
      </w:pPr>
      <w:r>
        <w:t>LOPJ</w:t>
      </w:r>
      <w:r>
        <w:tab/>
        <w:t>Ley Orgánica del Poder Judicial</w:t>
      </w:r>
    </w:p>
    <w:p w:rsidR="006E41A7" w:rsidRDefault="006E41A7" w:rsidP="006E41A7">
      <w:pPr>
        <w:pStyle w:val="TextoAbreviaturas"/>
      </w:pPr>
      <w:r>
        <w:lastRenderedPageBreak/>
        <w:t>LOTC</w:t>
      </w:r>
      <w:r>
        <w:tab/>
        <w:t>Ley Orgánica del Tribunal Constitucional</w:t>
      </w:r>
    </w:p>
    <w:p w:rsidR="006E41A7" w:rsidRDefault="006E41A7" w:rsidP="006E41A7">
      <w:pPr>
        <w:pStyle w:val="TextoAbreviaturas"/>
      </w:pPr>
      <w:r>
        <w:t>LPA</w:t>
      </w:r>
      <w:r>
        <w:tab/>
        <w:t>Ley de procedimiento administrativo</w:t>
      </w:r>
    </w:p>
    <w:p w:rsidR="006E41A7" w:rsidRDefault="006E41A7" w:rsidP="006E41A7">
      <w:pPr>
        <w:pStyle w:val="TextoAbreviaturas"/>
      </w:pPr>
      <w:r>
        <w:t>LPL</w:t>
      </w:r>
      <w:r>
        <w:tab/>
        <w:t>Ley de procedimiento laboral</w:t>
      </w:r>
    </w:p>
    <w:p w:rsidR="006E41A7" w:rsidRDefault="006E41A7" w:rsidP="006E41A7">
      <w:pPr>
        <w:pStyle w:val="TextoAbreviaturas"/>
      </w:pPr>
      <w:r>
        <w:t>LRL</w:t>
      </w:r>
      <w:r>
        <w:tab/>
        <w:t>Ley de régimen local (Ley de 1955; texto refundido de 1986)</w:t>
      </w:r>
    </w:p>
    <w:p w:rsidR="006E41A7" w:rsidRDefault="006E41A7" w:rsidP="006E41A7">
      <w:pPr>
        <w:pStyle w:val="TextoAbreviaturas"/>
      </w:pPr>
      <w:r>
        <w:t>OIT</w:t>
      </w:r>
      <w:r>
        <w:tab/>
        <w:t>Organización Internacional del Trabajo</w:t>
      </w:r>
    </w:p>
    <w:p w:rsidR="006E41A7" w:rsidRDefault="006E41A7" w:rsidP="006E41A7">
      <w:pPr>
        <w:pStyle w:val="TextoAbreviaturas"/>
      </w:pPr>
      <w:r>
        <w:t>PSOE</w:t>
      </w:r>
      <w:r>
        <w:tab/>
        <w:t>Partido Socialista Obrero Español</w:t>
      </w:r>
    </w:p>
    <w:p w:rsidR="006E41A7" w:rsidRDefault="006E41A7" w:rsidP="006E41A7">
      <w:pPr>
        <w:pStyle w:val="TextoAbreviaturas"/>
      </w:pPr>
      <w:r>
        <w:t>RENFE</w:t>
      </w:r>
      <w:r>
        <w:tab/>
        <w:t>Red Nacional de los Ferrocarriles Españoles</w:t>
      </w:r>
    </w:p>
    <w:p w:rsidR="006E41A7" w:rsidRDefault="006E41A7" w:rsidP="006E41A7">
      <w:pPr>
        <w:pStyle w:val="TextoAbreviaturas"/>
      </w:pPr>
      <w:r>
        <w:t>RTVE</w:t>
      </w:r>
      <w:r>
        <w:tab/>
        <w:t>Radio Televisión Española</w:t>
      </w:r>
    </w:p>
    <w:p w:rsidR="006E41A7" w:rsidRDefault="006E41A7" w:rsidP="006E41A7">
      <w:pPr>
        <w:pStyle w:val="TextoAbreviaturas"/>
      </w:pPr>
      <w:r>
        <w:t>STC</w:t>
      </w:r>
      <w:r>
        <w:tab/>
        <w:t>Sentencia del Tribunal Constitucional</w:t>
      </w:r>
    </w:p>
    <w:p w:rsidR="006E41A7" w:rsidRDefault="006E41A7" w:rsidP="006E41A7">
      <w:pPr>
        <w:pStyle w:val="TextoAbreviaturas"/>
      </w:pPr>
      <w:r>
        <w:t>UGT</w:t>
      </w:r>
      <w:r>
        <w:tab/>
        <w:t>Unión General de Trabajadores</w:t>
      </w:r>
    </w:p>
    <w:p w:rsidR="006E41A7" w:rsidRDefault="006E41A7" w:rsidP="006E41A7">
      <w:pPr>
        <w:pStyle w:val="TextoAbreviaturas"/>
      </w:pPr>
      <w:r>
        <w:t>USO</w:t>
      </w:r>
      <w:r>
        <w:tab/>
        <w:t>Unión Sindical Obrera</w:t>
      </w:r>
    </w:p>
    <w:p w:rsidR="006E41A7" w:rsidRDefault="006E41A7" w:rsidP="006E41A7">
      <w:pPr>
        <w:pStyle w:val="TextoAbreviaturas"/>
      </w:pPr>
    </w:p>
    <w:sectPr w:rsidR="006E41A7" w:rsidSect="000F63E8">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EE9" w:rsidRDefault="00256EE9" w:rsidP="001C705E">
      <w:pPr>
        <w:spacing w:after="0" w:line="240" w:lineRule="auto"/>
      </w:pPr>
      <w:r>
        <w:separator/>
      </w:r>
    </w:p>
  </w:endnote>
  <w:endnote w:type="continuationSeparator" w:id="0">
    <w:p w:rsidR="00256EE9" w:rsidRDefault="00256EE9" w:rsidP="001C7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3E8" w:rsidRDefault="000F63E8" w:rsidP="000F63E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B2978">
      <w:rPr>
        <w:rStyle w:val="Nmerodepgina"/>
        <w:noProof/>
      </w:rPr>
      <w:t>1786</w:t>
    </w:r>
    <w:r>
      <w:rPr>
        <w:rStyle w:val="Nmerodepgina"/>
      </w:rPr>
      <w:fldChar w:fldCharType="end"/>
    </w:r>
  </w:p>
  <w:p w:rsidR="00256EE9" w:rsidRDefault="00256EE9" w:rsidP="000F63E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3E8" w:rsidRDefault="000F63E8" w:rsidP="000F63E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B2978">
      <w:rPr>
        <w:rStyle w:val="Nmerodepgina"/>
        <w:noProof/>
      </w:rPr>
      <w:t>1787</w:t>
    </w:r>
    <w:r>
      <w:rPr>
        <w:rStyle w:val="Nmerodepgina"/>
      </w:rPr>
      <w:fldChar w:fldCharType="end"/>
    </w:r>
  </w:p>
  <w:p w:rsidR="00256EE9" w:rsidRDefault="00256EE9" w:rsidP="000F63E8">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EE9" w:rsidRDefault="00256E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EE9" w:rsidRDefault="00256EE9" w:rsidP="001C705E">
      <w:pPr>
        <w:spacing w:after="0" w:line="240" w:lineRule="auto"/>
      </w:pPr>
      <w:r>
        <w:separator/>
      </w:r>
    </w:p>
  </w:footnote>
  <w:footnote w:type="continuationSeparator" w:id="0">
    <w:p w:rsidR="00256EE9" w:rsidRDefault="00256EE9" w:rsidP="001C70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EE9" w:rsidRDefault="00256EE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EE9" w:rsidRDefault="000F63E8" w:rsidP="000F63E8">
    <w:pPr>
      <w:pStyle w:val="Cabecera"/>
    </w:pPr>
    <w:r>
      <w:t>JURISPRUDENCIA CONSTITUCIONAL - Tomo: enero a abril 1985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EE9" w:rsidRDefault="00256EE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3E8"/>
    <w:rsid w:val="0001233C"/>
    <w:rsid w:val="00077377"/>
    <w:rsid w:val="0009550B"/>
    <w:rsid w:val="000C659A"/>
    <w:rsid w:val="000E36E2"/>
    <w:rsid w:val="000F63E8"/>
    <w:rsid w:val="001C705E"/>
    <w:rsid w:val="00256EE9"/>
    <w:rsid w:val="002C5F4B"/>
    <w:rsid w:val="00351319"/>
    <w:rsid w:val="00506787"/>
    <w:rsid w:val="00575B95"/>
    <w:rsid w:val="005D4C32"/>
    <w:rsid w:val="006670AE"/>
    <w:rsid w:val="006E41A7"/>
    <w:rsid w:val="00810459"/>
    <w:rsid w:val="008A18A8"/>
    <w:rsid w:val="008E7076"/>
    <w:rsid w:val="00911923"/>
    <w:rsid w:val="00914BBD"/>
    <w:rsid w:val="009452A2"/>
    <w:rsid w:val="00963ECD"/>
    <w:rsid w:val="0097109F"/>
    <w:rsid w:val="00BD7949"/>
    <w:rsid w:val="00CB2978"/>
    <w:rsid w:val="00E3504C"/>
    <w:rsid w:val="00E8484A"/>
    <w:rsid w:val="00EB4571"/>
    <w:rsid w:val="00EB49B4"/>
    <w:rsid w:val="00F56E61"/>
    <w:rsid w:val="00F743E8"/>
    <w:rsid w:val="00F87A86"/>
    <w:rsid w:val="00FB3A39"/>
    <w:rsid w:val="00FD0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D0A5408-BE77-4DBE-AF6F-E2BFBBEC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3E8"/>
  </w:style>
  <w:style w:type="paragraph" w:styleId="Ttulo1">
    <w:name w:val="heading 1"/>
    <w:basedOn w:val="Normal"/>
    <w:next w:val="Normal"/>
    <w:link w:val="Ttulo1Car"/>
    <w:uiPriority w:val="9"/>
    <w:rsid w:val="00F743E8"/>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F743E8"/>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F743E8"/>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F743E8"/>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F743E8"/>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F743E8"/>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43E8"/>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F743E8"/>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F743E8"/>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F743E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43E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43E8"/>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F743E8"/>
    <w:pPr>
      <w:spacing w:after="0" w:line="240" w:lineRule="auto"/>
    </w:pPr>
  </w:style>
  <w:style w:type="paragraph" w:styleId="Textocomentario">
    <w:name w:val="annotation text"/>
    <w:basedOn w:val="Normal"/>
    <w:link w:val="TextocomentarioCar"/>
    <w:uiPriority w:val="99"/>
    <w:semiHidden/>
    <w:rsid w:val="00F743E8"/>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F743E8"/>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F743E8"/>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F743E8"/>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F743E8"/>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F743E8"/>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F743E8"/>
    <w:rPr>
      <w:rFonts w:ascii="Times New Roman" w:hAnsi="Times New Roman"/>
      <w:i w:val="0"/>
      <w:sz w:val="24"/>
    </w:rPr>
  </w:style>
  <w:style w:type="character" w:customStyle="1" w:styleId="TtuloBOECar">
    <w:name w:val="Título BOE Car"/>
    <w:basedOn w:val="Fuentedeprrafopredeter"/>
    <w:link w:val="TtuloBOE"/>
    <w:rsid w:val="00F743E8"/>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F743E8"/>
    <w:rPr>
      <w:rFonts w:ascii="Times New Roman" w:hAnsi="Times New Roman"/>
      <w:i/>
      <w:sz w:val="24"/>
    </w:rPr>
  </w:style>
  <w:style w:type="paragraph" w:customStyle="1" w:styleId="Extracto">
    <w:name w:val="Extracto"/>
    <w:basedOn w:val="Normal"/>
    <w:link w:val="ExtractoCar"/>
    <w:qFormat/>
    <w:rsid w:val="00F743E8"/>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F743E8"/>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F743E8"/>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F743E8"/>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F743E8"/>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F743E8"/>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F743E8"/>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F743E8"/>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F743E8"/>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F743E8"/>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F743E8"/>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F743E8"/>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F743E8"/>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F743E8"/>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F743E8"/>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F743E8"/>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F743E8"/>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F743E8"/>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F743E8"/>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F743E8"/>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F743E8"/>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F743E8"/>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F743E8"/>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F743E8"/>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F743E8"/>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F743E8"/>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F743E8"/>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F743E8"/>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F743E8"/>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F743E8"/>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F743E8"/>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F743E8"/>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F743E8"/>
  </w:style>
  <w:style w:type="paragraph" w:customStyle="1" w:styleId="SntesisAnaltica">
    <w:name w:val="Síntesis Analítica"/>
    <w:basedOn w:val="ParrafoNormal"/>
    <w:link w:val="SntesisAnalticaCar"/>
    <w:qFormat/>
    <w:rsid w:val="00F743E8"/>
    <w:rPr>
      <w:i/>
    </w:rPr>
  </w:style>
  <w:style w:type="character" w:customStyle="1" w:styleId="ParrafoNormalCar">
    <w:name w:val="Parrafo Normal Car"/>
    <w:basedOn w:val="Fuentedeprrafopredeter"/>
    <w:link w:val="ParrafoNormal"/>
    <w:rsid w:val="00F743E8"/>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F743E8"/>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F743E8"/>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F743E8"/>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F743E8"/>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F743E8"/>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F743E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F743E8"/>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F743E8"/>
    <w:rPr>
      <w:rFonts w:ascii="Tahoma" w:eastAsia="Times New Roman" w:hAnsi="Tahoma" w:cs="Tahoma"/>
      <w:sz w:val="16"/>
      <w:szCs w:val="16"/>
      <w:lang w:eastAsia="es-ES"/>
    </w:rPr>
  </w:style>
  <w:style w:type="paragraph" w:customStyle="1" w:styleId="Portada1">
    <w:name w:val="Portada 1"/>
    <w:basedOn w:val="Normal"/>
    <w:link w:val="Portada1Car"/>
    <w:qFormat/>
    <w:rsid w:val="00F743E8"/>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F743E8"/>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F743E8"/>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F743E8"/>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F743E8"/>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F743E8"/>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F743E8"/>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F743E8"/>
    <w:rPr>
      <w:rFonts w:ascii="Times New Roman" w:hAnsi="Times New Roman"/>
      <w:sz w:val="24"/>
    </w:rPr>
  </w:style>
  <w:style w:type="paragraph" w:customStyle="1" w:styleId="Prueba">
    <w:name w:val="Prueba"/>
    <w:basedOn w:val="Normal"/>
    <w:link w:val="PruebaCar"/>
    <w:qFormat/>
    <w:rsid w:val="00F743E8"/>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F743E8"/>
    <w:rPr>
      <w:rFonts w:ascii="Times New Roman" w:hAnsi="Times New Roman" w:cs="Times New Roman"/>
      <w:sz w:val="24"/>
      <w:szCs w:val="24"/>
    </w:rPr>
  </w:style>
  <w:style w:type="paragraph" w:customStyle="1" w:styleId="Paginas">
    <w:name w:val="Paginas"/>
    <w:basedOn w:val="Prueba"/>
    <w:link w:val="PaginasCar"/>
    <w:qFormat/>
    <w:rsid w:val="00F743E8"/>
  </w:style>
  <w:style w:type="character" w:customStyle="1" w:styleId="PaginasCar">
    <w:name w:val="Paginas Car"/>
    <w:basedOn w:val="PruebaCar"/>
    <w:link w:val="Paginas"/>
    <w:rsid w:val="00F743E8"/>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F743E8"/>
    <w:pPr>
      <w:ind w:left="568" w:hanging="284"/>
    </w:pPr>
  </w:style>
  <w:style w:type="paragraph" w:customStyle="1" w:styleId="SangriaIzquierdaArticulo">
    <w:name w:val="Sangria Izquierda Articulo"/>
    <w:basedOn w:val="SangriaFrancesaArticulo"/>
    <w:link w:val="SangriaIzquierdaArticuloCar"/>
    <w:qFormat/>
    <w:rsid w:val="00F743E8"/>
    <w:pPr>
      <w:ind w:firstLine="0"/>
    </w:pPr>
  </w:style>
  <w:style w:type="character" w:customStyle="1" w:styleId="SangriaFrancesaArticuloCar">
    <w:name w:val="Sangria Francesa Articulo Car"/>
    <w:basedOn w:val="ParrafoNormalCar"/>
    <w:link w:val="SangriaFrancesaArticulo"/>
    <w:rsid w:val="00F743E8"/>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F743E8"/>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F743E8"/>
    <w:pPr>
      <w:tabs>
        <w:tab w:val="left" w:pos="1134"/>
      </w:tabs>
      <w:ind w:left="-567"/>
    </w:pPr>
  </w:style>
  <w:style w:type="character" w:customStyle="1" w:styleId="DescriptoresJerarquicoNegritaCar">
    <w:name w:val="Descriptores Jerarquico Negrita Car"/>
    <w:basedOn w:val="TextoNormalNegritaCar"/>
    <w:link w:val="DescriptoresJerarquicoNegrita"/>
    <w:rsid w:val="00F743E8"/>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F743E8"/>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F743E8"/>
    <w:rPr>
      <w:rFonts w:ascii="Times New Roman" w:hAnsi="Times New Roman"/>
      <w:b/>
      <w:i/>
      <w:sz w:val="24"/>
    </w:rPr>
  </w:style>
  <w:style w:type="paragraph" w:customStyle="1" w:styleId="EntradandiceSumario">
    <w:name w:val="Entrada Índice Sumario"/>
    <w:basedOn w:val="EntradandiceSentencia"/>
    <w:qFormat/>
    <w:rsid w:val="00F743E8"/>
    <w:pPr>
      <w:tabs>
        <w:tab w:val="clear" w:pos="8080"/>
        <w:tab w:val="right" w:leader="dot" w:pos="7371"/>
      </w:tabs>
      <w:spacing w:line="260" w:lineRule="exact"/>
      <w:ind w:right="0"/>
    </w:pPr>
  </w:style>
  <w:style w:type="paragraph" w:customStyle="1" w:styleId="FechasPortadaGaceta">
    <w:name w:val="Fechas Portada Gaceta"/>
    <w:basedOn w:val="Normal"/>
    <w:qFormat/>
    <w:rsid w:val="00F743E8"/>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F743E8"/>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F743E8"/>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F743E8"/>
    <w:rPr>
      <w:rFonts w:ascii="Times New Roman" w:hAnsi="Times New Roman"/>
      <w:color w:val="A7599E"/>
      <w:sz w:val="24"/>
    </w:rPr>
  </w:style>
  <w:style w:type="character" w:customStyle="1" w:styleId="SntesisAnalticaTtulo">
    <w:name w:val="Síntesis Analítica Título"/>
    <w:basedOn w:val="SntesisDescriptivaTtulo"/>
    <w:uiPriority w:val="1"/>
    <w:qFormat/>
    <w:rsid w:val="00F743E8"/>
    <w:rPr>
      <w:rFonts w:ascii="Times New Roman" w:hAnsi="Times New Roman"/>
      <w:i w:val="0"/>
      <w:color w:val="A7599E"/>
      <w:sz w:val="24"/>
    </w:rPr>
  </w:style>
  <w:style w:type="paragraph" w:customStyle="1" w:styleId="CabeceraGaceta">
    <w:name w:val="Cabecera Gaceta"/>
    <w:next w:val="Normal"/>
    <w:link w:val="CabeceraGacetaCar"/>
    <w:qFormat/>
    <w:rsid w:val="00F743E8"/>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F743E8"/>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F743E8"/>
    <w:pPr>
      <w:spacing w:after="1800"/>
    </w:pPr>
  </w:style>
  <w:style w:type="character" w:styleId="nfasis">
    <w:name w:val="Emphasis"/>
    <w:basedOn w:val="Fuentedeprrafopredeter"/>
    <w:uiPriority w:val="20"/>
    <w:qFormat/>
    <w:rsid w:val="00F743E8"/>
    <w:rPr>
      <w:i/>
      <w:iCs/>
    </w:rPr>
  </w:style>
  <w:style w:type="character" w:styleId="Hipervnculo">
    <w:name w:val="Hyperlink"/>
    <w:basedOn w:val="Fuentedeprrafopredeter"/>
    <w:uiPriority w:val="99"/>
    <w:unhideWhenUsed/>
    <w:rsid w:val="00F743E8"/>
    <w:rPr>
      <w:b w:val="0"/>
      <w:color w:val="000000" w:themeColor="text1"/>
      <w:u w:val="none"/>
    </w:rPr>
  </w:style>
  <w:style w:type="paragraph" w:customStyle="1" w:styleId="SntesisDescriptivaConSeparacion">
    <w:name w:val="Síntesis Descriptiva Con Separacion"/>
    <w:basedOn w:val="SntesisDescriptiva"/>
    <w:qFormat/>
    <w:rsid w:val="00F743E8"/>
    <w:pPr>
      <w:spacing w:after="600"/>
    </w:pPr>
  </w:style>
  <w:style w:type="paragraph" w:customStyle="1" w:styleId="SntesisAnalticaConSeparacin">
    <w:name w:val="Síntesis Analítica Con Separación"/>
    <w:basedOn w:val="SntesisAnaltica"/>
    <w:qFormat/>
    <w:rsid w:val="00F743E8"/>
    <w:pPr>
      <w:spacing w:after="600"/>
    </w:pPr>
  </w:style>
  <w:style w:type="paragraph" w:customStyle="1" w:styleId="TtuloListado">
    <w:name w:val="Título Listado"/>
    <w:basedOn w:val="TextoNormal"/>
    <w:qFormat/>
    <w:rsid w:val="00F743E8"/>
    <w:pPr>
      <w:spacing w:line="360" w:lineRule="auto"/>
      <w:jc w:val="center"/>
    </w:pPr>
    <w:rPr>
      <w:b/>
      <w:u w:val="single"/>
    </w:rPr>
  </w:style>
  <w:style w:type="paragraph" w:customStyle="1" w:styleId="TextoNormalCentradoCursiva">
    <w:name w:val="Texto Normal Centrado Cursiva"/>
    <w:basedOn w:val="TextoNormalCentrado"/>
    <w:qFormat/>
    <w:rsid w:val="00F743E8"/>
    <w:rPr>
      <w:i/>
    </w:rPr>
  </w:style>
  <w:style w:type="paragraph" w:customStyle="1" w:styleId="TextoConBorde">
    <w:name w:val="Texto Con Borde"/>
    <w:qFormat/>
    <w:rsid w:val="00F743E8"/>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F743E8"/>
    <w:rPr>
      <w:sz w:val="148"/>
    </w:rPr>
  </w:style>
  <w:style w:type="paragraph" w:customStyle="1" w:styleId="TextoNormalNegritaCentradoSubrayado">
    <w:name w:val="Texto Normal Negrita Centrado Subrayado"/>
    <w:basedOn w:val="TextoNormalNegritaCentrado"/>
    <w:qFormat/>
    <w:rsid w:val="00F743E8"/>
    <w:rPr>
      <w:sz w:val="28"/>
      <w:u w:val="single"/>
    </w:rPr>
  </w:style>
  <w:style w:type="paragraph" w:customStyle="1" w:styleId="TextoIndiceNivel2">
    <w:name w:val="TextoIndice Nivel2"/>
    <w:basedOn w:val="TextoNormalNegritaCentrado"/>
    <w:qFormat/>
    <w:rsid w:val="00F743E8"/>
    <w:rPr>
      <w:sz w:val="36"/>
    </w:rPr>
  </w:style>
  <w:style w:type="character" w:customStyle="1" w:styleId="TextoNormalNegritaCentradoSombreado">
    <w:name w:val="Texto Normal Negrita Centrado Sombreado"/>
    <w:basedOn w:val="TextoNormalNegritaCaracter"/>
    <w:uiPriority w:val="1"/>
    <w:qFormat/>
    <w:rsid w:val="00F743E8"/>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F743E8"/>
    <w:rPr>
      <w:sz w:val="26"/>
    </w:rPr>
  </w:style>
  <w:style w:type="character" w:customStyle="1" w:styleId="ndiceJerrquicoDescriptor">
    <w:name w:val="Índice Jerárquico Descriptor"/>
    <w:basedOn w:val="TextoNormalCar"/>
    <w:uiPriority w:val="1"/>
    <w:qFormat/>
    <w:rsid w:val="00F743E8"/>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F743E8"/>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F743E8"/>
    <w:pPr>
      <w:ind w:left="0"/>
    </w:pPr>
    <w:rPr>
      <w:sz w:val="28"/>
    </w:rPr>
  </w:style>
  <w:style w:type="character" w:styleId="Hipervnculovisitado">
    <w:name w:val="FollowedHyperlink"/>
    <w:basedOn w:val="Fuentedeprrafopredeter"/>
    <w:uiPriority w:val="99"/>
    <w:semiHidden/>
    <w:unhideWhenUsed/>
    <w:rsid w:val="00F743E8"/>
    <w:rPr>
      <w:color w:val="auto"/>
      <w:u w:val="none"/>
    </w:rPr>
  </w:style>
  <w:style w:type="paragraph" w:customStyle="1" w:styleId="EntradandiceSumarioNivel2">
    <w:name w:val="Entrada Índice Sumario Nivel2"/>
    <w:basedOn w:val="EntradandiceSumario"/>
    <w:qFormat/>
    <w:rsid w:val="00F743E8"/>
    <w:pPr>
      <w:spacing w:line="240" w:lineRule="exact"/>
      <w:ind w:firstLine="113"/>
    </w:pPr>
    <w:rPr>
      <w:sz w:val="23"/>
    </w:rPr>
  </w:style>
  <w:style w:type="paragraph" w:customStyle="1" w:styleId="TtuloSumariondices">
    <w:name w:val="Título Sumario Índices"/>
    <w:basedOn w:val="TextoNormal"/>
    <w:qFormat/>
    <w:rsid w:val="00F743E8"/>
    <w:pPr>
      <w:ind w:firstLine="0"/>
      <w:jc w:val="center"/>
    </w:pPr>
    <w:rPr>
      <w:sz w:val="32"/>
    </w:rPr>
  </w:style>
  <w:style w:type="paragraph" w:styleId="Cierre">
    <w:name w:val="Closing"/>
    <w:basedOn w:val="Normal"/>
    <w:link w:val="CierreCar"/>
    <w:uiPriority w:val="99"/>
    <w:unhideWhenUsed/>
    <w:rsid w:val="00F743E8"/>
    <w:pPr>
      <w:spacing w:after="0" w:line="240" w:lineRule="auto"/>
      <w:ind w:left="4252"/>
    </w:pPr>
  </w:style>
  <w:style w:type="character" w:customStyle="1" w:styleId="CierreCar">
    <w:name w:val="Cierre Car"/>
    <w:basedOn w:val="Fuentedeprrafopredeter"/>
    <w:link w:val="Cierre"/>
    <w:uiPriority w:val="99"/>
    <w:rsid w:val="00F743E8"/>
  </w:style>
  <w:style w:type="paragraph" w:styleId="Cita">
    <w:name w:val="Quote"/>
    <w:basedOn w:val="Normal"/>
    <w:next w:val="Normal"/>
    <w:link w:val="CitaCar"/>
    <w:uiPriority w:val="29"/>
    <w:qFormat/>
    <w:rsid w:val="00F743E8"/>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F743E8"/>
    <w:rPr>
      <w:i/>
      <w:iCs/>
      <w:color w:val="404040" w:themeColor="text1" w:themeTint="BF"/>
    </w:rPr>
  </w:style>
  <w:style w:type="paragraph" w:customStyle="1" w:styleId="Cabecera">
    <w:name w:val="Cabecera"/>
    <w:link w:val="CabeceraCar"/>
    <w:qFormat/>
    <w:rsid w:val="00F743E8"/>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F743E8"/>
    <w:rPr>
      <w:rFonts w:ascii="Arial" w:hAnsi="Arial"/>
      <w:b/>
      <w:iCs/>
      <w:color w:val="538135"/>
      <w:sz w:val="20"/>
    </w:rPr>
  </w:style>
  <w:style w:type="paragraph" w:customStyle="1" w:styleId="TtuloSumarioResoluciones">
    <w:name w:val="Título Sumario Resoluciones"/>
    <w:basedOn w:val="TextoNormal"/>
    <w:link w:val="TtuloSumarioResolucionesCar"/>
    <w:qFormat/>
    <w:rsid w:val="00F743E8"/>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F743E8"/>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F743E8"/>
    <w:rPr>
      <w:rFonts w:ascii="Times New Roman" w:hAnsi="Times New Roman"/>
      <w:b/>
      <w:color w:val="538135"/>
      <w:sz w:val="32"/>
    </w:rPr>
  </w:style>
  <w:style w:type="paragraph" w:styleId="Encabezado">
    <w:name w:val="header"/>
    <w:basedOn w:val="Normal"/>
    <w:link w:val="EncabezadoCar"/>
    <w:uiPriority w:val="99"/>
    <w:unhideWhenUsed/>
    <w:rsid w:val="001C70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705E"/>
  </w:style>
  <w:style w:type="paragraph" w:styleId="Piedepgina">
    <w:name w:val="footer"/>
    <w:basedOn w:val="Normal"/>
    <w:link w:val="PiedepginaCar"/>
    <w:uiPriority w:val="99"/>
    <w:unhideWhenUsed/>
    <w:rsid w:val="001C70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705E"/>
  </w:style>
  <w:style w:type="character" w:styleId="Nmerodepgina">
    <w:name w:val="page number"/>
    <w:basedOn w:val="Fuentedeprrafopredeter"/>
    <w:uiPriority w:val="99"/>
    <w:semiHidden/>
    <w:unhideWhenUsed/>
    <w:rsid w:val="000F6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6</Pages>
  <Words>822526</Words>
  <Characters>4523893</Characters>
  <Application>Microsoft Office Word</Application>
  <DocSecurity>0</DocSecurity>
  <Lines>37699</Lines>
  <Paragraphs>10671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32</cp:revision>
  <cp:lastPrinted>2019-03-08T09:20:00Z</cp:lastPrinted>
  <dcterms:created xsi:type="dcterms:W3CDTF">2017-03-28T10:18:00Z</dcterms:created>
  <dcterms:modified xsi:type="dcterms:W3CDTF">2019-03-08T09:21:00Z</dcterms:modified>
</cp:coreProperties>
</file>